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A52562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12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9B3270"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9B3270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B35CF3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35CF3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35CF3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35CF3" w:rsidRDefault="00E42598" w:rsidP="008B4301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B35CF3">
              <w:rPr>
                <w:color w:val="000000" w:themeColor="text1"/>
                <w:sz w:val="23"/>
                <w:szCs w:val="23"/>
              </w:rPr>
              <w:t>Ответственный</w:t>
            </w:r>
            <w:proofErr w:type="gramEnd"/>
            <w:r w:rsidRPr="00B35CF3">
              <w:rPr>
                <w:color w:val="000000" w:themeColor="text1"/>
                <w:sz w:val="23"/>
                <w:szCs w:val="23"/>
              </w:rPr>
              <w:t xml:space="preserve"> за подготовку материалов</w:t>
            </w:r>
          </w:p>
        </w:tc>
      </w:tr>
      <w:tr w:rsidR="00B53EB8" w:rsidRPr="00B35CF3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B35CF3" w:rsidRDefault="00B53EB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B35CF3" w:rsidRDefault="009B3270" w:rsidP="00BD49DC">
            <w:pPr>
              <w:spacing w:before="75" w:after="75"/>
              <w:ind w:left="30" w:right="30"/>
              <w:jc w:val="both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«Новосибирская городская сетевая компания» (ОГРН 1165476204420 ИНН 5405990884) с максимальной мощностью 4398,61  кВт к электрическим сетям Акционерного общества «Региональные электрические сети» по </w:t>
            </w:r>
            <w:proofErr w:type="gramStart"/>
            <w:r w:rsidRPr="00B35CF3">
              <w:rPr>
                <w:color w:val="000000" w:themeColor="text1"/>
                <w:sz w:val="23"/>
                <w:szCs w:val="23"/>
              </w:rPr>
              <w:t>индивидуальному проекту</w:t>
            </w:r>
            <w:proofErr w:type="gramEnd"/>
            <w:r w:rsidRPr="00B35CF3">
              <w:rPr>
                <w:color w:val="000000" w:themeColor="text1"/>
                <w:sz w:val="23"/>
                <w:szCs w:val="23"/>
              </w:rPr>
              <w:t xml:space="preserve">: «Технологическое присоединение ТП-4625, ЛЭП-10 </w:t>
            </w:r>
            <w:proofErr w:type="spellStart"/>
            <w:r w:rsidRPr="00B35CF3">
              <w:rPr>
                <w:color w:val="000000" w:themeColor="text1"/>
                <w:sz w:val="23"/>
                <w:szCs w:val="23"/>
              </w:rPr>
              <w:t>кВ</w:t>
            </w:r>
            <w:proofErr w:type="spellEnd"/>
            <w:r w:rsidRPr="00B35CF3">
              <w:rPr>
                <w:color w:val="000000" w:themeColor="text1"/>
                <w:sz w:val="23"/>
                <w:szCs w:val="23"/>
              </w:rPr>
              <w:t xml:space="preserve"> по адресу: Новосибирская область, г. Новосибирск, ул. </w:t>
            </w:r>
            <w:proofErr w:type="spellStart"/>
            <w:r w:rsidRPr="00B35CF3">
              <w:rPr>
                <w:color w:val="000000" w:themeColor="text1"/>
                <w:sz w:val="23"/>
                <w:szCs w:val="23"/>
              </w:rPr>
              <w:t>Красносельская</w:t>
            </w:r>
            <w:proofErr w:type="spellEnd"/>
            <w:r w:rsidRPr="00B35CF3">
              <w:rPr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9DC" w:rsidRPr="00B35CF3" w:rsidRDefault="00BD49DC" w:rsidP="00BD49DC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Амарцев О.В.</w:t>
            </w:r>
          </w:p>
          <w:p w:rsidR="00B53EB8" w:rsidRPr="00B35CF3" w:rsidRDefault="009B3270" w:rsidP="00BD49DC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228-68</w:t>
            </w:r>
            <w:r w:rsidR="00BD49DC" w:rsidRPr="00B35CF3">
              <w:rPr>
                <w:color w:val="000000" w:themeColor="text1"/>
                <w:sz w:val="23"/>
                <w:szCs w:val="23"/>
              </w:rPr>
              <w:t>-</w:t>
            </w:r>
            <w:r w:rsidRPr="00B35CF3">
              <w:rPr>
                <w:color w:val="000000" w:themeColor="text1"/>
                <w:sz w:val="23"/>
                <w:szCs w:val="23"/>
              </w:rPr>
              <w:t>07</w:t>
            </w:r>
          </w:p>
        </w:tc>
      </w:tr>
      <w:tr w:rsidR="00CE2C7F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B35CF3" w:rsidRDefault="00B53EB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2</w:t>
            </w:r>
            <w:r w:rsidR="00CE2C7F" w:rsidRPr="00B35CF3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B35CF3" w:rsidRDefault="005F75FB" w:rsidP="005F75FB">
            <w:pPr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 xml:space="preserve">Об установлении платы за технологическое присоединение энергопринимающих устройств </w:t>
            </w:r>
            <w:r w:rsidR="009B3270" w:rsidRPr="00B35CF3">
              <w:rPr>
                <w:sz w:val="23"/>
                <w:szCs w:val="23"/>
              </w:rPr>
              <w:t xml:space="preserve">Индивидуального предпринимателя Полюхина Е. А. (ОГРНИП 314547611900492 ИНН 540105719264) с максимальной мощностью 590 кВт к электрическим сетям Акционерного общества «Региональные электрические сети» по </w:t>
            </w:r>
            <w:proofErr w:type="gramStart"/>
            <w:r w:rsidR="009B3270" w:rsidRPr="00B35CF3">
              <w:rPr>
                <w:sz w:val="23"/>
                <w:szCs w:val="23"/>
              </w:rPr>
              <w:t>индивидуальному проекту</w:t>
            </w:r>
            <w:proofErr w:type="gramEnd"/>
            <w:r w:rsidR="009B3270" w:rsidRPr="00B35CF3">
              <w:rPr>
                <w:sz w:val="23"/>
                <w:szCs w:val="23"/>
              </w:rPr>
              <w:t>: «Технологическое присоединение производственно-складского комплекса по адресу: Новосибирская область, р-н Новосибирский, Каменский сельсовет (кадастровый номер земельного участка: 54:19:120701:11131)»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5F8" w:rsidRPr="00B35CF3" w:rsidRDefault="008E75F8" w:rsidP="008E75F8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Амарцев О.В.</w:t>
            </w:r>
          </w:p>
          <w:p w:rsidR="00CE2C7F" w:rsidRPr="00B35CF3" w:rsidRDefault="009B3270" w:rsidP="008E75F8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228-68-07</w:t>
            </w:r>
          </w:p>
        </w:tc>
      </w:tr>
      <w:tr w:rsidR="00CE2C7F" w:rsidRPr="00B35CF3" w:rsidTr="00C46741">
        <w:trPr>
          <w:trHeight w:val="1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B35CF3" w:rsidRDefault="00B53EB8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3</w:t>
            </w:r>
            <w:r w:rsidR="00CE2C7F" w:rsidRPr="00B35CF3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2C7F" w:rsidRPr="00B35CF3" w:rsidRDefault="00186A45" w:rsidP="000C49B1">
            <w:pPr>
              <w:ind w:left="28" w:right="28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 xml:space="preserve">Об установлении платы за технологическое присоединение энергопринимающих устройств </w:t>
            </w:r>
            <w:r w:rsidR="009B3270" w:rsidRPr="00B35CF3">
              <w:rPr>
                <w:sz w:val="23"/>
                <w:szCs w:val="23"/>
              </w:rPr>
              <w:t>Общества с ограниченной ответственностью «ПСК-</w:t>
            </w:r>
            <w:proofErr w:type="spellStart"/>
            <w:r w:rsidR="009B3270" w:rsidRPr="00B35CF3">
              <w:rPr>
                <w:sz w:val="23"/>
                <w:szCs w:val="23"/>
              </w:rPr>
              <w:t>Лакир</w:t>
            </w:r>
            <w:proofErr w:type="spellEnd"/>
            <w:r w:rsidR="009B3270" w:rsidRPr="00B35CF3">
              <w:rPr>
                <w:sz w:val="23"/>
                <w:szCs w:val="23"/>
              </w:rPr>
              <w:t xml:space="preserve">» (ОГРН 1055405092423 ИНН 5405298225) с максимальной мощностью 149 кВт к электрическим сетям Акционерного общества «Региональные электрические сети» по </w:t>
            </w:r>
            <w:proofErr w:type="gramStart"/>
            <w:r w:rsidR="009B3270" w:rsidRPr="00B35CF3">
              <w:rPr>
                <w:sz w:val="23"/>
                <w:szCs w:val="23"/>
              </w:rPr>
              <w:t>индивидуальному проекту</w:t>
            </w:r>
            <w:proofErr w:type="gramEnd"/>
            <w:r w:rsidR="009B3270" w:rsidRPr="00B35CF3">
              <w:rPr>
                <w:sz w:val="23"/>
                <w:szCs w:val="23"/>
              </w:rPr>
              <w:t xml:space="preserve">: «Технологическое присоединение проектируемых ЛЭП-0,4 </w:t>
            </w:r>
            <w:proofErr w:type="spellStart"/>
            <w:r w:rsidR="009B3270" w:rsidRPr="00B35CF3">
              <w:rPr>
                <w:sz w:val="23"/>
                <w:szCs w:val="23"/>
              </w:rPr>
              <w:t>кВ</w:t>
            </w:r>
            <w:proofErr w:type="spellEnd"/>
            <w:r w:rsidR="009B3270" w:rsidRPr="00B35CF3">
              <w:rPr>
                <w:sz w:val="23"/>
                <w:szCs w:val="23"/>
              </w:rPr>
              <w:t>, гостиницы по адресу: г. Новосибирск, ул. Гаранина (кадастровый номер земельного участка: 54:35:071125:411)»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5F8" w:rsidRPr="00B35CF3" w:rsidRDefault="008E75F8" w:rsidP="008E75F8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Амарцев О.В.</w:t>
            </w:r>
          </w:p>
          <w:p w:rsidR="00AB4507" w:rsidRPr="00B35CF3" w:rsidRDefault="009B3270" w:rsidP="008E75F8">
            <w:pPr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228-68-07</w:t>
            </w:r>
          </w:p>
        </w:tc>
      </w:tr>
      <w:tr w:rsidR="0059517B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17B" w:rsidRPr="00B35CF3" w:rsidRDefault="00092C9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17B" w:rsidRPr="00B35CF3" w:rsidRDefault="00C34E60" w:rsidP="00756000">
            <w:pPr>
              <w:ind w:right="38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 xml:space="preserve">Об установлении платы за технологическое присоединение энергопринимающих устройств Садоводческого некоммерческого товарищества «Отдых-1» (ОГРН 1025403661337 ИНН 5408144167) с максимальной мощностью 259,18 кВт к электрическим сетям Акционерного общества «Региональные электрические сети» по </w:t>
            </w:r>
            <w:proofErr w:type="gramStart"/>
            <w:r w:rsidRPr="00B35CF3">
              <w:rPr>
                <w:sz w:val="23"/>
                <w:szCs w:val="23"/>
              </w:rPr>
              <w:t>индивидуальному проекту</w:t>
            </w:r>
            <w:proofErr w:type="gramEnd"/>
            <w:r w:rsidRPr="00B35CF3">
              <w:rPr>
                <w:sz w:val="23"/>
                <w:szCs w:val="23"/>
              </w:rPr>
              <w:t xml:space="preserve">: «Технологическое присоединение 153 жилых домов, наружного освещения, административно-хозяйственного комплекса с эл/котлом отопления, насоса на колонке, ворот, проектируемой ЛЭП-10 </w:t>
            </w:r>
            <w:proofErr w:type="spellStart"/>
            <w:r w:rsidRPr="00B35CF3">
              <w:rPr>
                <w:sz w:val="23"/>
                <w:szCs w:val="23"/>
              </w:rPr>
              <w:t>кВ</w:t>
            </w:r>
            <w:proofErr w:type="spellEnd"/>
            <w:r w:rsidRPr="00B35CF3">
              <w:rPr>
                <w:sz w:val="23"/>
                <w:szCs w:val="23"/>
              </w:rPr>
              <w:t xml:space="preserve">, расположенных по адресу: местоположение установлено относительно ориентира, расположенного в границах участка. Ориентир некоммерческое садоводческое товарищество «Отдых-1». Почтовый адрес ориентира: обл. </w:t>
            </w:r>
            <w:proofErr w:type="gramStart"/>
            <w:r w:rsidRPr="00B35CF3">
              <w:rPr>
                <w:sz w:val="23"/>
                <w:szCs w:val="23"/>
              </w:rPr>
              <w:t>Новосибирская</w:t>
            </w:r>
            <w:proofErr w:type="gramEnd"/>
            <w:r w:rsidRPr="00B35CF3">
              <w:rPr>
                <w:sz w:val="23"/>
                <w:szCs w:val="23"/>
              </w:rPr>
              <w:t>, г. Новосибирск»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E60" w:rsidRPr="00B35CF3" w:rsidRDefault="00C34E60" w:rsidP="00C34E60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Амарцев О.В.</w:t>
            </w:r>
          </w:p>
          <w:p w:rsidR="0059517B" w:rsidRPr="00B35CF3" w:rsidRDefault="00C34E60" w:rsidP="00C34E60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228-68-07</w:t>
            </w:r>
          </w:p>
        </w:tc>
      </w:tr>
      <w:tr w:rsidR="003F61EB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1EB" w:rsidRPr="00B35CF3" w:rsidRDefault="003F61E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1EB" w:rsidRPr="00B35CF3" w:rsidRDefault="003F61EB" w:rsidP="00756000">
            <w:pPr>
              <w:ind w:right="38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 xml:space="preserve">Об установлении платы за технологическое присоединение </w:t>
            </w:r>
            <w:proofErr w:type="spellStart"/>
            <w:r w:rsidRPr="00B35CF3">
              <w:rPr>
                <w:sz w:val="23"/>
                <w:szCs w:val="23"/>
              </w:rPr>
              <w:t>энергопринимающих</w:t>
            </w:r>
            <w:proofErr w:type="spellEnd"/>
            <w:r w:rsidRPr="00B35CF3">
              <w:rPr>
                <w:sz w:val="23"/>
                <w:szCs w:val="23"/>
              </w:rPr>
              <w:t xml:space="preserve"> устройств Общества с ограниченной </w:t>
            </w:r>
            <w:r w:rsidRPr="00B35CF3">
              <w:rPr>
                <w:sz w:val="23"/>
                <w:szCs w:val="23"/>
              </w:rPr>
              <w:lastRenderedPageBreak/>
              <w:t>ответственностью «Строй-Интеграл» (ОГРН 1125476168157 ИНН 5405463221) с максимальной мощностью 491,84  кВт к электрическим сетям филиала «Забайкальский» Акционерного общества «</w:t>
            </w:r>
            <w:proofErr w:type="spellStart"/>
            <w:r w:rsidRPr="00B35CF3">
              <w:rPr>
                <w:sz w:val="23"/>
                <w:szCs w:val="23"/>
              </w:rPr>
              <w:t>Оборонэнерго</w:t>
            </w:r>
            <w:proofErr w:type="spellEnd"/>
            <w:r w:rsidRPr="00B35CF3">
              <w:rPr>
                <w:sz w:val="23"/>
                <w:szCs w:val="23"/>
              </w:rPr>
              <w:t xml:space="preserve">» по </w:t>
            </w:r>
            <w:proofErr w:type="gramStart"/>
            <w:r w:rsidRPr="00B35CF3">
              <w:rPr>
                <w:sz w:val="23"/>
                <w:szCs w:val="23"/>
              </w:rPr>
              <w:t>индивидуальному проекту</w:t>
            </w:r>
            <w:proofErr w:type="gramEnd"/>
            <w:r w:rsidRPr="00B35CF3">
              <w:rPr>
                <w:sz w:val="23"/>
                <w:szCs w:val="23"/>
              </w:rPr>
              <w:t>: «Технологическое присоединение нежилого помещения, расположенного по адресу: Новосибирская область, г. Новосибирск, ул. Сеченова на земельном участке с кадастровым номером 54:54:032105:175»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1EB" w:rsidRPr="00B35CF3" w:rsidRDefault="003F61EB" w:rsidP="003F61EB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lastRenderedPageBreak/>
              <w:t>Амарцев О.В.</w:t>
            </w:r>
          </w:p>
          <w:p w:rsidR="003F61EB" w:rsidRPr="00B35CF3" w:rsidRDefault="003F61EB" w:rsidP="003F61EB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228-68-07</w:t>
            </w:r>
          </w:p>
        </w:tc>
      </w:tr>
      <w:tr w:rsidR="00A7051B" w:rsidRPr="00B35CF3" w:rsidTr="0038472D">
        <w:trPr>
          <w:trHeight w:val="26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B35CF3" w:rsidRDefault="003F61E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lastRenderedPageBreak/>
              <w:t>6</w:t>
            </w:r>
            <w:r w:rsidR="00A7051B" w:rsidRPr="00B35CF3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B35CF3" w:rsidRDefault="0038472D" w:rsidP="00B35CF3">
            <w:pPr>
              <w:ind w:right="38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О пересмотре на 2024 год долгосрочных параметров регулирования и тарифов на тепловую энергию (мощность) для Общества с ограниченной ответственностью «МК Прогресс», установленных приказами департамента по тарифам Новосибирской области от 13.12.2019 № 658-ТЭ, от 20.12.2023 № 731-ТЭ/НПА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51B" w:rsidRPr="00B35CF3" w:rsidRDefault="0038472D" w:rsidP="001C693F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Лим М.Б.</w:t>
            </w:r>
          </w:p>
          <w:p w:rsidR="0038472D" w:rsidRPr="00B35CF3" w:rsidRDefault="0038472D" w:rsidP="001C693F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228-68-14</w:t>
            </w:r>
          </w:p>
        </w:tc>
      </w:tr>
      <w:tr w:rsidR="0038472D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72D" w:rsidRPr="00B35CF3" w:rsidRDefault="003F61EB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7</w:t>
            </w:r>
            <w:r w:rsidR="0038472D" w:rsidRPr="00B35CF3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72D" w:rsidRPr="00B35CF3" w:rsidRDefault="0038472D" w:rsidP="00B35CF3">
            <w:pPr>
              <w:ind w:right="38"/>
              <w:jc w:val="both"/>
              <w:rPr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 xml:space="preserve">Об установлении тарифа на тепловую энергию (мощность), поставляемую Муниципальным унитарным предприятием «Котельная Ложок» города Искитима Новосибирской области потребителям на территории микрорайона Ложок города </w:t>
            </w:r>
            <w:proofErr w:type="spellStart"/>
            <w:r w:rsidRPr="00B35CF3">
              <w:rPr>
                <w:color w:val="000000" w:themeColor="text1"/>
                <w:sz w:val="23"/>
                <w:szCs w:val="23"/>
              </w:rPr>
              <w:t>Искитима</w:t>
            </w:r>
            <w:proofErr w:type="spellEnd"/>
            <w:r w:rsidRPr="00B35CF3">
              <w:rPr>
                <w:color w:val="000000" w:themeColor="text1"/>
                <w:sz w:val="23"/>
                <w:szCs w:val="23"/>
              </w:rPr>
              <w:t xml:space="preserve">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72D" w:rsidRPr="00B35CF3" w:rsidRDefault="0038472D" w:rsidP="0038472D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Лим М.Б.</w:t>
            </w:r>
          </w:p>
          <w:p w:rsidR="0038472D" w:rsidRPr="00B35CF3" w:rsidRDefault="0038472D" w:rsidP="0038472D">
            <w:pPr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228-68-14</w:t>
            </w:r>
          </w:p>
        </w:tc>
      </w:tr>
      <w:tr w:rsidR="00B35CF3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250265">
            <w:pPr>
              <w:ind w:left="30" w:right="30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Об утверждении производственной программы и установлении тарифов на горячую воду (горячее водоснабжение) для Муниципального унитарного предприятия «Котельная Ложок», осуществляющего горячее водоснабжение с использованием закрытой системы горячего водоснабжения на территории города Искитима Новосибирской области</w:t>
            </w:r>
            <w:r w:rsidRPr="00B35CF3">
              <w:rPr>
                <w:bCs/>
                <w:sz w:val="23"/>
                <w:szCs w:val="23"/>
              </w:rPr>
              <w:t>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250265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Панина А.Ю.</w:t>
            </w:r>
          </w:p>
          <w:p w:rsidR="00B35CF3" w:rsidRPr="00B35CF3" w:rsidRDefault="00B35CF3" w:rsidP="00250265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228-68-43</w:t>
            </w:r>
          </w:p>
        </w:tc>
      </w:tr>
      <w:tr w:rsidR="00B35CF3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3D22E9">
            <w:pPr>
              <w:ind w:left="30" w:right="30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 xml:space="preserve">Об установлении для Муниципального унитарного предприятия </w:t>
            </w:r>
            <w:r w:rsidRPr="00B35CF3">
              <w:rPr>
                <w:sz w:val="23"/>
                <w:szCs w:val="23"/>
              </w:rPr>
              <w:br/>
            </w:r>
            <w:proofErr w:type="spellStart"/>
            <w:r w:rsidRPr="00B35CF3">
              <w:rPr>
                <w:sz w:val="23"/>
                <w:szCs w:val="23"/>
              </w:rPr>
              <w:t>жилищно</w:t>
            </w:r>
            <w:proofErr w:type="spellEnd"/>
            <w:r w:rsidRPr="00B35CF3">
              <w:rPr>
                <w:sz w:val="23"/>
                <w:szCs w:val="23"/>
              </w:rPr>
              <w:t>–коммунального хозяйства «</w:t>
            </w:r>
            <w:proofErr w:type="spellStart"/>
            <w:r w:rsidRPr="00B35CF3">
              <w:rPr>
                <w:sz w:val="23"/>
                <w:szCs w:val="23"/>
              </w:rPr>
              <w:t>Ярковское</w:t>
            </w:r>
            <w:proofErr w:type="spellEnd"/>
            <w:r w:rsidRPr="00B35CF3">
              <w:rPr>
                <w:sz w:val="23"/>
                <w:szCs w:val="23"/>
              </w:rPr>
              <w:t xml:space="preserve">» тарифа на подключение (технологическое присоединение) к централизованной системе холодного водоснабжения на территории </w:t>
            </w:r>
            <w:proofErr w:type="spellStart"/>
            <w:r w:rsidRPr="00B35CF3">
              <w:rPr>
                <w:sz w:val="23"/>
                <w:szCs w:val="23"/>
              </w:rPr>
              <w:t>Ярковского</w:t>
            </w:r>
            <w:proofErr w:type="spellEnd"/>
            <w:r w:rsidRPr="00B35CF3">
              <w:rPr>
                <w:sz w:val="23"/>
                <w:szCs w:val="23"/>
              </w:rPr>
              <w:t xml:space="preserve"> сельсовета Новосибирского района Новосибирской области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3D22E9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Панина А.Ю.</w:t>
            </w:r>
          </w:p>
          <w:p w:rsidR="00B35CF3" w:rsidRPr="00B35CF3" w:rsidRDefault="00B35CF3" w:rsidP="003D22E9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228-68-43</w:t>
            </w:r>
          </w:p>
        </w:tc>
      </w:tr>
      <w:tr w:rsidR="00B35CF3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  <w:r w:rsidRPr="00B35CF3">
              <w:rPr>
                <w:color w:val="000000" w:themeColor="text1"/>
                <w:sz w:val="23"/>
                <w:szCs w:val="23"/>
              </w:rPr>
              <w:t xml:space="preserve">. 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B35CF3">
            <w:pPr>
              <w:pStyle w:val="a3"/>
              <w:tabs>
                <w:tab w:val="left" w:pos="708"/>
              </w:tabs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Об утверждении размера экономически обоснованных расходов Открытое акционерное общество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</w:t>
            </w:r>
            <w:r>
              <w:rPr>
                <w:sz w:val="23"/>
                <w:szCs w:val="23"/>
              </w:rPr>
              <w:t xml:space="preserve"> </w:t>
            </w:r>
            <w:r w:rsidRPr="00B35CF3">
              <w:rPr>
                <w:sz w:val="23"/>
                <w:szCs w:val="23"/>
              </w:rPr>
              <w:t>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>
            <w:pPr>
              <w:ind w:right="30"/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Веселых Ю.А.</w:t>
            </w:r>
          </w:p>
          <w:p w:rsidR="00B35CF3" w:rsidRPr="00B35CF3" w:rsidRDefault="00B35CF3">
            <w:pPr>
              <w:ind w:right="30"/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228-68-30</w:t>
            </w:r>
          </w:p>
        </w:tc>
      </w:tr>
      <w:tr w:rsidR="00B35CF3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F0FBB">
            <w:pPr>
              <w:ind w:left="30" w:right="30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 xml:space="preserve">Об установлении тарифов на тепловую энергию (мощность), поставляемую Муниципальным унитарным предприятием жилищно-коммунального хозяйства «Комбинат </w:t>
            </w:r>
            <w:proofErr w:type="spellStart"/>
            <w:r w:rsidRPr="00B35CF3">
              <w:rPr>
                <w:sz w:val="23"/>
                <w:szCs w:val="23"/>
              </w:rPr>
              <w:t>Барышевский</w:t>
            </w:r>
            <w:proofErr w:type="spellEnd"/>
            <w:r w:rsidRPr="00B35CF3">
              <w:rPr>
                <w:sz w:val="23"/>
                <w:szCs w:val="23"/>
              </w:rPr>
              <w:t xml:space="preserve">» потребителям на территории </w:t>
            </w:r>
            <w:proofErr w:type="spellStart"/>
            <w:r w:rsidRPr="00B35CF3">
              <w:rPr>
                <w:sz w:val="23"/>
                <w:szCs w:val="23"/>
              </w:rPr>
              <w:t>Кудряшовского</w:t>
            </w:r>
            <w:proofErr w:type="spellEnd"/>
            <w:r w:rsidRPr="00B35CF3">
              <w:rPr>
                <w:sz w:val="23"/>
                <w:szCs w:val="23"/>
              </w:rPr>
              <w:t xml:space="preserve"> сельсовета Новосибирского района Новосибирской области, на 2024 год и о внесении изменений в приказ департамента по тарифам Новосибирской области от 18.12.2020 </w:t>
            </w:r>
            <w:r w:rsidRPr="00B35CF3">
              <w:rPr>
                <w:sz w:val="23"/>
                <w:szCs w:val="23"/>
              </w:rPr>
              <w:br/>
              <w:t>№ 587-ТЭ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3D657B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Саватеева Е.С.</w:t>
            </w:r>
          </w:p>
          <w:p w:rsidR="00B35CF3" w:rsidRPr="00B35CF3" w:rsidRDefault="00B35CF3" w:rsidP="003D657B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228-68-19</w:t>
            </w:r>
          </w:p>
        </w:tc>
      </w:tr>
      <w:tr w:rsidR="00B35CF3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F0FBB">
            <w:pPr>
              <w:ind w:left="30" w:right="30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 xml:space="preserve">Об установлении тарифов на тепловую энергию (мощность), поставляемую Государственным автономным учреждением социального обслуживания Новосибирской области «Областной комплексный центр социальной адаптации граждан» потребителям на территории </w:t>
            </w:r>
            <w:proofErr w:type="spellStart"/>
            <w:r w:rsidRPr="00B35CF3">
              <w:rPr>
                <w:sz w:val="23"/>
                <w:szCs w:val="23"/>
              </w:rPr>
              <w:t>Мочищенского</w:t>
            </w:r>
            <w:proofErr w:type="spellEnd"/>
            <w:r w:rsidRPr="00B35CF3">
              <w:rPr>
                <w:sz w:val="23"/>
                <w:szCs w:val="23"/>
              </w:rPr>
              <w:t xml:space="preserve"> сельсовета Новосибирского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6F5343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Саватеева Е.С.</w:t>
            </w:r>
          </w:p>
          <w:p w:rsidR="00B35CF3" w:rsidRPr="00B35CF3" w:rsidRDefault="00B35CF3" w:rsidP="006F5343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228-68-19</w:t>
            </w:r>
          </w:p>
        </w:tc>
      </w:tr>
      <w:tr w:rsidR="00B35CF3" w:rsidRPr="00B35CF3" w:rsidTr="004E5449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F0FBB">
            <w:pPr>
              <w:ind w:left="30" w:right="30"/>
              <w:jc w:val="both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 xml:space="preserve">Об утверждении нормативов потерь питьевой воды в централизованных системах холодного водоснабжения при ее транспортировке для Муниципального бюджетного учреждения «Источник» рабочего поселка Чаны Чановского района Новосибирской области, осуществляющего деятельность по </w:t>
            </w:r>
            <w:r w:rsidRPr="00B35CF3">
              <w:rPr>
                <w:sz w:val="23"/>
                <w:szCs w:val="23"/>
              </w:rPr>
              <w:lastRenderedPageBreak/>
              <w:t>холодному водоснабжению на территории рабочего поселка Чаны Чановского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0C3684">
            <w:pPr>
              <w:ind w:right="30"/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lastRenderedPageBreak/>
              <w:t>Никитина М.А.</w:t>
            </w:r>
          </w:p>
          <w:p w:rsidR="00B35CF3" w:rsidRPr="00B35CF3" w:rsidRDefault="00B35CF3" w:rsidP="000C3684">
            <w:pPr>
              <w:ind w:left="28" w:right="28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228-68-54</w:t>
            </w:r>
          </w:p>
        </w:tc>
      </w:tr>
      <w:tr w:rsidR="00B35CF3" w:rsidRPr="00B35CF3" w:rsidTr="00B35CF3">
        <w:trPr>
          <w:trHeight w:val="269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lastRenderedPageBreak/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0C3684">
            <w:pPr>
              <w:ind w:left="28" w:right="28"/>
              <w:jc w:val="both"/>
              <w:rPr>
                <w:color w:val="000000" w:themeColor="text1"/>
                <w:sz w:val="23"/>
                <w:szCs w:val="23"/>
              </w:rPr>
            </w:pPr>
            <w:r w:rsidRPr="00B35CF3">
              <w:rPr>
                <w:color w:val="000000" w:themeColor="text1"/>
                <w:sz w:val="23"/>
                <w:szCs w:val="23"/>
              </w:rPr>
              <w:t>Об утверждении производственных программ и установлении тарифов на питьевую воду (питьевое водоснабжение) и водоотведение для Муниципального бюджетного учреждения «Источник» рабочего поселка Чаны Чановского района Новосибирской области, осуществляющего деятельность по холодному водоснабжению и водоотведению на территории рабочего поселка Чаны Чановского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CF3" w:rsidRPr="00B35CF3" w:rsidRDefault="00B35CF3" w:rsidP="000C3684">
            <w:pPr>
              <w:ind w:right="30"/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Никитина М.А.</w:t>
            </w:r>
          </w:p>
          <w:p w:rsidR="00B35CF3" w:rsidRPr="00B35CF3" w:rsidRDefault="00B35CF3" w:rsidP="000C3684">
            <w:pPr>
              <w:ind w:right="30"/>
              <w:jc w:val="center"/>
              <w:rPr>
                <w:sz w:val="23"/>
                <w:szCs w:val="23"/>
              </w:rPr>
            </w:pPr>
            <w:r w:rsidRPr="00B35CF3">
              <w:rPr>
                <w:sz w:val="23"/>
                <w:szCs w:val="23"/>
              </w:rPr>
              <w:t>228-68-54</w:t>
            </w:r>
          </w:p>
        </w:tc>
      </w:tr>
    </w:tbl>
    <w:p w:rsidR="00011BF3" w:rsidRDefault="00011BF3" w:rsidP="004A749B">
      <w:pPr>
        <w:rPr>
          <w:color w:val="000000" w:themeColor="text1"/>
          <w:szCs w:val="28"/>
        </w:rPr>
      </w:pPr>
    </w:p>
    <w:p w:rsidR="00C55034" w:rsidRDefault="00C55034" w:rsidP="004A749B">
      <w:pPr>
        <w:rPr>
          <w:color w:val="000000" w:themeColor="text1"/>
          <w:szCs w:val="28"/>
        </w:rPr>
      </w:pPr>
    </w:p>
    <w:p w:rsidR="00B96DFD" w:rsidRDefault="00B96DFD" w:rsidP="004A749B">
      <w:pPr>
        <w:rPr>
          <w:color w:val="000000" w:themeColor="text1"/>
          <w:szCs w:val="28"/>
        </w:rPr>
      </w:pPr>
    </w:p>
    <w:p w:rsidR="007F5BC5" w:rsidRPr="003C3595" w:rsidRDefault="00011BF3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B35CF3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C230ED">
        <w:rPr>
          <w:color w:val="000000" w:themeColor="text1"/>
          <w:szCs w:val="28"/>
        </w:rPr>
        <w:t xml:space="preserve">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 w:rsidR="00792782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FE1F55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2C9A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368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D3D"/>
    <w:rsid w:val="001D74C8"/>
    <w:rsid w:val="001E1A88"/>
    <w:rsid w:val="001E4353"/>
    <w:rsid w:val="001E703F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8472D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D657B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61EB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E77C4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1C5A"/>
    <w:rsid w:val="006F5343"/>
    <w:rsid w:val="006F56DD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92782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4991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1413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51E3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270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4A38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562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051B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5CF3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6DFD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4E60"/>
    <w:rsid w:val="00C3557B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3B47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B58E4-EBB8-4FC0-966A-3570A269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720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416</cp:revision>
  <cp:lastPrinted>2021-11-30T04:53:00Z</cp:lastPrinted>
  <dcterms:created xsi:type="dcterms:W3CDTF">2019-12-23T10:21:00Z</dcterms:created>
  <dcterms:modified xsi:type="dcterms:W3CDTF">2024-03-06T08:37:00Z</dcterms:modified>
</cp:coreProperties>
</file>