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21" w:rsidRDefault="00B71221" w:rsidP="00480523">
      <w:pPr>
        <w:pStyle w:val="a6"/>
        <w:spacing w:after="0"/>
        <w:jc w:val="center"/>
        <w:rPr>
          <w:b/>
        </w:rPr>
      </w:pPr>
      <w:r>
        <w:rPr>
          <w:b/>
        </w:rPr>
        <w:t>Заключение</w:t>
      </w:r>
    </w:p>
    <w:p w:rsidR="00282713" w:rsidRPr="00BB767E" w:rsidRDefault="0098635F" w:rsidP="00480523">
      <w:pPr>
        <w:pStyle w:val="a6"/>
        <w:spacing w:after="0"/>
        <w:jc w:val="center"/>
        <w:rPr>
          <w:b/>
          <w:color w:val="000000"/>
        </w:rPr>
      </w:pPr>
      <w:r w:rsidRPr="00BB767E">
        <w:rPr>
          <w:b/>
        </w:rPr>
        <w:t xml:space="preserve">по установлению для </w:t>
      </w:r>
      <w:r w:rsidR="00282713" w:rsidRPr="00BB767E">
        <w:rPr>
          <w:b/>
        </w:rPr>
        <w:t>Обществ</w:t>
      </w:r>
      <w:r w:rsidRPr="00BB767E">
        <w:rPr>
          <w:b/>
        </w:rPr>
        <w:t>а</w:t>
      </w:r>
      <w:r w:rsidR="00282713" w:rsidRPr="00BB767E">
        <w:rPr>
          <w:b/>
        </w:rPr>
        <w:t xml:space="preserve"> с ограниченной ответственностью</w:t>
      </w:r>
      <w:r w:rsidR="003E5360">
        <w:rPr>
          <w:b/>
        </w:rPr>
        <w:t xml:space="preserve"> «</w:t>
      </w:r>
      <w:r w:rsidR="00B71221">
        <w:rPr>
          <w:b/>
        </w:rPr>
        <w:t>НСК Электросеть</w:t>
      </w:r>
      <w:r w:rsidR="00282713" w:rsidRPr="00BB767E">
        <w:rPr>
          <w:b/>
        </w:rPr>
        <w:t xml:space="preserve">» </w:t>
      </w:r>
      <w:r w:rsidRPr="00BB767E">
        <w:rPr>
          <w:b/>
        </w:rPr>
        <w:t xml:space="preserve">необходимой валовой выручки </w:t>
      </w:r>
      <w:r w:rsidR="00282713" w:rsidRPr="00BB767E">
        <w:rPr>
          <w:b/>
        </w:rPr>
        <w:t>и установлению тарифов  на услуги по передаче электрической  энергии на 201</w:t>
      </w:r>
      <w:r w:rsidR="003E5360">
        <w:rPr>
          <w:b/>
        </w:rPr>
        <w:t>9</w:t>
      </w:r>
      <w:r w:rsidRPr="00BB767E">
        <w:rPr>
          <w:b/>
        </w:rPr>
        <w:t xml:space="preserve"> </w:t>
      </w:r>
      <w:r w:rsidR="00282713" w:rsidRPr="00BB767E">
        <w:rPr>
          <w:b/>
        </w:rPr>
        <w:t>год</w:t>
      </w:r>
    </w:p>
    <w:p w:rsidR="00282713" w:rsidRPr="00C80319" w:rsidRDefault="00282713" w:rsidP="00282713">
      <w:pPr>
        <w:pStyle w:val="1"/>
        <w:rPr>
          <w:sz w:val="16"/>
          <w:szCs w:val="16"/>
        </w:rPr>
      </w:pPr>
    </w:p>
    <w:p w:rsidR="00750677" w:rsidRDefault="00ED7A5F" w:rsidP="00282713">
      <w:pPr>
        <w:pStyle w:val="1"/>
        <w:rPr>
          <w:bCs/>
        </w:rPr>
      </w:pPr>
      <w:r>
        <w:rPr>
          <w:bCs/>
        </w:rPr>
        <w:t>Обществом с ограниченной ответственностью «</w:t>
      </w:r>
      <w:r w:rsidR="004D2DB0">
        <w:rPr>
          <w:bCs/>
        </w:rPr>
        <w:t>НСК Электросеть</w:t>
      </w:r>
      <w:r>
        <w:rPr>
          <w:bCs/>
        </w:rPr>
        <w:t xml:space="preserve">» было подано заявление об установлении тарифов на услуги по передаче электрической энергии на 2019 год </w:t>
      </w:r>
      <w:r w:rsidRPr="00F966B0">
        <w:rPr>
          <w:bCs/>
        </w:rPr>
        <w:t>2</w:t>
      </w:r>
      <w:r w:rsidR="00F966B0" w:rsidRPr="00F966B0">
        <w:rPr>
          <w:bCs/>
        </w:rPr>
        <w:t>3</w:t>
      </w:r>
      <w:r w:rsidRPr="00F966B0">
        <w:rPr>
          <w:bCs/>
        </w:rPr>
        <w:t>.</w:t>
      </w:r>
      <w:r w:rsidR="00F966B0" w:rsidRPr="00F966B0">
        <w:rPr>
          <w:bCs/>
        </w:rPr>
        <w:t>11</w:t>
      </w:r>
      <w:r w:rsidRPr="00F966B0">
        <w:rPr>
          <w:bCs/>
        </w:rPr>
        <w:t xml:space="preserve">.2018г. № </w:t>
      </w:r>
      <w:r w:rsidR="00F966B0" w:rsidRPr="00F966B0">
        <w:rPr>
          <w:bCs/>
        </w:rPr>
        <w:t>18</w:t>
      </w:r>
      <w:r w:rsidRPr="00F966B0">
        <w:rPr>
          <w:bCs/>
        </w:rPr>
        <w:t>.</w:t>
      </w:r>
      <w:r w:rsidR="001C4435" w:rsidRPr="00F966B0">
        <w:t xml:space="preserve"> </w:t>
      </w:r>
      <w:r w:rsidR="001C4435" w:rsidRPr="00F966B0">
        <w:rPr>
          <w:bCs/>
        </w:rPr>
        <w:t>По</w:t>
      </w:r>
      <w:r w:rsidR="001C4435" w:rsidRPr="001C4435">
        <w:rPr>
          <w:bCs/>
        </w:rPr>
        <w:t xml:space="preserve"> результатам рассмотрения, представленных Обществом с ограниченной ответственностью «</w:t>
      </w:r>
      <w:r w:rsidR="004D2DB0">
        <w:rPr>
          <w:bCs/>
        </w:rPr>
        <w:t>НСК Электросеть</w:t>
      </w:r>
      <w:r w:rsidR="001C4435" w:rsidRPr="001C4435">
        <w:rPr>
          <w:bCs/>
        </w:rPr>
        <w:t>» (</w:t>
      </w:r>
      <w:r w:rsidR="00954C2B" w:rsidRPr="00F966B0">
        <w:rPr>
          <w:bCs/>
        </w:rPr>
        <w:t xml:space="preserve">ОГРН </w:t>
      </w:r>
      <w:r w:rsidR="00F966B0" w:rsidRPr="00F966B0">
        <w:rPr>
          <w:bCs/>
        </w:rPr>
        <w:t>1185476083627</w:t>
      </w:r>
      <w:r w:rsidR="00954C2B" w:rsidRPr="00F966B0">
        <w:rPr>
          <w:bCs/>
        </w:rPr>
        <w:t>, ИНН 540</w:t>
      </w:r>
      <w:r w:rsidR="00F966B0">
        <w:rPr>
          <w:bCs/>
        </w:rPr>
        <w:t>2046967</w:t>
      </w:r>
      <w:r w:rsidR="001C4435" w:rsidRPr="001C4435">
        <w:rPr>
          <w:bCs/>
        </w:rPr>
        <w:t>) материалов по обоснованию тарифа на услуги по передаче электрической энергии департаментом по тарифам Новосибирской области (далее департамент) установлено следующее.</w:t>
      </w:r>
    </w:p>
    <w:p w:rsidR="000155EB" w:rsidRDefault="003E5360" w:rsidP="000155EB">
      <w:pPr>
        <w:pStyle w:val="1"/>
        <w:ind w:firstLine="708"/>
        <w:rPr>
          <w:bCs/>
        </w:rPr>
      </w:pPr>
      <w:proofErr w:type="gramStart"/>
      <w:r w:rsidRPr="003E5360">
        <w:rPr>
          <w:bCs/>
        </w:rPr>
        <w:t>ООО «</w:t>
      </w:r>
      <w:r w:rsidR="004D2DB0">
        <w:rPr>
          <w:bCs/>
        </w:rPr>
        <w:t>НСК Электросеть</w:t>
      </w:r>
      <w:r w:rsidRPr="003E5360">
        <w:rPr>
          <w:bCs/>
        </w:rPr>
        <w:t>»</w:t>
      </w:r>
      <w:r w:rsidR="00282713">
        <w:rPr>
          <w:bCs/>
        </w:rPr>
        <w:t xml:space="preserve"> использу</w:t>
      </w:r>
      <w:r w:rsidR="006354E3">
        <w:rPr>
          <w:bCs/>
        </w:rPr>
        <w:t>е</w:t>
      </w:r>
      <w:r w:rsidR="00282713">
        <w:rPr>
          <w:bCs/>
        </w:rPr>
        <w:t xml:space="preserve">т объекты электросетевого хозяйства, принадлежащие </w:t>
      </w:r>
      <w:r w:rsidR="006354E3">
        <w:rPr>
          <w:bCs/>
        </w:rPr>
        <w:t xml:space="preserve">ему на праве аренды согласно </w:t>
      </w:r>
      <w:r w:rsidR="00282713">
        <w:rPr>
          <w:bCs/>
        </w:rPr>
        <w:t>договор</w:t>
      </w:r>
      <w:r w:rsidR="000155EB">
        <w:rPr>
          <w:bCs/>
        </w:rPr>
        <w:t>ам</w:t>
      </w:r>
      <w:r w:rsidR="00282713">
        <w:rPr>
          <w:bCs/>
        </w:rPr>
        <w:t xml:space="preserve"> аренды</w:t>
      </w:r>
      <w:r w:rsidR="000155EB">
        <w:rPr>
          <w:bCs/>
        </w:rPr>
        <w:t xml:space="preserve">, </w:t>
      </w:r>
      <w:r w:rsidR="00E36E9E">
        <w:rPr>
          <w:bCs/>
        </w:rPr>
        <w:t xml:space="preserve">заключёнными </w:t>
      </w:r>
      <w:r w:rsidR="00DD4B9F">
        <w:rPr>
          <w:bCs/>
        </w:rPr>
        <w:t xml:space="preserve">с ИП Михайловым П.А. от 22.10.2018г. № 1/2018/ДА, </w:t>
      </w:r>
      <w:r w:rsidR="00DD4B9F" w:rsidRPr="00DD4B9F">
        <w:rPr>
          <w:bCs/>
        </w:rPr>
        <w:t>ООО</w:t>
      </w:r>
      <w:r w:rsidR="00DD4B9F">
        <w:rPr>
          <w:bCs/>
        </w:rPr>
        <w:t xml:space="preserve">  «Новосибирская электросетевая компания» от 22.10.2018г. № 3/2018/ДА, ИП </w:t>
      </w:r>
      <w:proofErr w:type="spellStart"/>
      <w:r w:rsidR="00DD4B9F">
        <w:rPr>
          <w:bCs/>
        </w:rPr>
        <w:t>Тимошик</w:t>
      </w:r>
      <w:proofErr w:type="spellEnd"/>
      <w:r w:rsidR="00DD4B9F">
        <w:rPr>
          <w:bCs/>
        </w:rPr>
        <w:t xml:space="preserve"> И.В. от 22.10.2018г. № 2/2018/ДА, АО «</w:t>
      </w:r>
      <w:proofErr w:type="spellStart"/>
      <w:r w:rsidR="00DD4B9F">
        <w:rPr>
          <w:bCs/>
        </w:rPr>
        <w:t>СибПСК</w:t>
      </w:r>
      <w:proofErr w:type="spellEnd"/>
      <w:r w:rsidR="00DD4B9F">
        <w:rPr>
          <w:bCs/>
        </w:rPr>
        <w:t>» от 22.10.2018г. № 114-А/2018/ДА</w:t>
      </w:r>
      <w:r w:rsidR="00DD4B9F" w:rsidRPr="000A07A9">
        <w:t>.</w:t>
      </w:r>
      <w:proofErr w:type="gramEnd"/>
    </w:p>
    <w:p w:rsidR="00282713" w:rsidRPr="008E2132" w:rsidRDefault="003E5360" w:rsidP="000155EB">
      <w:pPr>
        <w:pStyle w:val="1"/>
        <w:ind w:firstLine="708"/>
      </w:pPr>
      <w:r w:rsidRPr="003E5360">
        <w:rPr>
          <w:bCs/>
        </w:rPr>
        <w:t>ООО «</w:t>
      </w:r>
      <w:r w:rsidR="004D2DB0">
        <w:rPr>
          <w:bCs/>
        </w:rPr>
        <w:t>НСК Электросеть</w:t>
      </w:r>
      <w:r w:rsidRPr="003E5360">
        <w:rPr>
          <w:bCs/>
        </w:rPr>
        <w:t>»</w:t>
      </w:r>
      <w:r w:rsidR="00282713" w:rsidRPr="008E2132">
        <w:t xml:space="preserve"> </w:t>
      </w:r>
      <w:r w:rsidR="00282713" w:rsidRPr="008E2132">
        <w:rPr>
          <w:szCs w:val="24"/>
        </w:rPr>
        <w:t>осуществля</w:t>
      </w:r>
      <w:r w:rsidR="004D09DC">
        <w:rPr>
          <w:szCs w:val="24"/>
        </w:rPr>
        <w:t>е</w:t>
      </w:r>
      <w:r w:rsidR="00282713" w:rsidRPr="008E2132">
        <w:rPr>
          <w:szCs w:val="24"/>
        </w:rPr>
        <w:t>т деятельность по предоставлению услуг по передаче электрической энергии</w:t>
      </w:r>
      <w:r w:rsidR="00282713">
        <w:rPr>
          <w:szCs w:val="24"/>
        </w:rPr>
        <w:t xml:space="preserve"> потребителям, присоединенным к </w:t>
      </w:r>
      <w:r w:rsidR="006354E3">
        <w:rPr>
          <w:szCs w:val="24"/>
        </w:rPr>
        <w:t>его сетям и</w:t>
      </w:r>
      <w:r w:rsidR="00282713">
        <w:rPr>
          <w:szCs w:val="24"/>
        </w:rPr>
        <w:t xml:space="preserve"> находящимся на обслуживании у гарантирующего поставщика ОАО «</w:t>
      </w:r>
      <w:proofErr w:type="spellStart"/>
      <w:r w:rsidR="00282713">
        <w:rPr>
          <w:szCs w:val="24"/>
        </w:rPr>
        <w:t>Новосибирскэнергосбыт</w:t>
      </w:r>
      <w:proofErr w:type="spellEnd"/>
      <w:r w:rsidR="00282713">
        <w:rPr>
          <w:szCs w:val="24"/>
        </w:rPr>
        <w:t xml:space="preserve">». </w:t>
      </w:r>
    </w:p>
    <w:p w:rsidR="00954C2B" w:rsidRDefault="008A19CD" w:rsidP="00282713">
      <w:pPr>
        <w:ind w:firstLine="709"/>
        <w:jc w:val="both"/>
      </w:pPr>
      <w:r w:rsidRPr="008A19CD">
        <w:t xml:space="preserve">Заявление об открытии дела об установлении тарифов на услуги по передаче электрической энергии </w:t>
      </w:r>
      <w:r>
        <w:t xml:space="preserve">и материалы к заявлению </w:t>
      </w:r>
      <w:r w:rsidRPr="008A19CD">
        <w:t>на 2019 год оформлено предприятием надлежащим образом.</w:t>
      </w:r>
    </w:p>
    <w:p w:rsidR="00124D34" w:rsidRPr="00AE3B58" w:rsidRDefault="00124D34" w:rsidP="00124D34">
      <w:pPr>
        <w:pStyle w:val="a6"/>
        <w:spacing w:after="0"/>
        <w:ind w:firstLine="720"/>
        <w:jc w:val="both"/>
        <w:rPr>
          <w:b/>
          <w:bCs/>
        </w:rPr>
      </w:pPr>
      <w:proofErr w:type="gramStart"/>
      <w:r w:rsidRPr="00AE3B58">
        <w:rPr>
          <w:bCs/>
        </w:rPr>
        <w:t xml:space="preserve">Все расчеты выполнены </w:t>
      </w:r>
      <w:r w:rsidRPr="00AE3B58">
        <w:t xml:space="preserve">согласно требованиям </w:t>
      </w:r>
      <w:r>
        <w:t xml:space="preserve">Основ ценообразования в области регулируемых цен (тарифов) в электроэнергетике, утвержденных постановлением </w:t>
      </w:r>
      <w:r w:rsidRPr="00AE3B58">
        <w:t xml:space="preserve"> Правительства РФ от 29.12.2011 №1178</w:t>
      </w:r>
      <w:r>
        <w:t xml:space="preserve"> (далее – Основы ценообразования)</w:t>
      </w:r>
      <w:r w:rsidRPr="00AE3B58">
        <w:t xml:space="preserve">, </w:t>
      </w:r>
      <w:r w:rsidRPr="00AE3B58">
        <w:rPr>
          <w:bCs/>
        </w:rPr>
        <w:t xml:space="preserve">в соответствии с требованиями Методических указаний по расчету регулируемых тарифов и цен на электрическую (тепловую) энергию на розничном (потребительском) рынке, утвержденными приказом ФСТ России от 6 августа 2004г. №20-э/2 </w:t>
      </w:r>
      <w:r>
        <w:rPr>
          <w:bCs/>
        </w:rPr>
        <w:t xml:space="preserve">(с изменениями и дополнениями),  </w:t>
      </w:r>
      <w:r>
        <w:rPr>
          <w:rFonts w:eastAsiaTheme="minorHAnsi"/>
          <w:lang w:eastAsia="en-US"/>
        </w:rPr>
        <w:t>М</w:t>
      </w:r>
      <w:r w:rsidRPr="00740BCD">
        <w:rPr>
          <w:rFonts w:eastAsiaTheme="minorHAnsi"/>
          <w:lang w:eastAsia="en-US"/>
        </w:rPr>
        <w:t>етодически</w:t>
      </w:r>
      <w:r>
        <w:rPr>
          <w:rFonts w:eastAsiaTheme="minorHAnsi"/>
          <w:lang w:eastAsia="en-US"/>
        </w:rPr>
        <w:t>х</w:t>
      </w:r>
      <w:r w:rsidRPr="00740BCD">
        <w:rPr>
          <w:rFonts w:eastAsiaTheme="minorHAnsi"/>
          <w:lang w:eastAsia="en-US"/>
        </w:rPr>
        <w:t xml:space="preserve"> указани</w:t>
      </w:r>
      <w:r>
        <w:rPr>
          <w:rFonts w:eastAsiaTheme="minorHAnsi"/>
          <w:lang w:eastAsia="en-US"/>
        </w:rPr>
        <w:t>й</w:t>
      </w:r>
      <w:proofErr w:type="gramEnd"/>
      <w:r w:rsidRPr="00740BCD">
        <w:rPr>
          <w:rFonts w:eastAsiaTheme="minorHAnsi"/>
          <w:lang w:eastAsia="en-US"/>
        </w:rPr>
        <w:t xml:space="preserve"> </w:t>
      </w:r>
      <w:proofErr w:type="gramStart"/>
      <w:r w:rsidRPr="005D51DE">
        <w:rPr>
          <w:bCs/>
        </w:rPr>
        <w:t>по расчету тарифов на услуги по передаче электрической энергии, устанавливаемых с применением метода долгосрочной индексации необходимой валовой выручки</w:t>
      </w:r>
      <w:r>
        <w:rPr>
          <w:bCs/>
        </w:rPr>
        <w:t xml:space="preserve">, утвержденных приказом Федеральной службы по тарифам от 17 февраля 2012 г. № 98-э </w:t>
      </w:r>
      <w:r>
        <w:t xml:space="preserve">(далее - Методические указания </w:t>
      </w:r>
      <w:r w:rsidRPr="00351E7C">
        <w:t>с применением метода долгосрочной индексации</w:t>
      </w:r>
      <w:r>
        <w:t>)</w:t>
      </w:r>
      <w:r>
        <w:rPr>
          <w:bCs/>
        </w:rPr>
        <w:t>,  Методических указаний по определению базового уровня операционных, подконтрольных расходов территориальных сетевых организаций, необходимых для осуществления регулируемой деятельности, индекса эффективности операционных, подконтрольных</w:t>
      </w:r>
      <w:proofErr w:type="gramEnd"/>
      <w:r>
        <w:rPr>
          <w:bCs/>
        </w:rPr>
        <w:t xml:space="preserve"> расходов с применением метода сравнения аналогов, утвержденных приказом ФСТ России от 18.03.2015 № 421-э</w:t>
      </w:r>
      <w:r w:rsidRPr="00484FC5">
        <w:rPr>
          <w:bCs/>
        </w:rPr>
        <w:t xml:space="preserve">, Приказа Минэнерго России от </w:t>
      </w:r>
      <w:r w:rsidR="00C3285E">
        <w:rPr>
          <w:bCs/>
          <w:color w:val="000000" w:themeColor="text1"/>
        </w:rPr>
        <w:t>26</w:t>
      </w:r>
      <w:r w:rsidR="00C3285E" w:rsidRPr="003B4E9D">
        <w:rPr>
          <w:bCs/>
          <w:color w:val="000000" w:themeColor="text1"/>
        </w:rPr>
        <w:t>.09.201</w:t>
      </w:r>
      <w:r w:rsidR="00C3285E">
        <w:rPr>
          <w:bCs/>
          <w:color w:val="000000" w:themeColor="text1"/>
        </w:rPr>
        <w:t>7</w:t>
      </w:r>
      <w:r w:rsidR="00C3285E" w:rsidRPr="003B4E9D">
        <w:rPr>
          <w:bCs/>
          <w:color w:val="000000" w:themeColor="text1"/>
        </w:rPr>
        <w:t xml:space="preserve"> № </w:t>
      </w:r>
      <w:r w:rsidR="00C3285E">
        <w:rPr>
          <w:bCs/>
          <w:color w:val="000000" w:themeColor="text1"/>
        </w:rPr>
        <w:t>887</w:t>
      </w:r>
      <w:r w:rsidR="00C3285E" w:rsidRPr="003B4E9D">
        <w:rPr>
          <w:bCs/>
          <w:color w:val="000000" w:themeColor="text1"/>
        </w:rPr>
        <w:t xml:space="preserve"> </w:t>
      </w:r>
      <w:r w:rsidRPr="00484FC5">
        <w:rPr>
          <w:bCs/>
        </w:rPr>
        <w:t>«Об утверждении нормативов потерь электрической энергии при её передаче по электрическим сетям территориальных сетевых организаций» (далее - Нормативы потерь).</w:t>
      </w:r>
    </w:p>
    <w:p w:rsidR="004716A3" w:rsidRDefault="004716A3" w:rsidP="004716A3">
      <w:pPr>
        <w:pStyle w:val="a4"/>
        <w:spacing w:after="0"/>
        <w:ind w:left="0" w:firstLine="709"/>
        <w:jc w:val="both"/>
      </w:pPr>
      <w:r w:rsidRPr="006656B2">
        <w:t xml:space="preserve">При определении расходов департаментом использованы: регулируемые государством цены (тарифы), цены, установленные на основании договоров, рыночные цены, действующие в текущем периоде, прогнозные цены ОРЭ на </w:t>
      </w:r>
      <w:r w:rsidR="00C3285E">
        <w:t>октябрь</w:t>
      </w:r>
      <w:r w:rsidRPr="006656B2">
        <w:t xml:space="preserve"> 201</w:t>
      </w:r>
      <w:r w:rsidR="006656B2" w:rsidRPr="006656B2">
        <w:t>8</w:t>
      </w:r>
      <w:r w:rsidRPr="006656B2">
        <w:t>г. по данным НП «Совет рынка» базовый  вари</w:t>
      </w:r>
      <w:r w:rsidR="00B477A3" w:rsidRPr="006656B2">
        <w:t xml:space="preserve">ант по состоянию на </w:t>
      </w:r>
      <w:r w:rsidR="00C3285E">
        <w:t>01.11.</w:t>
      </w:r>
      <w:r w:rsidRPr="006656B2">
        <w:t>201</w:t>
      </w:r>
      <w:r w:rsidR="00E36E9E" w:rsidRPr="006656B2">
        <w:t>8</w:t>
      </w:r>
      <w:r w:rsidRPr="006656B2">
        <w:t>г</w:t>
      </w:r>
      <w:r w:rsidR="00C3285E">
        <w:t>.</w:t>
      </w:r>
      <w:r w:rsidRPr="006656B2">
        <w:t>, прогнозных индексов цен, разработанных Минэкономразвития России в рамках Прогноза социально-экономического развития Российской Федерации и предельных уровней цен (тарифов) на услуги компаний инфраструктурного сектора на 201</w:t>
      </w:r>
      <w:r w:rsidR="00E36E9E" w:rsidRPr="006656B2">
        <w:t>9</w:t>
      </w:r>
      <w:r w:rsidRPr="006656B2">
        <w:t xml:space="preserve"> год и на плановый период 20</w:t>
      </w:r>
      <w:r w:rsidR="006656B2" w:rsidRPr="006656B2">
        <w:t>2</w:t>
      </w:r>
      <w:r w:rsidR="00E36E9E" w:rsidRPr="006656B2">
        <w:t>0</w:t>
      </w:r>
      <w:r w:rsidRPr="006656B2">
        <w:t xml:space="preserve"> и 2</w:t>
      </w:r>
      <w:r w:rsidR="00B477A3" w:rsidRPr="006656B2">
        <w:t>02</w:t>
      </w:r>
      <w:r w:rsidR="00E36E9E" w:rsidRPr="006656B2">
        <w:t>1</w:t>
      </w:r>
      <w:r w:rsidR="00B477A3" w:rsidRPr="006656B2">
        <w:t xml:space="preserve"> годов по состоянию на </w:t>
      </w:r>
      <w:r w:rsidR="00C3285E">
        <w:t>01.1</w:t>
      </w:r>
      <w:r w:rsidR="00DA01C8">
        <w:t>0</w:t>
      </w:r>
      <w:r w:rsidR="00C3285E">
        <w:t>.</w:t>
      </w:r>
      <w:r w:rsidRPr="006656B2">
        <w:t>201</w:t>
      </w:r>
      <w:r w:rsidR="00E36E9E" w:rsidRPr="006656B2">
        <w:t>8</w:t>
      </w:r>
      <w:r w:rsidRPr="006656B2">
        <w:t xml:space="preserve"> г.</w:t>
      </w:r>
      <w:r w:rsidRPr="001F165D">
        <w:t xml:space="preserve"> </w:t>
      </w:r>
    </w:p>
    <w:p w:rsidR="00954C2B" w:rsidRPr="001F165D" w:rsidRDefault="00954C2B" w:rsidP="004716A3">
      <w:pPr>
        <w:pStyle w:val="a4"/>
        <w:spacing w:after="0"/>
        <w:ind w:left="0" w:firstLine="709"/>
        <w:jc w:val="both"/>
        <w:rPr>
          <w:color w:val="000000"/>
        </w:rPr>
      </w:pPr>
      <w:r w:rsidRPr="00954C2B">
        <w:rPr>
          <w:color w:val="000000"/>
        </w:rPr>
        <w:t>Необходимая валовая выручка (НВВ) для осуществления регулируемой деятельност</w:t>
      </w:r>
      <w:proofErr w:type="gramStart"/>
      <w:r w:rsidRPr="00954C2B">
        <w:rPr>
          <w:color w:val="000000"/>
        </w:rPr>
        <w:t>и ООО</w:t>
      </w:r>
      <w:proofErr w:type="gramEnd"/>
      <w:r w:rsidRPr="00954C2B">
        <w:rPr>
          <w:color w:val="000000"/>
        </w:rPr>
        <w:t xml:space="preserve"> «</w:t>
      </w:r>
      <w:r w:rsidR="004D2DB0">
        <w:rPr>
          <w:color w:val="000000"/>
        </w:rPr>
        <w:t>НСК Электросеть</w:t>
      </w:r>
      <w:r w:rsidRPr="00954C2B">
        <w:rPr>
          <w:color w:val="000000"/>
        </w:rPr>
        <w:t>» и тарифы на услуги по передаче электрической энергии потребителям на 2019 год сформированы департаментом с применением метода экономически обоснованных расходов.</w:t>
      </w:r>
    </w:p>
    <w:p w:rsidR="00954C2B" w:rsidRDefault="00954C2B" w:rsidP="00954C2B">
      <w:pPr>
        <w:rPr>
          <w:sz w:val="16"/>
          <w:szCs w:val="16"/>
        </w:rPr>
      </w:pPr>
    </w:p>
    <w:p w:rsidR="00D3572E" w:rsidRDefault="00D3572E" w:rsidP="00954C2B">
      <w:pPr>
        <w:rPr>
          <w:sz w:val="16"/>
          <w:szCs w:val="16"/>
        </w:rPr>
      </w:pPr>
    </w:p>
    <w:p w:rsidR="00D3572E" w:rsidRPr="00C80319" w:rsidRDefault="00D3572E" w:rsidP="00954C2B">
      <w:pPr>
        <w:rPr>
          <w:sz w:val="16"/>
          <w:szCs w:val="16"/>
        </w:rPr>
      </w:pPr>
    </w:p>
    <w:p w:rsidR="000A07A9" w:rsidRDefault="000A07A9" w:rsidP="000A07A9">
      <w:pPr>
        <w:pStyle w:val="a4"/>
        <w:jc w:val="center"/>
        <w:rPr>
          <w:b/>
          <w:color w:val="000000"/>
        </w:rPr>
      </w:pPr>
      <w:r w:rsidRPr="000A07A9">
        <w:rPr>
          <w:b/>
          <w:color w:val="000000"/>
        </w:rPr>
        <w:t>I. Анализ соответствия  ООО «</w:t>
      </w:r>
      <w:r w:rsidR="004D2DB0">
        <w:rPr>
          <w:b/>
          <w:color w:val="000000"/>
        </w:rPr>
        <w:t>НСК Электросеть</w:t>
      </w:r>
      <w:r w:rsidRPr="000A07A9">
        <w:rPr>
          <w:b/>
          <w:color w:val="000000"/>
        </w:rPr>
        <w:t>» критериям отнесения владельцев объектов электросетевого хозяйства к территориальным сетевым организациям</w:t>
      </w:r>
    </w:p>
    <w:p w:rsidR="000A07A9" w:rsidRPr="000A07A9" w:rsidRDefault="000A07A9" w:rsidP="00C80319">
      <w:pPr>
        <w:pStyle w:val="a4"/>
        <w:spacing w:after="0"/>
        <w:ind w:firstLine="709"/>
        <w:jc w:val="both"/>
        <w:rPr>
          <w:color w:val="000000"/>
        </w:rPr>
      </w:pPr>
      <w:r w:rsidRPr="000A07A9">
        <w:rPr>
          <w:color w:val="000000"/>
        </w:rPr>
        <w:t xml:space="preserve">1. </w:t>
      </w:r>
      <w:proofErr w:type="gramStart"/>
      <w:r w:rsidRPr="000A07A9">
        <w:rPr>
          <w:color w:val="000000"/>
        </w:rPr>
        <w:t>ООО «</w:t>
      </w:r>
      <w:r w:rsidR="000056F9">
        <w:rPr>
          <w:color w:val="000000"/>
        </w:rPr>
        <w:t>НСК Электросеть</w:t>
      </w:r>
      <w:r>
        <w:rPr>
          <w:color w:val="000000"/>
        </w:rPr>
        <w:t>»</w:t>
      </w:r>
      <w:r w:rsidRPr="000A07A9">
        <w:rPr>
          <w:color w:val="000000"/>
        </w:rPr>
        <w:t xml:space="preserve"> в соответствии с договорами аренды владеет </w:t>
      </w:r>
      <w:r>
        <w:rPr>
          <w:color w:val="000000"/>
        </w:rPr>
        <w:t>1</w:t>
      </w:r>
      <w:r w:rsidR="000056F9">
        <w:rPr>
          <w:color w:val="000000"/>
        </w:rPr>
        <w:t>9</w:t>
      </w:r>
      <w:r w:rsidRPr="000A07A9">
        <w:rPr>
          <w:color w:val="000000"/>
        </w:rPr>
        <w:t xml:space="preserve"> трансформаторными подстанциями с установленными силовыми трансформаторами, расположенными и используемыми для осуществления регулируемой деятельности в административных границах Новосибирской области, сумма номинальных мощностей которых составляет </w:t>
      </w:r>
      <w:r w:rsidRPr="000C2624">
        <w:rPr>
          <w:color w:val="000000"/>
        </w:rPr>
        <w:t>1</w:t>
      </w:r>
      <w:r w:rsidR="000C2624" w:rsidRPr="000C2624">
        <w:rPr>
          <w:color w:val="000000"/>
        </w:rPr>
        <w:t>8</w:t>
      </w:r>
      <w:r w:rsidR="000C2624">
        <w:rPr>
          <w:color w:val="000000"/>
        </w:rPr>
        <w:t>,16</w:t>
      </w:r>
      <w:r w:rsidRPr="000A07A9">
        <w:rPr>
          <w:color w:val="000000"/>
        </w:rPr>
        <w:t xml:space="preserve"> МВА, что соответствует пункту 1 Критериев отнесения владельцев объектов электросетевого хозяйства к территориальным сетевым организациям, утвержденным постановлением Правительства Российской Федерации от 28 февраля 2015 г. N</w:t>
      </w:r>
      <w:proofErr w:type="gramEnd"/>
      <w:r w:rsidRPr="000A07A9">
        <w:rPr>
          <w:color w:val="000000"/>
        </w:rPr>
        <w:t xml:space="preserve"> 184 (далее Критерии). Право собственности на объекты недвижимости зарегистрировано в Управлении Федеральной службы государственной регистрации, кадастра и картографии по Новосибирской области.</w:t>
      </w:r>
    </w:p>
    <w:p w:rsidR="000A07A9" w:rsidRPr="000A07A9" w:rsidRDefault="000A07A9" w:rsidP="00C80319">
      <w:pPr>
        <w:pStyle w:val="a4"/>
        <w:spacing w:after="0"/>
        <w:ind w:firstLine="709"/>
        <w:jc w:val="both"/>
        <w:rPr>
          <w:color w:val="000000"/>
        </w:rPr>
      </w:pPr>
      <w:r w:rsidRPr="000A07A9">
        <w:rPr>
          <w:color w:val="000000"/>
        </w:rPr>
        <w:t>2. ООО «</w:t>
      </w:r>
      <w:r w:rsidR="000056F9">
        <w:rPr>
          <w:color w:val="000000"/>
        </w:rPr>
        <w:t>НСК Электросеть</w:t>
      </w:r>
      <w:r>
        <w:rPr>
          <w:color w:val="000000"/>
        </w:rPr>
        <w:t>»</w:t>
      </w:r>
      <w:r w:rsidRPr="000A07A9">
        <w:rPr>
          <w:color w:val="000000"/>
        </w:rPr>
        <w:t xml:space="preserve"> в соответствии с договорами аренды владеет кабельными линиями электропередачи, расположенными и используемыми для осуществления регулируемой деятельности в административных границах Новосибирской области, непосредственно соединенными с трансформаторными подстанциями, указанными выше, сумма протяженностей которых по трассе составляет </w:t>
      </w:r>
      <w:r w:rsidR="000056F9">
        <w:rPr>
          <w:color w:val="000000"/>
        </w:rPr>
        <w:t>66,974</w:t>
      </w:r>
      <w:r w:rsidRPr="000A07A9">
        <w:rPr>
          <w:color w:val="000000"/>
        </w:rPr>
        <w:t xml:space="preserve"> км, следующих проектных номинальных классов напряжения:</w:t>
      </w:r>
    </w:p>
    <w:p w:rsidR="000A07A9" w:rsidRPr="000A07A9" w:rsidRDefault="000A07A9" w:rsidP="00C80319">
      <w:pPr>
        <w:pStyle w:val="a4"/>
        <w:spacing w:after="0"/>
        <w:ind w:firstLine="709"/>
        <w:jc w:val="both"/>
        <w:rPr>
          <w:color w:val="000000"/>
        </w:rPr>
      </w:pPr>
      <w:r w:rsidRPr="000A07A9">
        <w:rPr>
          <w:color w:val="000000"/>
        </w:rPr>
        <w:t xml:space="preserve">10 </w:t>
      </w:r>
      <w:proofErr w:type="spellStart"/>
      <w:r w:rsidRPr="000A07A9">
        <w:rPr>
          <w:color w:val="000000"/>
        </w:rPr>
        <w:t>кВ</w:t>
      </w:r>
      <w:proofErr w:type="spellEnd"/>
      <w:r w:rsidRPr="000A07A9">
        <w:rPr>
          <w:color w:val="000000"/>
        </w:rPr>
        <w:t xml:space="preserve"> – </w:t>
      </w:r>
      <w:r w:rsidR="000056F9">
        <w:rPr>
          <w:color w:val="000000"/>
        </w:rPr>
        <w:t>29,469</w:t>
      </w:r>
      <w:r w:rsidRPr="000A07A9">
        <w:rPr>
          <w:color w:val="000000"/>
        </w:rPr>
        <w:t xml:space="preserve"> км;</w:t>
      </w:r>
    </w:p>
    <w:p w:rsidR="000A07A9" w:rsidRPr="000A07A9" w:rsidRDefault="000056F9" w:rsidP="00C80319">
      <w:pPr>
        <w:pStyle w:val="a4"/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0,4 </w:t>
      </w:r>
      <w:proofErr w:type="spellStart"/>
      <w:r>
        <w:rPr>
          <w:color w:val="000000"/>
        </w:rPr>
        <w:t>кВ</w:t>
      </w:r>
      <w:proofErr w:type="spellEnd"/>
      <w:r>
        <w:rPr>
          <w:color w:val="000000"/>
        </w:rPr>
        <w:t xml:space="preserve"> – 37,505</w:t>
      </w:r>
      <w:r w:rsidR="000A07A9" w:rsidRPr="000A07A9">
        <w:rPr>
          <w:color w:val="000000"/>
        </w:rPr>
        <w:t xml:space="preserve"> км, что соответствует пункту 2 Критериев.</w:t>
      </w:r>
    </w:p>
    <w:p w:rsidR="000A07A9" w:rsidRPr="00A854FC" w:rsidRDefault="000A07A9" w:rsidP="00C80319">
      <w:pPr>
        <w:pStyle w:val="1"/>
        <w:ind w:firstLine="708"/>
        <w:rPr>
          <w:bCs/>
        </w:rPr>
      </w:pPr>
      <w:r w:rsidRPr="000A07A9">
        <w:t>ООО «</w:t>
      </w:r>
      <w:r w:rsidR="000056F9">
        <w:t>НСК Электросеть</w:t>
      </w:r>
      <w:r w:rsidRPr="000A07A9">
        <w:t>» владеет объектами электросетевого хозяйства на основании, заключенн</w:t>
      </w:r>
      <w:r w:rsidR="00BA53BF">
        <w:t>ых</w:t>
      </w:r>
      <w:r w:rsidRPr="000A07A9">
        <w:t xml:space="preserve"> </w:t>
      </w:r>
      <w:r>
        <w:rPr>
          <w:bCs/>
        </w:rPr>
        <w:t>договор</w:t>
      </w:r>
      <w:r w:rsidR="00BA53BF">
        <w:rPr>
          <w:bCs/>
        </w:rPr>
        <w:t>ов аренды:</w:t>
      </w:r>
      <w:r>
        <w:rPr>
          <w:bCs/>
        </w:rPr>
        <w:t xml:space="preserve"> с </w:t>
      </w:r>
      <w:r w:rsidR="009C6755">
        <w:rPr>
          <w:bCs/>
        </w:rPr>
        <w:t xml:space="preserve">ИП Михайловым П.А., </w:t>
      </w:r>
      <w:r w:rsidRPr="00DD4B9F">
        <w:rPr>
          <w:bCs/>
        </w:rPr>
        <w:t>ООО</w:t>
      </w:r>
      <w:r w:rsidR="00DD4B9F">
        <w:rPr>
          <w:bCs/>
        </w:rPr>
        <w:t xml:space="preserve"> </w:t>
      </w:r>
      <w:r w:rsidR="009C6755">
        <w:rPr>
          <w:bCs/>
        </w:rPr>
        <w:t xml:space="preserve"> «Новосибирская электросетевая компания», ИП </w:t>
      </w:r>
      <w:proofErr w:type="spellStart"/>
      <w:r w:rsidR="009C6755">
        <w:rPr>
          <w:bCs/>
        </w:rPr>
        <w:t>Тимошик</w:t>
      </w:r>
      <w:proofErr w:type="spellEnd"/>
      <w:r w:rsidR="009C6755">
        <w:rPr>
          <w:bCs/>
        </w:rPr>
        <w:t xml:space="preserve"> И.В., АО «</w:t>
      </w:r>
      <w:proofErr w:type="spellStart"/>
      <w:r w:rsidR="009C6755">
        <w:rPr>
          <w:bCs/>
        </w:rPr>
        <w:t>СибПСК</w:t>
      </w:r>
      <w:proofErr w:type="spellEnd"/>
      <w:r w:rsidR="009C6755">
        <w:rPr>
          <w:bCs/>
        </w:rPr>
        <w:t>»</w:t>
      </w:r>
      <w:r w:rsidRPr="000A07A9">
        <w:t xml:space="preserve">. </w:t>
      </w:r>
      <w:r w:rsidR="009C6755">
        <w:t>В соответствии договор</w:t>
      </w:r>
      <w:r w:rsidR="00BA53BF">
        <w:t>ами</w:t>
      </w:r>
      <w:r w:rsidR="009C6755">
        <w:t xml:space="preserve"> аренды, а также </w:t>
      </w:r>
      <w:r w:rsidR="00BA53BF">
        <w:t>дополнительными соглашениями</w:t>
      </w:r>
      <w:r w:rsidR="002B02D8">
        <w:t xml:space="preserve"> к ним</w:t>
      </w:r>
      <w:r w:rsidRPr="00A854FC">
        <w:t xml:space="preserve">, оборудование предоставляется в аренду на пять лет. </w:t>
      </w:r>
      <w:proofErr w:type="gramStart"/>
      <w:r w:rsidR="00A854FC" w:rsidRPr="00A854FC">
        <w:t>Г</w:t>
      </w:r>
      <w:r w:rsidRPr="00A854FC">
        <w:t xml:space="preserve">осударственная регистрация </w:t>
      </w:r>
      <w:r w:rsidR="00B74F5F">
        <w:t xml:space="preserve">договоров аренды произведена в </w:t>
      </w:r>
      <w:r w:rsidR="00B74F5F" w:rsidRPr="00777F9D">
        <w:t>Управлении Федеральной службы государственной регистрации, кадастра и картографии Новосибирской области</w:t>
      </w:r>
      <w:r w:rsidR="00B74F5F">
        <w:t xml:space="preserve">, в том числе: договор аренды с </w:t>
      </w:r>
      <w:r w:rsidR="00777F9D" w:rsidRPr="00777F9D">
        <w:t>АО «</w:t>
      </w:r>
      <w:proofErr w:type="spellStart"/>
      <w:r w:rsidR="00777F9D" w:rsidRPr="00777F9D">
        <w:t>СибПСК</w:t>
      </w:r>
      <w:proofErr w:type="spellEnd"/>
      <w:r w:rsidR="00A854FC" w:rsidRPr="00777F9D">
        <w:t xml:space="preserve">» </w:t>
      </w:r>
      <w:r w:rsidR="00B74F5F">
        <w:t>зарегистрирован 25</w:t>
      </w:r>
      <w:r w:rsidRPr="00777F9D">
        <w:t>.</w:t>
      </w:r>
      <w:r w:rsidR="00777F9D" w:rsidRPr="00777F9D">
        <w:t>12</w:t>
      </w:r>
      <w:r w:rsidRPr="00777F9D">
        <w:t xml:space="preserve">.2018 </w:t>
      </w:r>
      <w:r w:rsidR="00B74F5F">
        <w:t>(</w:t>
      </w:r>
      <w:r w:rsidRPr="00777F9D">
        <w:t xml:space="preserve">номер регистрации </w:t>
      </w:r>
      <w:r w:rsidR="00777F9D" w:rsidRPr="00777F9D">
        <w:t>54:35:072175:2317-54/001/2018-5</w:t>
      </w:r>
      <w:r w:rsidR="00B74F5F">
        <w:t>)</w:t>
      </w:r>
      <w:r w:rsidR="00777F9D" w:rsidRPr="00777F9D">
        <w:t>,</w:t>
      </w:r>
      <w:r w:rsidR="00B74F5F">
        <w:t xml:space="preserve"> с</w:t>
      </w:r>
      <w:r w:rsidR="00777F9D" w:rsidRPr="00777F9D">
        <w:t xml:space="preserve"> ИП </w:t>
      </w:r>
      <w:proofErr w:type="spellStart"/>
      <w:r w:rsidR="00777F9D" w:rsidRPr="00777F9D">
        <w:t>Тимошик</w:t>
      </w:r>
      <w:proofErr w:type="spellEnd"/>
      <w:r w:rsidR="00777F9D" w:rsidRPr="00777F9D">
        <w:t xml:space="preserve"> 21.12.2018г. </w:t>
      </w:r>
      <w:r w:rsidR="00B74F5F">
        <w:t>(</w:t>
      </w:r>
      <w:r w:rsidR="00777F9D" w:rsidRPr="00777F9D">
        <w:t>номер регистрации 54:35:083261:112-54/001/2018-6</w:t>
      </w:r>
      <w:r w:rsidR="00B74F5F">
        <w:t>),</w:t>
      </w:r>
      <w:r w:rsidR="00777F9D" w:rsidRPr="00777F9D">
        <w:t xml:space="preserve"> </w:t>
      </w:r>
      <w:r w:rsidR="00B74F5F">
        <w:t xml:space="preserve">с </w:t>
      </w:r>
      <w:r w:rsidR="00777F9D" w:rsidRPr="00777F9D">
        <w:t xml:space="preserve"> ООО «НЭСК» 25.12.2018г. </w:t>
      </w:r>
      <w:r w:rsidR="00B74F5F">
        <w:t>(</w:t>
      </w:r>
      <w:r w:rsidR="00777F9D" w:rsidRPr="00777F9D">
        <w:t>номер регистрации 54:35:071940:1721-54/001/2018-2</w:t>
      </w:r>
      <w:proofErr w:type="gramEnd"/>
      <w:r w:rsidR="00B74F5F">
        <w:t>)</w:t>
      </w:r>
      <w:r w:rsidR="00777F9D" w:rsidRPr="00777F9D">
        <w:t xml:space="preserve">, </w:t>
      </w:r>
      <w:r w:rsidR="00B74F5F">
        <w:t>с</w:t>
      </w:r>
      <w:r w:rsidR="00777F9D" w:rsidRPr="00777F9D">
        <w:t xml:space="preserve"> ИП Михайлов</w:t>
      </w:r>
      <w:r w:rsidR="00B74F5F">
        <w:t>ым</w:t>
      </w:r>
      <w:r w:rsidR="00777F9D" w:rsidRPr="00777F9D">
        <w:t xml:space="preserve"> 25.12.2018г. </w:t>
      </w:r>
      <w:r w:rsidR="00B74F5F">
        <w:t>(</w:t>
      </w:r>
      <w:r w:rsidR="00777F9D" w:rsidRPr="00777F9D">
        <w:t>номер регистрации 54:35:041850:471-54/001/2018-3</w:t>
      </w:r>
      <w:r w:rsidR="00B74F5F">
        <w:t>)</w:t>
      </w:r>
      <w:r w:rsidR="00777F9D" w:rsidRPr="00777F9D">
        <w:t>.</w:t>
      </w:r>
    </w:p>
    <w:p w:rsidR="000A07A9" w:rsidRPr="000A07A9" w:rsidRDefault="000A07A9" w:rsidP="00C80319">
      <w:pPr>
        <w:pStyle w:val="a4"/>
        <w:spacing w:after="0"/>
        <w:ind w:firstLine="709"/>
        <w:jc w:val="both"/>
        <w:rPr>
          <w:color w:val="000000"/>
        </w:rPr>
      </w:pPr>
      <w:r w:rsidRPr="00A854FC">
        <w:rPr>
          <w:color w:val="000000"/>
        </w:rPr>
        <w:t xml:space="preserve">3. </w:t>
      </w:r>
      <w:proofErr w:type="gramStart"/>
      <w:r w:rsidRPr="00A854FC">
        <w:rPr>
          <w:color w:val="000000"/>
        </w:rPr>
        <w:t>Учитывая, что ООО «</w:t>
      </w:r>
      <w:r w:rsidR="000056F9">
        <w:rPr>
          <w:color w:val="000000"/>
        </w:rPr>
        <w:t>НСК Электросеть</w:t>
      </w:r>
      <w:r w:rsidRPr="00A854FC">
        <w:rPr>
          <w:color w:val="000000"/>
        </w:rPr>
        <w:t>» ранее не осуществляло</w:t>
      </w:r>
      <w:r w:rsidRPr="000A07A9">
        <w:rPr>
          <w:color w:val="000000"/>
        </w:rPr>
        <w:t xml:space="preserve"> деятельность по передаче электрической энергии, факты применения департаментом понижающих коэффициентов, позволяющих обеспечить соответствие уровня тарифов, установленных для владельца объектов электросетевого хозяйства, уровню надежности и качества поставляемых товаров и оказываемых услуг, а также корректировки цен (тарифов), установленных на долгосрочный период регулирования, в случае представления владельцем объектов электросетевого хозяйства, для которого такие цены (тарифы</w:t>
      </w:r>
      <w:proofErr w:type="gramEnd"/>
      <w:r w:rsidRPr="000A07A9">
        <w:rPr>
          <w:color w:val="000000"/>
        </w:rPr>
        <w:t>) установлены, недостоверных отчетных данных, используемых при расчете фактических значений показателей надежности и качества поставляемых товаров и оказываемых услуг, или непредставления таких данных, отсутствуют.</w:t>
      </w:r>
    </w:p>
    <w:p w:rsidR="000A07A9" w:rsidRPr="000A07A9" w:rsidRDefault="000A07A9" w:rsidP="00C80319">
      <w:pPr>
        <w:pStyle w:val="a4"/>
        <w:spacing w:after="0"/>
        <w:ind w:firstLine="709"/>
        <w:jc w:val="both"/>
        <w:rPr>
          <w:color w:val="000000"/>
        </w:rPr>
      </w:pPr>
      <w:r w:rsidRPr="000A07A9">
        <w:rPr>
          <w:color w:val="000000"/>
        </w:rPr>
        <w:t xml:space="preserve">4. </w:t>
      </w:r>
      <w:proofErr w:type="gramStart"/>
      <w:r w:rsidRPr="000A07A9">
        <w:rPr>
          <w:color w:val="000000"/>
        </w:rPr>
        <w:t>У ООО</w:t>
      </w:r>
      <w:proofErr w:type="gramEnd"/>
      <w:r w:rsidRPr="000A07A9">
        <w:rPr>
          <w:color w:val="000000"/>
        </w:rPr>
        <w:t xml:space="preserve"> «</w:t>
      </w:r>
      <w:r w:rsidR="000056F9">
        <w:rPr>
          <w:color w:val="000000"/>
        </w:rPr>
        <w:t>НСК Электросеть</w:t>
      </w:r>
      <w:r w:rsidRPr="000A07A9">
        <w:rPr>
          <w:color w:val="000000"/>
        </w:rPr>
        <w:t>» имеется выделенный абонентский номер для обращений потребителей услуг по передаче электрической энергии и (или) технологическому присоединению 3</w:t>
      </w:r>
      <w:r w:rsidR="000056F9">
        <w:rPr>
          <w:color w:val="000000"/>
        </w:rPr>
        <w:t>1</w:t>
      </w:r>
      <w:r>
        <w:rPr>
          <w:color w:val="000000"/>
        </w:rPr>
        <w:t>9-</w:t>
      </w:r>
      <w:r w:rsidR="000056F9">
        <w:rPr>
          <w:color w:val="000000"/>
        </w:rPr>
        <w:t>84</w:t>
      </w:r>
      <w:r>
        <w:rPr>
          <w:color w:val="000000"/>
        </w:rPr>
        <w:t>-</w:t>
      </w:r>
      <w:r w:rsidR="000056F9">
        <w:rPr>
          <w:color w:val="000000"/>
        </w:rPr>
        <w:t>74</w:t>
      </w:r>
      <w:r w:rsidRPr="000A07A9">
        <w:rPr>
          <w:color w:val="000000"/>
        </w:rPr>
        <w:t>, что соответствует пункту 4 Критериев.</w:t>
      </w:r>
    </w:p>
    <w:p w:rsidR="000A07A9" w:rsidRPr="008B1118" w:rsidRDefault="000A07A9" w:rsidP="00C80319">
      <w:pPr>
        <w:pStyle w:val="a4"/>
        <w:spacing w:after="0"/>
        <w:ind w:firstLine="709"/>
        <w:jc w:val="both"/>
        <w:rPr>
          <w:color w:val="000000"/>
        </w:rPr>
      </w:pPr>
      <w:r w:rsidRPr="000A07A9">
        <w:rPr>
          <w:color w:val="000000"/>
        </w:rPr>
        <w:t>5. У организации имеется официальный сайт в информационно-телекомму</w:t>
      </w:r>
      <w:r w:rsidR="000056F9">
        <w:rPr>
          <w:color w:val="000000"/>
        </w:rPr>
        <w:t xml:space="preserve">никационной сети "Интернет" </w:t>
      </w:r>
      <w:r w:rsidR="000056F9" w:rsidRPr="000056F9">
        <w:rPr>
          <w:color w:val="000000"/>
        </w:rPr>
        <w:t>http://nsk-elektroset.ru/</w:t>
      </w:r>
      <w:r w:rsidRPr="000A07A9">
        <w:rPr>
          <w:color w:val="000000"/>
        </w:rPr>
        <w:t>, что соответствует пункту 5 Критериев.</w:t>
      </w:r>
    </w:p>
    <w:p w:rsidR="008B1118" w:rsidRPr="008B1118" w:rsidRDefault="008B1118" w:rsidP="00C80319">
      <w:pPr>
        <w:ind w:left="284" w:firstLine="709"/>
        <w:jc w:val="both"/>
        <w:rPr>
          <w:color w:val="000000"/>
        </w:rPr>
      </w:pPr>
      <w:r>
        <w:rPr>
          <w:color w:val="000000"/>
        </w:rPr>
        <w:t xml:space="preserve">6. </w:t>
      </w:r>
      <w:proofErr w:type="gramStart"/>
      <w:r w:rsidRPr="008B1118">
        <w:rPr>
          <w:color w:val="000000"/>
        </w:rPr>
        <w:t>У организации о</w:t>
      </w:r>
      <w:r w:rsidRPr="008B1118">
        <w:rPr>
          <w:rFonts w:eastAsiaTheme="minorHAnsi"/>
          <w:lang w:eastAsia="en-US"/>
        </w:rPr>
        <w:t xml:space="preserve">тсутствуют во владении и (или) пользовании объекты электросетевого хозяйства, расположенные в административных границах субъекта Российской Федерации и используемые для осуществления регулируемой деятельности в указанных границах, принадлежащие на праве собственности или ином законном </w:t>
      </w:r>
      <w:r w:rsidRPr="008B1118">
        <w:rPr>
          <w:rFonts w:eastAsiaTheme="minorHAnsi"/>
          <w:lang w:eastAsia="en-US"/>
        </w:rPr>
        <w:lastRenderedPageBreak/>
        <w:t>основании иному лицу, владеющему объектом по производству электрической энергии (мощности), который расположен в административных границах соответствующего субъекта Российской Федерации и с использованием которого осуществляется производство электрической</w:t>
      </w:r>
      <w:proofErr w:type="gramEnd"/>
      <w:r w:rsidRPr="008B1118">
        <w:rPr>
          <w:rFonts w:eastAsiaTheme="minorHAnsi"/>
          <w:lang w:eastAsia="en-US"/>
        </w:rPr>
        <w:t xml:space="preserve"> энергии и мощности с целью ее продажи на оптовом рынке электрической энергии (мощности) и (или) розничных рынках электрической энергии,</w:t>
      </w:r>
      <w:r w:rsidRPr="008B1118">
        <w:rPr>
          <w:color w:val="000000"/>
        </w:rPr>
        <w:t xml:space="preserve"> что соответствует пункту 6 Критериев.</w:t>
      </w:r>
    </w:p>
    <w:p w:rsidR="000A07A9" w:rsidRDefault="000A07A9" w:rsidP="00C80319">
      <w:pPr>
        <w:pStyle w:val="a4"/>
        <w:spacing w:after="0"/>
        <w:ind w:left="284" w:firstLine="709"/>
        <w:jc w:val="both"/>
        <w:rPr>
          <w:color w:val="000000"/>
        </w:rPr>
      </w:pPr>
      <w:r w:rsidRPr="000A07A9">
        <w:rPr>
          <w:color w:val="000000"/>
        </w:rPr>
        <w:t>Таким образом, ООО «</w:t>
      </w:r>
      <w:r w:rsidR="000056F9">
        <w:rPr>
          <w:color w:val="000000"/>
        </w:rPr>
        <w:t>НСК Электросеть</w:t>
      </w:r>
      <w:r w:rsidR="00614B8F">
        <w:rPr>
          <w:color w:val="000000"/>
        </w:rPr>
        <w:t>»</w:t>
      </w:r>
      <w:r w:rsidRPr="000A07A9">
        <w:rPr>
          <w:color w:val="000000"/>
        </w:rPr>
        <w:t xml:space="preserve"> соответствует критериям отнесения владельцев объектов электросетевого хозяйства к территориальным сетевым организациям.</w:t>
      </w:r>
    </w:p>
    <w:p w:rsidR="00C80319" w:rsidRPr="000A07A9" w:rsidRDefault="00C80319" w:rsidP="00C80319">
      <w:pPr>
        <w:pStyle w:val="a4"/>
        <w:spacing w:after="0"/>
        <w:ind w:left="284" w:firstLine="709"/>
        <w:jc w:val="both"/>
        <w:rPr>
          <w:color w:val="000000"/>
        </w:rPr>
      </w:pPr>
    </w:p>
    <w:p w:rsidR="00282713" w:rsidRPr="000A07A9" w:rsidRDefault="00282713" w:rsidP="000A07A9">
      <w:pPr>
        <w:pStyle w:val="a4"/>
        <w:numPr>
          <w:ilvl w:val="0"/>
          <w:numId w:val="23"/>
        </w:numPr>
        <w:ind w:left="0" w:firstLine="708"/>
        <w:rPr>
          <w:b/>
          <w:color w:val="000000"/>
        </w:rPr>
      </w:pPr>
      <w:r w:rsidRPr="000A07A9">
        <w:rPr>
          <w:b/>
          <w:color w:val="000000"/>
        </w:rPr>
        <w:t>Формирование необходимой валовой выручки и расчет тарифа на осуществление деятельности по предоставлению услуг по передаче электрической энергии по сетям</w:t>
      </w:r>
      <w:r w:rsidRPr="000A07A9">
        <w:rPr>
          <w:b/>
        </w:rPr>
        <w:t xml:space="preserve"> </w:t>
      </w:r>
      <w:r w:rsidR="000056F9">
        <w:rPr>
          <w:b/>
        </w:rPr>
        <w:t>ООО «НСК Электросеть</w:t>
      </w:r>
      <w:r w:rsidR="00CC01D2" w:rsidRPr="000A07A9">
        <w:rPr>
          <w:b/>
        </w:rPr>
        <w:t>»</w:t>
      </w:r>
      <w:r w:rsidRPr="000A07A9">
        <w:rPr>
          <w:b/>
          <w:bCs/>
        </w:rPr>
        <w:t xml:space="preserve"> </w:t>
      </w:r>
      <w:r w:rsidRPr="000A07A9">
        <w:rPr>
          <w:b/>
          <w:color w:val="000000"/>
        </w:rPr>
        <w:t>на 201</w:t>
      </w:r>
      <w:r w:rsidR="00CC01D2" w:rsidRPr="000A07A9">
        <w:rPr>
          <w:b/>
          <w:color w:val="000000"/>
        </w:rPr>
        <w:t>9</w:t>
      </w:r>
      <w:r w:rsidRPr="000A07A9">
        <w:rPr>
          <w:b/>
          <w:color w:val="000000"/>
        </w:rPr>
        <w:t xml:space="preserve"> год.</w:t>
      </w:r>
    </w:p>
    <w:p w:rsidR="00282713" w:rsidRPr="009C3BB1" w:rsidRDefault="00282713" w:rsidP="00282713">
      <w:pPr>
        <w:pStyle w:val="a4"/>
        <w:numPr>
          <w:ilvl w:val="0"/>
          <w:numId w:val="1"/>
        </w:numPr>
        <w:spacing w:after="0"/>
        <w:rPr>
          <w:b/>
          <w:color w:val="000000"/>
        </w:rPr>
      </w:pPr>
      <w:r>
        <w:rPr>
          <w:b/>
          <w:i/>
        </w:rPr>
        <w:t>Объем и структура электропотребления.</w:t>
      </w:r>
    </w:p>
    <w:p w:rsidR="00282713" w:rsidRPr="00BB767E" w:rsidRDefault="00282713" w:rsidP="00BB767E">
      <w:pPr>
        <w:pStyle w:val="a4"/>
        <w:spacing w:after="0"/>
        <w:ind w:left="227"/>
        <w:rPr>
          <w:b/>
          <w:sz w:val="20"/>
          <w:szCs w:val="20"/>
        </w:rPr>
      </w:pPr>
    </w:p>
    <w:p w:rsidR="00282713" w:rsidRPr="00725E02" w:rsidRDefault="00282713" w:rsidP="00282713">
      <w:pPr>
        <w:pStyle w:val="a4"/>
        <w:ind w:left="0" w:firstLine="708"/>
      </w:pPr>
      <w:r w:rsidRPr="00725E02">
        <w:t xml:space="preserve">Структура электропотребления </w:t>
      </w:r>
      <w:r w:rsidR="000056F9">
        <w:t>ООО «НСК Электросеть</w:t>
      </w:r>
      <w:r w:rsidR="00CC01D2" w:rsidRPr="00CC01D2">
        <w:t xml:space="preserve">» </w:t>
      </w:r>
      <w:r w:rsidR="00CC01D2">
        <w:t xml:space="preserve"> </w:t>
      </w:r>
      <w:r>
        <w:rPr>
          <w:bCs/>
        </w:rPr>
        <w:t>в</w:t>
      </w:r>
      <w:r w:rsidRPr="00725E02">
        <w:rPr>
          <w:color w:val="000000"/>
        </w:rPr>
        <w:t xml:space="preserve"> </w:t>
      </w:r>
      <w:r w:rsidRPr="00725E02">
        <w:t>201</w:t>
      </w:r>
      <w:r w:rsidR="0070404A">
        <w:t>9</w:t>
      </w:r>
      <w:r w:rsidRPr="00725E02">
        <w:t xml:space="preserve"> г</w:t>
      </w:r>
      <w:r>
        <w:t>оду</w:t>
      </w:r>
      <w:r w:rsidRPr="00725E02">
        <w:t xml:space="preserve"> приведена в таблице 1.</w:t>
      </w:r>
    </w:p>
    <w:p w:rsidR="00282713" w:rsidRDefault="00282713" w:rsidP="00282713">
      <w:pPr>
        <w:ind w:right="169" w:firstLine="708"/>
        <w:jc w:val="right"/>
      </w:pPr>
      <w:r>
        <w:t>Таблица 1</w:t>
      </w:r>
    </w:p>
    <w:p w:rsidR="00282713" w:rsidRDefault="00282713" w:rsidP="00282713">
      <w:pPr>
        <w:ind w:right="169" w:firstLine="708"/>
        <w:jc w:val="right"/>
      </w:pPr>
      <w:r>
        <w:t xml:space="preserve">тыс. </w:t>
      </w:r>
      <w:proofErr w:type="spellStart"/>
      <w:r>
        <w:t>кВтч</w:t>
      </w:r>
      <w:proofErr w:type="spellEnd"/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418"/>
        <w:gridCol w:w="1417"/>
        <w:gridCol w:w="1560"/>
        <w:gridCol w:w="1559"/>
      </w:tblGrid>
      <w:tr w:rsidR="000056F9" w:rsidRPr="00D34C30" w:rsidTr="000056F9">
        <w:trPr>
          <w:trHeight w:val="460"/>
        </w:trPr>
        <w:tc>
          <w:tcPr>
            <w:tcW w:w="3402" w:type="dxa"/>
          </w:tcPr>
          <w:p w:rsidR="000056F9" w:rsidRPr="00D34C30" w:rsidRDefault="000056F9" w:rsidP="00FF1079">
            <w:pPr>
              <w:jc w:val="both"/>
            </w:pPr>
          </w:p>
        </w:tc>
        <w:tc>
          <w:tcPr>
            <w:tcW w:w="1418" w:type="dxa"/>
          </w:tcPr>
          <w:p w:rsidR="000056F9" w:rsidRPr="0011343E" w:rsidRDefault="000056F9" w:rsidP="0011343E">
            <w:pPr>
              <w:jc w:val="center"/>
              <w:rPr>
                <w:sz w:val="20"/>
                <w:szCs w:val="20"/>
              </w:rPr>
            </w:pPr>
            <w:r w:rsidRPr="0011343E">
              <w:rPr>
                <w:sz w:val="20"/>
                <w:szCs w:val="20"/>
              </w:rPr>
              <w:t>Проект организации 2019</w:t>
            </w:r>
          </w:p>
        </w:tc>
        <w:tc>
          <w:tcPr>
            <w:tcW w:w="1417" w:type="dxa"/>
            <w:vAlign w:val="center"/>
          </w:tcPr>
          <w:p w:rsidR="000056F9" w:rsidRPr="0011343E" w:rsidRDefault="000056F9" w:rsidP="0011343E">
            <w:pPr>
              <w:jc w:val="center"/>
              <w:rPr>
                <w:sz w:val="20"/>
                <w:szCs w:val="20"/>
              </w:rPr>
            </w:pPr>
            <w:r w:rsidRPr="0011343E">
              <w:rPr>
                <w:sz w:val="20"/>
                <w:szCs w:val="20"/>
              </w:rPr>
              <w:t>2019 год проект департамента</w:t>
            </w:r>
          </w:p>
        </w:tc>
        <w:tc>
          <w:tcPr>
            <w:tcW w:w="1560" w:type="dxa"/>
            <w:vAlign w:val="center"/>
          </w:tcPr>
          <w:p w:rsidR="000056F9" w:rsidRPr="0011343E" w:rsidRDefault="000056F9" w:rsidP="000056F9">
            <w:pPr>
              <w:jc w:val="center"/>
              <w:rPr>
                <w:sz w:val="20"/>
                <w:szCs w:val="20"/>
              </w:rPr>
            </w:pPr>
            <w:r w:rsidRPr="0011343E">
              <w:rPr>
                <w:sz w:val="20"/>
                <w:szCs w:val="20"/>
              </w:rPr>
              <w:t xml:space="preserve">Отклонение </w:t>
            </w:r>
            <w:r>
              <w:rPr>
                <w:sz w:val="20"/>
                <w:szCs w:val="20"/>
              </w:rPr>
              <w:t>от плана организации</w:t>
            </w:r>
          </w:p>
        </w:tc>
        <w:tc>
          <w:tcPr>
            <w:tcW w:w="1559" w:type="dxa"/>
            <w:vAlign w:val="center"/>
          </w:tcPr>
          <w:p w:rsidR="000056F9" w:rsidRPr="0011343E" w:rsidRDefault="000056F9" w:rsidP="000056F9">
            <w:pPr>
              <w:jc w:val="center"/>
              <w:rPr>
                <w:sz w:val="20"/>
                <w:szCs w:val="20"/>
              </w:rPr>
            </w:pPr>
            <w:proofErr w:type="gramStart"/>
            <w:r w:rsidRPr="0011343E">
              <w:rPr>
                <w:sz w:val="20"/>
                <w:szCs w:val="20"/>
              </w:rPr>
              <w:t>В</w:t>
            </w:r>
            <w:proofErr w:type="gramEnd"/>
            <w:r w:rsidRPr="0011343E">
              <w:rPr>
                <w:sz w:val="20"/>
                <w:szCs w:val="20"/>
              </w:rPr>
              <w:t xml:space="preserve">% </w:t>
            </w:r>
            <w:proofErr w:type="gramStart"/>
            <w:r w:rsidRPr="0011343E">
              <w:rPr>
                <w:sz w:val="20"/>
                <w:szCs w:val="20"/>
              </w:rPr>
              <w:t>к</w:t>
            </w:r>
            <w:proofErr w:type="gramEnd"/>
            <w:r w:rsidRPr="0011343E">
              <w:rPr>
                <w:sz w:val="20"/>
                <w:szCs w:val="20"/>
              </w:rPr>
              <w:t xml:space="preserve"> плану </w:t>
            </w:r>
            <w:r>
              <w:rPr>
                <w:sz w:val="20"/>
                <w:szCs w:val="20"/>
              </w:rPr>
              <w:t>организации</w:t>
            </w:r>
          </w:p>
        </w:tc>
      </w:tr>
      <w:tr w:rsidR="003A713C" w:rsidRPr="00D34C30" w:rsidTr="000218A1">
        <w:tc>
          <w:tcPr>
            <w:tcW w:w="3402" w:type="dxa"/>
          </w:tcPr>
          <w:p w:rsidR="003A713C" w:rsidRPr="007955EA" w:rsidRDefault="003A713C" w:rsidP="00FF1079">
            <w:r w:rsidRPr="007955EA">
              <w:rPr>
                <w:sz w:val="22"/>
                <w:szCs w:val="22"/>
              </w:rPr>
              <w:t>1.Отпуск электрической энергии в сеть предприятия всего:</w:t>
            </w:r>
          </w:p>
        </w:tc>
        <w:tc>
          <w:tcPr>
            <w:tcW w:w="1418" w:type="dxa"/>
            <w:vAlign w:val="center"/>
          </w:tcPr>
          <w:p w:rsidR="003A713C" w:rsidRPr="000218A1" w:rsidRDefault="003A713C" w:rsidP="002F552C">
            <w:pPr>
              <w:jc w:val="center"/>
              <w:rPr>
                <w:bCs/>
                <w:sz w:val="20"/>
                <w:szCs w:val="20"/>
              </w:rPr>
            </w:pPr>
            <w:r w:rsidRPr="000218A1">
              <w:rPr>
                <w:bCs/>
                <w:sz w:val="20"/>
                <w:szCs w:val="20"/>
              </w:rPr>
              <w:t>27948,3</w:t>
            </w:r>
          </w:p>
        </w:tc>
        <w:tc>
          <w:tcPr>
            <w:tcW w:w="1417" w:type="dxa"/>
            <w:vAlign w:val="center"/>
          </w:tcPr>
          <w:p w:rsidR="003A713C" w:rsidRPr="000218A1" w:rsidRDefault="003A713C" w:rsidP="000218A1">
            <w:pPr>
              <w:jc w:val="center"/>
              <w:rPr>
                <w:bCs/>
                <w:sz w:val="20"/>
                <w:szCs w:val="20"/>
              </w:rPr>
            </w:pPr>
            <w:r w:rsidRPr="000218A1">
              <w:rPr>
                <w:bCs/>
                <w:sz w:val="20"/>
                <w:szCs w:val="20"/>
              </w:rPr>
              <w:t>27948,3</w:t>
            </w:r>
          </w:p>
        </w:tc>
        <w:tc>
          <w:tcPr>
            <w:tcW w:w="1560" w:type="dxa"/>
            <w:vAlign w:val="center"/>
          </w:tcPr>
          <w:p w:rsidR="003A713C" w:rsidRPr="00F85C3B" w:rsidRDefault="003A713C" w:rsidP="000218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3A713C" w:rsidRPr="00F85C3B" w:rsidRDefault="003A713C" w:rsidP="000218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A713C" w:rsidRPr="00D34C30" w:rsidTr="000218A1">
        <w:tc>
          <w:tcPr>
            <w:tcW w:w="3402" w:type="dxa"/>
          </w:tcPr>
          <w:p w:rsidR="003A713C" w:rsidRPr="007955EA" w:rsidRDefault="003A713C" w:rsidP="00FF1079">
            <w:r w:rsidRPr="007955EA">
              <w:rPr>
                <w:sz w:val="22"/>
                <w:szCs w:val="22"/>
              </w:rPr>
              <w:t>1.1. Технологический расход электрической энергии на ее передачу (потери)</w:t>
            </w:r>
          </w:p>
        </w:tc>
        <w:tc>
          <w:tcPr>
            <w:tcW w:w="1418" w:type="dxa"/>
            <w:vAlign w:val="center"/>
          </w:tcPr>
          <w:p w:rsidR="003A713C" w:rsidRPr="000218A1" w:rsidRDefault="003A713C" w:rsidP="002F552C">
            <w:pPr>
              <w:jc w:val="center"/>
              <w:rPr>
                <w:bCs/>
                <w:sz w:val="20"/>
                <w:szCs w:val="20"/>
              </w:rPr>
            </w:pPr>
            <w:r w:rsidRPr="000218A1">
              <w:rPr>
                <w:bCs/>
                <w:sz w:val="20"/>
                <w:szCs w:val="20"/>
              </w:rPr>
              <w:t>3448,3</w:t>
            </w:r>
          </w:p>
        </w:tc>
        <w:tc>
          <w:tcPr>
            <w:tcW w:w="1417" w:type="dxa"/>
            <w:vAlign w:val="center"/>
          </w:tcPr>
          <w:p w:rsidR="003A713C" w:rsidRPr="000218A1" w:rsidRDefault="003A713C" w:rsidP="000218A1">
            <w:pPr>
              <w:jc w:val="center"/>
              <w:rPr>
                <w:bCs/>
                <w:sz w:val="20"/>
                <w:szCs w:val="20"/>
              </w:rPr>
            </w:pPr>
            <w:r w:rsidRPr="000218A1">
              <w:rPr>
                <w:bCs/>
                <w:sz w:val="20"/>
                <w:szCs w:val="20"/>
              </w:rPr>
              <w:t>3448,3</w:t>
            </w:r>
          </w:p>
        </w:tc>
        <w:tc>
          <w:tcPr>
            <w:tcW w:w="1560" w:type="dxa"/>
            <w:vAlign w:val="center"/>
          </w:tcPr>
          <w:p w:rsidR="003A713C" w:rsidRPr="00F85C3B" w:rsidRDefault="003A713C" w:rsidP="000218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3A713C" w:rsidRPr="00F85C3B" w:rsidRDefault="003A713C" w:rsidP="000218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A713C" w:rsidRPr="00D34C30" w:rsidTr="000218A1">
        <w:tc>
          <w:tcPr>
            <w:tcW w:w="3402" w:type="dxa"/>
          </w:tcPr>
          <w:p w:rsidR="003A713C" w:rsidRPr="007955EA" w:rsidRDefault="003A713C" w:rsidP="00FF1079">
            <w:r w:rsidRPr="007955EA">
              <w:rPr>
                <w:sz w:val="22"/>
                <w:szCs w:val="22"/>
              </w:rPr>
              <w:t>То же в процентах</w:t>
            </w:r>
          </w:p>
        </w:tc>
        <w:tc>
          <w:tcPr>
            <w:tcW w:w="1418" w:type="dxa"/>
            <w:vAlign w:val="center"/>
          </w:tcPr>
          <w:p w:rsidR="003A713C" w:rsidRPr="000218A1" w:rsidRDefault="003A713C" w:rsidP="002F552C">
            <w:pPr>
              <w:jc w:val="center"/>
              <w:rPr>
                <w:sz w:val="20"/>
                <w:szCs w:val="20"/>
              </w:rPr>
            </w:pPr>
            <w:r w:rsidRPr="000218A1">
              <w:rPr>
                <w:sz w:val="20"/>
                <w:szCs w:val="20"/>
              </w:rPr>
              <w:t>12,34%</w:t>
            </w:r>
          </w:p>
        </w:tc>
        <w:tc>
          <w:tcPr>
            <w:tcW w:w="1417" w:type="dxa"/>
            <w:vAlign w:val="center"/>
          </w:tcPr>
          <w:p w:rsidR="003A713C" w:rsidRPr="000218A1" w:rsidRDefault="003A713C" w:rsidP="000218A1">
            <w:pPr>
              <w:jc w:val="center"/>
              <w:rPr>
                <w:sz w:val="20"/>
                <w:szCs w:val="20"/>
              </w:rPr>
            </w:pPr>
            <w:r w:rsidRPr="000218A1">
              <w:rPr>
                <w:sz w:val="20"/>
                <w:szCs w:val="20"/>
              </w:rPr>
              <w:t>12,34%</w:t>
            </w:r>
          </w:p>
        </w:tc>
        <w:tc>
          <w:tcPr>
            <w:tcW w:w="1560" w:type="dxa"/>
          </w:tcPr>
          <w:p w:rsidR="003A713C" w:rsidRPr="00F85C3B" w:rsidRDefault="003A713C" w:rsidP="00F85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A713C" w:rsidRPr="00F85C3B" w:rsidRDefault="003A713C" w:rsidP="00F85C3B">
            <w:pPr>
              <w:jc w:val="center"/>
              <w:rPr>
                <w:sz w:val="20"/>
                <w:szCs w:val="20"/>
              </w:rPr>
            </w:pPr>
          </w:p>
        </w:tc>
      </w:tr>
      <w:tr w:rsidR="003A713C" w:rsidRPr="00D34C30" w:rsidTr="000218A1">
        <w:tc>
          <w:tcPr>
            <w:tcW w:w="3402" w:type="dxa"/>
          </w:tcPr>
          <w:p w:rsidR="003A713C" w:rsidRPr="007955EA" w:rsidRDefault="003A713C" w:rsidP="00FF1079">
            <w:r w:rsidRPr="007955EA">
              <w:rPr>
                <w:sz w:val="22"/>
                <w:szCs w:val="22"/>
              </w:rPr>
              <w:t>1.2. Полезный отпуск из сети предприятия</w:t>
            </w:r>
          </w:p>
        </w:tc>
        <w:tc>
          <w:tcPr>
            <w:tcW w:w="1418" w:type="dxa"/>
            <w:vAlign w:val="center"/>
          </w:tcPr>
          <w:p w:rsidR="003A713C" w:rsidRPr="000218A1" w:rsidRDefault="003A713C" w:rsidP="002F552C">
            <w:pPr>
              <w:jc w:val="center"/>
              <w:rPr>
                <w:bCs/>
                <w:sz w:val="20"/>
                <w:szCs w:val="20"/>
              </w:rPr>
            </w:pPr>
            <w:r w:rsidRPr="000218A1">
              <w:rPr>
                <w:bCs/>
                <w:sz w:val="20"/>
                <w:szCs w:val="20"/>
              </w:rPr>
              <w:t>24500,0</w:t>
            </w:r>
          </w:p>
        </w:tc>
        <w:tc>
          <w:tcPr>
            <w:tcW w:w="1417" w:type="dxa"/>
            <w:vAlign w:val="center"/>
          </w:tcPr>
          <w:p w:rsidR="003A713C" w:rsidRPr="000218A1" w:rsidRDefault="003A713C" w:rsidP="000218A1">
            <w:pPr>
              <w:jc w:val="center"/>
              <w:rPr>
                <w:bCs/>
                <w:sz w:val="20"/>
                <w:szCs w:val="20"/>
              </w:rPr>
            </w:pPr>
            <w:r w:rsidRPr="000218A1">
              <w:rPr>
                <w:bCs/>
                <w:sz w:val="20"/>
                <w:szCs w:val="20"/>
              </w:rPr>
              <w:t>24500,0</w:t>
            </w:r>
          </w:p>
        </w:tc>
        <w:tc>
          <w:tcPr>
            <w:tcW w:w="1560" w:type="dxa"/>
            <w:vAlign w:val="center"/>
          </w:tcPr>
          <w:p w:rsidR="003A713C" w:rsidRPr="00F85C3B" w:rsidRDefault="003A713C" w:rsidP="000218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3A713C" w:rsidRPr="00F85C3B" w:rsidRDefault="003A713C" w:rsidP="000218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032A86" w:rsidRPr="00BB767E" w:rsidRDefault="00032A86" w:rsidP="00032A86">
      <w:pPr>
        <w:pStyle w:val="a4"/>
        <w:spacing w:after="0"/>
        <w:ind w:left="0" w:firstLine="708"/>
        <w:jc w:val="both"/>
        <w:rPr>
          <w:sz w:val="20"/>
          <w:szCs w:val="20"/>
        </w:rPr>
      </w:pPr>
    </w:p>
    <w:p w:rsidR="008B1118" w:rsidRPr="008B1118" w:rsidRDefault="003A713C" w:rsidP="00B86480">
      <w:pPr>
        <w:ind w:firstLine="708"/>
        <w:jc w:val="both"/>
      </w:pPr>
      <w:r w:rsidRPr="003A713C">
        <w:t>О</w:t>
      </w:r>
      <w:r w:rsidR="00282713" w:rsidRPr="003A713C">
        <w:t xml:space="preserve">бъем </w:t>
      </w:r>
      <w:r w:rsidR="009B36B4" w:rsidRPr="003A713C">
        <w:t xml:space="preserve">полезного отпуска </w:t>
      </w:r>
      <w:r w:rsidR="00EC6117">
        <w:t>из сети</w:t>
      </w:r>
      <w:r w:rsidR="009B36B4" w:rsidRPr="003A713C">
        <w:t xml:space="preserve"> </w:t>
      </w:r>
      <w:r w:rsidR="009D6A4E" w:rsidRPr="003A713C">
        <w:t>организации</w:t>
      </w:r>
      <w:r w:rsidR="00282713" w:rsidRPr="003A713C">
        <w:rPr>
          <w:color w:val="000000"/>
        </w:rPr>
        <w:t xml:space="preserve"> </w:t>
      </w:r>
      <w:r w:rsidR="00282713" w:rsidRPr="003A713C">
        <w:t>на 201</w:t>
      </w:r>
      <w:r w:rsidR="00787958" w:rsidRPr="003A713C">
        <w:t>9</w:t>
      </w:r>
      <w:r w:rsidR="00EB08B8" w:rsidRPr="003A713C">
        <w:t xml:space="preserve"> год </w:t>
      </w:r>
      <w:r w:rsidRPr="003A713C">
        <w:t>составит</w:t>
      </w:r>
      <w:r w:rsidR="00282713" w:rsidRPr="003A713C">
        <w:t xml:space="preserve"> </w:t>
      </w:r>
      <w:r w:rsidR="00EB08B8" w:rsidRPr="003A713C">
        <w:t>24500,0</w:t>
      </w:r>
      <w:r w:rsidR="00282713" w:rsidRPr="003A713C">
        <w:t xml:space="preserve"> </w:t>
      </w:r>
      <w:proofErr w:type="spellStart"/>
      <w:r w:rsidR="00282713" w:rsidRPr="003A713C">
        <w:t>тыс</w:t>
      </w:r>
      <w:proofErr w:type="gramStart"/>
      <w:r w:rsidR="00282713" w:rsidRPr="003A713C">
        <w:t>.к</w:t>
      </w:r>
      <w:proofErr w:type="gramEnd"/>
      <w:r w:rsidR="00282713" w:rsidRPr="003A713C">
        <w:t>Втч</w:t>
      </w:r>
      <w:proofErr w:type="spellEnd"/>
      <w:r w:rsidR="00282713" w:rsidRPr="003A713C">
        <w:t xml:space="preserve">. </w:t>
      </w:r>
      <w:r w:rsidR="00D95F59" w:rsidRPr="003A713C">
        <w:t xml:space="preserve">согласно </w:t>
      </w:r>
      <w:r w:rsidRPr="003A713C">
        <w:t xml:space="preserve">плану организации, что подтверждается </w:t>
      </w:r>
      <w:r w:rsidR="00D95F59" w:rsidRPr="003A713C">
        <w:t>фактическим</w:t>
      </w:r>
      <w:r w:rsidRPr="003A713C">
        <w:t>и</w:t>
      </w:r>
      <w:r w:rsidR="00D95F59" w:rsidRPr="003A713C">
        <w:t xml:space="preserve"> данным</w:t>
      </w:r>
      <w:r w:rsidRPr="003A713C">
        <w:t>и</w:t>
      </w:r>
      <w:r w:rsidR="00D95F59" w:rsidRPr="003A713C">
        <w:t xml:space="preserve"> АО «</w:t>
      </w:r>
      <w:proofErr w:type="spellStart"/>
      <w:r w:rsidR="00D95F59" w:rsidRPr="003A713C">
        <w:t>Новосибирскэнергосбыт</w:t>
      </w:r>
      <w:proofErr w:type="spellEnd"/>
      <w:r w:rsidR="00D95F59" w:rsidRPr="003A713C">
        <w:t>» за 2018 год</w:t>
      </w:r>
      <w:r w:rsidR="00140B2B" w:rsidRPr="003A713C">
        <w:t>.</w:t>
      </w:r>
      <w:r w:rsidR="008B1118" w:rsidRPr="008B1118">
        <w:t xml:space="preserve"> </w:t>
      </w:r>
    </w:p>
    <w:p w:rsidR="00282713" w:rsidRPr="00FF735F" w:rsidRDefault="008B1118" w:rsidP="00B86480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FF735F">
        <w:rPr>
          <w:rFonts w:eastAsiaTheme="minorHAnsi"/>
          <w:lang w:eastAsia="en-US"/>
        </w:rPr>
        <w:t>Объем</w:t>
      </w:r>
      <w:r w:rsidR="00282713" w:rsidRPr="00FF735F">
        <w:rPr>
          <w:rFonts w:eastAsiaTheme="minorHAnsi"/>
          <w:lang w:eastAsia="en-US"/>
        </w:rPr>
        <w:t xml:space="preserve"> </w:t>
      </w:r>
      <w:r w:rsidR="003F1A8D" w:rsidRPr="00FF735F">
        <w:rPr>
          <w:rFonts w:eastAsiaTheme="minorHAnsi"/>
          <w:lang w:eastAsia="en-US"/>
        </w:rPr>
        <w:t>технологического расхода электрической энергии (</w:t>
      </w:r>
      <w:r w:rsidR="00282713" w:rsidRPr="00FF735F">
        <w:rPr>
          <w:rFonts w:eastAsiaTheme="minorHAnsi"/>
          <w:lang w:eastAsia="en-US"/>
        </w:rPr>
        <w:t>потерь</w:t>
      </w:r>
      <w:r w:rsidR="003F1A8D" w:rsidRPr="00FF735F">
        <w:rPr>
          <w:rFonts w:eastAsiaTheme="minorHAnsi"/>
          <w:lang w:eastAsia="en-US"/>
        </w:rPr>
        <w:t>)</w:t>
      </w:r>
      <w:r w:rsidR="00282713" w:rsidRPr="00FF735F">
        <w:rPr>
          <w:rFonts w:eastAsiaTheme="minorHAnsi"/>
          <w:lang w:eastAsia="en-US"/>
        </w:rPr>
        <w:t xml:space="preserve"> электрической энергии при её передаче по электрическим сетям организации </w:t>
      </w:r>
      <w:r w:rsidR="00CA0054" w:rsidRPr="00FF735F">
        <w:rPr>
          <w:rFonts w:eastAsiaTheme="minorHAnsi"/>
          <w:lang w:eastAsia="en-US"/>
        </w:rPr>
        <w:t xml:space="preserve">на 2019 год </w:t>
      </w:r>
      <w:r w:rsidR="00282713" w:rsidRPr="00FF735F">
        <w:rPr>
          <w:rFonts w:eastAsiaTheme="minorHAnsi"/>
          <w:lang w:eastAsia="en-US"/>
        </w:rPr>
        <w:t>сформирован департаментом в соответствии с п</w:t>
      </w:r>
      <w:r w:rsidR="00282713" w:rsidRPr="00FF735F">
        <w:rPr>
          <w:bCs/>
          <w:color w:val="000000" w:themeColor="text1"/>
        </w:rPr>
        <w:t xml:space="preserve">риказом Минэнерго России от </w:t>
      </w:r>
      <w:r w:rsidR="00CA0054" w:rsidRPr="00FF735F">
        <w:rPr>
          <w:bCs/>
          <w:color w:val="000000" w:themeColor="text1"/>
        </w:rPr>
        <w:t>26</w:t>
      </w:r>
      <w:r w:rsidR="00282713" w:rsidRPr="00FF735F">
        <w:rPr>
          <w:bCs/>
          <w:color w:val="000000" w:themeColor="text1"/>
        </w:rPr>
        <w:t>.09.201</w:t>
      </w:r>
      <w:r w:rsidR="00CA0054" w:rsidRPr="00FF735F">
        <w:rPr>
          <w:bCs/>
          <w:color w:val="000000" w:themeColor="text1"/>
        </w:rPr>
        <w:t>7</w:t>
      </w:r>
      <w:r w:rsidR="00282713" w:rsidRPr="00FF735F">
        <w:rPr>
          <w:bCs/>
          <w:color w:val="000000" w:themeColor="text1"/>
        </w:rPr>
        <w:t xml:space="preserve"> № </w:t>
      </w:r>
      <w:r w:rsidR="00CA0054" w:rsidRPr="00FF735F">
        <w:rPr>
          <w:bCs/>
          <w:color w:val="000000" w:themeColor="text1"/>
        </w:rPr>
        <w:t>887</w:t>
      </w:r>
      <w:r w:rsidR="00282713" w:rsidRPr="00FF735F">
        <w:rPr>
          <w:bCs/>
          <w:color w:val="000000" w:themeColor="text1"/>
        </w:rPr>
        <w:t xml:space="preserve"> «</w:t>
      </w:r>
      <w:r w:rsidR="00CA0054" w:rsidRPr="00FF735F">
        <w:rPr>
          <w:rFonts w:eastAsiaTheme="minorHAnsi"/>
          <w:lang w:eastAsia="en-US"/>
        </w:rPr>
        <w:t>Об утверждении нормативов потерь электрической энергии при ее передаче по электрическим сетям территориальных сетевых организаций</w:t>
      </w:r>
      <w:r w:rsidR="00282713" w:rsidRPr="00FF735F">
        <w:rPr>
          <w:bCs/>
          <w:color w:val="000000" w:themeColor="text1"/>
        </w:rPr>
        <w:t>»</w:t>
      </w:r>
      <w:r w:rsidR="00FC1834" w:rsidRPr="00FF735F">
        <w:rPr>
          <w:bCs/>
          <w:color w:val="000000" w:themeColor="text1"/>
        </w:rPr>
        <w:t xml:space="preserve"> </w:t>
      </w:r>
      <w:r w:rsidR="00124D34" w:rsidRPr="00FF735F">
        <w:rPr>
          <w:bCs/>
          <w:color w:val="000000" w:themeColor="text1"/>
        </w:rPr>
        <w:t>и составит</w:t>
      </w:r>
      <w:r w:rsidR="009B36B4" w:rsidRPr="00FF735F">
        <w:rPr>
          <w:bCs/>
          <w:color w:val="000000" w:themeColor="text1"/>
        </w:rPr>
        <w:t xml:space="preserve"> </w:t>
      </w:r>
      <w:r w:rsidR="00FF735F" w:rsidRPr="00FF735F">
        <w:rPr>
          <w:bCs/>
          <w:color w:val="000000" w:themeColor="text1"/>
        </w:rPr>
        <w:t>3448,3</w:t>
      </w:r>
      <w:r w:rsidR="003F1A8D" w:rsidRPr="00FF735F">
        <w:rPr>
          <w:bCs/>
          <w:color w:val="000000" w:themeColor="text1"/>
        </w:rPr>
        <w:t xml:space="preserve"> </w:t>
      </w:r>
      <w:proofErr w:type="spellStart"/>
      <w:r w:rsidR="003F1A8D" w:rsidRPr="00FF735F">
        <w:t>тыс</w:t>
      </w:r>
      <w:proofErr w:type="gramStart"/>
      <w:r w:rsidR="003F1A8D" w:rsidRPr="00FF735F">
        <w:t>.к</w:t>
      </w:r>
      <w:proofErr w:type="gramEnd"/>
      <w:r w:rsidR="003F1A8D" w:rsidRPr="00FF735F">
        <w:t>Втч</w:t>
      </w:r>
      <w:proofErr w:type="spellEnd"/>
      <w:r w:rsidR="003F1A8D" w:rsidRPr="00FF735F">
        <w:t>. (</w:t>
      </w:r>
      <w:r w:rsidR="00FF735F" w:rsidRPr="00FF735F">
        <w:t>12,34</w:t>
      </w:r>
      <w:r w:rsidR="00282713" w:rsidRPr="00FF735F">
        <w:rPr>
          <w:bCs/>
          <w:color w:val="000000" w:themeColor="text1"/>
        </w:rPr>
        <w:t>% от отпуска в сеть организации</w:t>
      </w:r>
      <w:r w:rsidR="003F1A8D" w:rsidRPr="00FF735F">
        <w:rPr>
          <w:bCs/>
          <w:color w:val="000000" w:themeColor="text1"/>
        </w:rPr>
        <w:t>)</w:t>
      </w:r>
      <w:r w:rsidR="00282713" w:rsidRPr="00FF735F">
        <w:rPr>
          <w:bCs/>
          <w:color w:val="000000" w:themeColor="text1"/>
        </w:rPr>
        <w:t>.</w:t>
      </w:r>
    </w:p>
    <w:p w:rsidR="00282713" w:rsidRPr="00FF735F" w:rsidRDefault="00282713" w:rsidP="00B86480">
      <w:pPr>
        <w:pStyle w:val="a4"/>
        <w:spacing w:after="0"/>
        <w:ind w:left="0" w:right="-1" w:firstLine="709"/>
        <w:jc w:val="both"/>
      </w:pPr>
      <w:r w:rsidRPr="00FF735F">
        <w:t xml:space="preserve">Плановый объем отпуска электрической энергии </w:t>
      </w:r>
      <w:r w:rsidR="00EC6117">
        <w:t>в сеть</w:t>
      </w:r>
      <w:r w:rsidRPr="00FF735F">
        <w:t xml:space="preserve"> ООО </w:t>
      </w:r>
      <w:r w:rsidR="009B36B4" w:rsidRPr="00FF735F">
        <w:t xml:space="preserve"> «</w:t>
      </w:r>
      <w:r w:rsidR="00FF735F" w:rsidRPr="00FF735F">
        <w:t>НСК Электросеть</w:t>
      </w:r>
      <w:r w:rsidR="009B36B4" w:rsidRPr="00FF735F">
        <w:rPr>
          <w:bCs/>
        </w:rPr>
        <w:t>»</w:t>
      </w:r>
      <w:r w:rsidR="009B36B4" w:rsidRPr="00FF735F">
        <w:rPr>
          <w:color w:val="000000"/>
        </w:rPr>
        <w:t xml:space="preserve"> </w:t>
      </w:r>
      <w:r w:rsidRPr="00FF735F">
        <w:t xml:space="preserve"> на 201</w:t>
      </w:r>
      <w:r w:rsidR="004A421C" w:rsidRPr="00FF735F">
        <w:t>9</w:t>
      </w:r>
      <w:r w:rsidRPr="00FF735F">
        <w:t xml:space="preserve"> г. </w:t>
      </w:r>
      <w:r w:rsidRPr="00FF735F">
        <w:rPr>
          <w:rFonts w:eastAsiaTheme="minorHAnsi"/>
          <w:lang w:eastAsia="en-US"/>
        </w:rPr>
        <w:t xml:space="preserve">сформирован </w:t>
      </w:r>
      <w:r w:rsidR="00EB08B8">
        <w:rPr>
          <w:rFonts w:eastAsiaTheme="minorHAnsi"/>
          <w:lang w:eastAsia="en-US"/>
        </w:rPr>
        <w:t>департаментом</w:t>
      </w:r>
      <w:r w:rsidR="005F59D3" w:rsidRPr="00FF735F">
        <w:rPr>
          <w:rFonts w:eastAsiaTheme="minorHAnsi"/>
          <w:lang w:eastAsia="en-US"/>
        </w:rPr>
        <w:t xml:space="preserve"> </w:t>
      </w:r>
      <w:r w:rsidR="006975AA" w:rsidRPr="00FF735F">
        <w:rPr>
          <w:rFonts w:eastAsiaTheme="minorHAnsi"/>
          <w:lang w:eastAsia="en-US"/>
        </w:rPr>
        <w:t xml:space="preserve">исходя из </w:t>
      </w:r>
      <w:r w:rsidRPr="00FF735F">
        <w:rPr>
          <w:rFonts w:eastAsiaTheme="minorHAnsi"/>
          <w:lang w:eastAsia="en-US"/>
        </w:rPr>
        <w:t xml:space="preserve">объема </w:t>
      </w:r>
      <w:r w:rsidR="00EB08B8">
        <w:rPr>
          <w:rFonts w:eastAsiaTheme="minorHAnsi"/>
          <w:lang w:eastAsia="en-US"/>
        </w:rPr>
        <w:t xml:space="preserve">полезного </w:t>
      </w:r>
      <w:r w:rsidRPr="00FF735F">
        <w:rPr>
          <w:rFonts w:eastAsiaTheme="minorHAnsi"/>
          <w:lang w:eastAsia="en-US"/>
        </w:rPr>
        <w:t>отпуска электр</w:t>
      </w:r>
      <w:r w:rsidR="008B1118" w:rsidRPr="00FF735F">
        <w:rPr>
          <w:rFonts w:eastAsiaTheme="minorHAnsi"/>
          <w:lang w:eastAsia="en-US"/>
        </w:rPr>
        <w:t>ической энергии и</w:t>
      </w:r>
      <w:r w:rsidRPr="00FF735F">
        <w:rPr>
          <w:rFonts w:eastAsiaTheme="minorHAnsi"/>
          <w:lang w:eastAsia="en-US"/>
        </w:rPr>
        <w:t xml:space="preserve"> величины</w:t>
      </w:r>
      <w:r w:rsidRPr="00FF735F">
        <w:t xml:space="preserve"> потерь на указанный период и состави</w:t>
      </w:r>
      <w:r w:rsidR="00124D34" w:rsidRPr="00FF735F">
        <w:t>т</w:t>
      </w:r>
      <w:r w:rsidRPr="00FF735F">
        <w:t xml:space="preserve"> </w:t>
      </w:r>
      <w:r w:rsidR="00FF735F" w:rsidRPr="00FF735F">
        <w:t>2</w:t>
      </w:r>
      <w:r w:rsidR="00EB08B8">
        <w:t>7948,3</w:t>
      </w:r>
      <w:r w:rsidR="006975AA" w:rsidRPr="00FF735F">
        <w:t xml:space="preserve"> </w:t>
      </w:r>
      <w:proofErr w:type="spellStart"/>
      <w:r w:rsidRPr="00FF735F">
        <w:t>тыс</w:t>
      </w:r>
      <w:proofErr w:type="gramStart"/>
      <w:r w:rsidRPr="00FF735F">
        <w:rPr>
          <w:sz w:val="22"/>
          <w:szCs w:val="22"/>
        </w:rPr>
        <w:t>.</w:t>
      </w:r>
      <w:r w:rsidRPr="00FF735F">
        <w:t>к</w:t>
      </w:r>
      <w:proofErr w:type="gramEnd"/>
      <w:r w:rsidRPr="00FF735F">
        <w:t>Втч</w:t>
      </w:r>
      <w:proofErr w:type="spellEnd"/>
      <w:r w:rsidRPr="00FF735F">
        <w:t xml:space="preserve">. </w:t>
      </w:r>
    </w:p>
    <w:p w:rsidR="00282713" w:rsidRPr="00355965" w:rsidRDefault="00282713" w:rsidP="00B8648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82851">
        <w:rPr>
          <w:rFonts w:eastAsiaTheme="minorHAnsi"/>
          <w:lang w:eastAsia="en-US"/>
        </w:rPr>
        <w:t>Сальдо-</w:t>
      </w:r>
      <w:proofErr w:type="spellStart"/>
      <w:r w:rsidRPr="00C82851">
        <w:rPr>
          <w:rFonts w:eastAsiaTheme="minorHAnsi"/>
          <w:lang w:eastAsia="en-US"/>
        </w:rPr>
        <w:t>переток</w:t>
      </w:r>
      <w:proofErr w:type="spellEnd"/>
      <w:r w:rsidRPr="00C82851">
        <w:rPr>
          <w:rFonts w:eastAsiaTheme="minorHAnsi"/>
          <w:lang w:eastAsia="en-US"/>
        </w:rPr>
        <w:t xml:space="preserve"> мощности, учитываемый при определении ставки на содержание электрических сетей составит </w:t>
      </w:r>
      <w:r w:rsidR="00C82851" w:rsidRPr="00C82851">
        <w:rPr>
          <w:rFonts w:eastAsiaTheme="minorHAnsi"/>
          <w:lang w:eastAsia="en-US"/>
        </w:rPr>
        <w:t>3,8916</w:t>
      </w:r>
      <w:r w:rsidRPr="00C82851">
        <w:rPr>
          <w:rFonts w:eastAsiaTheme="minorHAnsi"/>
          <w:lang w:eastAsia="en-US"/>
        </w:rPr>
        <w:t xml:space="preserve"> МВт, рассчитан исходя из планового объема отпуска электрической энергии в сеть организации и числа часов использования мощности 7</w:t>
      </w:r>
      <w:r w:rsidR="00C82851" w:rsidRPr="00C82851">
        <w:rPr>
          <w:rFonts w:eastAsiaTheme="minorHAnsi"/>
          <w:lang w:eastAsia="en-US"/>
        </w:rPr>
        <w:t>181</w:t>
      </w:r>
      <w:r w:rsidRPr="00C82851">
        <w:rPr>
          <w:rFonts w:eastAsiaTheme="minorHAnsi"/>
          <w:lang w:eastAsia="en-US"/>
        </w:rPr>
        <w:t xml:space="preserve"> час (в среднем по котловым показателям).</w:t>
      </w:r>
    </w:p>
    <w:p w:rsidR="00282713" w:rsidRPr="00BB767E" w:rsidRDefault="00282713" w:rsidP="00B86480">
      <w:pPr>
        <w:pStyle w:val="a4"/>
        <w:spacing w:after="0"/>
        <w:jc w:val="both"/>
        <w:rPr>
          <w:color w:val="000000"/>
          <w:sz w:val="20"/>
          <w:szCs w:val="20"/>
        </w:rPr>
      </w:pPr>
    </w:p>
    <w:p w:rsidR="00282713" w:rsidRPr="001606B9" w:rsidRDefault="00282713" w:rsidP="00032BDF">
      <w:pPr>
        <w:pStyle w:val="a3"/>
        <w:numPr>
          <w:ilvl w:val="0"/>
          <w:numId w:val="1"/>
        </w:numPr>
        <w:tabs>
          <w:tab w:val="clear" w:pos="1068"/>
          <w:tab w:val="left" w:pos="0"/>
        </w:tabs>
        <w:ind w:left="0" w:firstLine="708"/>
        <w:jc w:val="both"/>
        <w:rPr>
          <w:b/>
          <w:i/>
          <w:color w:val="000000"/>
          <w:sz w:val="24"/>
        </w:rPr>
      </w:pPr>
      <w:r w:rsidRPr="001606B9">
        <w:rPr>
          <w:b/>
          <w:i/>
          <w:color w:val="000000"/>
          <w:sz w:val="24"/>
        </w:rPr>
        <w:t>Основные показател</w:t>
      </w:r>
      <w:proofErr w:type="gramStart"/>
      <w:r w:rsidRPr="001606B9">
        <w:rPr>
          <w:b/>
          <w:i/>
          <w:color w:val="000000"/>
          <w:sz w:val="24"/>
        </w:rPr>
        <w:t xml:space="preserve">и </w:t>
      </w:r>
      <w:r>
        <w:rPr>
          <w:b/>
          <w:i/>
          <w:color w:val="000000"/>
          <w:sz w:val="24"/>
        </w:rPr>
        <w:t>ООО</w:t>
      </w:r>
      <w:proofErr w:type="gramEnd"/>
      <w:r>
        <w:rPr>
          <w:b/>
          <w:i/>
          <w:color w:val="000000"/>
          <w:sz w:val="24"/>
        </w:rPr>
        <w:t xml:space="preserve"> </w:t>
      </w:r>
      <w:r w:rsidR="0057681E">
        <w:rPr>
          <w:b/>
          <w:i/>
          <w:color w:val="000000"/>
          <w:sz w:val="24"/>
        </w:rPr>
        <w:t>«</w:t>
      </w:r>
      <w:r w:rsidR="00140B2B">
        <w:rPr>
          <w:b/>
          <w:i/>
          <w:color w:val="000000"/>
          <w:sz w:val="24"/>
        </w:rPr>
        <w:t>НСК Электросеть</w:t>
      </w:r>
      <w:r w:rsidRPr="001606B9">
        <w:rPr>
          <w:b/>
          <w:bCs/>
          <w:i/>
          <w:sz w:val="24"/>
        </w:rPr>
        <w:t>»</w:t>
      </w:r>
      <w:r w:rsidRPr="001606B9">
        <w:rPr>
          <w:color w:val="000000"/>
          <w:sz w:val="24"/>
        </w:rPr>
        <w:t xml:space="preserve"> </w:t>
      </w:r>
      <w:r w:rsidRPr="001606B9">
        <w:rPr>
          <w:b/>
          <w:i/>
          <w:color w:val="000000"/>
          <w:sz w:val="24"/>
        </w:rPr>
        <w:t xml:space="preserve"> в части осуществления деятельности по оказанию услуг по передаче электрической энергии на 201</w:t>
      </w:r>
      <w:r w:rsidR="0070404A">
        <w:rPr>
          <w:b/>
          <w:i/>
          <w:color w:val="000000"/>
          <w:sz w:val="24"/>
        </w:rPr>
        <w:t>9</w:t>
      </w:r>
      <w:r w:rsidRPr="001606B9">
        <w:rPr>
          <w:b/>
          <w:i/>
          <w:color w:val="000000"/>
          <w:sz w:val="24"/>
        </w:rPr>
        <w:t xml:space="preserve"> год. </w:t>
      </w:r>
    </w:p>
    <w:p w:rsidR="003E2848" w:rsidRDefault="003E2848" w:rsidP="00032BDF">
      <w:pPr>
        <w:pStyle w:val="a4"/>
        <w:spacing w:after="0"/>
        <w:ind w:left="284" w:firstLine="425"/>
        <w:rPr>
          <w:color w:val="000000"/>
        </w:rPr>
      </w:pPr>
    </w:p>
    <w:p w:rsidR="00282713" w:rsidRDefault="00282713" w:rsidP="00032BDF">
      <w:pPr>
        <w:pStyle w:val="a4"/>
        <w:spacing w:after="0"/>
        <w:ind w:left="284" w:firstLine="425"/>
        <w:rPr>
          <w:color w:val="000000"/>
        </w:rPr>
      </w:pPr>
      <w:r w:rsidRPr="00B31025">
        <w:rPr>
          <w:color w:val="000000"/>
        </w:rPr>
        <w:t xml:space="preserve">Основные показатели приведены в таблице </w:t>
      </w:r>
      <w:r>
        <w:rPr>
          <w:color w:val="000000"/>
        </w:rPr>
        <w:t>2</w:t>
      </w:r>
      <w:r w:rsidRPr="00B31025">
        <w:rPr>
          <w:color w:val="000000"/>
        </w:rPr>
        <w:t>.</w:t>
      </w:r>
    </w:p>
    <w:p w:rsidR="00282713" w:rsidRDefault="00282713" w:rsidP="00032BDF">
      <w:pPr>
        <w:pStyle w:val="a4"/>
        <w:spacing w:after="0"/>
        <w:ind w:left="284" w:firstLine="425"/>
        <w:jc w:val="right"/>
        <w:rPr>
          <w:color w:val="000000"/>
        </w:rPr>
      </w:pPr>
      <w:r w:rsidRPr="00B31025">
        <w:rPr>
          <w:color w:val="000000"/>
        </w:rPr>
        <w:t xml:space="preserve">Таблица </w:t>
      </w:r>
      <w:r>
        <w:rPr>
          <w:color w:val="000000"/>
        </w:rPr>
        <w:t>2</w:t>
      </w:r>
    </w:p>
    <w:p w:rsidR="00F07191" w:rsidRDefault="00F07191" w:rsidP="00032BDF">
      <w:pPr>
        <w:pStyle w:val="a4"/>
        <w:spacing w:after="0"/>
        <w:ind w:left="284" w:firstLine="425"/>
        <w:jc w:val="right"/>
        <w:rPr>
          <w:color w:val="000000"/>
        </w:rPr>
      </w:pPr>
      <w:proofErr w:type="spellStart"/>
      <w:r>
        <w:rPr>
          <w:color w:val="000000"/>
        </w:rPr>
        <w:lastRenderedPageBreak/>
        <w:t>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</w:t>
      </w:r>
      <w:proofErr w:type="spellEnd"/>
      <w:r>
        <w:rPr>
          <w:color w:val="000000"/>
        </w:rPr>
        <w:t>.</w:t>
      </w:r>
    </w:p>
    <w:tbl>
      <w:tblPr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1418"/>
        <w:gridCol w:w="1276"/>
        <w:gridCol w:w="1134"/>
        <w:gridCol w:w="1275"/>
      </w:tblGrid>
      <w:tr w:rsidR="00140B2B" w:rsidRPr="00D611D4" w:rsidTr="00140B2B">
        <w:trPr>
          <w:trHeight w:val="424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B2B" w:rsidRPr="00D611D4" w:rsidRDefault="00140B2B" w:rsidP="00032BDF">
            <w:pPr>
              <w:jc w:val="center"/>
              <w:rPr>
                <w:sz w:val="18"/>
                <w:szCs w:val="18"/>
              </w:rPr>
            </w:pPr>
            <w:r w:rsidRPr="00D611D4">
              <w:rPr>
                <w:sz w:val="18"/>
                <w:szCs w:val="18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0B2B" w:rsidRPr="005B39DD" w:rsidRDefault="00140B2B" w:rsidP="005B39D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организации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B2B" w:rsidRPr="00D611D4" w:rsidRDefault="00140B2B" w:rsidP="005B39D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департамента 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2B" w:rsidRPr="00295A7E" w:rsidRDefault="00140B2B" w:rsidP="00032BDF">
            <w:pPr>
              <w:jc w:val="center"/>
              <w:rPr>
                <w:sz w:val="16"/>
                <w:szCs w:val="16"/>
              </w:rPr>
            </w:pPr>
            <w:r w:rsidRPr="00295A7E">
              <w:rPr>
                <w:sz w:val="16"/>
                <w:szCs w:val="16"/>
              </w:rPr>
              <w:t>отклонение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2B" w:rsidRPr="00295A7E" w:rsidRDefault="00140B2B" w:rsidP="005F59D3">
            <w:pPr>
              <w:jc w:val="center"/>
              <w:rPr>
                <w:sz w:val="16"/>
                <w:szCs w:val="16"/>
              </w:rPr>
            </w:pPr>
            <w:proofErr w:type="gramStart"/>
            <w:r w:rsidRPr="00295A7E">
              <w:rPr>
                <w:sz w:val="16"/>
                <w:szCs w:val="16"/>
              </w:rPr>
              <w:t>в</w:t>
            </w:r>
            <w:proofErr w:type="gramEnd"/>
            <w:r w:rsidRPr="00295A7E">
              <w:rPr>
                <w:sz w:val="16"/>
                <w:szCs w:val="16"/>
              </w:rPr>
              <w:t xml:space="preserve"> % к </w:t>
            </w:r>
            <w:r>
              <w:rPr>
                <w:sz w:val="16"/>
                <w:szCs w:val="16"/>
              </w:rPr>
              <w:t xml:space="preserve">плану </w:t>
            </w:r>
          </w:p>
        </w:tc>
      </w:tr>
      <w:tr w:rsidR="00140B2B" w:rsidRPr="00D611D4" w:rsidTr="00140B2B">
        <w:trPr>
          <w:trHeight w:val="228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B2B" w:rsidRPr="00D611D4" w:rsidRDefault="00140B2B" w:rsidP="00FF107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0B2B" w:rsidRPr="00D611D4" w:rsidRDefault="00140B2B" w:rsidP="00FF10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B2B" w:rsidRPr="00D611D4" w:rsidRDefault="00140B2B" w:rsidP="00FF10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B2B" w:rsidRPr="00D611D4" w:rsidRDefault="00140B2B" w:rsidP="00FF107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B2B" w:rsidRPr="00D611D4" w:rsidRDefault="00140B2B" w:rsidP="00FF1079">
            <w:pPr>
              <w:rPr>
                <w:sz w:val="18"/>
                <w:szCs w:val="18"/>
              </w:rPr>
            </w:pPr>
          </w:p>
        </w:tc>
      </w:tr>
      <w:tr w:rsidR="00B95155" w:rsidRPr="003A713C" w:rsidTr="002F552C">
        <w:trPr>
          <w:trHeight w:val="33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155" w:rsidRPr="003A713C" w:rsidRDefault="00B95155" w:rsidP="00653735">
            <w:pPr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 xml:space="preserve">Расходы на материалы, </w:t>
            </w:r>
            <w:r>
              <w:rPr>
                <w:b/>
                <w:i/>
                <w:sz w:val="22"/>
                <w:szCs w:val="22"/>
              </w:rPr>
              <w:t>в том числе</w:t>
            </w:r>
            <w:r w:rsidRPr="003A713C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155" w:rsidRPr="003A713C" w:rsidRDefault="00B95155" w:rsidP="004A7371">
            <w:pPr>
              <w:jc w:val="right"/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7633,9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B95155" w:rsidRDefault="0022342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B95155" w:rsidRDefault="00B95155" w:rsidP="00223423">
            <w:pPr>
              <w:jc w:val="right"/>
              <w:rPr>
                <w:b/>
                <w:i/>
              </w:rPr>
            </w:pPr>
            <w:r w:rsidRPr="00B95155">
              <w:rPr>
                <w:b/>
                <w:i/>
                <w:sz w:val="22"/>
                <w:szCs w:val="22"/>
              </w:rPr>
              <w:t>-7</w:t>
            </w:r>
            <w:r w:rsidR="00223423">
              <w:rPr>
                <w:b/>
                <w:i/>
                <w:sz w:val="22"/>
                <w:szCs w:val="22"/>
              </w:rPr>
              <w:t>633,9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B95155" w:rsidRDefault="0022342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B95155" w:rsidRPr="004D5006" w:rsidTr="002F552C">
        <w:trPr>
          <w:trHeight w:val="33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155" w:rsidRPr="003A713C" w:rsidRDefault="00B95155">
            <w:r w:rsidRPr="003A7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3A713C">
              <w:rPr>
                <w:sz w:val="22"/>
                <w:szCs w:val="22"/>
              </w:rPr>
              <w:t xml:space="preserve"> основные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155" w:rsidRPr="003A713C" w:rsidRDefault="00B95155">
            <w:pPr>
              <w:jc w:val="right"/>
            </w:pPr>
            <w:r>
              <w:rPr>
                <w:sz w:val="22"/>
                <w:szCs w:val="22"/>
              </w:rPr>
              <w:t>7235,9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B95155" w:rsidRDefault="00B95155">
            <w:pPr>
              <w:jc w:val="right"/>
            </w:pPr>
            <w:r w:rsidRPr="00B9515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223423" w:rsidRDefault="00B95155">
            <w:pPr>
              <w:jc w:val="right"/>
              <w:rPr>
                <w:sz w:val="22"/>
                <w:szCs w:val="22"/>
              </w:rPr>
            </w:pPr>
            <w:r w:rsidRPr="00B95155">
              <w:rPr>
                <w:sz w:val="22"/>
                <w:szCs w:val="22"/>
              </w:rPr>
              <w:t>-7236,0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223423" w:rsidRDefault="00B95155">
            <w:pPr>
              <w:jc w:val="right"/>
              <w:rPr>
                <w:sz w:val="22"/>
                <w:szCs w:val="22"/>
              </w:rPr>
            </w:pPr>
            <w:r w:rsidRPr="00B95155">
              <w:rPr>
                <w:sz w:val="22"/>
                <w:szCs w:val="22"/>
              </w:rPr>
              <w:t>0,0</w:t>
            </w:r>
          </w:p>
        </w:tc>
      </w:tr>
      <w:tr w:rsidR="00B95155" w:rsidRPr="00EB73F0" w:rsidTr="002F552C">
        <w:trPr>
          <w:trHeight w:val="1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155" w:rsidRPr="003A713C" w:rsidRDefault="00B95155">
            <w:r w:rsidRPr="003A7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3A713C">
              <w:rPr>
                <w:sz w:val="22"/>
                <w:szCs w:val="22"/>
              </w:rPr>
              <w:t xml:space="preserve"> вспомогательные материалы (ГСМ)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155" w:rsidRPr="003A713C" w:rsidRDefault="00B95155">
            <w:pPr>
              <w:jc w:val="right"/>
            </w:pPr>
            <w:r w:rsidRPr="003A713C">
              <w:rPr>
                <w:sz w:val="22"/>
                <w:szCs w:val="22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B95155" w:rsidRDefault="00223423">
            <w:pPr>
              <w:jc w:val="right"/>
            </w:pPr>
            <w:r w:rsidRPr="00B9515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223423" w:rsidRDefault="00B95155" w:rsidP="00223423">
            <w:pPr>
              <w:jc w:val="right"/>
              <w:rPr>
                <w:sz w:val="22"/>
                <w:szCs w:val="22"/>
              </w:rPr>
            </w:pPr>
            <w:r w:rsidRPr="00B95155">
              <w:rPr>
                <w:sz w:val="22"/>
                <w:szCs w:val="22"/>
              </w:rPr>
              <w:t>-</w:t>
            </w:r>
            <w:r w:rsidR="00223423">
              <w:rPr>
                <w:sz w:val="22"/>
                <w:szCs w:val="22"/>
              </w:rPr>
              <w:t>398,0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155" w:rsidRPr="00223423" w:rsidRDefault="00223423">
            <w:pPr>
              <w:jc w:val="right"/>
              <w:rPr>
                <w:sz w:val="22"/>
                <w:szCs w:val="22"/>
              </w:rPr>
            </w:pPr>
            <w:r w:rsidRPr="00223423">
              <w:rPr>
                <w:sz w:val="22"/>
                <w:szCs w:val="22"/>
              </w:rPr>
              <w:t>0,0</w:t>
            </w:r>
          </w:p>
        </w:tc>
      </w:tr>
      <w:tr w:rsidR="006C1580" w:rsidRPr="003A713C" w:rsidTr="002F552C">
        <w:trPr>
          <w:trHeight w:val="1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80" w:rsidRPr="003A713C" w:rsidRDefault="006C1580">
            <w:pPr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Услуги производственного характера</w:t>
            </w:r>
            <w:r>
              <w:rPr>
                <w:b/>
                <w:i/>
                <w:sz w:val="22"/>
                <w:szCs w:val="22"/>
              </w:rPr>
              <w:t>, в том числе</w:t>
            </w:r>
            <w:r w:rsidRPr="003A713C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580" w:rsidRPr="003A713C" w:rsidRDefault="006C1580">
            <w:pPr>
              <w:jc w:val="right"/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12332,0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80" w:rsidRPr="006C1580" w:rsidRDefault="006C1580">
            <w:pPr>
              <w:jc w:val="right"/>
              <w:rPr>
                <w:b/>
                <w:i/>
                <w:sz w:val="22"/>
                <w:szCs w:val="22"/>
              </w:rPr>
            </w:pPr>
            <w:r w:rsidRPr="006C1580">
              <w:rPr>
                <w:b/>
                <w:i/>
                <w:sz w:val="22"/>
                <w:szCs w:val="22"/>
              </w:rPr>
              <w:t>4297,4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80" w:rsidRPr="006C1580" w:rsidRDefault="006C1580">
            <w:pPr>
              <w:jc w:val="right"/>
              <w:rPr>
                <w:b/>
                <w:i/>
                <w:sz w:val="22"/>
                <w:szCs w:val="22"/>
              </w:rPr>
            </w:pPr>
            <w:r w:rsidRPr="006C1580">
              <w:rPr>
                <w:b/>
                <w:i/>
                <w:sz w:val="22"/>
                <w:szCs w:val="22"/>
              </w:rPr>
              <w:t>-8034,6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80" w:rsidRPr="006C1580" w:rsidRDefault="006C1580">
            <w:pPr>
              <w:jc w:val="right"/>
              <w:rPr>
                <w:b/>
                <w:i/>
                <w:sz w:val="22"/>
                <w:szCs w:val="22"/>
              </w:rPr>
            </w:pPr>
            <w:r w:rsidRPr="006C1580">
              <w:rPr>
                <w:b/>
                <w:i/>
                <w:sz w:val="22"/>
                <w:szCs w:val="22"/>
              </w:rPr>
              <w:t>34,8</w:t>
            </w:r>
          </w:p>
        </w:tc>
      </w:tr>
      <w:tr w:rsidR="00BB1DCA" w:rsidRPr="00E8383D" w:rsidTr="002F552C">
        <w:trPr>
          <w:trHeight w:val="1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DCA" w:rsidRPr="003A713C" w:rsidRDefault="00BB1DCA">
            <w:r w:rsidRPr="003A713C">
              <w:rPr>
                <w:sz w:val="22"/>
                <w:szCs w:val="22"/>
              </w:rPr>
              <w:t xml:space="preserve">   капитальный ремонт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1DCA" w:rsidRPr="003A713C" w:rsidRDefault="00BB1DCA">
            <w:pPr>
              <w:jc w:val="right"/>
            </w:pPr>
            <w:r w:rsidRPr="003A713C">
              <w:rPr>
                <w:sz w:val="22"/>
                <w:szCs w:val="22"/>
              </w:rPr>
              <w:t>1672,0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DCA" w:rsidRPr="00010BA9" w:rsidRDefault="00010BA9">
            <w:pPr>
              <w:jc w:val="right"/>
              <w:rPr>
                <w:sz w:val="22"/>
                <w:szCs w:val="22"/>
              </w:rPr>
            </w:pPr>
            <w:r w:rsidRPr="00010BA9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DCA" w:rsidRPr="00010BA9" w:rsidRDefault="00010BA9">
            <w:pPr>
              <w:jc w:val="right"/>
              <w:rPr>
                <w:sz w:val="22"/>
                <w:szCs w:val="22"/>
              </w:rPr>
            </w:pPr>
            <w:r w:rsidRPr="00010BA9">
              <w:rPr>
                <w:sz w:val="22"/>
                <w:szCs w:val="22"/>
              </w:rPr>
              <w:t>-1672,0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1DCA" w:rsidRPr="00010BA9" w:rsidRDefault="00010BA9">
            <w:pPr>
              <w:jc w:val="right"/>
              <w:rPr>
                <w:sz w:val="22"/>
                <w:szCs w:val="22"/>
              </w:rPr>
            </w:pPr>
            <w:r w:rsidRPr="00010BA9">
              <w:rPr>
                <w:sz w:val="22"/>
                <w:szCs w:val="22"/>
              </w:rPr>
              <w:t>0,0</w:t>
            </w:r>
          </w:p>
        </w:tc>
      </w:tr>
      <w:tr w:rsidR="006C1580" w:rsidRPr="004D5006" w:rsidTr="002F552C">
        <w:trPr>
          <w:trHeight w:val="1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80" w:rsidRPr="003A713C" w:rsidRDefault="006C1580">
            <w:r w:rsidRPr="003A713C">
              <w:rPr>
                <w:sz w:val="22"/>
                <w:szCs w:val="22"/>
              </w:rPr>
              <w:t xml:space="preserve">   оперативно-техническое обслуживание и текущий ремонт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80" w:rsidRPr="003A713C" w:rsidRDefault="006C1580">
            <w:pPr>
              <w:jc w:val="right"/>
            </w:pPr>
            <w:r w:rsidRPr="003A713C">
              <w:rPr>
                <w:sz w:val="22"/>
                <w:szCs w:val="22"/>
              </w:rPr>
              <w:t>10660,0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80" w:rsidRPr="001F24CA" w:rsidRDefault="006C1580">
            <w:pPr>
              <w:jc w:val="right"/>
              <w:rPr>
                <w:sz w:val="22"/>
                <w:szCs w:val="22"/>
              </w:rPr>
            </w:pPr>
            <w:r w:rsidRPr="001F24CA">
              <w:rPr>
                <w:sz w:val="22"/>
                <w:szCs w:val="22"/>
              </w:rPr>
              <w:t>4297,4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80" w:rsidRPr="001F24CA" w:rsidRDefault="006C1580">
            <w:pPr>
              <w:jc w:val="right"/>
              <w:rPr>
                <w:sz w:val="22"/>
                <w:szCs w:val="22"/>
              </w:rPr>
            </w:pPr>
            <w:r w:rsidRPr="001F24CA">
              <w:rPr>
                <w:sz w:val="22"/>
                <w:szCs w:val="22"/>
              </w:rPr>
              <w:t>-6362,6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580" w:rsidRPr="001F24CA" w:rsidRDefault="006C1580">
            <w:pPr>
              <w:jc w:val="right"/>
              <w:rPr>
                <w:sz w:val="22"/>
                <w:szCs w:val="22"/>
              </w:rPr>
            </w:pPr>
            <w:r w:rsidRPr="001F24CA">
              <w:rPr>
                <w:sz w:val="22"/>
                <w:szCs w:val="22"/>
              </w:rPr>
              <w:t>40,3</w:t>
            </w:r>
          </w:p>
        </w:tc>
      </w:tr>
      <w:tr w:rsidR="008A3CA3" w:rsidRPr="003A713C" w:rsidTr="002F552C">
        <w:trPr>
          <w:trHeight w:val="17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CA3" w:rsidRPr="003A713C" w:rsidRDefault="008A3CA3">
            <w:pPr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Расходы на оплату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CA3" w:rsidRPr="003A713C" w:rsidRDefault="008A3CA3">
            <w:pPr>
              <w:jc w:val="right"/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5732,0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CA3" w:rsidRPr="008A3CA3" w:rsidRDefault="008A3CA3">
            <w:pPr>
              <w:jc w:val="right"/>
              <w:rPr>
                <w:b/>
                <w:i/>
                <w:sz w:val="22"/>
                <w:szCs w:val="22"/>
              </w:rPr>
            </w:pPr>
            <w:r w:rsidRPr="008A3CA3">
              <w:rPr>
                <w:b/>
                <w:i/>
                <w:sz w:val="22"/>
                <w:szCs w:val="22"/>
              </w:rPr>
              <w:t>1917,5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CA3" w:rsidRPr="008A3CA3" w:rsidRDefault="008A3CA3">
            <w:pPr>
              <w:jc w:val="right"/>
              <w:rPr>
                <w:b/>
                <w:i/>
                <w:sz w:val="22"/>
                <w:szCs w:val="22"/>
              </w:rPr>
            </w:pPr>
            <w:r w:rsidRPr="008A3CA3">
              <w:rPr>
                <w:b/>
                <w:i/>
                <w:sz w:val="22"/>
                <w:szCs w:val="22"/>
              </w:rPr>
              <w:t>-3814,5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CA3" w:rsidRPr="008A3CA3" w:rsidRDefault="008A3CA3">
            <w:pPr>
              <w:jc w:val="right"/>
              <w:rPr>
                <w:b/>
                <w:i/>
                <w:sz w:val="22"/>
                <w:szCs w:val="22"/>
              </w:rPr>
            </w:pPr>
            <w:r w:rsidRPr="008A3CA3">
              <w:rPr>
                <w:b/>
                <w:i/>
                <w:sz w:val="22"/>
                <w:szCs w:val="22"/>
              </w:rPr>
              <w:t>33,5</w:t>
            </w:r>
          </w:p>
        </w:tc>
      </w:tr>
      <w:tr w:rsidR="008A3CA3" w:rsidRPr="003A713C" w:rsidTr="002F552C">
        <w:trPr>
          <w:trHeight w:val="19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CA3" w:rsidRPr="003A713C" w:rsidRDefault="008A3CA3">
            <w:pPr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Отчисления на социальные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3CA3" w:rsidRPr="003A713C" w:rsidRDefault="008A3CA3">
            <w:pPr>
              <w:jc w:val="right"/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1742,5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CA3" w:rsidRPr="008A3CA3" w:rsidRDefault="008A3CA3">
            <w:pPr>
              <w:jc w:val="right"/>
              <w:rPr>
                <w:b/>
                <w:i/>
                <w:sz w:val="22"/>
                <w:szCs w:val="22"/>
              </w:rPr>
            </w:pPr>
            <w:r w:rsidRPr="008A3CA3">
              <w:rPr>
                <w:b/>
                <w:i/>
                <w:sz w:val="22"/>
                <w:szCs w:val="22"/>
              </w:rPr>
              <w:t>582,9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CA3" w:rsidRPr="008A3CA3" w:rsidRDefault="008A3CA3">
            <w:pPr>
              <w:jc w:val="right"/>
              <w:rPr>
                <w:b/>
                <w:i/>
                <w:sz w:val="22"/>
                <w:szCs w:val="22"/>
              </w:rPr>
            </w:pPr>
            <w:r w:rsidRPr="008A3CA3">
              <w:rPr>
                <w:b/>
                <w:i/>
                <w:sz w:val="22"/>
                <w:szCs w:val="22"/>
              </w:rPr>
              <w:t>-1159,6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CA3" w:rsidRPr="008A3CA3" w:rsidRDefault="008A3CA3">
            <w:pPr>
              <w:jc w:val="right"/>
              <w:rPr>
                <w:b/>
                <w:i/>
                <w:sz w:val="22"/>
                <w:szCs w:val="22"/>
              </w:rPr>
            </w:pPr>
            <w:r w:rsidRPr="008A3CA3">
              <w:rPr>
                <w:b/>
                <w:i/>
                <w:sz w:val="22"/>
                <w:szCs w:val="22"/>
              </w:rPr>
              <w:t>33,5</w:t>
            </w:r>
          </w:p>
        </w:tc>
      </w:tr>
      <w:tr w:rsidR="00F541CF" w:rsidRPr="003A713C" w:rsidTr="000C73B0">
        <w:trPr>
          <w:trHeight w:val="19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1CF" w:rsidRPr="003A713C" w:rsidRDefault="00F541CF" w:rsidP="00653735">
            <w:pPr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Прочие</w:t>
            </w:r>
            <w:r>
              <w:rPr>
                <w:b/>
                <w:i/>
                <w:sz w:val="22"/>
                <w:szCs w:val="22"/>
              </w:rPr>
              <w:t xml:space="preserve"> расходы, в том числе</w:t>
            </w:r>
            <w:r w:rsidRPr="003A713C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41CF" w:rsidRPr="003A713C" w:rsidRDefault="00F541CF">
            <w:pPr>
              <w:jc w:val="right"/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1539,5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F541CF" w:rsidRDefault="00F541CF">
            <w:pPr>
              <w:jc w:val="right"/>
              <w:rPr>
                <w:b/>
                <w:i/>
                <w:sz w:val="22"/>
                <w:szCs w:val="22"/>
              </w:rPr>
            </w:pPr>
            <w:r w:rsidRPr="00F541CF">
              <w:rPr>
                <w:b/>
                <w:i/>
                <w:sz w:val="22"/>
                <w:szCs w:val="22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F541CF" w:rsidRDefault="00F541CF">
            <w:pPr>
              <w:jc w:val="right"/>
              <w:rPr>
                <w:b/>
                <w:i/>
                <w:sz w:val="22"/>
                <w:szCs w:val="22"/>
              </w:rPr>
            </w:pPr>
            <w:r w:rsidRPr="00F541CF">
              <w:rPr>
                <w:b/>
                <w:i/>
                <w:sz w:val="22"/>
                <w:szCs w:val="22"/>
              </w:rPr>
              <w:t>-1349,9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F541CF" w:rsidRDefault="00F541CF">
            <w:pPr>
              <w:jc w:val="right"/>
              <w:rPr>
                <w:b/>
                <w:i/>
                <w:sz w:val="22"/>
                <w:szCs w:val="22"/>
              </w:rPr>
            </w:pPr>
            <w:r w:rsidRPr="00F541CF">
              <w:rPr>
                <w:b/>
                <w:i/>
                <w:sz w:val="22"/>
                <w:szCs w:val="22"/>
              </w:rPr>
              <w:t>12,3</w:t>
            </w:r>
          </w:p>
        </w:tc>
      </w:tr>
      <w:tr w:rsidR="00AA05F4" w:rsidRPr="00E8383D" w:rsidTr="000C73B0">
        <w:trPr>
          <w:trHeight w:val="16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5F4" w:rsidRPr="003A713C" w:rsidRDefault="00AA05F4" w:rsidP="00D95F59">
            <w:r w:rsidRPr="003A713C">
              <w:rPr>
                <w:sz w:val="22"/>
                <w:szCs w:val="22"/>
              </w:rPr>
              <w:t xml:space="preserve">     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05F4" w:rsidRPr="003A713C" w:rsidRDefault="00AA05F4">
            <w:pPr>
              <w:jc w:val="right"/>
            </w:pPr>
            <w:r w:rsidRPr="003A713C">
              <w:rPr>
                <w:sz w:val="22"/>
                <w:szCs w:val="22"/>
              </w:rPr>
              <w:t>144,6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-119,1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17,6</w:t>
            </w:r>
          </w:p>
        </w:tc>
      </w:tr>
      <w:tr w:rsidR="00AA05F4" w:rsidRPr="00D20F0B" w:rsidTr="000C73B0">
        <w:trPr>
          <w:trHeight w:val="11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5F4" w:rsidRPr="003A713C" w:rsidRDefault="00AA05F4" w:rsidP="00D95F59">
            <w:r w:rsidRPr="003A713C">
              <w:rPr>
                <w:sz w:val="22"/>
                <w:szCs w:val="22"/>
              </w:rPr>
              <w:t xml:space="preserve">     представительские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05F4" w:rsidRPr="003A713C" w:rsidRDefault="00AA05F4">
            <w:pPr>
              <w:jc w:val="right"/>
            </w:pPr>
            <w:r w:rsidRPr="003A713C">
              <w:rPr>
                <w:sz w:val="22"/>
                <w:szCs w:val="22"/>
              </w:rPr>
              <w:t>229,3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-229,3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</w:tr>
      <w:tr w:rsidR="00AA05F4" w:rsidRPr="00D20F0B" w:rsidTr="000C73B0">
        <w:trPr>
          <w:trHeight w:val="11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5F4" w:rsidRPr="003A713C" w:rsidRDefault="00AA05F4" w:rsidP="00D95F59">
            <w:r w:rsidRPr="003A713C">
              <w:rPr>
                <w:sz w:val="22"/>
                <w:szCs w:val="22"/>
              </w:rPr>
              <w:t xml:space="preserve">     программное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05F4" w:rsidRPr="003A713C" w:rsidRDefault="00AA05F4">
            <w:pPr>
              <w:jc w:val="right"/>
            </w:pPr>
            <w:r w:rsidRPr="003A713C">
              <w:rPr>
                <w:sz w:val="22"/>
                <w:szCs w:val="22"/>
              </w:rPr>
              <w:t>308,5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159,1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-149,4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51,6</w:t>
            </w:r>
          </w:p>
        </w:tc>
      </w:tr>
      <w:tr w:rsidR="00D06CBB" w:rsidRPr="006E6CF8" w:rsidTr="000C73B0">
        <w:trPr>
          <w:trHeight w:val="11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CBB" w:rsidRPr="003A713C" w:rsidRDefault="00D06CBB">
            <w:r w:rsidRPr="003A713C">
              <w:rPr>
                <w:sz w:val="22"/>
                <w:szCs w:val="22"/>
              </w:rPr>
              <w:t xml:space="preserve">     консультационные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CBB" w:rsidRPr="003A713C" w:rsidRDefault="00D06CBB">
            <w:pPr>
              <w:jc w:val="right"/>
            </w:pPr>
            <w:r w:rsidRPr="003A713C">
              <w:rPr>
                <w:sz w:val="22"/>
                <w:szCs w:val="22"/>
              </w:rPr>
              <w:t>84,2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 w:rsidP="00B975EA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>
            <w:pPr>
              <w:jc w:val="right"/>
            </w:pPr>
            <w:r w:rsidRPr="00AA05F4">
              <w:rPr>
                <w:sz w:val="22"/>
                <w:szCs w:val="22"/>
              </w:rPr>
              <w:t>-84,2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</w:tr>
      <w:tr w:rsidR="002F11CC" w:rsidRPr="001539B8" w:rsidTr="000C73B0">
        <w:trPr>
          <w:trHeight w:val="12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1CC" w:rsidRPr="003A713C" w:rsidRDefault="002F11CC" w:rsidP="00D95F59">
            <w:r w:rsidRPr="003A713C">
              <w:rPr>
                <w:sz w:val="22"/>
                <w:szCs w:val="22"/>
              </w:rPr>
              <w:t xml:space="preserve">     почтовые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11CC" w:rsidRPr="003A713C" w:rsidRDefault="002F11CC">
            <w:pPr>
              <w:jc w:val="right"/>
            </w:pPr>
            <w:r w:rsidRPr="003A713C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CC" w:rsidRPr="002F11CC" w:rsidRDefault="002F11CC">
            <w:pPr>
              <w:jc w:val="right"/>
            </w:pPr>
            <w:r w:rsidRPr="002F11CC">
              <w:rPr>
                <w:sz w:val="22"/>
                <w:szCs w:val="22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CC" w:rsidRPr="002F11CC" w:rsidRDefault="002F11CC">
            <w:pPr>
              <w:jc w:val="right"/>
            </w:pPr>
            <w:r w:rsidRPr="002F11CC">
              <w:rPr>
                <w:sz w:val="22"/>
                <w:szCs w:val="22"/>
              </w:rPr>
              <w:t>-2,2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1CC" w:rsidRPr="002F11CC" w:rsidRDefault="002F11CC">
            <w:pPr>
              <w:jc w:val="right"/>
            </w:pPr>
            <w:r w:rsidRPr="002F11CC">
              <w:rPr>
                <w:sz w:val="22"/>
                <w:szCs w:val="22"/>
              </w:rPr>
              <w:t>63,3</w:t>
            </w:r>
          </w:p>
        </w:tc>
      </w:tr>
      <w:tr w:rsidR="00D06CBB" w:rsidRPr="00D20F0B" w:rsidTr="000C73B0">
        <w:trPr>
          <w:trHeight w:val="13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CBB" w:rsidRPr="003A713C" w:rsidRDefault="00D06CBB" w:rsidP="00D95F59">
            <w:r w:rsidRPr="003A713C">
              <w:rPr>
                <w:sz w:val="22"/>
                <w:szCs w:val="22"/>
              </w:rPr>
              <w:t xml:space="preserve">     мойка автомобилей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CBB" w:rsidRPr="003A713C" w:rsidRDefault="00D06CBB">
            <w:pPr>
              <w:jc w:val="right"/>
            </w:pPr>
            <w:r w:rsidRPr="003A713C">
              <w:rPr>
                <w:sz w:val="22"/>
                <w:szCs w:val="22"/>
              </w:rPr>
              <w:t>27,2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 w:rsidP="00B975EA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>
            <w:pPr>
              <w:jc w:val="right"/>
            </w:pPr>
            <w:r w:rsidRPr="00AA05F4">
              <w:rPr>
                <w:sz w:val="22"/>
                <w:szCs w:val="22"/>
              </w:rPr>
              <w:t>-27,2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</w:tr>
      <w:tr w:rsidR="00D06CBB" w:rsidRPr="00D20F0B" w:rsidTr="000C73B0">
        <w:trPr>
          <w:trHeight w:val="19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CBB" w:rsidRPr="003A713C" w:rsidRDefault="00D06CBB" w:rsidP="00D95F59">
            <w:r w:rsidRPr="003A713C">
              <w:rPr>
                <w:sz w:val="22"/>
                <w:szCs w:val="22"/>
              </w:rPr>
              <w:t xml:space="preserve">     техническое обслуживание автомобилей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CBB" w:rsidRPr="003A713C" w:rsidRDefault="00D06CBB">
            <w:pPr>
              <w:jc w:val="right"/>
            </w:pPr>
            <w:r w:rsidRPr="003A713C">
              <w:rPr>
                <w:sz w:val="22"/>
                <w:szCs w:val="22"/>
              </w:rPr>
              <w:t>61,0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 w:rsidP="00B975EA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>
            <w:pPr>
              <w:jc w:val="right"/>
            </w:pPr>
            <w:r w:rsidRPr="00AA05F4">
              <w:rPr>
                <w:sz w:val="22"/>
                <w:szCs w:val="22"/>
              </w:rPr>
              <w:t>-61,0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</w:tr>
      <w:tr w:rsidR="00D06CBB" w:rsidRPr="00D20F0B" w:rsidTr="000C73B0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CBB" w:rsidRPr="003A713C" w:rsidRDefault="00D06CBB" w:rsidP="00D95F59">
            <w:r w:rsidRPr="003A713C">
              <w:rPr>
                <w:sz w:val="22"/>
                <w:szCs w:val="22"/>
              </w:rPr>
              <w:t xml:space="preserve">     обучение персонала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CBB" w:rsidRPr="003A713C" w:rsidRDefault="00D06CBB">
            <w:pPr>
              <w:jc w:val="right"/>
            </w:pPr>
            <w:r w:rsidRPr="003A713C">
              <w:rPr>
                <w:sz w:val="22"/>
                <w:szCs w:val="22"/>
              </w:rPr>
              <w:t>183,0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 w:rsidP="00B975EA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>
            <w:pPr>
              <w:jc w:val="right"/>
            </w:pPr>
            <w:r w:rsidRPr="00AA05F4">
              <w:rPr>
                <w:sz w:val="22"/>
                <w:szCs w:val="22"/>
              </w:rPr>
              <w:t>-183,0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CBB" w:rsidRPr="00AA05F4" w:rsidRDefault="00D06CBB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</w:tr>
      <w:tr w:rsidR="00AA05F4" w:rsidRPr="00D611D4" w:rsidTr="000C73B0">
        <w:trPr>
          <w:trHeight w:val="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5F4" w:rsidRPr="003A713C" w:rsidRDefault="00AA05F4" w:rsidP="00D95F59">
            <w:r w:rsidRPr="003A713C">
              <w:rPr>
                <w:sz w:val="22"/>
                <w:szCs w:val="22"/>
              </w:rPr>
              <w:t xml:space="preserve">     командировочные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05F4" w:rsidRPr="003A713C" w:rsidRDefault="00AA05F4">
            <w:pPr>
              <w:jc w:val="right"/>
            </w:pPr>
            <w:r w:rsidRPr="003A713C">
              <w:rPr>
                <w:sz w:val="22"/>
                <w:szCs w:val="22"/>
              </w:rPr>
              <w:t>450,8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-450,8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</w:tr>
      <w:tr w:rsidR="00AA05F4" w:rsidRPr="00D611D4" w:rsidTr="000C73B0">
        <w:trPr>
          <w:trHeight w:val="16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5F4" w:rsidRPr="003A713C" w:rsidRDefault="00AA05F4" w:rsidP="00D95F59">
            <w:r w:rsidRPr="003A713C">
              <w:rPr>
                <w:sz w:val="22"/>
                <w:szCs w:val="22"/>
              </w:rPr>
              <w:t xml:space="preserve">     медицинское освидетельствование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05F4" w:rsidRPr="003A713C" w:rsidRDefault="00AA05F4">
            <w:pPr>
              <w:jc w:val="right"/>
            </w:pPr>
            <w:r w:rsidRPr="003A713C">
              <w:rPr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1258BF">
            <w:pPr>
              <w:jc w:val="right"/>
            </w:pPr>
            <w:r>
              <w:rPr>
                <w:sz w:val="22"/>
                <w:szCs w:val="22"/>
              </w:rPr>
              <w:t>0,</w:t>
            </w:r>
            <w:r w:rsidR="00AA05F4" w:rsidRPr="00AA05F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-13,3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5F4" w:rsidRPr="00AA05F4" w:rsidRDefault="00AA05F4">
            <w:pPr>
              <w:jc w:val="right"/>
            </w:pPr>
            <w:r w:rsidRPr="00AA05F4">
              <w:rPr>
                <w:sz w:val="22"/>
                <w:szCs w:val="22"/>
              </w:rPr>
              <w:t>0,0</w:t>
            </w:r>
          </w:p>
        </w:tc>
      </w:tr>
      <w:tr w:rsidR="001F24CA" w:rsidRPr="001A1BAD" w:rsidTr="000C73B0">
        <w:trPr>
          <w:trHeight w:val="24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4CA" w:rsidRPr="003A713C" w:rsidRDefault="001F24CA" w:rsidP="00D95F59">
            <w:r w:rsidRPr="003A713C">
              <w:rPr>
                <w:sz w:val="22"/>
                <w:szCs w:val="22"/>
              </w:rPr>
              <w:t xml:space="preserve">     аттестация рабочих мест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4CA" w:rsidRPr="003A713C" w:rsidRDefault="001F24CA">
            <w:pPr>
              <w:jc w:val="right"/>
            </w:pPr>
            <w:r w:rsidRPr="003A713C">
              <w:rPr>
                <w:sz w:val="22"/>
                <w:szCs w:val="22"/>
              </w:rPr>
              <w:t>16,5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4CA" w:rsidRPr="001F24CA" w:rsidRDefault="001F24CA">
            <w:pPr>
              <w:jc w:val="right"/>
              <w:rPr>
                <w:sz w:val="22"/>
                <w:szCs w:val="22"/>
              </w:rPr>
            </w:pPr>
            <w:r w:rsidRPr="001F24CA">
              <w:rPr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4CA" w:rsidRPr="001F24CA" w:rsidRDefault="001F24CA">
            <w:pPr>
              <w:jc w:val="right"/>
              <w:rPr>
                <w:sz w:val="22"/>
                <w:szCs w:val="22"/>
              </w:rPr>
            </w:pPr>
            <w:r w:rsidRPr="001F24CA">
              <w:rPr>
                <w:sz w:val="22"/>
                <w:szCs w:val="22"/>
              </w:rPr>
              <w:t>-15,3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4CA" w:rsidRPr="001F24CA" w:rsidRDefault="001F24CA">
            <w:pPr>
              <w:jc w:val="right"/>
              <w:rPr>
                <w:sz w:val="22"/>
                <w:szCs w:val="22"/>
              </w:rPr>
            </w:pPr>
            <w:r w:rsidRPr="001F24CA">
              <w:rPr>
                <w:sz w:val="22"/>
                <w:szCs w:val="22"/>
              </w:rPr>
              <w:t>7,3</w:t>
            </w:r>
          </w:p>
        </w:tc>
      </w:tr>
      <w:tr w:rsidR="001258BF" w:rsidRPr="00D20F0B" w:rsidTr="000C73B0">
        <w:trPr>
          <w:trHeight w:val="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8BF" w:rsidRPr="003A713C" w:rsidRDefault="001258BF" w:rsidP="00D95F59">
            <w:r w:rsidRPr="003A713C">
              <w:rPr>
                <w:sz w:val="22"/>
                <w:szCs w:val="22"/>
              </w:rPr>
              <w:t xml:space="preserve">     </w:t>
            </w:r>
            <w:proofErr w:type="spellStart"/>
            <w:r w:rsidRPr="003A713C">
              <w:rPr>
                <w:sz w:val="22"/>
                <w:szCs w:val="22"/>
              </w:rPr>
              <w:t>предрейсовый</w:t>
            </w:r>
            <w:proofErr w:type="spellEnd"/>
            <w:r w:rsidRPr="003A713C">
              <w:rPr>
                <w:sz w:val="22"/>
                <w:szCs w:val="22"/>
              </w:rPr>
              <w:t xml:space="preserve"> осмотр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58BF" w:rsidRPr="003A713C" w:rsidRDefault="001258BF">
            <w:pPr>
              <w:jc w:val="right"/>
            </w:pPr>
            <w:r w:rsidRPr="003A713C">
              <w:rPr>
                <w:sz w:val="22"/>
                <w:szCs w:val="22"/>
              </w:rPr>
              <w:t>15,2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BF" w:rsidRPr="00AA05F4" w:rsidRDefault="001258BF" w:rsidP="005C788B">
            <w:pPr>
              <w:jc w:val="right"/>
            </w:pPr>
            <w:r>
              <w:rPr>
                <w:sz w:val="22"/>
                <w:szCs w:val="22"/>
              </w:rPr>
              <w:t>0,</w:t>
            </w:r>
            <w:r w:rsidRPr="00AA05F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BF" w:rsidRPr="001258BF" w:rsidRDefault="001258BF">
            <w:pPr>
              <w:jc w:val="right"/>
              <w:rPr>
                <w:sz w:val="22"/>
                <w:szCs w:val="22"/>
              </w:rPr>
            </w:pPr>
            <w:r w:rsidRPr="001258BF">
              <w:rPr>
                <w:sz w:val="22"/>
                <w:szCs w:val="22"/>
              </w:rPr>
              <w:t>-15,2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BF" w:rsidRPr="001258BF" w:rsidRDefault="001258BF">
            <w:pPr>
              <w:jc w:val="right"/>
              <w:rPr>
                <w:sz w:val="22"/>
                <w:szCs w:val="22"/>
              </w:rPr>
            </w:pPr>
            <w:r w:rsidRPr="00AA05F4">
              <w:rPr>
                <w:sz w:val="22"/>
                <w:szCs w:val="22"/>
              </w:rPr>
              <w:t>100,0</w:t>
            </w:r>
          </w:p>
        </w:tc>
      </w:tr>
      <w:tr w:rsidR="00F541CF" w:rsidRPr="003A713C" w:rsidTr="000C73B0">
        <w:trPr>
          <w:trHeight w:val="20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1CF" w:rsidRPr="003A713C" w:rsidRDefault="00F541CF" w:rsidP="003A713C">
            <w:pPr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Расходы на аренду</w:t>
            </w:r>
            <w:r>
              <w:rPr>
                <w:b/>
                <w:i/>
                <w:sz w:val="22"/>
                <w:szCs w:val="22"/>
              </w:rPr>
              <w:t>, в том числе:</w:t>
            </w:r>
            <w:r w:rsidRPr="003A713C">
              <w:rPr>
                <w:b/>
                <w:i/>
                <w:sz w:val="22"/>
                <w:szCs w:val="22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41CF" w:rsidRPr="003A713C" w:rsidRDefault="00F541CF">
            <w:pPr>
              <w:jc w:val="right"/>
              <w:rPr>
                <w:b/>
                <w:i/>
              </w:rPr>
            </w:pPr>
            <w:r w:rsidRPr="003A713C">
              <w:rPr>
                <w:b/>
                <w:i/>
                <w:sz w:val="22"/>
                <w:szCs w:val="22"/>
              </w:rPr>
              <w:t>7250,5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F541CF" w:rsidRDefault="00F541CF">
            <w:pPr>
              <w:jc w:val="right"/>
              <w:rPr>
                <w:b/>
                <w:i/>
                <w:sz w:val="22"/>
                <w:szCs w:val="22"/>
              </w:rPr>
            </w:pPr>
            <w:r w:rsidRPr="00F541CF">
              <w:rPr>
                <w:b/>
                <w:i/>
                <w:sz w:val="22"/>
                <w:szCs w:val="22"/>
              </w:rPr>
              <w:t>529,8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F541CF" w:rsidRDefault="00F541CF">
            <w:pPr>
              <w:jc w:val="right"/>
              <w:rPr>
                <w:b/>
                <w:i/>
                <w:sz w:val="22"/>
                <w:szCs w:val="22"/>
              </w:rPr>
            </w:pPr>
            <w:r w:rsidRPr="00F541CF">
              <w:rPr>
                <w:b/>
                <w:i/>
                <w:sz w:val="22"/>
                <w:szCs w:val="22"/>
              </w:rPr>
              <w:t>-6720,7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F541CF" w:rsidRDefault="00F541CF">
            <w:pPr>
              <w:jc w:val="right"/>
              <w:rPr>
                <w:b/>
                <w:i/>
                <w:sz w:val="22"/>
                <w:szCs w:val="22"/>
              </w:rPr>
            </w:pPr>
            <w:r w:rsidRPr="00F541CF">
              <w:rPr>
                <w:b/>
                <w:i/>
                <w:sz w:val="22"/>
                <w:szCs w:val="22"/>
              </w:rPr>
              <w:t>7,3</w:t>
            </w:r>
          </w:p>
        </w:tc>
      </w:tr>
      <w:tr w:rsidR="0042124B" w:rsidRPr="00D611D4" w:rsidTr="000C73B0">
        <w:trPr>
          <w:trHeight w:val="1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24B" w:rsidRPr="003A713C" w:rsidRDefault="0042124B" w:rsidP="00D95F59">
            <w:r w:rsidRPr="003A713C">
              <w:rPr>
                <w:sz w:val="22"/>
                <w:szCs w:val="22"/>
              </w:rPr>
              <w:t xml:space="preserve">   аренда объектов электросетевого  хозяйства, в </w:t>
            </w:r>
            <w:proofErr w:type="spellStart"/>
            <w:r w:rsidRPr="003A713C">
              <w:rPr>
                <w:sz w:val="22"/>
                <w:szCs w:val="22"/>
              </w:rPr>
              <w:t>т.ч</w:t>
            </w:r>
            <w:proofErr w:type="spellEnd"/>
            <w:r w:rsidRPr="003A713C">
              <w:rPr>
                <w:sz w:val="22"/>
                <w:szCs w:val="22"/>
              </w:rPr>
              <w:t>.: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124B" w:rsidRPr="003A713C" w:rsidRDefault="0042124B">
            <w:pPr>
              <w:jc w:val="right"/>
            </w:pPr>
            <w:r w:rsidRPr="003A713C">
              <w:rPr>
                <w:sz w:val="22"/>
                <w:szCs w:val="22"/>
              </w:rPr>
              <w:t>6620,4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400,2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-6220,2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6,0</w:t>
            </w:r>
          </w:p>
        </w:tc>
      </w:tr>
      <w:tr w:rsidR="0042124B" w:rsidRPr="00D611D4" w:rsidTr="000C73B0">
        <w:trPr>
          <w:trHeight w:val="1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24B" w:rsidRDefault="0042124B" w:rsidP="00B71E7E">
            <w:r>
              <w:rPr>
                <w:sz w:val="22"/>
                <w:szCs w:val="22"/>
              </w:rPr>
              <w:t xml:space="preserve">     по договору с ИП Михайловым П.А.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24B" w:rsidRDefault="0042124B">
            <w:r>
              <w:rPr>
                <w:sz w:val="22"/>
                <w:szCs w:val="22"/>
              </w:rPr>
              <w:t xml:space="preserve">          1016,2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-995,0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2,1</w:t>
            </w:r>
          </w:p>
        </w:tc>
      </w:tr>
      <w:tr w:rsidR="0042124B" w:rsidRPr="00D611D4" w:rsidTr="000C73B0">
        <w:trPr>
          <w:trHeight w:val="2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24B" w:rsidRDefault="0042124B">
            <w:r>
              <w:rPr>
                <w:sz w:val="22"/>
                <w:szCs w:val="22"/>
              </w:rPr>
              <w:t xml:space="preserve">     по договору с АО "</w:t>
            </w:r>
            <w:proofErr w:type="spellStart"/>
            <w:r>
              <w:rPr>
                <w:sz w:val="22"/>
                <w:szCs w:val="22"/>
              </w:rPr>
              <w:t>СибПСК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24B" w:rsidRDefault="0042124B" w:rsidP="00815D42">
            <w:r>
              <w:rPr>
                <w:sz w:val="22"/>
                <w:szCs w:val="22"/>
              </w:rPr>
              <w:t xml:space="preserve">          1244,1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-898,6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27,8</w:t>
            </w:r>
          </w:p>
        </w:tc>
      </w:tr>
      <w:tr w:rsidR="0042124B" w:rsidRPr="00D611D4" w:rsidTr="000C73B0">
        <w:trPr>
          <w:trHeight w:val="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24B" w:rsidRDefault="0042124B">
            <w:r>
              <w:rPr>
                <w:sz w:val="22"/>
                <w:szCs w:val="22"/>
              </w:rPr>
              <w:t xml:space="preserve">     по договору с ООО "НЭСК"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24B" w:rsidRDefault="0042124B" w:rsidP="00815D42">
            <w:pPr>
              <w:jc w:val="right"/>
            </w:pPr>
            <w:r>
              <w:rPr>
                <w:sz w:val="22"/>
                <w:szCs w:val="22"/>
              </w:rPr>
              <w:t xml:space="preserve">         1973,6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-1953,7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1,0</w:t>
            </w:r>
          </w:p>
        </w:tc>
      </w:tr>
      <w:tr w:rsidR="0042124B" w:rsidRPr="00356B68" w:rsidTr="000C73B0">
        <w:trPr>
          <w:trHeight w:val="1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24B" w:rsidRDefault="0042124B">
            <w:r>
              <w:rPr>
                <w:sz w:val="22"/>
                <w:szCs w:val="22"/>
              </w:rPr>
              <w:t xml:space="preserve">     по договору с ИП </w:t>
            </w:r>
            <w:proofErr w:type="spellStart"/>
            <w:r>
              <w:rPr>
                <w:sz w:val="22"/>
                <w:szCs w:val="22"/>
              </w:rPr>
              <w:t>Тимошик</w:t>
            </w:r>
            <w:proofErr w:type="spellEnd"/>
            <w:r>
              <w:rPr>
                <w:sz w:val="22"/>
                <w:szCs w:val="22"/>
              </w:rPr>
              <w:t xml:space="preserve"> И.В.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24B" w:rsidRDefault="0042124B" w:rsidP="00815D42">
            <w:r>
              <w:rPr>
                <w:sz w:val="22"/>
                <w:szCs w:val="22"/>
              </w:rPr>
              <w:t xml:space="preserve">          2386,5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-2372,9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24B" w:rsidRPr="0042124B" w:rsidRDefault="0042124B">
            <w:pPr>
              <w:jc w:val="right"/>
            </w:pPr>
            <w:r w:rsidRPr="0042124B">
              <w:rPr>
                <w:sz w:val="22"/>
                <w:szCs w:val="22"/>
              </w:rPr>
              <w:t>0,6</w:t>
            </w:r>
          </w:p>
        </w:tc>
      </w:tr>
      <w:tr w:rsidR="00B515AB" w:rsidRPr="006E6CF8" w:rsidTr="000C73B0">
        <w:trPr>
          <w:trHeight w:val="1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5AB" w:rsidRPr="003A713C" w:rsidRDefault="00B515AB">
            <w:r w:rsidRPr="003A713C">
              <w:rPr>
                <w:sz w:val="22"/>
                <w:szCs w:val="22"/>
              </w:rPr>
              <w:t xml:space="preserve">  аренда офиса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5AB" w:rsidRPr="003A713C" w:rsidRDefault="00B515AB">
            <w:pPr>
              <w:jc w:val="right"/>
            </w:pPr>
            <w:r w:rsidRPr="003A713C">
              <w:rPr>
                <w:sz w:val="22"/>
                <w:szCs w:val="22"/>
              </w:rPr>
              <w:t>150,1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5AB" w:rsidRPr="00B515AB" w:rsidRDefault="00B515AB">
            <w:pPr>
              <w:jc w:val="right"/>
              <w:rPr>
                <w:sz w:val="22"/>
                <w:szCs w:val="22"/>
              </w:rPr>
            </w:pPr>
            <w:r w:rsidRPr="00B515AB">
              <w:rPr>
                <w:sz w:val="22"/>
                <w:szCs w:val="22"/>
              </w:rPr>
              <w:t>129,6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5AB" w:rsidRPr="00B515AB" w:rsidRDefault="00B515AB">
            <w:pPr>
              <w:jc w:val="right"/>
              <w:rPr>
                <w:sz w:val="22"/>
                <w:szCs w:val="22"/>
              </w:rPr>
            </w:pPr>
            <w:r w:rsidRPr="00B515AB">
              <w:rPr>
                <w:sz w:val="22"/>
                <w:szCs w:val="22"/>
              </w:rPr>
              <w:t>-20,5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5AB" w:rsidRPr="00B515AB" w:rsidRDefault="00B515AB">
            <w:pPr>
              <w:jc w:val="right"/>
              <w:rPr>
                <w:sz w:val="22"/>
                <w:szCs w:val="22"/>
              </w:rPr>
            </w:pPr>
            <w:r w:rsidRPr="00B515AB">
              <w:rPr>
                <w:sz w:val="22"/>
                <w:szCs w:val="22"/>
              </w:rPr>
              <w:t>86,3</w:t>
            </w:r>
          </w:p>
        </w:tc>
      </w:tr>
      <w:tr w:rsidR="00F541CF" w:rsidRPr="00F94417" w:rsidTr="000C73B0">
        <w:trPr>
          <w:trHeight w:val="1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1CF" w:rsidRPr="003A713C" w:rsidRDefault="00F541CF" w:rsidP="00D95F59">
            <w:r w:rsidRPr="003A713C">
              <w:rPr>
                <w:sz w:val="22"/>
                <w:szCs w:val="22"/>
              </w:rPr>
              <w:t xml:space="preserve">  аренда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41CF" w:rsidRPr="003A713C" w:rsidRDefault="00F541CF">
            <w:pPr>
              <w:jc w:val="right"/>
            </w:pPr>
            <w:r w:rsidRPr="003A713C">
              <w:rPr>
                <w:sz w:val="22"/>
                <w:szCs w:val="22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ED60F2" w:rsidRDefault="00F541CF" w:rsidP="005C788B">
            <w:pPr>
              <w:jc w:val="right"/>
            </w:pPr>
            <w:r w:rsidRPr="00ED60F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ED60F2" w:rsidRDefault="00F541CF" w:rsidP="005C788B">
            <w:pPr>
              <w:jc w:val="right"/>
            </w:pPr>
            <w:r>
              <w:rPr>
                <w:sz w:val="22"/>
                <w:szCs w:val="22"/>
              </w:rPr>
              <w:t>-48</w:t>
            </w:r>
            <w:r w:rsidRPr="00ED60F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1CF" w:rsidRPr="00ED60F2" w:rsidRDefault="00F541CF">
            <w:pPr>
              <w:jc w:val="right"/>
            </w:pPr>
            <w:r w:rsidRPr="00ED60F2">
              <w:rPr>
                <w:sz w:val="22"/>
                <w:szCs w:val="22"/>
              </w:rPr>
              <w:t>0,0</w:t>
            </w:r>
          </w:p>
        </w:tc>
      </w:tr>
      <w:tr w:rsidR="00B515AB" w:rsidRPr="00E83C0B" w:rsidTr="00D42184">
        <w:trPr>
          <w:trHeight w:val="17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5AB" w:rsidRPr="00DB0644" w:rsidRDefault="00B515AB" w:rsidP="001D024B">
            <w:pPr>
              <w:rPr>
                <w:b/>
              </w:rPr>
            </w:pPr>
            <w:r w:rsidRPr="00DB0644">
              <w:rPr>
                <w:b/>
                <w:sz w:val="22"/>
                <w:szCs w:val="22"/>
              </w:rPr>
              <w:t xml:space="preserve">Расходы на содержание объектов электросетевого хозяйства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5AB" w:rsidRPr="00630FE8" w:rsidRDefault="00B515AB" w:rsidP="00D42184">
            <w:pPr>
              <w:jc w:val="right"/>
              <w:rPr>
                <w:b/>
              </w:rPr>
            </w:pPr>
            <w:r w:rsidRPr="00630FE8">
              <w:rPr>
                <w:b/>
                <w:sz w:val="22"/>
                <w:szCs w:val="22"/>
              </w:rPr>
              <w:t xml:space="preserve">       36 230,5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5AB" w:rsidRPr="00B515AB" w:rsidRDefault="00B515AB" w:rsidP="00B975EA">
            <w:pPr>
              <w:rPr>
                <w:b/>
                <w:sz w:val="22"/>
                <w:szCs w:val="22"/>
              </w:rPr>
            </w:pPr>
            <w:r w:rsidRPr="00B515AB">
              <w:rPr>
                <w:b/>
                <w:sz w:val="22"/>
                <w:szCs w:val="22"/>
              </w:rPr>
              <w:t xml:space="preserve">       7 517,2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5AB" w:rsidRPr="00B515AB" w:rsidRDefault="00B515AB" w:rsidP="00B975EA">
            <w:pPr>
              <w:jc w:val="right"/>
              <w:rPr>
                <w:b/>
                <w:sz w:val="22"/>
                <w:szCs w:val="22"/>
              </w:rPr>
            </w:pPr>
            <w:r w:rsidRPr="00B515AB">
              <w:rPr>
                <w:b/>
                <w:sz w:val="22"/>
                <w:szCs w:val="22"/>
              </w:rPr>
              <w:t>-28713,3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5AB" w:rsidRPr="00B515AB" w:rsidRDefault="00B515AB" w:rsidP="00B975EA">
            <w:pPr>
              <w:jc w:val="right"/>
              <w:rPr>
                <w:b/>
                <w:sz w:val="22"/>
                <w:szCs w:val="22"/>
              </w:rPr>
            </w:pPr>
            <w:r w:rsidRPr="00B515AB">
              <w:rPr>
                <w:b/>
                <w:sz w:val="22"/>
                <w:szCs w:val="22"/>
              </w:rPr>
              <w:t>20,7</w:t>
            </w:r>
          </w:p>
        </w:tc>
      </w:tr>
      <w:tr w:rsidR="00A74B5A" w:rsidRPr="00994E62" w:rsidTr="005C788B">
        <w:trPr>
          <w:trHeight w:val="1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5A" w:rsidRPr="00AC5F75" w:rsidRDefault="00A74B5A" w:rsidP="001D024B">
            <w:r w:rsidRPr="00AC5F75">
              <w:t>Расходы на покупку технологического расхода (потерь), относимые на услуги по передаче э/э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B5A" w:rsidRPr="00994E62" w:rsidRDefault="00A74B5A">
            <w:pPr>
              <w:jc w:val="right"/>
            </w:pPr>
            <w:r w:rsidRPr="00994E62">
              <w:rPr>
                <w:sz w:val="22"/>
                <w:szCs w:val="22"/>
              </w:rPr>
              <w:t>7438,5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994E62" w:rsidRDefault="00E131E9">
            <w:pPr>
              <w:jc w:val="right"/>
            </w:pPr>
            <w:r>
              <w:rPr>
                <w:sz w:val="22"/>
                <w:szCs w:val="22"/>
              </w:rPr>
              <w:t>6738,2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994E62" w:rsidRDefault="00A74B5A" w:rsidP="00E131E9">
            <w:pPr>
              <w:jc w:val="right"/>
            </w:pPr>
            <w:r w:rsidRPr="00994E62">
              <w:rPr>
                <w:sz w:val="22"/>
                <w:szCs w:val="22"/>
              </w:rPr>
              <w:t>-700,</w:t>
            </w:r>
            <w:r w:rsidR="00E131E9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994E62" w:rsidRDefault="00A74B5A">
            <w:pPr>
              <w:jc w:val="right"/>
            </w:pPr>
            <w:r w:rsidRPr="00994E62">
              <w:rPr>
                <w:sz w:val="22"/>
                <w:szCs w:val="22"/>
              </w:rPr>
              <w:t>90,6</w:t>
            </w:r>
          </w:p>
        </w:tc>
      </w:tr>
      <w:tr w:rsidR="00C66AF1" w:rsidRPr="00DE482A" w:rsidTr="00D42184">
        <w:trPr>
          <w:trHeight w:val="15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AF1" w:rsidRPr="00DE482A" w:rsidRDefault="00C66AF1" w:rsidP="00DE482A">
            <w:pPr>
              <w:rPr>
                <w:b/>
              </w:rPr>
            </w:pPr>
            <w:r w:rsidRPr="00DE482A">
              <w:rPr>
                <w:b/>
              </w:rPr>
              <w:t>Необходимая валовая выручка (НВВ) от деятельности по оказанию услуг по передаче э/э,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AF1" w:rsidRPr="00DE482A" w:rsidRDefault="00C66AF1" w:rsidP="00994E62">
            <w:pPr>
              <w:jc w:val="right"/>
              <w:rPr>
                <w:b/>
              </w:rPr>
            </w:pPr>
            <w:r w:rsidRPr="00DE482A">
              <w:rPr>
                <w:b/>
                <w:sz w:val="22"/>
                <w:szCs w:val="22"/>
              </w:rPr>
              <w:t xml:space="preserve">       43 669,0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rPr>
                <w:b/>
                <w:sz w:val="22"/>
                <w:szCs w:val="22"/>
              </w:rPr>
            </w:pPr>
            <w:r w:rsidRPr="00C66AF1">
              <w:rPr>
                <w:b/>
                <w:sz w:val="22"/>
                <w:szCs w:val="22"/>
              </w:rPr>
              <w:t xml:space="preserve">     14 255,4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b/>
                <w:sz w:val="22"/>
                <w:szCs w:val="22"/>
              </w:rPr>
            </w:pPr>
            <w:r w:rsidRPr="00C66AF1">
              <w:rPr>
                <w:b/>
                <w:sz w:val="22"/>
                <w:szCs w:val="22"/>
              </w:rPr>
              <w:t>-29413,6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b/>
                <w:sz w:val="22"/>
                <w:szCs w:val="22"/>
              </w:rPr>
            </w:pPr>
            <w:r w:rsidRPr="00C66AF1">
              <w:rPr>
                <w:b/>
                <w:sz w:val="22"/>
                <w:szCs w:val="22"/>
              </w:rPr>
              <w:t>32,6</w:t>
            </w:r>
          </w:p>
        </w:tc>
      </w:tr>
      <w:tr w:rsidR="00C66AF1" w:rsidRPr="00356B68" w:rsidTr="005C788B">
        <w:trPr>
          <w:trHeight w:val="37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AF1" w:rsidRPr="00EF5C94" w:rsidRDefault="00C66AF1" w:rsidP="002F552C">
            <w:r>
              <w:t xml:space="preserve">          </w:t>
            </w:r>
            <w:r w:rsidRPr="00EF5C94">
              <w:t>на содержание электросетевого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AF1" w:rsidRPr="00DE482A" w:rsidRDefault="00C66AF1" w:rsidP="00994E62">
            <w:pPr>
              <w:jc w:val="right"/>
            </w:pPr>
            <w:r w:rsidRPr="00DE482A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</w:t>
            </w:r>
            <w:r w:rsidRPr="00DE482A">
              <w:rPr>
                <w:sz w:val="22"/>
                <w:szCs w:val="22"/>
              </w:rPr>
              <w:t xml:space="preserve">36 230,5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 w:rsidP="00C66AF1">
            <w:pPr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 xml:space="preserve">       7 517,2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-28713,3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20,7</w:t>
            </w:r>
          </w:p>
        </w:tc>
      </w:tr>
      <w:tr w:rsidR="00A74B5A" w:rsidRPr="00356B68" w:rsidTr="005C788B">
        <w:trPr>
          <w:trHeight w:val="37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5A" w:rsidRPr="00EF5C94" w:rsidRDefault="00A74B5A" w:rsidP="002F552C">
            <w:r w:rsidRPr="00EF5C94">
              <w:t xml:space="preserve">          на оплату технологического расхода (потерь)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B5A" w:rsidRPr="00DE482A" w:rsidRDefault="00A74B5A" w:rsidP="00994E62">
            <w:pPr>
              <w:jc w:val="right"/>
            </w:pPr>
            <w:r>
              <w:rPr>
                <w:sz w:val="22"/>
                <w:szCs w:val="22"/>
              </w:rPr>
              <w:t xml:space="preserve">         </w:t>
            </w:r>
            <w:r w:rsidRPr="00DE482A">
              <w:rPr>
                <w:sz w:val="22"/>
                <w:szCs w:val="22"/>
              </w:rPr>
              <w:t>7438,5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994E62" w:rsidRDefault="00A74B5A" w:rsidP="0025368A">
            <w:pPr>
              <w:jc w:val="right"/>
            </w:pPr>
            <w:r w:rsidRPr="00994E62">
              <w:rPr>
                <w:sz w:val="22"/>
                <w:szCs w:val="22"/>
              </w:rPr>
              <w:t>6738,</w:t>
            </w:r>
            <w:r w:rsidR="0025368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994E62" w:rsidRDefault="00A74B5A" w:rsidP="0025368A">
            <w:pPr>
              <w:jc w:val="right"/>
            </w:pPr>
            <w:r w:rsidRPr="00994E62">
              <w:rPr>
                <w:sz w:val="22"/>
                <w:szCs w:val="22"/>
              </w:rPr>
              <w:t>-700,</w:t>
            </w:r>
            <w:r w:rsidR="0025368A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994E62" w:rsidRDefault="00A74B5A" w:rsidP="005C788B">
            <w:pPr>
              <w:jc w:val="right"/>
            </w:pPr>
            <w:r w:rsidRPr="00994E62">
              <w:rPr>
                <w:sz w:val="22"/>
                <w:szCs w:val="22"/>
              </w:rPr>
              <w:t>90,6</w:t>
            </w:r>
          </w:p>
        </w:tc>
      </w:tr>
      <w:tr w:rsidR="00A74B5A" w:rsidRPr="00356B68" w:rsidTr="00D42184">
        <w:trPr>
          <w:trHeight w:val="37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5A" w:rsidRPr="00AC5F75" w:rsidRDefault="00A74B5A" w:rsidP="001D024B">
            <w:r w:rsidRPr="00AC5F75">
              <w:t>у.е.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B5A" w:rsidRPr="00A24929" w:rsidRDefault="00A74B5A" w:rsidP="00994E62">
            <w:pPr>
              <w:jc w:val="right"/>
            </w:pPr>
            <w:r w:rsidRPr="00DE482A">
              <w:rPr>
                <w:sz w:val="22"/>
                <w:szCs w:val="22"/>
              </w:rPr>
              <w:t>693,7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324868" w:rsidRDefault="00A74B5A" w:rsidP="00D42184">
            <w:pPr>
              <w:jc w:val="right"/>
            </w:pPr>
            <w:r w:rsidRPr="00324868">
              <w:rPr>
                <w:sz w:val="22"/>
                <w:szCs w:val="22"/>
              </w:rPr>
              <w:t>649,8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2B0E3F" w:rsidRDefault="00A74B5A" w:rsidP="00764A8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2B0E3F" w:rsidRDefault="00A74B5A" w:rsidP="00764A8C">
            <w:pPr>
              <w:jc w:val="right"/>
            </w:pPr>
          </w:p>
        </w:tc>
      </w:tr>
      <w:tr w:rsidR="00C66AF1" w:rsidRPr="00356B68" w:rsidTr="00AF4B0C">
        <w:trPr>
          <w:trHeight w:val="27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AF1" w:rsidRPr="00AC5F75" w:rsidRDefault="00C66AF1" w:rsidP="001D024B">
            <w:r w:rsidRPr="00AC5F75">
              <w:t>Удельный размер НВВ на содержание объектов электросетевого хозяйства, руб./</w:t>
            </w:r>
            <w:proofErr w:type="spellStart"/>
            <w:r w:rsidRPr="00AC5F75">
              <w:t>кВтч</w:t>
            </w:r>
            <w:proofErr w:type="spellEnd"/>
            <w:r w:rsidRPr="00AC5F75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AF1" w:rsidRPr="00DE482A" w:rsidRDefault="00C66AF1" w:rsidP="00994E62">
            <w:pPr>
              <w:jc w:val="right"/>
            </w:pPr>
            <w:r w:rsidRPr="00DE482A">
              <w:rPr>
                <w:sz w:val="22"/>
                <w:szCs w:val="22"/>
              </w:rPr>
              <w:t>1,2272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0,2690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-1,0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20,7</w:t>
            </w:r>
          </w:p>
        </w:tc>
      </w:tr>
      <w:tr w:rsidR="00C66AF1" w:rsidRPr="00356B68" w:rsidTr="00AF4B0C">
        <w:trPr>
          <w:trHeight w:val="1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AF1" w:rsidRPr="00AC5F75" w:rsidRDefault="00C66AF1" w:rsidP="001D024B">
            <w:proofErr w:type="spellStart"/>
            <w:r w:rsidRPr="00AC5F75">
              <w:lastRenderedPageBreak/>
              <w:t>Одноставочный</w:t>
            </w:r>
            <w:proofErr w:type="spellEnd"/>
            <w:r w:rsidRPr="00AC5F75">
              <w:t xml:space="preserve"> тариф на услуги по передаче электрической энергии, руб./</w:t>
            </w:r>
            <w:proofErr w:type="spellStart"/>
            <w:r w:rsidRPr="00AC5F75">
              <w:t>кВтч</w:t>
            </w:r>
            <w:proofErr w:type="spellEnd"/>
            <w:r w:rsidRPr="00AC5F75"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AF1" w:rsidRPr="00DE482A" w:rsidRDefault="00C66AF1">
            <w:pPr>
              <w:jc w:val="right"/>
            </w:pPr>
            <w:r w:rsidRPr="00DE482A">
              <w:rPr>
                <w:sz w:val="22"/>
                <w:szCs w:val="22"/>
              </w:rPr>
              <w:t>1,4792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0,5101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-1,1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AF1" w:rsidRPr="00C66AF1" w:rsidRDefault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32,6</w:t>
            </w:r>
          </w:p>
        </w:tc>
      </w:tr>
      <w:tr w:rsidR="00A74B5A" w:rsidRPr="00356B68" w:rsidTr="00140B2B">
        <w:trPr>
          <w:trHeight w:val="2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5A" w:rsidRPr="00AC5F75" w:rsidRDefault="00A74B5A" w:rsidP="001D024B">
            <w:r w:rsidRPr="00AC5F75">
              <w:t>СПРАВОЧНО: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B5A" w:rsidRPr="00DE482A" w:rsidRDefault="00A74B5A" w:rsidP="001D024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B5A" w:rsidRPr="00A22432" w:rsidRDefault="00A74B5A" w:rsidP="006260DA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A22432" w:rsidRDefault="00A74B5A" w:rsidP="00764A8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A22432" w:rsidRDefault="00A74B5A" w:rsidP="00764A8C">
            <w:pPr>
              <w:jc w:val="right"/>
            </w:pPr>
          </w:p>
        </w:tc>
      </w:tr>
      <w:tr w:rsidR="00A74B5A" w:rsidRPr="00356B68" w:rsidTr="00140B2B">
        <w:trPr>
          <w:trHeight w:val="2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5A" w:rsidRPr="002442B9" w:rsidRDefault="00A74B5A" w:rsidP="001D024B">
            <w:r w:rsidRPr="002442B9">
              <w:t>Средняя зарплата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B5A" w:rsidRPr="00DE482A" w:rsidRDefault="00A74B5A" w:rsidP="00C0629E">
            <w:pPr>
              <w:jc w:val="right"/>
            </w:pPr>
            <w:r>
              <w:rPr>
                <w:sz w:val="22"/>
                <w:szCs w:val="22"/>
              </w:rPr>
              <w:t>43424,0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B5A" w:rsidRPr="00A22432" w:rsidRDefault="00A74B5A" w:rsidP="00ED60F2">
            <w:pPr>
              <w:jc w:val="right"/>
            </w:pPr>
            <w:r w:rsidRPr="00ED60F2">
              <w:rPr>
                <w:sz w:val="22"/>
                <w:szCs w:val="22"/>
              </w:rPr>
              <w:t>38097,0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A22432" w:rsidRDefault="00A74B5A" w:rsidP="00764A8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A22432" w:rsidRDefault="00A74B5A" w:rsidP="00764A8C">
            <w:pPr>
              <w:jc w:val="right"/>
            </w:pPr>
          </w:p>
        </w:tc>
      </w:tr>
      <w:tr w:rsidR="00A74B5A" w:rsidRPr="00356B68" w:rsidTr="00140B2B">
        <w:trPr>
          <w:trHeight w:val="2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5A" w:rsidRPr="002442B9" w:rsidRDefault="00A74B5A" w:rsidP="001D024B">
            <w:r w:rsidRPr="002442B9">
              <w:t xml:space="preserve">Численность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B5A" w:rsidRPr="00DE482A" w:rsidRDefault="00A74B5A" w:rsidP="00C0629E">
            <w:pPr>
              <w:jc w:val="right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B5A" w:rsidRPr="00FC0ECE" w:rsidRDefault="00FC0ECE" w:rsidP="00ED60F2">
            <w:pPr>
              <w:jc w:val="right"/>
              <w:rPr>
                <w:sz w:val="22"/>
                <w:szCs w:val="22"/>
              </w:rPr>
            </w:pPr>
            <w:r w:rsidRPr="00FC0ECE">
              <w:rPr>
                <w:sz w:val="22"/>
                <w:szCs w:val="22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2B0E3F" w:rsidRDefault="00A74B5A" w:rsidP="00764A8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B5A" w:rsidRPr="002B0E3F" w:rsidRDefault="00A74B5A" w:rsidP="00764A8C">
            <w:pPr>
              <w:jc w:val="right"/>
            </w:pPr>
          </w:p>
        </w:tc>
      </w:tr>
      <w:tr w:rsidR="00C66AF1" w:rsidRPr="00356B68" w:rsidTr="00C66AF1">
        <w:trPr>
          <w:trHeight w:val="2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AF1" w:rsidRDefault="00C66AF1" w:rsidP="001D024B">
            <w:r w:rsidRPr="002442B9">
              <w:t xml:space="preserve">Удельные расходы на содержание электросетевого оборудования на у.е., </w:t>
            </w:r>
            <w:proofErr w:type="spellStart"/>
            <w:r w:rsidRPr="002442B9">
              <w:t>тыс</w:t>
            </w:r>
            <w:proofErr w:type="gramStart"/>
            <w:r w:rsidRPr="002442B9">
              <w:t>.р</w:t>
            </w:r>
            <w:proofErr w:type="gramEnd"/>
            <w:r w:rsidRPr="002442B9">
              <w:t>уб</w:t>
            </w:r>
            <w:proofErr w:type="spellEnd"/>
            <w:r w:rsidRPr="002442B9">
              <w:t>./у.е.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AF1" w:rsidRPr="00DE482A" w:rsidRDefault="00C66AF1" w:rsidP="00DE482A">
            <w:pPr>
              <w:jc w:val="right"/>
            </w:pPr>
            <w:r w:rsidRPr="00DE482A">
              <w:rPr>
                <w:sz w:val="22"/>
                <w:szCs w:val="22"/>
              </w:rPr>
              <w:t xml:space="preserve">                          52,23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AF1" w:rsidRPr="00C66AF1" w:rsidRDefault="00C66AF1" w:rsidP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 xml:space="preserve"> 11,57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AF1" w:rsidRPr="00C66AF1" w:rsidRDefault="00C66AF1" w:rsidP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-40,7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AF1" w:rsidRPr="00C66AF1" w:rsidRDefault="00C66AF1" w:rsidP="00C66AF1">
            <w:pPr>
              <w:jc w:val="right"/>
              <w:rPr>
                <w:sz w:val="22"/>
                <w:szCs w:val="22"/>
              </w:rPr>
            </w:pPr>
            <w:r w:rsidRPr="00C66AF1">
              <w:rPr>
                <w:sz w:val="22"/>
                <w:szCs w:val="22"/>
              </w:rPr>
              <w:t>22,1</w:t>
            </w:r>
          </w:p>
        </w:tc>
      </w:tr>
    </w:tbl>
    <w:p w:rsidR="00C86077" w:rsidRDefault="00C86077" w:rsidP="00282713">
      <w:pPr>
        <w:ind w:left="709"/>
        <w:jc w:val="both"/>
        <w:rPr>
          <w:b/>
          <w:i/>
        </w:rPr>
      </w:pPr>
    </w:p>
    <w:p w:rsidR="00282713" w:rsidRDefault="00282713" w:rsidP="00282713">
      <w:pPr>
        <w:ind w:left="709"/>
        <w:jc w:val="both"/>
        <w:rPr>
          <w:b/>
          <w:i/>
        </w:rPr>
      </w:pPr>
      <w:r>
        <w:rPr>
          <w:b/>
          <w:i/>
        </w:rPr>
        <w:t>2.1. Расчет условных единиц организации</w:t>
      </w:r>
    </w:p>
    <w:p w:rsidR="00CF137C" w:rsidRPr="00CF137C" w:rsidRDefault="00CF137C" w:rsidP="00CF137C">
      <w:pPr>
        <w:tabs>
          <w:tab w:val="left" w:pos="0"/>
          <w:tab w:val="left" w:pos="900"/>
        </w:tabs>
        <w:ind w:firstLine="709"/>
        <w:jc w:val="both"/>
        <w:rPr>
          <w:bCs/>
        </w:rPr>
      </w:pPr>
      <w:r w:rsidRPr="00CF137C">
        <w:t>В качестве обоснования объемов условных единиц, находящихся в аренде, организацией представлены</w:t>
      </w:r>
      <w:r w:rsidRPr="00CF137C">
        <w:rPr>
          <w:bCs/>
        </w:rPr>
        <w:t>:</w:t>
      </w:r>
    </w:p>
    <w:p w:rsidR="00CF137C" w:rsidRPr="00CF137C" w:rsidRDefault="00CF137C" w:rsidP="00CF137C">
      <w:pPr>
        <w:tabs>
          <w:tab w:val="left" w:pos="0"/>
          <w:tab w:val="left" w:pos="900"/>
        </w:tabs>
        <w:ind w:firstLine="709"/>
        <w:jc w:val="both"/>
        <w:rPr>
          <w:bCs/>
        </w:rPr>
      </w:pPr>
      <w:r w:rsidRPr="00CF137C">
        <w:rPr>
          <w:bCs/>
        </w:rPr>
        <w:t>- акты</w:t>
      </w:r>
      <w:r w:rsidR="00EF7A92">
        <w:rPr>
          <w:bCs/>
        </w:rPr>
        <w:t xml:space="preserve"> об осуществлении технологического присоединения</w:t>
      </w:r>
      <w:r w:rsidRPr="00CF137C">
        <w:rPr>
          <w:bCs/>
        </w:rPr>
        <w:t>;</w:t>
      </w:r>
    </w:p>
    <w:p w:rsidR="00CF137C" w:rsidRPr="00CF137C" w:rsidRDefault="00CF137C" w:rsidP="00CF137C">
      <w:pPr>
        <w:tabs>
          <w:tab w:val="left" w:pos="0"/>
          <w:tab w:val="left" w:pos="900"/>
        </w:tabs>
        <w:ind w:firstLine="709"/>
        <w:jc w:val="both"/>
        <w:rPr>
          <w:bCs/>
        </w:rPr>
      </w:pPr>
      <w:r w:rsidRPr="00CF137C">
        <w:rPr>
          <w:bCs/>
        </w:rPr>
        <w:t xml:space="preserve">- </w:t>
      </w:r>
      <w:r w:rsidR="00C0629E" w:rsidRPr="00C0629E">
        <w:rPr>
          <w:bCs/>
        </w:rPr>
        <w:t>однолинейные схемы</w:t>
      </w:r>
      <w:r w:rsidRPr="00CF137C">
        <w:rPr>
          <w:bCs/>
        </w:rPr>
        <w:t xml:space="preserve"> электроснабжения ООО «</w:t>
      </w:r>
      <w:r w:rsidR="003A1347" w:rsidRPr="00C0629E">
        <w:rPr>
          <w:bCs/>
        </w:rPr>
        <w:t>НСК Электросеть</w:t>
      </w:r>
      <w:r w:rsidRPr="00CF137C">
        <w:rPr>
          <w:bCs/>
        </w:rPr>
        <w:t>»;</w:t>
      </w:r>
    </w:p>
    <w:p w:rsidR="00CF137C" w:rsidRDefault="00CF137C" w:rsidP="00CF137C">
      <w:pPr>
        <w:tabs>
          <w:tab w:val="left" w:pos="0"/>
          <w:tab w:val="left" w:pos="900"/>
        </w:tabs>
        <w:ind w:firstLine="709"/>
        <w:jc w:val="both"/>
        <w:rPr>
          <w:bCs/>
        </w:rPr>
      </w:pPr>
      <w:r w:rsidRPr="00CF137C">
        <w:rPr>
          <w:bCs/>
        </w:rPr>
        <w:t>- перечень объектов электросетевого хозяйств</w:t>
      </w:r>
      <w:proofErr w:type="gramStart"/>
      <w:r w:rsidRPr="00CF137C">
        <w:rPr>
          <w:bCs/>
        </w:rPr>
        <w:t>а ООО</w:t>
      </w:r>
      <w:proofErr w:type="gramEnd"/>
      <w:r w:rsidRPr="00CF137C">
        <w:rPr>
          <w:bCs/>
        </w:rPr>
        <w:t xml:space="preserve"> «</w:t>
      </w:r>
      <w:r w:rsidR="003A1347">
        <w:rPr>
          <w:bCs/>
        </w:rPr>
        <w:t>НСК Электросеть</w:t>
      </w:r>
      <w:r w:rsidRPr="00CF137C">
        <w:rPr>
          <w:bCs/>
        </w:rPr>
        <w:t>»;</w:t>
      </w:r>
    </w:p>
    <w:p w:rsidR="003A1347" w:rsidRPr="00CF137C" w:rsidRDefault="003A1347" w:rsidP="00CF137C">
      <w:pPr>
        <w:tabs>
          <w:tab w:val="left" w:pos="0"/>
          <w:tab w:val="left" w:pos="900"/>
        </w:tabs>
        <w:ind w:firstLine="709"/>
        <w:jc w:val="both"/>
        <w:rPr>
          <w:bCs/>
        </w:rPr>
      </w:pPr>
      <w:r>
        <w:rPr>
          <w:bCs/>
        </w:rPr>
        <w:t>- перечень присоединенных потребителей с указанием объемов потребления в разрезе ТП (РП);</w:t>
      </w:r>
    </w:p>
    <w:p w:rsidR="00CF137C" w:rsidRPr="00CF137C" w:rsidRDefault="00CF137C" w:rsidP="00CF137C">
      <w:pPr>
        <w:tabs>
          <w:tab w:val="left" w:pos="0"/>
          <w:tab w:val="left" w:pos="900"/>
        </w:tabs>
        <w:ind w:firstLine="709"/>
        <w:jc w:val="both"/>
        <w:rPr>
          <w:bCs/>
        </w:rPr>
      </w:pPr>
      <w:r w:rsidRPr="00CF137C">
        <w:rPr>
          <w:bCs/>
        </w:rPr>
        <w:t>- таблицы П.2.1., П</w:t>
      </w:r>
      <w:proofErr w:type="gramStart"/>
      <w:r w:rsidRPr="00CF137C">
        <w:rPr>
          <w:bCs/>
        </w:rPr>
        <w:t>2</w:t>
      </w:r>
      <w:proofErr w:type="gramEnd"/>
      <w:r w:rsidRPr="00CF137C">
        <w:rPr>
          <w:bCs/>
        </w:rPr>
        <w:t xml:space="preserve">.2. к методическим указаниям, утвержденным приказом ФСТ России от 06.08.2014г. № 20-э/2. </w:t>
      </w:r>
    </w:p>
    <w:p w:rsidR="00CF137C" w:rsidRPr="00CF137C" w:rsidRDefault="00CF137C" w:rsidP="00CF137C">
      <w:pPr>
        <w:tabs>
          <w:tab w:val="left" w:pos="0"/>
          <w:tab w:val="left" w:pos="900"/>
        </w:tabs>
        <w:ind w:firstLine="709"/>
        <w:jc w:val="both"/>
        <w:rPr>
          <w:bCs/>
        </w:rPr>
      </w:pPr>
      <w:r w:rsidRPr="00CF137C">
        <w:rPr>
          <w:bCs/>
        </w:rPr>
        <w:t xml:space="preserve">Размер активов по предложению организации составил </w:t>
      </w:r>
      <w:r w:rsidR="003A1347">
        <w:rPr>
          <w:bCs/>
        </w:rPr>
        <w:t>693,7</w:t>
      </w:r>
      <w:r w:rsidRPr="00CF137C">
        <w:rPr>
          <w:bCs/>
        </w:rPr>
        <w:t xml:space="preserve"> у.е.</w:t>
      </w:r>
    </w:p>
    <w:p w:rsidR="00CF137C" w:rsidRPr="00CF137C" w:rsidRDefault="00CF137C" w:rsidP="00CF137C">
      <w:pPr>
        <w:tabs>
          <w:tab w:val="left" w:pos="0"/>
          <w:tab w:val="left" w:pos="900"/>
        </w:tabs>
        <w:ind w:firstLine="709"/>
        <w:jc w:val="both"/>
      </w:pPr>
      <w:r w:rsidRPr="00CF137C">
        <w:t xml:space="preserve">В результате рассмотрения представленных материалов общее количество условных единиц департаментом учтено в размере </w:t>
      </w:r>
      <w:r w:rsidR="003A1347">
        <w:t>649,8</w:t>
      </w:r>
      <w:r w:rsidRPr="00CF137C">
        <w:t xml:space="preserve">у.е. Департаментом было </w:t>
      </w:r>
      <w:r w:rsidR="00C0629E">
        <w:t>скорректировано</w:t>
      </w:r>
      <w:r w:rsidRPr="00CF137C">
        <w:t xml:space="preserve"> количество масляных выключателей</w:t>
      </w:r>
      <w:r w:rsidR="003A1347">
        <w:t xml:space="preserve"> и выключателей нагрузки</w:t>
      </w:r>
      <w:r w:rsidRPr="00CF137C">
        <w:t>.</w:t>
      </w:r>
    </w:p>
    <w:p w:rsidR="00282713" w:rsidRPr="00BB767E" w:rsidRDefault="00282713" w:rsidP="00282713">
      <w:pPr>
        <w:ind w:left="709"/>
        <w:jc w:val="both"/>
        <w:rPr>
          <w:sz w:val="20"/>
          <w:szCs w:val="20"/>
        </w:rPr>
      </w:pPr>
    </w:p>
    <w:p w:rsidR="00282713" w:rsidRDefault="00282713" w:rsidP="005A5EBB">
      <w:pPr>
        <w:ind w:firstLine="709"/>
        <w:jc w:val="both"/>
        <w:rPr>
          <w:b/>
          <w:i/>
        </w:rPr>
      </w:pPr>
      <w:r>
        <w:rPr>
          <w:b/>
          <w:i/>
        </w:rPr>
        <w:t>2.2.</w:t>
      </w:r>
      <w:r w:rsidRPr="00926C0B">
        <w:rPr>
          <w:b/>
          <w:i/>
        </w:rPr>
        <w:t xml:space="preserve"> </w:t>
      </w:r>
      <w:r w:rsidR="008312A5">
        <w:rPr>
          <w:b/>
          <w:i/>
        </w:rPr>
        <w:t>Р</w:t>
      </w:r>
      <w:r w:rsidRPr="00926C0B">
        <w:rPr>
          <w:b/>
          <w:i/>
        </w:rPr>
        <w:t xml:space="preserve">асходы, связанные с осуществлением деятельности </w:t>
      </w:r>
      <w:r>
        <w:rPr>
          <w:b/>
          <w:i/>
        </w:rPr>
        <w:t xml:space="preserve">по </w:t>
      </w:r>
      <w:r w:rsidRPr="00732B9D">
        <w:rPr>
          <w:b/>
          <w:i/>
        </w:rPr>
        <w:t xml:space="preserve">содержанию и </w:t>
      </w:r>
      <w:r>
        <w:rPr>
          <w:b/>
          <w:i/>
        </w:rPr>
        <w:t>эксплуатации электрических сетей</w:t>
      </w:r>
      <w:r w:rsidR="008312A5">
        <w:rPr>
          <w:b/>
          <w:i/>
        </w:rPr>
        <w:t>, сформированные методом экономически обоснованных расходов</w:t>
      </w:r>
      <w:r>
        <w:rPr>
          <w:b/>
          <w:i/>
        </w:rPr>
        <w:t>.</w:t>
      </w:r>
    </w:p>
    <w:p w:rsidR="006F49C1" w:rsidRPr="00BB767E" w:rsidRDefault="006F49C1" w:rsidP="005A5EBB">
      <w:pPr>
        <w:pStyle w:val="a4"/>
        <w:spacing w:after="0"/>
        <w:ind w:left="0" w:firstLine="720"/>
        <w:jc w:val="both"/>
        <w:rPr>
          <w:b/>
          <w:color w:val="000000"/>
          <w:sz w:val="20"/>
          <w:szCs w:val="20"/>
        </w:rPr>
      </w:pPr>
    </w:p>
    <w:p w:rsidR="00282713" w:rsidRDefault="00282713" w:rsidP="005A5EBB">
      <w:pPr>
        <w:pStyle w:val="a4"/>
        <w:spacing w:after="0"/>
        <w:ind w:left="0" w:firstLine="720"/>
        <w:jc w:val="both"/>
        <w:rPr>
          <w:b/>
          <w:color w:val="000000"/>
        </w:rPr>
      </w:pPr>
      <w:r>
        <w:rPr>
          <w:b/>
          <w:color w:val="000000"/>
        </w:rPr>
        <w:t>Материалы</w:t>
      </w:r>
    </w:p>
    <w:p w:rsidR="00500176" w:rsidRDefault="00500176" w:rsidP="005A5EBB">
      <w:pPr>
        <w:ind w:firstLine="708"/>
        <w:jc w:val="both"/>
      </w:pPr>
      <w:r>
        <w:t xml:space="preserve">Организацией запланированы расходы по данной статье в размере </w:t>
      </w:r>
      <w:r w:rsidR="00703035" w:rsidRPr="00464452">
        <w:rPr>
          <w:b/>
        </w:rPr>
        <w:t>7633,9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и включают:</w:t>
      </w:r>
    </w:p>
    <w:p w:rsidR="00500176" w:rsidRDefault="002278F0" w:rsidP="00703035">
      <w:pPr>
        <w:ind w:firstLine="708"/>
        <w:jc w:val="both"/>
      </w:pPr>
      <w:r>
        <w:t>- расходы на</w:t>
      </w:r>
      <w:r w:rsidR="00500176">
        <w:t xml:space="preserve"> </w:t>
      </w:r>
      <w:r w:rsidR="00703035">
        <w:t>материалы</w:t>
      </w:r>
      <w:r w:rsidR="00500176">
        <w:t xml:space="preserve"> </w:t>
      </w:r>
      <w:r w:rsidR="00703035">
        <w:t xml:space="preserve">для аварийного запаса оборудования </w:t>
      </w:r>
      <w:r w:rsidR="00500176">
        <w:t xml:space="preserve">– </w:t>
      </w:r>
      <w:r w:rsidR="00703035">
        <w:t>7235,9</w:t>
      </w:r>
      <w:r w:rsidR="00500176">
        <w:t xml:space="preserve"> </w:t>
      </w:r>
      <w:proofErr w:type="spellStart"/>
      <w:r w:rsidR="00500176">
        <w:t>тыс</w:t>
      </w:r>
      <w:proofErr w:type="gramStart"/>
      <w:r w:rsidR="00500176">
        <w:t>.р</w:t>
      </w:r>
      <w:proofErr w:type="gramEnd"/>
      <w:r w:rsidR="00500176">
        <w:t>уб</w:t>
      </w:r>
      <w:proofErr w:type="spellEnd"/>
      <w:r w:rsidR="00500176">
        <w:t>.</w:t>
      </w:r>
      <w:r w:rsidR="00CF18FD" w:rsidRPr="00CF18FD">
        <w:t xml:space="preserve"> </w:t>
      </w:r>
      <w:r w:rsidR="00CF18FD">
        <w:t xml:space="preserve">согласно плановому расчету организации </w:t>
      </w:r>
      <w:r w:rsidR="00703035">
        <w:t xml:space="preserve">на 2019 год на основании «Нормативов резерва материально-технических ресурсов и оборудования для закрытых трансформаторных подстанций 6-20/0,38 </w:t>
      </w:r>
      <w:proofErr w:type="spellStart"/>
      <w:r w:rsidR="00703035">
        <w:t>кВ</w:t>
      </w:r>
      <w:proofErr w:type="spellEnd"/>
      <w:r w:rsidR="00703035">
        <w:t xml:space="preserve"> и распределительных пунктов 6-20кВ», «Типовых нормативов резервного запаса и обменного фонда трансформаторов 1-3 габаритов для электросетевых и ремонтных предприятий и (цехов) энергосистем», «Типовых норм расхода и резервного запаса и кабельной арматуры для электростанций и предприятий электрических сетей», «Норм аварийного страхового запаса основных материалов, запасных частей и изделий для воздушных линий электропередачи 0,38-20кВ»</w:t>
      </w:r>
      <w:r w:rsidR="00500176">
        <w:t>;</w:t>
      </w:r>
    </w:p>
    <w:p w:rsidR="00703035" w:rsidRDefault="00703035" w:rsidP="00703035">
      <w:pPr>
        <w:ind w:firstLine="708"/>
        <w:jc w:val="both"/>
      </w:pPr>
      <w:r>
        <w:t xml:space="preserve">- расходы на ГСМ – 398,0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</w:t>
      </w:r>
      <w:r w:rsidR="000334F7">
        <w:t>согласно расчету стоимости ГСМ на 2019 год</w:t>
      </w:r>
      <w:r w:rsidR="00B95155">
        <w:t xml:space="preserve"> исходя из планируемого пробега </w:t>
      </w:r>
      <w:r w:rsidR="00952B4E">
        <w:t xml:space="preserve">автомобиля </w:t>
      </w:r>
      <w:r w:rsidR="00B95155">
        <w:t>60000км</w:t>
      </w:r>
      <w:r w:rsidR="000334F7">
        <w:t>.</w:t>
      </w:r>
    </w:p>
    <w:p w:rsidR="00CC7E14" w:rsidRDefault="00952B4E" w:rsidP="00F82AE1">
      <w:pPr>
        <w:autoSpaceDE w:val="0"/>
        <w:autoSpaceDN w:val="0"/>
        <w:adjustRightInd w:val="0"/>
        <w:ind w:firstLine="708"/>
        <w:jc w:val="both"/>
        <w:rPr>
          <w:iCs/>
        </w:rPr>
      </w:pPr>
      <w:r>
        <w:rPr>
          <w:iCs/>
        </w:rPr>
        <w:t xml:space="preserve">Следует отметить, что </w:t>
      </w:r>
      <w:r w:rsidR="008F43D4" w:rsidRPr="00F82AE1">
        <w:rPr>
          <w:iCs/>
        </w:rPr>
        <w:t>Основа</w:t>
      </w:r>
      <w:r>
        <w:rPr>
          <w:iCs/>
        </w:rPr>
        <w:t>ми</w:t>
      </w:r>
      <w:r w:rsidR="008F43D4" w:rsidRPr="00F82AE1">
        <w:rPr>
          <w:iCs/>
        </w:rPr>
        <w:t xml:space="preserve"> ценообразования в составе р</w:t>
      </w:r>
      <w:r w:rsidR="008F43D4" w:rsidRPr="00F82AE1">
        <w:rPr>
          <w:rFonts w:eastAsiaTheme="minorHAnsi"/>
          <w:bCs/>
          <w:lang w:eastAsia="en-US"/>
        </w:rPr>
        <w:t xml:space="preserve">асходов, связанных с </w:t>
      </w:r>
      <w:r>
        <w:rPr>
          <w:rFonts w:eastAsiaTheme="minorHAnsi"/>
          <w:bCs/>
          <w:lang w:eastAsia="en-US"/>
        </w:rPr>
        <w:t>производственными и хозяйственными нуждами</w:t>
      </w:r>
      <w:r w:rsidR="008F43D4" w:rsidRPr="00F82AE1">
        <w:rPr>
          <w:iCs/>
        </w:rPr>
        <w:t xml:space="preserve"> не </w:t>
      </w:r>
      <w:r>
        <w:rPr>
          <w:iCs/>
        </w:rPr>
        <w:t xml:space="preserve">предусмотрены </w:t>
      </w:r>
      <w:r w:rsidR="008F43D4" w:rsidRPr="00F82AE1">
        <w:rPr>
          <w:iCs/>
        </w:rPr>
        <w:t>расходы на материалы аварийного запаса</w:t>
      </w:r>
      <w:r>
        <w:rPr>
          <w:iCs/>
        </w:rPr>
        <w:t>.</w:t>
      </w:r>
      <w:r w:rsidR="008F43D4" w:rsidRPr="00F82AE1">
        <w:rPr>
          <w:iCs/>
        </w:rPr>
        <w:t xml:space="preserve"> </w:t>
      </w:r>
      <w:r>
        <w:rPr>
          <w:iCs/>
        </w:rPr>
        <w:t>Кроме того,</w:t>
      </w:r>
      <w:r w:rsidR="008F43D4" w:rsidRPr="00F82AE1">
        <w:rPr>
          <w:iCs/>
        </w:rPr>
        <w:t xml:space="preserve"> организацией </w:t>
      </w:r>
      <w:r>
        <w:rPr>
          <w:iCs/>
        </w:rPr>
        <w:t>н</w:t>
      </w:r>
      <w:r w:rsidR="008F43D4" w:rsidRPr="00F82AE1">
        <w:rPr>
          <w:iCs/>
        </w:rPr>
        <w:t xml:space="preserve">е представлены </w:t>
      </w:r>
      <w:r>
        <w:rPr>
          <w:iCs/>
        </w:rPr>
        <w:t xml:space="preserve">обоснования </w:t>
      </w:r>
      <w:r w:rsidR="00F82AE1" w:rsidRPr="00F82AE1">
        <w:rPr>
          <w:rFonts w:eastAsiaTheme="minorHAnsi"/>
          <w:bCs/>
          <w:lang w:eastAsia="en-US"/>
        </w:rPr>
        <w:t>расход</w:t>
      </w:r>
      <w:r>
        <w:rPr>
          <w:rFonts w:eastAsiaTheme="minorHAnsi"/>
          <w:bCs/>
          <w:lang w:eastAsia="en-US"/>
        </w:rPr>
        <w:t>ов</w:t>
      </w:r>
      <w:r w:rsidR="00F82AE1" w:rsidRPr="00F82AE1">
        <w:rPr>
          <w:rFonts w:eastAsiaTheme="minorHAnsi"/>
          <w:bCs/>
          <w:lang w:eastAsia="en-US"/>
        </w:rPr>
        <w:t xml:space="preserve"> (цен)</w:t>
      </w:r>
      <w:r>
        <w:rPr>
          <w:rFonts w:eastAsiaTheme="minorHAnsi"/>
          <w:bCs/>
          <w:lang w:eastAsia="en-US"/>
        </w:rPr>
        <w:t xml:space="preserve">: </w:t>
      </w:r>
      <w:r w:rsidR="00F82AE1" w:rsidRPr="00F82AE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 информация о ценах</w:t>
      </w:r>
      <w:r w:rsidR="00010BA9">
        <w:rPr>
          <w:rFonts w:eastAsiaTheme="minorHAnsi"/>
          <w:bCs/>
          <w:lang w:eastAsia="en-US"/>
        </w:rPr>
        <w:t xml:space="preserve"> и</w:t>
      </w:r>
      <w:r>
        <w:rPr>
          <w:rFonts w:eastAsiaTheme="minorHAnsi"/>
          <w:bCs/>
          <w:lang w:eastAsia="en-US"/>
        </w:rPr>
        <w:t xml:space="preserve"> </w:t>
      </w:r>
      <w:r w:rsidR="00F82AE1" w:rsidRPr="00F82AE1">
        <w:rPr>
          <w:rFonts w:eastAsiaTheme="minorHAnsi"/>
          <w:bCs/>
          <w:lang w:eastAsia="en-US"/>
        </w:rPr>
        <w:t>договорах</w:t>
      </w:r>
      <w:r>
        <w:rPr>
          <w:rFonts w:eastAsiaTheme="minorHAnsi"/>
          <w:bCs/>
          <w:lang w:eastAsia="en-US"/>
        </w:rPr>
        <w:t xml:space="preserve"> на их </w:t>
      </w:r>
      <w:r w:rsidR="00010BA9">
        <w:rPr>
          <w:rFonts w:eastAsiaTheme="minorHAnsi"/>
          <w:bCs/>
          <w:lang w:eastAsia="en-US"/>
        </w:rPr>
        <w:t>приобретение</w:t>
      </w:r>
      <w:r w:rsidR="00F82AE1" w:rsidRPr="00F82AE1">
        <w:rPr>
          <w:rFonts w:eastAsiaTheme="minorHAnsi"/>
          <w:bCs/>
          <w:lang w:eastAsia="en-US"/>
        </w:rPr>
        <w:t>, заключенных в результате проведения торгов, а также отчетны</w:t>
      </w:r>
      <w:r w:rsidR="00010BA9">
        <w:rPr>
          <w:rFonts w:eastAsiaTheme="minorHAnsi"/>
          <w:bCs/>
          <w:lang w:eastAsia="en-US"/>
        </w:rPr>
        <w:t>е</w:t>
      </w:r>
      <w:r w:rsidR="00F82AE1" w:rsidRPr="00F82AE1">
        <w:rPr>
          <w:rFonts w:eastAsiaTheme="minorHAnsi"/>
          <w:bCs/>
          <w:lang w:eastAsia="en-US"/>
        </w:rPr>
        <w:t xml:space="preserve"> данны</w:t>
      </w:r>
      <w:r w:rsidR="00010BA9">
        <w:rPr>
          <w:rFonts w:eastAsiaTheme="minorHAnsi"/>
          <w:bCs/>
          <w:lang w:eastAsia="en-US"/>
        </w:rPr>
        <w:t>е</w:t>
      </w:r>
      <w:r w:rsidR="00F82AE1" w:rsidRPr="00F82AE1">
        <w:rPr>
          <w:rFonts w:eastAsiaTheme="minorHAnsi"/>
          <w:bCs/>
          <w:lang w:eastAsia="en-US"/>
        </w:rPr>
        <w:t xml:space="preserve"> организации о фактически</w:t>
      </w:r>
      <w:r w:rsidR="00010BA9">
        <w:rPr>
          <w:rFonts w:eastAsiaTheme="minorHAnsi"/>
          <w:bCs/>
          <w:lang w:eastAsia="en-US"/>
        </w:rPr>
        <w:t xml:space="preserve"> понесенных</w:t>
      </w:r>
      <w:r w:rsidR="00F82AE1" w:rsidRPr="00F82AE1">
        <w:rPr>
          <w:rFonts w:eastAsiaTheme="minorHAnsi"/>
          <w:bCs/>
          <w:lang w:eastAsia="en-US"/>
        </w:rPr>
        <w:t xml:space="preserve"> расходах</w:t>
      </w:r>
      <w:r w:rsidR="00010BA9">
        <w:rPr>
          <w:rFonts w:eastAsiaTheme="minorHAnsi"/>
          <w:bCs/>
          <w:lang w:eastAsia="en-US"/>
        </w:rPr>
        <w:t xml:space="preserve">. </w:t>
      </w:r>
      <w:proofErr w:type="gramStart"/>
      <w:r w:rsidR="00010BA9">
        <w:rPr>
          <w:rFonts w:eastAsiaTheme="minorHAnsi"/>
          <w:bCs/>
          <w:lang w:eastAsia="en-US"/>
        </w:rPr>
        <w:t>В связи с изложенным,</w:t>
      </w:r>
      <w:r w:rsidR="00F82AE1" w:rsidRPr="00F82AE1">
        <w:rPr>
          <w:rFonts w:eastAsiaTheme="minorHAnsi"/>
          <w:bCs/>
          <w:lang w:eastAsia="en-US"/>
        </w:rPr>
        <w:t xml:space="preserve"> </w:t>
      </w:r>
      <w:r w:rsidR="00F82AE1" w:rsidRPr="00F82AE1">
        <w:rPr>
          <w:iCs/>
        </w:rPr>
        <w:t>р</w:t>
      </w:r>
      <w:r w:rsidR="00010BA9">
        <w:rPr>
          <w:iCs/>
        </w:rPr>
        <w:t>асходы на материалы для содержания а</w:t>
      </w:r>
      <w:r w:rsidR="00B95155" w:rsidRPr="00F82AE1">
        <w:rPr>
          <w:iCs/>
        </w:rPr>
        <w:t xml:space="preserve">варийного запаса </w:t>
      </w:r>
      <w:r w:rsidR="00010BA9">
        <w:rPr>
          <w:iCs/>
        </w:rPr>
        <w:t xml:space="preserve">не признаны департаментом экономически обоснованными и не учтены в НВВ организации в полном объеме. </w:t>
      </w:r>
      <w:proofErr w:type="gramEnd"/>
    </w:p>
    <w:p w:rsidR="00010BA9" w:rsidRPr="00F82AE1" w:rsidRDefault="00010BA9" w:rsidP="00F82AE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>
        <w:rPr>
          <w:iCs/>
        </w:rPr>
        <w:lastRenderedPageBreak/>
        <w:t>Расходы на ГСМ не учтены департаментом в полном объеме, поскольку департаментом не приняты расходы н</w:t>
      </w:r>
      <w:r w:rsidR="002B0FE1">
        <w:rPr>
          <w:iCs/>
        </w:rPr>
        <w:t>а аренду транспортного средства.</w:t>
      </w:r>
      <w:r>
        <w:rPr>
          <w:iCs/>
        </w:rPr>
        <w:t xml:space="preserve"> </w:t>
      </w:r>
    </w:p>
    <w:p w:rsidR="00B95155" w:rsidRPr="00B95155" w:rsidRDefault="00B95155" w:rsidP="00B95155"/>
    <w:p w:rsidR="00CC7E14" w:rsidRPr="00CC7E14" w:rsidRDefault="00CC7E14" w:rsidP="005A5EBB">
      <w:pPr>
        <w:jc w:val="both"/>
        <w:rPr>
          <w:b/>
        </w:rPr>
      </w:pPr>
      <w:r w:rsidRPr="00CC7E14">
        <w:rPr>
          <w:b/>
        </w:rPr>
        <w:tab/>
        <w:t xml:space="preserve">Услуги производственного характера </w:t>
      </w:r>
    </w:p>
    <w:p w:rsidR="00987F90" w:rsidRDefault="00987F90" w:rsidP="005A5EBB">
      <w:pPr>
        <w:ind w:firstLine="708"/>
        <w:jc w:val="both"/>
      </w:pPr>
      <w:r>
        <w:t xml:space="preserve">Организацией запланированы расходы по данной статье в размере  </w:t>
      </w:r>
      <w:r w:rsidRPr="00987F90">
        <w:rPr>
          <w:b/>
        </w:rPr>
        <w:t>1</w:t>
      </w:r>
      <w:r w:rsidR="00464452">
        <w:rPr>
          <w:b/>
        </w:rPr>
        <w:t>2332,0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и включают:</w:t>
      </w:r>
    </w:p>
    <w:p w:rsidR="00A759DF" w:rsidRDefault="00987F90" w:rsidP="00464452">
      <w:pPr>
        <w:ind w:firstLine="708"/>
        <w:jc w:val="both"/>
      </w:pPr>
      <w:r>
        <w:t xml:space="preserve">- </w:t>
      </w:r>
      <w:r w:rsidR="00464452">
        <w:t xml:space="preserve">расходы на капитальный ремонт – 1672,0 </w:t>
      </w:r>
      <w:proofErr w:type="spellStart"/>
      <w:r w:rsidR="00464452">
        <w:t>тыс</w:t>
      </w:r>
      <w:proofErr w:type="gramStart"/>
      <w:r w:rsidR="00464452">
        <w:t>.р</w:t>
      </w:r>
      <w:proofErr w:type="gramEnd"/>
      <w:r w:rsidR="00464452">
        <w:t>уб</w:t>
      </w:r>
      <w:proofErr w:type="spellEnd"/>
      <w:r w:rsidR="00464452">
        <w:t>.,</w:t>
      </w:r>
      <w:r w:rsidR="006A2F8D">
        <w:t xml:space="preserve"> рассчитанные в соответствии </w:t>
      </w:r>
      <w:r w:rsidR="00A80851">
        <w:t>«</w:t>
      </w:r>
      <w:r w:rsidR="00A80851" w:rsidRPr="00A80851">
        <w:t>Нормативами расходов на проведение ремонтных работ в электрически</w:t>
      </w:r>
      <w:r w:rsidR="00A80851">
        <w:t xml:space="preserve">х сетях напряжением 0,38-200 </w:t>
      </w:r>
      <w:proofErr w:type="spellStart"/>
      <w:r w:rsidR="00A80851">
        <w:t>кВ</w:t>
      </w:r>
      <w:proofErr w:type="spellEnd"/>
      <w:r w:rsidR="00A80851">
        <w:t>»</w:t>
      </w:r>
      <w:r w:rsidR="00A80851" w:rsidRPr="00A80851">
        <w:t xml:space="preserve"> (СО 34.10.397-2005) (Москва, 2005 год)</w:t>
      </w:r>
      <w:r w:rsidR="00A80851">
        <w:t xml:space="preserve"> </w:t>
      </w:r>
      <w:r w:rsidR="00FD2141">
        <w:t>и распределенные в соответствии с Нормативными затратами на ремонт согласно СО 34.12.611-2003</w:t>
      </w:r>
      <w:r w:rsidR="00A759DF">
        <w:t>;</w:t>
      </w:r>
    </w:p>
    <w:p w:rsidR="00987F90" w:rsidRDefault="00A759DF" w:rsidP="00464452">
      <w:pPr>
        <w:ind w:firstLine="708"/>
        <w:jc w:val="both"/>
      </w:pPr>
      <w:r>
        <w:t xml:space="preserve">- расходы на оперативно-диспетчерское обслуживание и текущий ремонт  - 10660,0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согласно договору оказания услуг по оперативному и техническому обслуживанию объектов электросетевого хозяйства с ООО «Демиург» от 09.11.2018г. № 5/2018/ОТО.</w:t>
      </w:r>
    </w:p>
    <w:p w:rsidR="00987F90" w:rsidRDefault="00987F90" w:rsidP="005A5EBB">
      <w:pPr>
        <w:ind w:firstLine="708"/>
        <w:jc w:val="both"/>
      </w:pPr>
      <w:r>
        <w:t xml:space="preserve">Департаментом признаны расходы в размере  </w:t>
      </w:r>
      <w:r w:rsidR="00010BA9">
        <w:t>4</w:t>
      </w:r>
      <w:r w:rsidR="006C1580">
        <w:t>297,4</w:t>
      </w:r>
      <w:r w:rsidR="009800CC"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Данные расходы сформированы следующим образом:</w:t>
      </w:r>
    </w:p>
    <w:p w:rsidR="00454E26" w:rsidRPr="00CE2140" w:rsidRDefault="00AB350E" w:rsidP="009F6470">
      <w:pPr>
        <w:jc w:val="both"/>
        <w:rPr>
          <w:bCs/>
        </w:rPr>
      </w:pPr>
      <w:r>
        <w:tab/>
      </w:r>
      <w:r w:rsidR="00DE2AD8" w:rsidRPr="00CE2140">
        <w:t xml:space="preserve">- расходы на </w:t>
      </w:r>
      <w:r w:rsidR="00CC7E14" w:rsidRPr="00CE2140">
        <w:tab/>
      </w:r>
      <w:r w:rsidR="00DE2AD8" w:rsidRPr="00CE2140">
        <w:t>техническое обслуживание подстанций и оперативно-</w:t>
      </w:r>
      <w:proofErr w:type="spellStart"/>
      <w:r w:rsidR="00DE2AD8" w:rsidRPr="00CE2140">
        <w:t>диспетческое</w:t>
      </w:r>
      <w:proofErr w:type="spellEnd"/>
      <w:r w:rsidR="00DE2AD8" w:rsidRPr="00CE2140">
        <w:t xml:space="preserve"> управление приняты в размере </w:t>
      </w:r>
      <w:r w:rsidR="009800CC" w:rsidRPr="00CE2140">
        <w:t>4</w:t>
      </w:r>
      <w:r w:rsidR="006C1580">
        <w:t>297,4</w:t>
      </w:r>
      <w:r w:rsidR="00DE2AD8" w:rsidRPr="00CE2140">
        <w:t xml:space="preserve"> </w:t>
      </w:r>
      <w:proofErr w:type="spellStart"/>
      <w:r w:rsidR="00DE2AD8" w:rsidRPr="00CE2140">
        <w:t>тыс</w:t>
      </w:r>
      <w:proofErr w:type="gramStart"/>
      <w:r w:rsidR="00DE2AD8" w:rsidRPr="00CE2140">
        <w:t>.р</w:t>
      </w:r>
      <w:proofErr w:type="gramEnd"/>
      <w:r w:rsidR="00DE2AD8" w:rsidRPr="00CE2140">
        <w:t>уб</w:t>
      </w:r>
      <w:proofErr w:type="spellEnd"/>
      <w:r w:rsidR="00DE2AD8" w:rsidRPr="00CE2140">
        <w:t xml:space="preserve">. и сформированы исходя </w:t>
      </w:r>
      <w:r w:rsidR="003D1D93" w:rsidRPr="00CE2140">
        <w:t>из</w:t>
      </w:r>
      <w:r w:rsidR="00454E26" w:rsidRPr="00CE2140">
        <w:t xml:space="preserve"> того, </w:t>
      </w:r>
      <w:r w:rsidR="0016477A" w:rsidRPr="00CE2140">
        <w:t>если бы</w:t>
      </w:r>
      <w:r w:rsidR="00454E26" w:rsidRPr="00CE2140">
        <w:t xml:space="preserve"> организация самостоятельно выполня</w:t>
      </w:r>
      <w:r w:rsidR="0016477A" w:rsidRPr="00CE2140">
        <w:t>л</w:t>
      </w:r>
      <w:r w:rsidR="003D1D93" w:rsidRPr="00CE2140">
        <w:t>а</w:t>
      </w:r>
      <w:r w:rsidR="00454E26" w:rsidRPr="00CE2140">
        <w:t xml:space="preserve"> указанные</w:t>
      </w:r>
      <w:r w:rsidR="00454E26" w:rsidRPr="00CE2140">
        <w:rPr>
          <w:color w:val="000000"/>
        </w:rPr>
        <w:t xml:space="preserve"> работы. Для оперативно-технического обслуживания такого количества условных единиц оборудования произведен расчет ППП согласно нормативам  в соответствии с «Нормативами численности промышленно-производственного персонала распределительных электрических сетей»</w:t>
      </w:r>
      <w:r w:rsidR="00454E26" w:rsidRPr="00CE2140">
        <w:rPr>
          <w:bCs/>
        </w:rPr>
        <w:t xml:space="preserve"> (Москва, 2004 год, ЦОТ </w:t>
      </w:r>
      <w:proofErr w:type="spellStart"/>
      <w:r w:rsidR="00454E26" w:rsidRPr="00CE2140">
        <w:rPr>
          <w:bCs/>
        </w:rPr>
        <w:t>Энерго</w:t>
      </w:r>
      <w:proofErr w:type="spellEnd"/>
      <w:r w:rsidR="00454E26" w:rsidRPr="00CE2140">
        <w:rPr>
          <w:bCs/>
        </w:rPr>
        <w:t>),  которые учитывают персонал по техническому обслуживанию электроустановок, а также оперативное обслуживание выездными бригадами</w:t>
      </w:r>
      <w:r w:rsidR="00C0629E" w:rsidRPr="00CE2140">
        <w:rPr>
          <w:bCs/>
        </w:rPr>
        <w:t xml:space="preserve"> в количестве </w:t>
      </w:r>
      <w:r w:rsidR="00CE2140">
        <w:rPr>
          <w:bCs/>
        </w:rPr>
        <w:t>6</w:t>
      </w:r>
      <w:r w:rsidR="00C0629E" w:rsidRPr="00CE2140">
        <w:rPr>
          <w:bCs/>
        </w:rPr>
        <w:t xml:space="preserve"> человек.</w:t>
      </w:r>
      <w:r w:rsidR="00454E26" w:rsidRPr="00CE2140">
        <w:rPr>
          <w:bCs/>
        </w:rPr>
        <w:t xml:space="preserve"> </w:t>
      </w:r>
      <w:r w:rsidR="00FA17CE" w:rsidRPr="00CE2140">
        <w:rPr>
          <w:bCs/>
          <w:color w:val="000000"/>
        </w:rPr>
        <w:t>И</w:t>
      </w:r>
      <w:r w:rsidR="0016477A" w:rsidRPr="00CE2140">
        <w:rPr>
          <w:bCs/>
          <w:color w:val="000000"/>
        </w:rPr>
        <w:t>сходя из сформированной численности определены</w:t>
      </w:r>
      <w:r w:rsidR="00454E26" w:rsidRPr="00CE2140">
        <w:rPr>
          <w:bCs/>
          <w:color w:val="000000"/>
        </w:rPr>
        <w:t xml:space="preserve"> расходы на оплату труда персонала на 2019 год в количестве </w:t>
      </w:r>
      <w:r w:rsidR="00CE2140">
        <w:rPr>
          <w:bCs/>
          <w:color w:val="000000"/>
        </w:rPr>
        <w:t>6</w:t>
      </w:r>
      <w:r w:rsidR="005305DE">
        <w:rPr>
          <w:bCs/>
          <w:color w:val="000000"/>
        </w:rPr>
        <w:t>,1</w:t>
      </w:r>
      <w:r w:rsidR="00454E26" w:rsidRPr="00CE2140">
        <w:rPr>
          <w:bCs/>
          <w:color w:val="000000"/>
        </w:rPr>
        <w:t xml:space="preserve"> </w:t>
      </w:r>
      <w:r w:rsidR="005305DE">
        <w:rPr>
          <w:bCs/>
          <w:color w:val="000000"/>
        </w:rPr>
        <w:t>штатных единиц</w:t>
      </w:r>
      <w:r w:rsidR="00454E26" w:rsidRPr="00CE2140">
        <w:rPr>
          <w:bCs/>
          <w:color w:val="000000"/>
        </w:rPr>
        <w:t xml:space="preserve"> в размере </w:t>
      </w:r>
      <w:r w:rsidR="00CE2140">
        <w:rPr>
          <w:b/>
          <w:bCs/>
          <w:color w:val="000000"/>
        </w:rPr>
        <w:t>2808,0</w:t>
      </w:r>
      <w:r w:rsidR="00454E26" w:rsidRPr="00CE2140">
        <w:rPr>
          <w:b/>
          <w:bCs/>
          <w:color w:val="000000"/>
        </w:rPr>
        <w:t xml:space="preserve"> </w:t>
      </w:r>
      <w:proofErr w:type="spellStart"/>
      <w:r w:rsidR="00454E26" w:rsidRPr="00CE2140">
        <w:rPr>
          <w:bCs/>
          <w:color w:val="000000"/>
        </w:rPr>
        <w:t>тыс</w:t>
      </w:r>
      <w:proofErr w:type="gramStart"/>
      <w:r w:rsidR="00454E26" w:rsidRPr="00CE2140">
        <w:rPr>
          <w:bCs/>
          <w:color w:val="000000"/>
        </w:rPr>
        <w:t>.р</w:t>
      </w:r>
      <w:proofErr w:type="gramEnd"/>
      <w:r w:rsidR="00454E26" w:rsidRPr="00CE2140">
        <w:rPr>
          <w:bCs/>
          <w:color w:val="000000"/>
        </w:rPr>
        <w:t>уб</w:t>
      </w:r>
      <w:proofErr w:type="spellEnd"/>
      <w:r w:rsidR="00454E26" w:rsidRPr="00CE2140">
        <w:rPr>
          <w:bCs/>
          <w:color w:val="000000"/>
        </w:rPr>
        <w:t>.</w:t>
      </w:r>
      <w:r w:rsidR="00454E26" w:rsidRPr="00CE2140">
        <w:rPr>
          <w:bCs/>
          <w:color w:val="FF0000"/>
        </w:rPr>
        <w:t xml:space="preserve"> </w:t>
      </w:r>
      <w:r w:rsidR="00454E26" w:rsidRPr="00CE2140">
        <w:rPr>
          <w:bCs/>
          <w:color w:val="000000"/>
        </w:rPr>
        <w:t xml:space="preserve">Расходы на оплату труда сформированы исходя из </w:t>
      </w:r>
      <w:r w:rsidR="00B330D2" w:rsidRPr="00CE2140">
        <w:t>среднемесячной номинальной начисленной заработн</w:t>
      </w:r>
      <w:r w:rsidR="00AB298C">
        <w:t>ой</w:t>
      </w:r>
      <w:r w:rsidR="00B330D2" w:rsidRPr="00CE2140">
        <w:t xml:space="preserve"> плат</w:t>
      </w:r>
      <w:r w:rsidR="00AB298C">
        <w:t>ы</w:t>
      </w:r>
      <w:r w:rsidR="00B330D2" w:rsidRPr="00CE2140">
        <w:t xml:space="preserve"> в расчете на одного работника предприятий и организаций Новосибирской области по отрасли за 2017 год согласно данным Федеральной службы государственной статистики по разделу «обеспечение электрической энергией, газом и паром</w:t>
      </w:r>
      <w:r w:rsidR="00454E26" w:rsidRPr="00CE2140">
        <w:rPr>
          <w:bCs/>
          <w:color w:val="000000"/>
        </w:rPr>
        <w:t>» в размере 3</w:t>
      </w:r>
      <w:r w:rsidR="00521052" w:rsidRPr="00CE2140">
        <w:rPr>
          <w:bCs/>
          <w:color w:val="000000"/>
        </w:rPr>
        <w:t>54</w:t>
      </w:r>
      <w:r w:rsidR="001E455C" w:rsidRPr="00CE2140">
        <w:rPr>
          <w:bCs/>
          <w:color w:val="000000"/>
        </w:rPr>
        <w:t>6</w:t>
      </w:r>
      <w:r w:rsidR="00521052" w:rsidRPr="00CE2140">
        <w:rPr>
          <w:bCs/>
          <w:color w:val="000000"/>
        </w:rPr>
        <w:t>4,0</w:t>
      </w:r>
      <w:r w:rsidR="00454E26" w:rsidRPr="00CE2140">
        <w:rPr>
          <w:bCs/>
          <w:color w:val="000000"/>
        </w:rPr>
        <w:t xml:space="preserve"> р</w:t>
      </w:r>
      <w:r w:rsidR="00233D08" w:rsidRPr="00CE2140">
        <w:rPr>
          <w:bCs/>
          <w:color w:val="000000"/>
        </w:rPr>
        <w:t xml:space="preserve">уб., </w:t>
      </w:r>
      <w:r w:rsidR="00454E26" w:rsidRPr="00CE2140">
        <w:rPr>
          <w:bCs/>
          <w:color w:val="000000"/>
        </w:rPr>
        <w:t xml:space="preserve">с учетом применения </w:t>
      </w:r>
      <w:r w:rsidR="00AB298C">
        <w:rPr>
          <w:bCs/>
          <w:color w:val="000000"/>
        </w:rPr>
        <w:t xml:space="preserve">ожидаемого </w:t>
      </w:r>
      <w:r w:rsidR="00454E26" w:rsidRPr="00CE2140">
        <w:rPr>
          <w:bCs/>
          <w:color w:val="000000"/>
        </w:rPr>
        <w:t>индекса потребительских цен на 2018 год - 10</w:t>
      </w:r>
      <w:r w:rsidR="00AD5BD7" w:rsidRPr="00CE2140">
        <w:rPr>
          <w:bCs/>
          <w:color w:val="000000"/>
        </w:rPr>
        <w:t>2</w:t>
      </w:r>
      <w:r w:rsidR="00454E26" w:rsidRPr="00CE2140">
        <w:rPr>
          <w:bCs/>
          <w:color w:val="000000"/>
        </w:rPr>
        <w:t xml:space="preserve">,7%, </w:t>
      </w:r>
      <w:r w:rsidR="00AB298C">
        <w:rPr>
          <w:bCs/>
          <w:color w:val="000000"/>
        </w:rPr>
        <w:t xml:space="preserve">прогнозного </w:t>
      </w:r>
      <w:r w:rsidR="00454E26" w:rsidRPr="00CE2140">
        <w:rPr>
          <w:bCs/>
          <w:color w:val="000000"/>
        </w:rPr>
        <w:t>на 2019 год – 104,6%. В результате, среднемесячная заработная плата на одного работника составила 3</w:t>
      </w:r>
      <w:r w:rsidR="00521052" w:rsidRPr="00CE2140">
        <w:rPr>
          <w:bCs/>
          <w:color w:val="000000"/>
        </w:rPr>
        <w:t>8</w:t>
      </w:r>
      <w:r w:rsidR="00AD5BD7" w:rsidRPr="00CE2140">
        <w:rPr>
          <w:bCs/>
          <w:color w:val="000000"/>
        </w:rPr>
        <w:t>097</w:t>
      </w:r>
      <w:r w:rsidR="00454E26" w:rsidRPr="00CE2140">
        <w:rPr>
          <w:bCs/>
          <w:color w:val="000000"/>
        </w:rPr>
        <w:t xml:space="preserve"> руб. Расходы на уплату страховых взносов ППП составят </w:t>
      </w:r>
      <w:r w:rsidR="00CE2140" w:rsidRPr="00CE2140">
        <w:rPr>
          <w:b/>
          <w:bCs/>
          <w:color w:val="000000"/>
        </w:rPr>
        <w:t>853,6</w:t>
      </w:r>
      <w:r w:rsidR="00454E26" w:rsidRPr="00CE2140">
        <w:rPr>
          <w:b/>
          <w:bCs/>
          <w:color w:val="000000"/>
        </w:rPr>
        <w:t xml:space="preserve"> </w:t>
      </w:r>
      <w:proofErr w:type="spellStart"/>
      <w:r w:rsidR="00454E26" w:rsidRPr="00CE2140">
        <w:rPr>
          <w:bCs/>
          <w:color w:val="000000"/>
        </w:rPr>
        <w:t>тыс</w:t>
      </w:r>
      <w:proofErr w:type="gramStart"/>
      <w:r w:rsidR="00454E26" w:rsidRPr="00CE2140">
        <w:rPr>
          <w:bCs/>
          <w:color w:val="000000"/>
        </w:rPr>
        <w:t>.р</w:t>
      </w:r>
      <w:proofErr w:type="gramEnd"/>
      <w:r w:rsidR="00454E26" w:rsidRPr="00CE2140">
        <w:rPr>
          <w:bCs/>
          <w:color w:val="000000"/>
        </w:rPr>
        <w:t>уб</w:t>
      </w:r>
      <w:proofErr w:type="spellEnd"/>
      <w:r w:rsidR="00454E26" w:rsidRPr="00CE2140">
        <w:rPr>
          <w:bCs/>
          <w:color w:val="000000"/>
        </w:rPr>
        <w:t xml:space="preserve">. и рассчитаны в размере 30% от ФОТ ППП в соответствии с Федеральным законом от 24.07.2009 г. N 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 и тарифа на обязательное социальное страхование от несчастных случаев на производстве, установленного для предприятия в размере 0,4% </w:t>
      </w:r>
      <w:proofErr w:type="gramStart"/>
      <w:r w:rsidR="00454E26" w:rsidRPr="00CE2140">
        <w:rPr>
          <w:bCs/>
          <w:color w:val="000000"/>
        </w:rPr>
        <w:t>от</w:t>
      </w:r>
      <w:proofErr w:type="gramEnd"/>
      <w:r w:rsidR="00454E26" w:rsidRPr="00CE2140">
        <w:rPr>
          <w:bCs/>
          <w:color w:val="000000"/>
        </w:rPr>
        <w:t xml:space="preserve"> ФОТ ППП.</w:t>
      </w:r>
    </w:p>
    <w:p w:rsidR="00CC7E14" w:rsidRPr="0040433D" w:rsidRDefault="0016477A" w:rsidP="0040433D">
      <w:pPr>
        <w:pStyle w:val="a4"/>
        <w:spacing w:after="0"/>
        <w:ind w:left="0" w:firstLine="720"/>
        <w:jc w:val="both"/>
        <w:rPr>
          <w:color w:val="000000"/>
        </w:rPr>
      </w:pPr>
      <w:r w:rsidRPr="00CE2140">
        <w:rPr>
          <w:bCs/>
          <w:color w:val="000000"/>
        </w:rPr>
        <w:t xml:space="preserve">Сформированы </w:t>
      </w:r>
      <w:r w:rsidR="00454E26" w:rsidRPr="00CE2140">
        <w:rPr>
          <w:bCs/>
          <w:color w:val="000000"/>
        </w:rPr>
        <w:t xml:space="preserve">расходы на материалы для текущего ремонта в размере </w:t>
      </w:r>
      <w:r w:rsidR="00CE2140">
        <w:rPr>
          <w:b/>
          <w:bCs/>
          <w:color w:val="000000"/>
        </w:rPr>
        <w:t>635,8</w:t>
      </w:r>
      <w:r w:rsidR="00454E26" w:rsidRPr="00CE2140">
        <w:rPr>
          <w:bCs/>
          <w:color w:val="000000"/>
        </w:rPr>
        <w:t xml:space="preserve"> </w:t>
      </w:r>
      <w:proofErr w:type="spellStart"/>
      <w:r w:rsidR="00454E26" w:rsidRPr="00CE2140">
        <w:rPr>
          <w:bCs/>
          <w:color w:val="000000"/>
        </w:rPr>
        <w:t>тыс</w:t>
      </w:r>
      <w:proofErr w:type="gramStart"/>
      <w:r w:rsidR="00454E26" w:rsidRPr="00CE2140">
        <w:rPr>
          <w:bCs/>
          <w:color w:val="000000"/>
        </w:rPr>
        <w:t>.р</w:t>
      </w:r>
      <w:proofErr w:type="gramEnd"/>
      <w:r w:rsidR="00454E26" w:rsidRPr="00CE2140">
        <w:rPr>
          <w:bCs/>
          <w:color w:val="000000"/>
        </w:rPr>
        <w:t>уб</w:t>
      </w:r>
      <w:proofErr w:type="spellEnd"/>
      <w:r w:rsidR="00454E26" w:rsidRPr="00CE2140">
        <w:rPr>
          <w:bCs/>
          <w:color w:val="000000"/>
        </w:rPr>
        <w:t xml:space="preserve">. </w:t>
      </w:r>
      <w:r w:rsidR="00454E26" w:rsidRPr="00CE2140">
        <w:rPr>
          <w:color w:val="000000"/>
        </w:rPr>
        <w:t xml:space="preserve">рассчитанной в соответствии с «Нормативами расходов на проведение ремонтных работ в электрических сетях напряжением 0,38-500кВ», СО 34.10.397-2005. </w:t>
      </w:r>
    </w:p>
    <w:p w:rsidR="00A028DF" w:rsidRDefault="009F6470" w:rsidP="00A028DF">
      <w:pPr>
        <w:autoSpaceDE w:val="0"/>
        <w:autoSpaceDN w:val="0"/>
        <w:adjustRightInd w:val="0"/>
        <w:ind w:firstLine="708"/>
        <w:jc w:val="both"/>
        <w:rPr>
          <w:iCs/>
        </w:rPr>
      </w:pPr>
      <w:r>
        <w:rPr>
          <w:bCs/>
        </w:rPr>
        <w:t>Согласно пункту 3.4.1,  предусмотренному во всех договорах аренды, арендатор  вправе по письменному согласованию с Арендодателем производить ремонтно-восстановительные работы, отделимые и неотделимые улучшения арендованного имущества. Такое согласование права на производство капитальных ремонтов, ремонтно-восстановительных работ, улучшений арендованного имущества, а также условия возмещения стоимости этих работ/улучшений производится Сторонами путем подписания дополнительного соглашения к договорам аренды. В представленных материалах организации дополнительные соглашения о производстве капитальных ремонтов на 2019 года отсутствуют</w:t>
      </w:r>
      <w:proofErr w:type="gramStart"/>
      <w:r w:rsidR="00A028DF">
        <w:rPr>
          <w:bCs/>
        </w:rPr>
        <w:t xml:space="preserve">. </w:t>
      </w:r>
      <w:proofErr w:type="gramEnd"/>
      <w:r w:rsidR="00A028DF">
        <w:rPr>
          <w:iCs/>
        </w:rPr>
        <w:t>Кроме того,</w:t>
      </w:r>
      <w:r w:rsidR="00A028DF" w:rsidRPr="00F82AE1">
        <w:rPr>
          <w:iCs/>
        </w:rPr>
        <w:t xml:space="preserve"> организацией </w:t>
      </w:r>
      <w:r w:rsidR="00A028DF">
        <w:rPr>
          <w:iCs/>
        </w:rPr>
        <w:t>н</w:t>
      </w:r>
      <w:r w:rsidR="00A028DF" w:rsidRPr="00F82AE1">
        <w:rPr>
          <w:iCs/>
        </w:rPr>
        <w:t xml:space="preserve">е представлены </w:t>
      </w:r>
      <w:r w:rsidR="00A028DF">
        <w:rPr>
          <w:iCs/>
        </w:rPr>
        <w:t xml:space="preserve">обоснования </w:t>
      </w:r>
      <w:r w:rsidR="00A028DF">
        <w:rPr>
          <w:rFonts w:eastAsiaTheme="minorHAnsi"/>
          <w:bCs/>
          <w:lang w:eastAsia="en-US"/>
        </w:rPr>
        <w:t>проведения капитального ремонта на объектах электросетевого хозяйства</w:t>
      </w:r>
      <w:r w:rsidR="00A028DF">
        <w:rPr>
          <w:rFonts w:eastAsiaTheme="minorHAnsi"/>
          <w:bCs/>
          <w:lang w:eastAsia="en-US"/>
        </w:rPr>
        <w:t xml:space="preserve">: </w:t>
      </w:r>
      <w:r w:rsidR="00A028DF">
        <w:rPr>
          <w:rFonts w:eastAsiaTheme="minorHAnsi"/>
          <w:bCs/>
          <w:lang w:eastAsia="en-US"/>
        </w:rPr>
        <w:t>дефектные ведомости,</w:t>
      </w:r>
      <w:r w:rsidR="00A028DF" w:rsidRPr="00F82AE1">
        <w:rPr>
          <w:rFonts w:eastAsiaTheme="minorHAnsi"/>
          <w:bCs/>
          <w:lang w:eastAsia="en-US"/>
        </w:rPr>
        <w:t xml:space="preserve"> </w:t>
      </w:r>
      <w:r w:rsidR="00A028DF">
        <w:rPr>
          <w:rFonts w:eastAsiaTheme="minorHAnsi"/>
          <w:bCs/>
          <w:lang w:eastAsia="en-US"/>
        </w:rPr>
        <w:t xml:space="preserve">информация о </w:t>
      </w:r>
      <w:r w:rsidR="00A028DF" w:rsidRPr="00F82AE1">
        <w:rPr>
          <w:rFonts w:eastAsiaTheme="minorHAnsi"/>
          <w:bCs/>
          <w:lang w:eastAsia="en-US"/>
        </w:rPr>
        <w:t>договорах</w:t>
      </w:r>
      <w:r w:rsidR="00A028DF">
        <w:rPr>
          <w:rFonts w:eastAsiaTheme="minorHAnsi"/>
          <w:bCs/>
          <w:lang w:eastAsia="en-US"/>
        </w:rPr>
        <w:t xml:space="preserve"> на </w:t>
      </w:r>
      <w:r w:rsidR="00A028DF">
        <w:rPr>
          <w:rFonts w:eastAsiaTheme="minorHAnsi"/>
          <w:bCs/>
          <w:lang w:eastAsia="en-US"/>
        </w:rPr>
        <w:t>проведение капитальных ремонтов</w:t>
      </w:r>
      <w:r w:rsidR="00A028DF" w:rsidRPr="00F82AE1">
        <w:rPr>
          <w:rFonts w:eastAsiaTheme="minorHAnsi"/>
          <w:bCs/>
          <w:lang w:eastAsia="en-US"/>
        </w:rPr>
        <w:t xml:space="preserve">, заключенных в результате проведения торгов, а также </w:t>
      </w:r>
      <w:r w:rsidR="00A028DF" w:rsidRPr="00F82AE1">
        <w:rPr>
          <w:rFonts w:eastAsiaTheme="minorHAnsi"/>
          <w:bCs/>
          <w:lang w:eastAsia="en-US"/>
        </w:rPr>
        <w:lastRenderedPageBreak/>
        <w:t>отчетны</w:t>
      </w:r>
      <w:r w:rsidR="00A028DF">
        <w:rPr>
          <w:rFonts w:eastAsiaTheme="minorHAnsi"/>
          <w:bCs/>
          <w:lang w:eastAsia="en-US"/>
        </w:rPr>
        <w:t>е</w:t>
      </w:r>
      <w:r w:rsidR="00A028DF" w:rsidRPr="00F82AE1">
        <w:rPr>
          <w:rFonts w:eastAsiaTheme="minorHAnsi"/>
          <w:bCs/>
          <w:lang w:eastAsia="en-US"/>
        </w:rPr>
        <w:t xml:space="preserve"> данны</w:t>
      </w:r>
      <w:r w:rsidR="00A028DF">
        <w:rPr>
          <w:rFonts w:eastAsiaTheme="minorHAnsi"/>
          <w:bCs/>
          <w:lang w:eastAsia="en-US"/>
        </w:rPr>
        <w:t>е</w:t>
      </w:r>
      <w:r w:rsidR="00A028DF" w:rsidRPr="00F82AE1">
        <w:rPr>
          <w:rFonts w:eastAsiaTheme="minorHAnsi"/>
          <w:bCs/>
          <w:lang w:eastAsia="en-US"/>
        </w:rPr>
        <w:t xml:space="preserve"> организации о фактически</w:t>
      </w:r>
      <w:r w:rsidR="00A028DF">
        <w:rPr>
          <w:rFonts w:eastAsiaTheme="minorHAnsi"/>
          <w:bCs/>
          <w:lang w:eastAsia="en-US"/>
        </w:rPr>
        <w:t xml:space="preserve"> понесенных</w:t>
      </w:r>
      <w:r w:rsidR="00A028DF" w:rsidRPr="00F82AE1">
        <w:rPr>
          <w:rFonts w:eastAsiaTheme="minorHAnsi"/>
          <w:bCs/>
          <w:lang w:eastAsia="en-US"/>
        </w:rPr>
        <w:t xml:space="preserve"> расходах</w:t>
      </w:r>
      <w:r w:rsidR="00A028DF">
        <w:rPr>
          <w:rFonts w:eastAsiaTheme="minorHAnsi"/>
          <w:bCs/>
          <w:lang w:eastAsia="en-US"/>
        </w:rPr>
        <w:t xml:space="preserve">. </w:t>
      </w:r>
      <w:proofErr w:type="gramStart"/>
      <w:r w:rsidR="00A028DF">
        <w:rPr>
          <w:rFonts w:eastAsiaTheme="minorHAnsi"/>
          <w:bCs/>
          <w:lang w:eastAsia="en-US"/>
        </w:rPr>
        <w:t>В связи с изложенным,</w:t>
      </w:r>
      <w:r w:rsidR="00A028DF" w:rsidRPr="00F82AE1">
        <w:rPr>
          <w:rFonts w:eastAsiaTheme="minorHAnsi"/>
          <w:bCs/>
          <w:lang w:eastAsia="en-US"/>
        </w:rPr>
        <w:t xml:space="preserve"> </w:t>
      </w:r>
      <w:r w:rsidR="00A028DF" w:rsidRPr="00F82AE1">
        <w:rPr>
          <w:iCs/>
        </w:rPr>
        <w:t>р</w:t>
      </w:r>
      <w:r w:rsidR="00A028DF">
        <w:rPr>
          <w:iCs/>
        </w:rPr>
        <w:t xml:space="preserve">асходы на </w:t>
      </w:r>
      <w:r w:rsidR="00A028DF">
        <w:rPr>
          <w:iCs/>
        </w:rPr>
        <w:t>капитальный ремонт</w:t>
      </w:r>
      <w:r w:rsidR="00A028DF" w:rsidRPr="00F82AE1">
        <w:rPr>
          <w:iCs/>
        </w:rPr>
        <w:t xml:space="preserve"> </w:t>
      </w:r>
      <w:r w:rsidR="00A028DF">
        <w:rPr>
          <w:iCs/>
        </w:rPr>
        <w:t xml:space="preserve">не признаны департаментом экономически обоснованными и не учтены в НВВ организации в полном объеме. </w:t>
      </w:r>
      <w:proofErr w:type="gramEnd"/>
    </w:p>
    <w:p w:rsidR="00454E26" w:rsidRPr="00AC402B" w:rsidRDefault="00454E26" w:rsidP="00282713">
      <w:pPr>
        <w:pStyle w:val="3"/>
        <w:ind w:firstLine="709"/>
        <w:rPr>
          <w:b/>
          <w:iCs/>
          <w:szCs w:val="24"/>
        </w:rPr>
      </w:pPr>
    </w:p>
    <w:p w:rsidR="00282713" w:rsidRPr="009137AA" w:rsidRDefault="00282713" w:rsidP="00282713">
      <w:pPr>
        <w:pStyle w:val="3"/>
        <w:ind w:firstLine="709"/>
        <w:rPr>
          <w:b/>
          <w:iCs/>
          <w:szCs w:val="24"/>
          <w:highlight w:val="yellow"/>
        </w:rPr>
      </w:pPr>
      <w:r w:rsidRPr="009137AA">
        <w:rPr>
          <w:b/>
          <w:iCs/>
          <w:szCs w:val="24"/>
        </w:rPr>
        <w:t xml:space="preserve">Расходы на оплату труда </w:t>
      </w:r>
    </w:p>
    <w:p w:rsidR="00454E26" w:rsidRDefault="00785477" w:rsidP="00927580">
      <w:pPr>
        <w:pStyle w:val="31"/>
        <w:spacing w:after="0"/>
        <w:ind w:left="0" w:firstLine="720"/>
        <w:jc w:val="both"/>
        <w:rPr>
          <w:color w:val="000000"/>
          <w:sz w:val="24"/>
          <w:szCs w:val="24"/>
        </w:rPr>
      </w:pPr>
      <w:r w:rsidRPr="00785477">
        <w:rPr>
          <w:color w:val="000000"/>
          <w:sz w:val="24"/>
          <w:szCs w:val="24"/>
        </w:rPr>
        <w:t>Рас</w:t>
      </w:r>
      <w:r>
        <w:rPr>
          <w:color w:val="000000"/>
          <w:sz w:val="24"/>
          <w:szCs w:val="24"/>
        </w:rPr>
        <w:t xml:space="preserve">ходы на оплату труда </w:t>
      </w:r>
      <w:r w:rsidR="00684715">
        <w:rPr>
          <w:color w:val="000000"/>
          <w:sz w:val="24"/>
          <w:szCs w:val="24"/>
        </w:rPr>
        <w:t xml:space="preserve">АУП </w:t>
      </w:r>
      <w:r>
        <w:rPr>
          <w:color w:val="000000"/>
          <w:sz w:val="24"/>
          <w:szCs w:val="24"/>
        </w:rPr>
        <w:t xml:space="preserve">запланированы организацией </w:t>
      </w:r>
      <w:r w:rsidR="00454E26">
        <w:rPr>
          <w:color w:val="000000"/>
          <w:sz w:val="24"/>
          <w:szCs w:val="24"/>
        </w:rPr>
        <w:t xml:space="preserve">в размере </w:t>
      </w:r>
      <w:r w:rsidR="00DA0B31">
        <w:rPr>
          <w:color w:val="000000"/>
          <w:sz w:val="24"/>
          <w:szCs w:val="24"/>
        </w:rPr>
        <w:t>5732,0</w:t>
      </w:r>
      <w:r w:rsidR="00454E26">
        <w:rPr>
          <w:color w:val="000000"/>
          <w:sz w:val="24"/>
          <w:szCs w:val="24"/>
        </w:rPr>
        <w:t xml:space="preserve"> </w:t>
      </w:r>
      <w:proofErr w:type="spellStart"/>
      <w:r w:rsidR="00454E26">
        <w:rPr>
          <w:color w:val="000000"/>
          <w:sz w:val="24"/>
          <w:szCs w:val="24"/>
        </w:rPr>
        <w:t>тыс</w:t>
      </w:r>
      <w:proofErr w:type="gramStart"/>
      <w:r w:rsidR="00454E26">
        <w:rPr>
          <w:color w:val="000000"/>
          <w:sz w:val="24"/>
          <w:szCs w:val="24"/>
        </w:rPr>
        <w:t>.р</w:t>
      </w:r>
      <w:proofErr w:type="gramEnd"/>
      <w:r w:rsidR="00454E26">
        <w:rPr>
          <w:color w:val="000000"/>
          <w:sz w:val="24"/>
          <w:szCs w:val="24"/>
        </w:rPr>
        <w:t>уб</w:t>
      </w:r>
      <w:proofErr w:type="spellEnd"/>
      <w:r w:rsidR="00454E26">
        <w:rPr>
          <w:color w:val="000000"/>
          <w:sz w:val="24"/>
          <w:szCs w:val="24"/>
        </w:rPr>
        <w:t>.  а именно:</w:t>
      </w:r>
    </w:p>
    <w:p w:rsidR="00454E26" w:rsidRPr="00D349F7" w:rsidRDefault="00454E26" w:rsidP="00454E26">
      <w:pPr>
        <w:widowControl w:val="0"/>
        <w:tabs>
          <w:tab w:val="left" w:pos="0"/>
        </w:tabs>
        <w:suppressAutoHyphens/>
        <w:jc w:val="both"/>
      </w:pPr>
      <w:r>
        <w:tab/>
        <w:t>-</w:t>
      </w:r>
      <w:r w:rsidRPr="00D349F7">
        <w:t xml:space="preserve"> </w:t>
      </w:r>
      <w:r w:rsidR="000E19C5">
        <w:t>ч</w:t>
      </w:r>
      <w:r w:rsidR="000E19C5" w:rsidRPr="00C84C37">
        <w:t>исленност</w:t>
      </w:r>
      <w:r w:rsidR="000E19C5">
        <w:t>и</w:t>
      </w:r>
      <w:r w:rsidR="000E19C5" w:rsidRPr="00C84C37">
        <w:t xml:space="preserve"> </w:t>
      </w:r>
      <w:r w:rsidR="00C0629E">
        <w:t xml:space="preserve">работников </w:t>
      </w:r>
      <w:r w:rsidR="000E19C5" w:rsidRPr="00C84C37">
        <w:t xml:space="preserve">в количестве </w:t>
      </w:r>
      <w:r w:rsidR="00C0629E">
        <w:t>11</w:t>
      </w:r>
      <w:r w:rsidR="000E19C5" w:rsidRPr="00C84C37">
        <w:t xml:space="preserve"> чел.</w:t>
      </w:r>
      <w:r w:rsidR="00B4333A">
        <w:t xml:space="preserve"> согласно штатному расписанию организации </w:t>
      </w:r>
      <w:r w:rsidR="00B4333A" w:rsidRPr="002E3DE9">
        <w:rPr>
          <w:bCs/>
        </w:rPr>
        <w:t>на 2018-2019гг. от 28.11.2018г.</w:t>
      </w:r>
      <w:r>
        <w:t>;</w:t>
      </w:r>
    </w:p>
    <w:p w:rsidR="00454E26" w:rsidRDefault="00454E26" w:rsidP="00454E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C561C">
        <w:rPr>
          <w:bCs/>
        </w:rPr>
        <w:t>-</w:t>
      </w:r>
      <w:r>
        <w:rPr>
          <w:bCs/>
        </w:rPr>
        <w:t xml:space="preserve"> среднемесячн</w:t>
      </w:r>
      <w:r w:rsidR="00DC6038">
        <w:rPr>
          <w:bCs/>
        </w:rPr>
        <w:t>ой</w:t>
      </w:r>
      <w:r>
        <w:rPr>
          <w:bCs/>
        </w:rPr>
        <w:t xml:space="preserve"> </w:t>
      </w:r>
      <w:r w:rsidR="00C0629E">
        <w:rPr>
          <w:bCs/>
        </w:rPr>
        <w:t xml:space="preserve">оплаты труда </w:t>
      </w:r>
      <w:r w:rsidRPr="002E3DE9">
        <w:rPr>
          <w:bCs/>
        </w:rPr>
        <w:t>согласно штатному расписанию ООО «</w:t>
      </w:r>
      <w:r w:rsidR="002E3DE9" w:rsidRPr="002E3DE9">
        <w:rPr>
          <w:bCs/>
        </w:rPr>
        <w:t>НСК Электросеть</w:t>
      </w:r>
      <w:r w:rsidRPr="002E3DE9">
        <w:rPr>
          <w:bCs/>
        </w:rPr>
        <w:t xml:space="preserve">» </w:t>
      </w:r>
      <w:r w:rsidR="002E3DE9" w:rsidRPr="002E3DE9">
        <w:rPr>
          <w:bCs/>
        </w:rPr>
        <w:t xml:space="preserve">на 2018-2019гг. </w:t>
      </w:r>
      <w:r w:rsidRPr="002E3DE9">
        <w:rPr>
          <w:bCs/>
        </w:rPr>
        <w:t xml:space="preserve">от </w:t>
      </w:r>
      <w:r w:rsidR="002E3DE9" w:rsidRPr="002E3DE9">
        <w:rPr>
          <w:bCs/>
        </w:rPr>
        <w:t>28</w:t>
      </w:r>
      <w:r w:rsidRPr="002E3DE9">
        <w:rPr>
          <w:bCs/>
        </w:rPr>
        <w:t>.1</w:t>
      </w:r>
      <w:r w:rsidR="002E3DE9" w:rsidRPr="002E3DE9">
        <w:rPr>
          <w:bCs/>
        </w:rPr>
        <w:t>1.2018г</w:t>
      </w:r>
      <w:r w:rsidRPr="002E3DE9">
        <w:rPr>
          <w:bCs/>
        </w:rPr>
        <w:t>.</w:t>
      </w:r>
      <w:r>
        <w:rPr>
          <w:bCs/>
        </w:rPr>
        <w:t xml:space="preserve">  в размере </w:t>
      </w:r>
      <w:r w:rsidR="00C0629E">
        <w:rPr>
          <w:bCs/>
        </w:rPr>
        <w:t>43424руб.</w:t>
      </w:r>
    </w:p>
    <w:p w:rsidR="003F332B" w:rsidRPr="003F332B" w:rsidRDefault="003F332B" w:rsidP="003F332B">
      <w:pPr>
        <w:ind w:firstLine="720"/>
        <w:jc w:val="both"/>
        <w:rPr>
          <w:bCs/>
          <w:color w:val="000000"/>
          <w:szCs w:val="20"/>
        </w:rPr>
      </w:pPr>
      <w:r w:rsidRPr="003F332B">
        <w:rPr>
          <w:bCs/>
          <w:color w:val="000000"/>
          <w:szCs w:val="20"/>
        </w:rPr>
        <w:t>Департаментом признаны экономически обоснованными расходы на оплату труда работникам ООО «</w:t>
      </w:r>
      <w:r>
        <w:rPr>
          <w:bCs/>
          <w:color w:val="000000"/>
          <w:szCs w:val="20"/>
        </w:rPr>
        <w:t>НСК Электросеть</w:t>
      </w:r>
      <w:r w:rsidRPr="003F332B">
        <w:rPr>
          <w:bCs/>
          <w:color w:val="000000"/>
          <w:szCs w:val="20"/>
        </w:rPr>
        <w:t xml:space="preserve">» на 2019 год в размере </w:t>
      </w:r>
      <w:r w:rsidRPr="003F332B">
        <w:rPr>
          <w:b/>
          <w:bCs/>
          <w:color w:val="000000"/>
          <w:szCs w:val="20"/>
        </w:rPr>
        <w:t>1</w:t>
      </w:r>
      <w:r w:rsidR="00A958F6">
        <w:rPr>
          <w:b/>
          <w:bCs/>
          <w:color w:val="000000"/>
          <w:szCs w:val="20"/>
        </w:rPr>
        <w:t>917,5</w:t>
      </w:r>
      <w:r w:rsidRPr="003F332B">
        <w:rPr>
          <w:b/>
          <w:bCs/>
          <w:color w:val="000000"/>
          <w:szCs w:val="20"/>
        </w:rPr>
        <w:t xml:space="preserve"> </w:t>
      </w:r>
      <w:proofErr w:type="spellStart"/>
      <w:r w:rsidRPr="003F332B">
        <w:rPr>
          <w:bCs/>
          <w:color w:val="000000"/>
          <w:szCs w:val="20"/>
        </w:rPr>
        <w:t>тыс</w:t>
      </w:r>
      <w:proofErr w:type="gramStart"/>
      <w:r w:rsidRPr="003F332B">
        <w:rPr>
          <w:bCs/>
          <w:color w:val="000000"/>
          <w:szCs w:val="20"/>
        </w:rPr>
        <w:t>.р</w:t>
      </w:r>
      <w:proofErr w:type="gramEnd"/>
      <w:r w:rsidRPr="003F332B">
        <w:rPr>
          <w:bCs/>
          <w:color w:val="000000"/>
          <w:szCs w:val="20"/>
        </w:rPr>
        <w:t>уб</w:t>
      </w:r>
      <w:proofErr w:type="spellEnd"/>
      <w:r w:rsidRPr="003F332B">
        <w:rPr>
          <w:bCs/>
          <w:color w:val="000000"/>
          <w:szCs w:val="20"/>
        </w:rPr>
        <w:t>. Расходы на оплату труда сформированы исходя из:</w:t>
      </w:r>
    </w:p>
    <w:p w:rsidR="003F332B" w:rsidRPr="00F15E22" w:rsidRDefault="003F332B" w:rsidP="003F332B">
      <w:pPr>
        <w:ind w:firstLine="720"/>
        <w:jc w:val="both"/>
        <w:rPr>
          <w:bCs/>
          <w:color w:val="000000"/>
          <w:szCs w:val="20"/>
        </w:rPr>
      </w:pPr>
      <w:r w:rsidRPr="00F15E22">
        <w:rPr>
          <w:bCs/>
          <w:color w:val="000000"/>
          <w:szCs w:val="20"/>
        </w:rPr>
        <w:t xml:space="preserve">- нормативной </w:t>
      </w:r>
      <w:r w:rsidRPr="00F15E22">
        <w:rPr>
          <w:bCs/>
        </w:rPr>
        <w:t xml:space="preserve">численности административно-управленческого персонала организации в </w:t>
      </w:r>
      <w:r w:rsidR="00F15E22" w:rsidRPr="00F15E22">
        <w:rPr>
          <w:bCs/>
          <w:color w:val="000000"/>
          <w:szCs w:val="20"/>
        </w:rPr>
        <w:t xml:space="preserve">количестве </w:t>
      </w:r>
      <w:r w:rsidR="005C788B">
        <w:rPr>
          <w:bCs/>
          <w:color w:val="000000"/>
          <w:szCs w:val="20"/>
        </w:rPr>
        <w:t>4,2</w:t>
      </w:r>
      <w:r w:rsidR="00F15E22" w:rsidRPr="00F15E22">
        <w:rPr>
          <w:bCs/>
          <w:color w:val="000000"/>
          <w:szCs w:val="20"/>
        </w:rPr>
        <w:t xml:space="preserve"> штатные единицы. </w:t>
      </w:r>
      <w:r w:rsidRPr="00F15E22">
        <w:rPr>
          <w:bCs/>
          <w:color w:val="000000"/>
          <w:szCs w:val="20"/>
        </w:rPr>
        <w:t xml:space="preserve"> </w:t>
      </w:r>
      <w:proofErr w:type="gramStart"/>
      <w:r w:rsidR="00F15E22" w:rsidRPr="00F15E22">
        <w:rPr>
          <w:rFonts w:ascii="Times New Roman CYR" w:eastAsiaTheme="minorHAnsi" w:hAnsi="Times New Roman CYR" w:cs="Times New Roman CYR"/>
          <w:lang w:eastAsia="en-US"/>
        </w:rPr>
        <w:t xml:space="preserve">Так как определение численности руководителей, специалистов и служащих по «Нормативам численности промышленно-производственного персонала распределительных электрических сетей» (Москва, 2004 год, ЦОТ </w:t>
      </w:r>
      <w:proofErr w:type="spellStart"/>
      <w:r w:rsidR="00F15E22" w:rsidRPr="00F15E22">
        <w:rPr>
          <w:rFonts w:ascii="Times New Roman CYR" w:eastAsiaTheme="minorHAnsi" w:hAnsi="Times New Roman CYR" w:cs="Times New Roman CYR"/>
          <w:lang w:eastAsia="en-US"/>
        </w:rPr>
        <w:t>Энерго</w:t>
      </w:r>
      <w:proofErr w:type="spellEnd"/>
      <w:r w:rsidR="00F15E22" w:rsidRPr="00F15E22">
        <w:rPr>
          <w:rFonts w:ascii="Times New Roman CYR" w:eastAsiaTheme="minorHAnsi" w:hAnsi="Times New Roman CYR" w:cs="Times New Roman CYR"/>
          <w:lang w:eastAsia="en-US"/>
        </w:rPr>
        <w:t>) производится для крупных сетевых компаний (первое ограничение по таблицам находится в диапазоне до 10000 у.е., до 20000 у.е., до 30000 у.е., до 35000 у.е.), а у ООО «НСК Электросеть» на обслуживании 649,8 у.е., при</w:t>
      </w:r>
      <w:proofErr w:type="gramEnd"/>
      <w:r w:rsidR="00F15E22" w:rsidRPr="00F15E22">
        <w:rPr>
          <w:rFonts w:ascii="Times New Roman CYR" w:eastAsiaTheme="minorHAnsi" w:hAnsi="Times New Roman CYR" w:cs="Times New Roman CYR"/>
          <w:lang w:eastAsia="en-US"/>
        </w:rPr>
        <w:t xml:space="preserve"> </w:t>
      </w:r>
      <w:proofErr w:type="gramStart"/>
      <w:r w:rsidR="00F15E22" w:rsidRPr="00F15E22">
        <w:rPr>
          <w:rFonts w:ascii="Times New Roman CYR" w:eastAsiaTheme="minorHAnsi" w:hAnsi="Times New Roman CYR" w:cs="Times New Roman CYR"/>
          <w:lang w:eastAsia="en-US"/>
        </w:rPr>
        <w:t>определении</w:t>
      </w:r>
      <w:proofErr w:type="gramEnd"/>
      <w:r w:rsidR="00F15E22" w:rsidRPr="00F15E22">
        <w:rPr>
          <w:rFonts w:ascii="Times New Roman CYR" w:eastAsiaTheme="minorHAnsi" w:hAnsi="Times New Roman CYR" w:cs="Times New Roman CYR"/>
          <w:lang w:eastAsia="en-US"/>
        </w:rPr>
        <w:t xml:space="preserve"> численности АУП департамент руководствовался количеством </w:t>
      </w:r>
      <w:proofErr w:type="spellStart"/>
      <w:r w:rsidR="00F15E22" w:rsidRPr="00F15E22">
        <w:rPr>
          <w:rFonts w:ascii="Times New Roman CYR" w:eastAsiaTheme="minorHAnsi" w:hAnsi="Times New Roman CYR" w:cs="Times New Roman CYR"/>
          <w:lang w:eastAsia="en-US"/>
        </w:rPr>
        <w:t>шт.ед</w:t>
      </w:r>
      <w:proofErr w:type="spellEnd"/>
      <w:r w:rsidR="00F15E22" w:rsidRPr="00F15E22">
        <w:rPr>
          <w:rFonts w:ascii="Times New Roman CYR" w:eastAsiaTheme="minorHAnsi" w:hAnsi="Times New Roman CYR" w:cs="Times New Roman CYR"/>
          <w:lang w:eastAsia="en-US"/>
        </w:rPr>
        <w:t xml:space="preserve">. АУП по </w:t>
      </w:r>
      <w:r w:rsidR="00A958F6">
        <w:rPr>
          <w:rFonts w:ascii="Times New Roman CYR" w:eastAsiaTheme="minorHAnsi" w:hAnsi="Times New Roman CYR" w:cs="Times New Roman CYR"/>
          <w:lang w:eastAsia="en-US"/>
        </w:rPr>
        <w:t>регулируемым</w:t>
      </w:r>
      <w:r w:rsidR="00F15E22" w:rsidRPr="00F15E22">
        <w:rPr>
          <w:rFonts w:ascii="Times New Roman CYR" w:eastAsiaTheme="minorHAnsi" w:hAnsi="Times New Roman CYR" w:cs="Times New Roman CYR"/>
          <w:lang w:eastAsia="en-US"/>
        </w:rPr>
        <w:t xml:space="preserve"> сетевым организациям, исходя из </w:t>
      </w:r>
      <w:r w:rsidR="00A958F6">
        <w:rPr>
          <w:rFonts w:ascii="Times New Roman CYR" w:eastAsiaTheme="minorHAnsi" w:hAnsi="Times New Roman CYR" w:cs="Times New Roman CYR"/>
          <w:lang w:eastAsia="en-US"/>
        </w:rPr>
        <w:t xml:space="preserve">соотношения </w:t>
      </w:r>
      <w:r w:rsidR="00F15E22" w:rsidRPr="00F15E22">
        <w:rPr>
          <w:rFonts w:ascii="Times New Roman CYR" w:eastAsiaTheme="minorHAnsi" w:hAnsi="Times New Roman CYR" w:cs="Times New Roman CYR"/>
          <w:lang w:eastAsia="en-US"/>
        </w:rPr>
        <w:t>количества у.е. объектов электросетевого хозяйства</w:t>
      </w:r>
      <w:r w:rsidR="00A958F6">
        <w:rPr>
          <w:rFonts w:ascii="Times New Roman CYR" w:eastAsiaTheme="minorHAnsi" w:hAnsi="Times New Roman CYR" w:cs="Times New Roman CYR"/>
          <w:lang w:eastAsia="en-US"/>
        </w:rPr>
        <w:t xml:space="preserve"> на 1шт.ед. АУП</w:t>
      </w:r>
      <w:r w:rsidRPr="00F15E22">
        <w:rPr>
          <w:bCs/>
        </w:rPr>
        <w:t>;</w:t>
      </w:r>
    </w:p>
    <w:p w:rsidR="003F332B" w:rsidRPr="003F332B" w:rsidRDefault="003F332B" w:rsidP="003F332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</w:rPr>
      </w:pPr>
      <w:r w:rsidRPr="00F15E22">
        <w:rPr>
          <w:bCs/>
          <w:color w:val="000000"/>
          <w:szCs w:val="20"/>
        </w:rPr>
        <w:t xml:space="preserve">- </w:t>
      </w:r>
      <w:r w:rsidRPr="00F15E22">
        <w:rPr>
          <w:rFonts w:ascii="Times New Roman CYR" w:hAnsi="Times New Roman CYR" w:cs="Times New Roman CYR"/>
          <w:color w:val="000000"/>
        </w:rPr>
        <w:t>среднемесячной заработной платы одного работника</w:t>
      </w:r>
      <w:r w:rsidRPr="003F332B">
        <w:rPr>
          <w:rFonts w:ascii="Times New Roman CYR" w:hAnsi="Times New Roman CYR" w:cs="Times New Roman CYR"/>
          <w:color w:val="000000"/>
        </w:rPr>
        <w:t xml:space="preserve"> в размере 38 097,0 руб., сформированной </w:t>
      </w:r>
      <w:r w:rsidRPr="003F332B">
        <w:rPr>
          <w:bCs/>
          <w:color w:val="000000"/>
          <w:szCs w:val="20"/>
        </w:rPr>
        <w:t>исходя из среднемесячной номинальной начисленной заработной платы в расчете на одного работника предприятий и организаций Новосибирской области по отрасли</w:t>
      </w:r>
      <w:r w:rsidR="00D67B84">
        <w:rPr>
          <w:bCs/>
          <w:color w:val="000000"/>
          <w:szCs w:val="20"/>
        </w:rPr>
        <w:t xml:space="preserve"> согласно данным </w:t>
      </w:r>
      <w:r w:rsidRPr="003F332B">
        <w:rPr>
          <w:bCs/>
          <w:color w:val="000000"/>
          <w:szCs w:val="20"/>
        </w:rPr>
        <w:t xml:space="preserve"> </w:t>
      </w:r>
      <w:r w:rsidR="00D67B84" w:rsidRPr="00CE2140">
        <w:t>Федеральной службы государственной статистики по разделу «обеспечение электрической энергией, газом и паром</w:t>
      </w:r>
      <w:r w:rsidR="007D69DB">
        <w:t>; кондиционирование воздуха</w:t>
      </w:r>
      <w:r w:rsidR="00D67B84" w:rsidRPr="00CE2140">
        <w:rPr>
          <w:bCs/>
          <w:color w:val="000000"/>
        </w:rPr>
        <w:t>»</w:t>
      </w:r>
      <w:r w:rsidRPr="003F332B">
        <w:rPr>
          <w:bCs/>
          <w:color w:val="000000"/>
          <w:szCs w:val="20"/>
        </w:rPr>
        <w:t xml:space="preserve"> за 2017 год в разм</w:t>
      </w:r>
      <w:r w:rsidR="00D67B84">
        <w:rPr>
          <w:bCs/>
          <w:color w:val="000000"/>
          <w:szCs w:val="20"/>
        </w:rPr>
        <w:t>ере 35 464 руб.,</w:t>
      </w:r>
      <w:r w:rsidRPr="003F332B">
        <w:rPr>
          <w:bCs/>
          <w:color w:val="000000"/>
          <w:szCs w:val="20"/>
        </w:rPr>
        <w:t xml:space="preserve"> </w:t>
      </w:r>
      <w:r w:rsidRPr="003F332B">
        <w:rPr>
          <w:rFonts w:ascii="Times New Roman CYR" w:hAnsi="Times New Roman CYR" w:cs="Times New Roman CYR"/>
          <w:color w:val="000000"/>
        </w:rPr>
        <w:t>с учетом применения ожидаемого индекса потребительских цен за 2018 год в размере 102,7% и прогнозного на 2019 год – 104,6%</w:t>
      </w:r>
      <w:r w:rsidRPr="003F332B">
        <w:rPr>
          <w:bCs/>
          <w:color w:val="000000"/>
          <w:szCs w:val="20"/>
        </w:rPr>
        <w:t>.</w:t>
      </w:r>
      <w:r w:rsidRPr="003F332B">
        <w:rPr>
          <w:rFonts w:ascii="Times New Roman CYR" w:hAnsi="Times New Roman CYR" w:cs="Times New Roman CYR"/>
          <w:color w:val="000000"/>
        </w:rPr>
        <w:t xml:space="preserve"> </w:t>
      </w:r>
    </w:p>
    <w:p w:rsidR="00F15E22" w:rsidRDefault="00F15E22" w:rsidP="00927580">
      <w:pPr>
        <w:pStyle w:val="31"/>
        <w:spacing w:after="0"/>
        <w:ind w:left="0" w:firstLine="720"/>
        <w:jc w:val="both"/>
        <w:rPr>
          <w:b/>
          <w:bCs/>
          <w:sz w:val="20"/>
          <w:szCs w:val="20"/>
        </w:rPr>
      </w:pPr>
    </w:p>
    <w:p w:rsidR="007038F7" w:rsidRDefault="001F24CA" w:rsidP="007038F7">
      <w:pPr>
        <w:ind w:firstLine="720"/>
        <w:jc w:val="both"/>
        <w:rPr>
          <w:b/>
          <w:bCs/>
        </w:rPr>
      </w:pPr>
      <w:r>
        <w:rPr>
          <w:b/>
          <w:bCs/>
        </w:rPr>
        <w:t>Отчисления на социальные нужды</w:t>
      </w:r>
    </w:p>
    <w:p w:rsidR="007038F7" w:rsidRPr="008573AD" w:rsidRDefault="007038F7" w:rsidP="007038F7">
      <w:pPr>
        <w:ind w:firstLine="708"/>
        <w:jc w:val="both"/>
        <w:rPr>
          <w:bCs/>
        </w:rPr>
      </w:pPr>
      <w:r w:rsidRPr="008573AD">
        <w:rPr>
          <w:bCs/>
        </w:rPr>
        <w:t>Рас</w:t>
      </w:r>
      <w:r w:rsidR="001F24CA">
        <w:rPr>
          <w:bCs/>
        </w:rPr>
        <w:t>ходы на отчисления на социальные нужды</w:t>
      </w:r>
      <w:r w:rsidRPr="008573AD">
        <w:rPr>
          <w:bCs/>
        </w:rPr>
        <w:t xml:space="preserve"> составят </w:t>
      </w:r>
      <w:r w:rsidR="001F24CA">
        <w:rPr>
          <w:bCs/>
        </w:rPr>
        <w:t>582,9</w:t>
      </w:r>
      <w:r w:rsidRPr="00F77E00">
        <w:rPr>
          <w:bCs/>
        </w:rPr>
        <w:t xml:space="preserve"> </w:t>
      </w:r>
      <w:proofErr w:type="spellStart"/>
      <w:r w:rsidRPr="00F77E00">
        <w:rPr>
          <w:bCs/>
        </w:rPr>
        <w:t>тыс</w:t>
      </w:r>
      <w:proofErr w:type="gramStart"/>
      <w:r w:rsidRPr="00F77E00">
        <w:rPr>
          <w:bCs/>
        </w:rPr>
        <w:t>.р</w:t>
      </w:r>
      <w:proofErr w:type="gramEnd"/>
      <w:r w:rsidRPr="00F77E00">
        <w:rPr>
          <w:bCs/>
        </w:rPr>
        <w:t>уб</w:t>
      </w:r>
      <w:proofErr w:type="spellEnd"/>
      <w:r w:rsidRPr="008573AD">
        <w:rPr>
          <w:bCs/>
        </w:rPr>
        <w:t xml:space="preserve">. и рассчитаны </w:t>
      </w:r>
      <w:r>
        <w:t>в размере 30</w:t>
      </w:r>
      <w:r w:rsidRPr="009D3E97">
        <w:t>%</w:t>
      </w:r>
      <w:r w:rsidRPr="008573AD">
        <w:t xml:space="preserve"> от ФОТ ППП в соответствии с Федеральным законом от </w:t>
      </w:r>
      <w:r w:rsidRPr="00D2494C">
        <w:t>24.07.2009 г. N 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</w:t>
      </w:r>
      <w:r w:rsidRPr="008573AD">
        <w:t xml:space="preserve"> и </w:t>
      </w:r>
      <w:r w:rsidRPr="008573AD">
        <w:rPr>
          <w:bCs/>
        </w:rPr>
        <w:t xml:space="preserve">тарифа на обязательное социальное страхование от несчастных случаев </w:t>
      </w:r>
      <w:proofErr w:type="gramStart"/>
      <w:r w:rsidRPr="008573AD">
        <w:rPr>
          <w:bCs/>
        </w:rPr>
        <w:t>на производстве, установленного для предприятия в размере 0,</w:t>
      </w:r>
      <w:r>
        <w:rPr>
          <w:bCs/>
        </w:rPr>
        <w:t>4</w:t>
      </w:r>
      <w:r w:rsidRPr="008573AD">
        <w:rPr>
          <w:bCs/>
        </w:rPr>
        <w:t>% от ФОТ ППП (</w:t>
      </w:r>
      <w:r>
        <w:rPr>
          <w:bCs/>
        </w:rPr>
        <w:t>3</w:t>
      </w:r>
      <w:r w:rsidRPr="008573AD">
        <w:rPr>
          <w:bCs/>
        </w:rPr>
        <w:t xml:space="preserve"> класс профессионального риска).</w:t>
      </w:r>
      <w:proofErr w:type="gramEnd"/>
    </w:p>
    <w:p w:rsidR="007038F7" w:rsidRPr="00BB767E" w:rsidRDefault="007038F7" w:rsidP="00927580">
      <w:pPr>
        <w:pStyle w:val="31"/>
        <w:spacing w:after="0"/>
        <w:ind w:left="0" w:firstLine="720"/>
        <w:jc w:val="both"/>
        <w:rPr>
          <w:b/>
          <w:bCs/>
          <w:sz w:val="20"/>
          <w:szCs w:val="20"/>
        </w:rPr>
      </w:pPr>
    </w:p>
    <w:p w:rsidR="00927580" w:rsidRDefault="00927580" w:rsidP="00085CBC">
      <w:pPr>
        <w:pStyle w:val="31"/>
        <w:spacing w:after="0"/>
        <w:ind w:left="0"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Прочие расходы</w:t>
      </w:r>
    </w:p>
    <w:p w:rsidR="00785477" w:rsidRPr="00785477" w:rsidRDefault="00085CBC" w:rsidP="0027608C">
      <w:pPr>
        <w:pStyle w:val="21"/>
        <w:tabs>
          <w:tab w:val="left" w:pos="709"/>
        </w:tabs>
        <w:spacing w:after="0" w:line="240" w:lineRule="auto"/>
        <w:ind w:left="284"/>
        <w:jc w:val="both"/>
      </w:pPr>
      <w:r w:rsidRPr="00085CBC">
        <w:rPr>
          <w:b/>
          <w:color w:val="000000"/>
        </w:rPr>
        <w:tab/>
      </w:r>
      <w:r w:rsidR="00785477" w:rsidRPr="00785477">
        <w:t xml:space="preserve">Общая сумма прочих расходов по проекту предприятия составила </w:t>
      </w:r>
      <w:r w:rsidR="00250FC3">
        <w:t>1539,5</w:t>
      </w:r>
      <w:r w:rsidR="00785477" w:rsidRPr="00785477">
        <w:t xml:space="preserve"> </w:t>
      </w:r>
      <w:proofErr w:type="spellStart"/>
      <w:r w:rsidR="00785477" w:rsidRPr="00785477">
        <w:t>тыс</w:t>
      </w:r>
      <w:proofErr w:type="gramStart"/>
      <w:r w:rsidR="00785477" w:rsidRPr="00785477">
        <w:t>.р</w:t>
      </w:r>
      <w:proofErr w:type="gramEnd"/>
      <w:r w:rsidR="00785477" w:rsidRPr="00785477">
        <w:t>уб</w:t>
      </w:r>
      <w:proofErr w:type="spellEnd"/>
      <w:r w:rsidR="00785477" w:rsidRPr="00785477">
        <w:t>. и включает в себя:</w:t>
      </w:r>
    </w:p>
    <w:p w:rsidR="00785477" w:rsidRDefault="00785477" w:rsidP="00C267E4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 w:rsidRPr="00785477">
        <w:tab/>
        <w:t>расходы на услуги связи –</w:t>
      </w:r>
      <w:r w:rsidR="004E1A7B">
        <w:t xml:space="preserve"> 144,6</w:t>
      </w:r>
      <w:r w:rsidRPr="00785477">
        <w:t xml:space="preserve"> </w:t>
      </w:r>
      <w:proofErr w:type="spellStart"/>
      <w:r w:rsidRPr="00785477">
        <w:t>тыс</w:t>
      </w:r>
      <w:proofErr w:type="gramStart"/>
      <w:r w:rsidRPr="00785477">
        <w:t>.р</w:t>
      </w:r>
      <w:proofErr w:type="gramEnd"/>
      <w:r w:rsidRPr="00785477">
        <w:t>уб</w:t>
      </w:r>
      <w:proofErr w:type="spellEnd"/>
      <w:r w:rsidRPr="00785477">
        <w:t>.</w:t>
      </w:r>
      <w:r w:rsidR="004C10BE">
        <w:t xml:space="preserve"> </w:t>
      </w:r>
      <w:r w:rsidR="00551C10">
        <w:t>на основании</w:t>
      </w:r>
      <w:r w:rsidR="004C10BE">
        <w:t xml:space="preserve"> планово</w:t>
      </w:r>
      <w:r w:rsidR="00551C10">
        <w:t>го</w:t>
      </w:r>
      <w:r w:rsidR="004C10BE">
        <w:t xml:space="preserve"> расчет</w:t>
      </w:r>
      <w:r w:rsidR="00551C10">
        <w:t>а</w:t>
      </w:r>
      <w:r w:rsidR="004C10BE">
        <w:t xml:space="preserve"> организации на уплату услуг связи на 2019 год к договор</w:t>
      </w:r>
      <w:r w:rsidR="004E1A7B">
        <w:t>ам</w:t>
      </w:r>
      <w:r w:rsidR="004C10BE">
        <w:t xml:space="preserve"> с ООО «</w:t>
      </w:r>
      <w:proofErr w:type="spellStart"/>
      <w:r w:rsidR="004E1A7B">
        <w:t>Зап-СибТранстелеком</w:t>
      </w:r>
      <w:proofErr w:type="spellEnd"/>
      <w:r w:rsidR="004C10BE">
        <w:t xml:space="preserve">» от </w:t>
      </w:r>
      <w:r w:rsidR="004E1A7B">
        <w:t>26</w:t>
      </w:r>
      <w:r w:rsidR="004C10BE">
        <w:t>.</w:t>
      </w:r>
      <w:r w:rsidR="004E1A7B">
        <w:t>10</w:t>
      </w:r>
      <w:r w:rsidR="004C10BE">
        <w:t xml:space="preserve">.2018г. № </w:t>
      </w:r>
      <w:r w:rsidR="004E1A7B">
        <w:t xml:space="preserve">С-910/18-ЗСТТК, АО «Компания ТрансТелеКом» от 26.10.2018г. № </w:t>
      </w:r>
      <w:r w:rsidR="00C267E4">
        <w:rPr>
          <w:lang w:val="en-US"/>
        </w:rPr>
        <w:t>CKD</w:t>
      </w:r>
      <w:r w:rsidR="00C267E4">
        <w:t>-915/18-ЗСТТК</w:t>
      </w:r>
      <w:r w:rsidRPr="00785477">
        <w:t>;</w:t>
      </w:r>
    </w:p>
    <w:p w:rsidR="00C267E4" w:rsidRDefault="00C267E4" w:rsidP="00C267E4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представительские расходы – 229,3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 w:rsidRPr="004715EC">
        <w:t>. на основании планового расчета организации</w:t>
      </w:r>
      <w:r>
        <w:t>;</w:t>
      </w:r>
    </w:p>
    <w:p w:rsidR="00C267E4" w:rsidRDefault="00C267E4" w:rsidP="00C267E4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программное обеспечение – 308,5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на основании планового расчета о</w:t>
      </w:r>
      <w:r w:rsidR="00AC6B95">
        <w:t xml:space="preserve">рганизации на уплату услуг подключения программ: 1С: предприятие, </w:t>
      </w:r>
      <w:r w:rsidR="00AC6B95">
        <w:rPr>
          <w:lang w:val="en-US"/>
        </w:rPr>
        <w:t>Windows</w:t>
      </w:r>
      <w:r w:rsidR="00AC6B95" w:rsidRPr="00AC6B95">
        <w:t xml:space="preserve">, </w:t>
      </w:r>
      <w:r w:rsidR="00AC6B95">
        <w:rPr>
          <w:lang w:val="en-US"/>
        </w:rPr>
        <w:t>Microsoft</w:t>
      </w:r>
      <w:r w:rsidR="00AC6B95" w:rsidRPr="00AC6B95">
        <w:t xml:space="preserve"> </w:t>
      </w:r>
      <w:r w:rsidR="00AC6B95">
        <w:rPr>
          <w:lang w:val="en-US"/>
        </w:rPr>
        <w:t>Office</w:t>
      </w:r>
      <w:r w:rsidR="00AC6B95" w:rsidRPr="00AC6B95">
        <w:t xml:space="preserve">, </w:t>
      </w:r>
      <w:r w:rsidR="00AC6B95">
        <w:t xml:space="preserve">Антивирус </w:t>
      </w:r>
      <w:proofErr w:type="spellStart"/>
      <w:r w:rsidR="00AC6B95">
        <w:t>Касперски</w:t>
      </w:r>
      <w:proofErr w:type="spellEnd"/>
      <w:r w:rsidR="00AC6B95">
        <w:t xml:space="preserve">, Консультант плюс, клиент-банк </w:t>
      </w:r>
      <w:r w:rsidR="00AC6B95">
        <w:rPr>
          <w:lang w:val="en-US"/>
        </w:rPr>
        <w:t>on</w:t>
      </w:r>
      <w:r w:rsidR="00AC6B95" w:rsidRPr="00AC6B95">
        <w:t>-</w:t>
      </w:r>
      <w:r w:rsidR="00AC6B95">
        <w:rPr>
          <w:lang w:val="en-US"/>
        </w:rPr>
        <w:t>line</w:t>
      </w:r>
      <w:r w:rsidR="00EF7A92">
        <w:t xml:space="preserve"> на 2019 год </w:t>
      </w:r>
      <w:r w:rsidR="00190765">
        <w:t xml:space="preserve">с предложениями </w:t>
      </w:r>
      <w:r w:rsidR="008E4D70">
        <w:t xml:space="preserve"> </w:t>
      </w:r>
      <w:r w:rsidR="00190765">
        <w:t>цен</w:t>
      </w:r>
      <w:r w:rsidR="00EF7A92">
        <w:t xml:space="preserve"> с сайтов</w:t>
      </w:r>
      <w:r w:rsidR="00190765">
        <w:t xml:space="preserve"> в сети Интернет </w:t>
      </w:r>
      <w:r w:rsidR="00EF7A92">
        <w:t>продавцов</w:t>
      </w:r>
      <w:r w:rsidR="00190765">
        <w:t xml:space="preserve"> услуг</w:t>
      </w:r>
      <w:r w:rsidR="00EF7A92">
        <w:t>;</w:t>
      </w:r>
    </w:p>
    <w:p w:rsidR="00EF7A92" w:rsidRDefault="00E01CF7" w:rsidP="00C267E4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консультационные услуги – 84,2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на основании планового расчета организации;</w:t>
      </w:r>
    </w:p>
    <w:p w:rsidR="00E01CF7" w:rsidRDefault="00E01CF7" w:rsidP="00C267E4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lastRenderedPageBreak/>
        <w:t>•</w:t>
      </w:r>
      <w:r>
        <w:t xml:space="preserve"> почтовые расходы – 6,0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на основании планового расчета организации;</w:t>
      </w:r>
    </w:p>
    <w:p w:rsidR="002F552C" w:rsidRDefault="00E01CF7" w:rsidP="002F552C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мойка автомобилей – 27,2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="002F552C" w:rsidRPr="002F552C">
        <w:t xml:space="preserve"> </w:t>
      </w:r>
      <w:r w:rsidR="002F552C">
        <w:t>на основании планового расчета организации;</w:t>
      </w:r>
    </w:p>
    <w:p w:rsidR="002F552C" w:rsidRDefault="00E01CF7" w:rsidP="002F552C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техническое обслуживание автомобилей – 61,0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="002F552C" w:rsidRPr="002F552C">
        <w:t xml:space="preserve"> </w:t>
      </w:r>
      <w:r w:rsidR="002F552C">
        <w:t>на основании планового расчета организации;</w:t>
      </w:r>
    </w:p>
    <w:p w:rsidR="00E01CF7" w:rsidRDefault="00E01CF7" w:rsidP="00C267E4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обучение персонала – 183,0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="002F552C">
        <w:t xml:space="preserve"> на основании постатейного расчета обучения персонала на 6 человек;</w:t>
      </w:r>
    </w:p>
    <w:p w:rsidR="002F552C" w:rsidRDefault="00E01CF7" w:rsidP="002F552C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командировочные расходы – 450,8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="002F552C" w:rsidRPr="002F552C">
        <w:t xml:space="preserve"> </w:t>
      </w:r>
      <w:r w:rsidR="002F552C">
        <w:t>на основании планового расчета организации;</w:t>
      </w:r>
    </w:p>
    <w:p w:rsidR="00E01CF7" w:rsidRDefault="00E01CF7" w:rsidP="00C267E4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медицинское освидетельствование – 13,3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="007944B8">
        <w:t xml:space="preserve"> на основании планового расчета организации с </w:t>
      </w:r>
      <w:r w:rsidR="00190765">
        <w:t>приложением расценок с сайтов в сети Интернет организаций, проводящих медицинские осмотры;</w:t>
      </w:r>
    </w:p>
    <w:p w:rsidR="00190765" w:rsidRDefault="00E01CF7" w:rsidP="00190765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аттестация рабочих мест – 16,5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="00190765" w:rsidRPr="00190765">
        <w:t xml:space="preserve"> </w:t>
      </w:r>
      <w:r w:rsidR="00190765">
        <w:t>на основании планового расчета организации с приложением расценок с сайтов в сети Интернет организаций, проводящих аттестацию рабочих мест;</w:t>
      </w:r>
    </w:p>
    <w:p w:rsidR="00190765" w:rsidRDefault="00E01CF7" w:rsidP="00190765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 w:rsidRPr="00785477">
        <w:t>•</w:t>
      </w:r>
      <w:r>
        <w:t xml:space="preserve"> </w:t>
      </w:r>
      <w:proofErr w:type="spellStart"/>
      <w:r>
        <w:t>предрейсовый</w:t>
      </w:r>
      <w:proofErr w:type="spellEnd"/>
      <w:r>
        <w:t xml:space="preserve"> осмотр – 15,2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="00190765" w:rsidRPr="00190765">
        <w:t xml:space="preserve"> </w:t>
      </w:r>
      <w:r w:rsidR="00190765">
        <w:t xml:space="preserve">на основании планового расчета организации с приложением расценок с сайтов в сети Интернет организаций, проводящих </w:t>
      </w:r>
      <w:proofErr w:type="spellStart"/>
      <w:r w:rsidR="00190765">
        <w:t>предрейсовые</w:t>
      </w:r>
      <w:proofErr w:type="spellEnd"/>
      <w:r w:rsidR="00190765">
        <w:t xml:space="preserve"> медицинские осмотры.</w:t>
      </w:r>
    </w:p>
    <w:p w:rsidR="00785477" w:rsidRPr="00785477" w:rsidRDefault="0039795A" w:rsidP="001518A6">
      <w:pPr>
        <w:pStyle w:val="21"/>
        <w:tabs>
          <w:tab w:val="left" w:pos="709"/>
        </w:tabs>
        <w:spacing w:after="0" w:line="240" w:lineRule="auto"/>
        <w:ind w:left="284"/>
        <w:jc w:val="both"/>
      </w:pPr>
      <w:r>
        <w:tab/>
      </w:r>
      <w:r w:rsidR="00785477" w:rsidRPr="00785477">
        <w:t>Департаментом признаны экономически обоснованны</w:t>
      </w:r>
      <w:r w:rsidR="009C29B2">
        <w:t>ми</w:t>
      </w:r>
      <w:r w:rsidR="00785477" w:rsidRPr="00785477">
        <w:t xml:space="preserve"> расходы по данной статье в размере </w:t>
      </w:r>
      <w:r w:rsidR="00BC47F2">
        <w:t>189,6</w:t>
      </w:r>
      <w:r w:rsidR="00785477" w:rsidRPr="00785477">
        <w:t xml:space="preserve"> </w:t>
      </w:r>
      <w:proofErr w:type="spellStart"/>
      <w:r w:rsidR="00785477" w:rsidRPr="00785477">
        <w:t>тыс</w:t>
      </w:r>
      <w:proofErr w:type="gramStart"/>
      <w:r w:rsidR="00785477" w:rsidRPr="00785477">
        <w:t>.р</w:t>
      </w:r>
      <w:proofErr w:type="gramEnd"/>
      <w:r w:rsidR="00785477" w:rsidRPr="00785477">
        <w:t>уб</w:t>
      </w:r>
      <w:proofErr w:type="spellEnd"/>
      <w:r w:rsidR="00785477" w:rsidRPr="00785477">
        <w:t>., в том числе:</w:t>
      </w:r>
    </w:p>
    <w:p w:rsidR="005362C8" w:rsidRDefault="0039795A" w:rsidP="002F11CC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>
        <w:tab/>
      </w:r>
      <w:r w:rsidR="00816DAB">
        <w:t>р</w:t>
      </w:r>
      <w:r w:rsidR="00785477" w:rsidRPr="00785477">
        <w:t xml:space="preserve">асходы на услуги связи приняты департаментом в размере </w:t>
      </w:r>
      <w:r w:rsidR="00816DAB">
        <w:t>25,5</w:t>
      </w:r>
      <w:r w:rsidR="00785477" w:rsidRPr="00785477">
        <w:t xml:space="preserve"> </w:t>
      </w:r>
      <w:proofErr w:type="spellStart"/>
      <w:r w:rsidR="00785477" w:rsidRPr="00785477">
        <w:t>тыс</w:t>
      </w:r>
      <w:proofErr w:type="gramStart"/>
      <w:r w:rsidR="00785477" w:rsidRPr="00785477">
        <w:t>.р</w:t>
      </w:r>
      <w:proofErr w:type="gramEnd"/>
      <w:r w:rsidR="00785477" w:rsidRPr="00785477">
        <w:t>уб</w:t>
      </w:r>
      <w:proofErr w:type="spellEnd"/>
      <w:r w:rsidR="00785477" w:rsidRPr="00785477">
        <w:t xml:space="preserve">. и рассчитаны исходя из </w:t>
      </w:r>
      <w:r w:rsidR="005362C8">
        <w:t>тарифа на аренду порта и интернет-трафика в размере 1500,0руб./мес. согласно заказу на предоставление доступа к сети Интернет и абонентской платы за телефонный номер местной связи в размере 600,0руб./мес. согласно заказу на предоставление услуг местной и внутризоновой телефонной связи к договору с ЗАО «</w:t>
      </w:r>
      <w:proofErr w:type="spellStart"/>
      <w:r w:rsidR="005362C8">
        <w:t>Зап-СибТранстелеком</w:t>
      </w:r>
      <w:proofErr w:type="spellEnd"/>
      <w:r w:rsidR="005362C8">
        <w:t>» » от 26.10.2018г. № С-910/18-ЗСТТК</w:t>
      </w:r>
      <w:r w:rsidR="001C3BBA">
        <w:t xml:space="preserve">. </w:t>
      </w:r>
      <w:r w:rsidR="005362C8">
        <w:t xml:space="preserve">Фактически понесенные расходы по данной статье подтверждены организацией </w:t>
      </w:r>
      <w:proofErr w:type="spellStart"/>
      <w:r w:rsidR="005362C8">
        <w:t>оборотно</w:t>
      </w:r>
      <w:proofErr w:type="spellEnd"/>
      <w:r w:rsidR="005362C8">
        <w:t xml:space="preserve">-сальдовой ведомостью счета </w:t>
      </w:r>
      <w:r w:rsidR="002F11CC">
        <w:t>26</w:t>
      </w:r>
      <w:r w:rsidR="005362C8">
        <w:t xml:space="preserve"> за </w:t>
      </w:r>
      <w:r w:rsidR="002F11CC">
        <w:t>октябрь-ноябрь 2018 года;</w:t>
      </w:r>
    </w:p>
    <w:p w:rsidR="000C73B0" w:rsidRPr="00785477" w:rsidRDefault="000C73B0" w:rsidP="000C73B0">
      <w:pPr>
        <w:pStyle w:val="21"/>
        <w:tabs>
          <w:tab w:val="left" w:pos="709"/>
        </w:tabs>
        <w:spacing w:after="0" w:line="240" w:lineRule="auto"/>
        <w:ind w:left="0"/>
        <w:jc w:val="both"/>
      </w:pPr>
      <w:r>
        <w:tab/>
        <w:t xml:space="preserve">расходы на программное обеспечение приняты департаментом в размере 159,1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исходя из предложений  цен с сайтов в сети Интернет продавцов услуг </w:t>
      </w:r>
      <w:r w:rsidR="00A35C13">
        <w:t xml:space="preserve">подключения программ: 1С: предприятие, </w:t>
      </w:r>
      <w:r w:rsidR="00A35C13">
        <w:rPr>
          <w:lang w:val="en-US"/>
        </w:rPr>
        <w:t>Windows</w:t>
      </w:r>
      <w:r w:rsidR="00A35C13" w:rsidRPr="00AC6B95">
        <w:t xml:space="preserve">, </w:t>
      </w:r>
      <w:r w:rsidR="00A35C13">
        <w:rPr>
          <w:lang w:val="en-US"/>
        </w:rPr>
        <w:t>Microsoft</w:t>
      </w:r>
      <w:r w:rsidR="00A35C13" w:rsidRPr="00AC6B95">
        <w:t xml:space="preserve"> </w:t>
      </w:r>
      <w:r w:rsidR="00A35C13">
        <w:rPr>
          <w:lang w:val="en-US"/>
        </w:rPr>
        <w:t>Office</w:t>
      </w:r>
      <w:r w:rsidR="00A35C13" w:rsidRPr="00AC6B95">
        <w:t xml:space="preserve">, </w:t>
      </w:r>
      <w:r w:rsidR="00A35C13">
        <w:t xml:space="preserve">Антивирус </w:t>
      </w:r>
      <w:proofErr w:type="spellStart"/>
      <w:r w:rsidR="00A35C13">
        <w:t>Касперски</w:t>
      </w:r>
      <w:proofErr w:type="spellEnd"/>
      <w:r w:rsidR="00A35C13">
        <w:t>, Консультант плюс</w:t>
      </w:r>
      <w:r w:rsidR="00185232">
        <w:t>. Фактические расходы на программное обеспечение организацией не были понесены</w:t>
      </w:r>
      <w:r w:rsidR="00A35C13">
        <w:t>;</w:t>
      </w:r>
    </w:p>
    <w:p w:rsidR="000C73B0" w:rsidRDefault="002F11CC" w:rsidP="002F11CC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>
        <w:tab/>
        <w:t xml:space="preserve">почтовые расходы приняты департаментом в размере 3,8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исходя из фактических расходов организации за октябрь-ноябрь 2018 года, пересчитанных на год;</w:t>
      </w:r>
      <w:r>
        <w:br/>
      </w:r>
      <w:r>
        <w:tab/>
        <w:t xml:space="preserve">расходы на аттестацию рабочих мест приняты департаментом в размере </w:t>
      </w:r>
      <w:r w:rsidR="001214C9">
        <w:t>1,2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</w:t>
      </w:r>
      <w:r w:rsidR="00E0029A">
        <w:t xml:space="preserve">исходя из предложения организации на оплату услуг аттестации, согласно статистическим данным в сети Интернет, в размере 1500руб./чел., нормативной численности, учтенной департаментом (3 штатных единицы) и распределены на 5 лет. Специальная аттестация условий труда проводится на основании Федерального закона </w:t>
      </w:r>
      <w:r w:rsidR="000C73B0">
        <w:t>«О специальной оценке условий труда» № 426-ФЗ от 28.12.2013 не реже, чем один раз в пять лет</w:t>
      </w:r>
      <w:r w:rsidR="00185232">
        <w:t xml:space="preserve">. Фактические расходы на </w:t>
      </w:r>
      <w:r w:rsidR="003D3D95">
        <w:t xml:space="preserve">аттестацию </w:t>
      </w:r>
      <w:r w:rsidR="00185232">
        <w:t>организацией не были понесены</w:t>
      </w:r>
      <w:r w:rsidR="005D59FC">
        <w:t>.</w:t>
      </w:r>
    </w:p>
    <w:p w:rsidR="005B55B0" w:rsidRDefault="00D10222" w:rsidP="00BC47F2">
      <w:pPr>
        <w:pStyle w:val="21"/>
        <w:tabs>
          <w:tab w:val="left" w:pos="709"/>
        </w:tabs>
        <w:spacing w:after="0" w:line="240" w:lineRule="auto"/>
        <w:ind w:left="0" w:firstLine="284"/>
        <w:jc w:val="both"/>
      </w:pPr>
      <w:r>
        <w:tab/>
        <w:t>Расходы на представительские расходы, консультационные услуги обучение персонала, командировочные расходы, медицинское освидетельствование</w:t>
      </w:r>
      <w:r w:rsidR="00BC47F2">
        <w:t>,</w:t>
      </w:r>
      <w:r>
        <w:t xml:space="preserve"> </w:t>
      </w:r>
      <w:r w:rsidR="00BC47F2">
        <w:t>обучение персонала</w:t>
      </w:r>
      <w:r w:rsidR="00BC47F2">
        <w:t xml:space="preserve"> </w:t>
      </w:r>
      <w:r>
        <w:t xml:space="preserve">не учтены департаментом в полном объеме в связи </w:t>
      </w:r>
      <w:r w:rsidR="00895FAB">
        <w:t xml:space="preserve">с отсутствием обоснования либо фактического подтверждения понесенных расходов к представленным плановым расчетам. </w:t>
      </w:r>
      <w:r w:rsidR="00BC47F2">
        <w:t xml:space="preserve">Расходы на </w:t>
      </w:r>
      <w:proofErr w:type="spellStart"/>
      <w:r w:rsidR="00BC47F2">
        <w:t>предрейсовый</w:t>
      </w:r>
      <w:proofErr w:type="spellEnd"/>
      <w:r w:rsidR="00BC47F2">
        <w:t xml:space="preserve"> осмотр не учтены департаментом в полном объеме в связи с отсутствием транспортного средства. </w:t>
      </w:r>
      <w:r w:rsidR="005B55B0">
        <w:t xml:space="preserve">Расходы на </w:t>
      </w:r>
      <w:r w:rsidR="00895FAB">
        <w:t xml:space="preserve">мойку автомобилей, техническое обслуживание автомобилей, </w:t>
      </w:r>
      <w:r w:rsidR="005B55B0">
        <w:t xml:space="preserve">исключены департаментом в полном объеме как излишние. </w:t>
      </w:r>
    </w:p>
    <w:p w:rsidR="00282713" w:rsidRPr="00C80319" w:rsidRDefault="00282713" w:rsidP="00282713">
      <w:pPr>
        <w:jc w:val="both"/>
        <w:rPr>
          <w:bCs/>
          <w:sz w:val="16"/>
          <w:szCs w:val="16"/>
        </w:rPr>
      </w:pPr>
    </w:p>
    <w:p w:rsidR="00032BDF" w:rsidRDefault="00032BDF" w:rsidP="00CC54B8">
      <w:pPr>
        <w:pStyle w:val="31"/>
        <w:spacing w:after="0"/>
        <w:ind w:left="0" w:firstLine="720"/>
        <w:jc w:val="both"/>
        <w:rPr>
          <w:b/>
          <w:bCs/>
          <w:sz w:val="24"/>
          <w:szCs w:val="24"/>
        </w:rPr>
      </w:pPr>
      <w:r w:rsidRPr="00032BDF">
        <w:rPr>
          <w:b/>
          <w:bCs/>
          <w:sz w:val="24"/>
          <w:szCs w:val="24"/>
        </w:rPr>
        <w:t>Аренда</w:t>
      </w:r>
    </w:p>
    <w:p w:rsidR="00CB4C24" w:rsidRDefault="00CB4C24" w:rsidP="00CB4C24">
      <w:pPr>
        <w:ind w:firstLine="708"/>
        <w:jc w:val="both"/>
      </w:pPr>
      <w:r>
        <w:t xml:space="preserve">Организацией запланированы расходы по данной статье в размере </w:t>
      </w:r>
      <w:r w:rsidR="003E3B1F" w:rsidRPr="003E3B1F">
        <w:rPr>
          <w:b/>
        </w:rPr>
        <w:t>7250,5</w:t>
      </w:r>
      <w:r w:rsidRPr="003E3B1F">
        <w:rPr>
          <w:b/>
        </w:rP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и включают:</w:t>
      </w:r>
    </w:p>
    <w:p w:rsidR="00CB4C24" w:rsidRDefault="00CB4C24" w:rsidP="00CB4C24">
      <w:pPr>
        <w:ind w:firstLine="708"/>
        <w:jc w:val="both"/>
      </w:pPr>
      <w:r>
        <w:t xml:space="preserve">- расходы на аренду объектов электросетевого хозяйства в размере </w:t>
      </w:r>
      <w:r w:rsidR="00BB1BFD">
        <w:t>6620,4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на основании договоров аренды </w:t>
      </w:r>
      <w:r w:rsidRPr="00302BB4">
        <w:rPr>
          <w:bCs/>
        </w:rPr>
        <w:t xml:space="preserve">с  </w:t>
      </w:r>
      <w:r w:rsidR="00C53E47">
        <w:rPr>
          <w:bCs/>
        </w:rPr>
        <w:t xml:space="preserve">АО </w:t>
      </w:r>
      <w:r w:rsidRPr="00302BB4">
        <w:rPr>
          <w:bCs/>
        </w:rPr>
        <w:t xml:space="preserve"> </w:t>
      </w:r>
      <w:r w:rsidR="00C53E47">
        <w:rPr>
          <w:bCs/>
        </w:rPr>
        <w:t>«</w:t>
      </w:r>
      <w:proofErr w:type="spellStart"/>
      <w:r w:rsidR="00C53E47">
        <w:rPr>
          <w:bCs/>
        </w:rPr>
        <w:t>СибПСК</w:t>
      </w:r>
      <w:proofErr w:type="spellEnd"/>
      <w:r w:rsidR="00C53E47">
        <w:rPr>
          <w:bCs/>
        </w:rPr>
        <w:t xml:space="preserve">» </w:t>
      </w:r>
      <w:r w:rsidRPr="00302BB4">
        <w:rPr>
          <w:bCs/>
        </w:rPr>
        <w:t xml:space="preserve">№ </w:t>
      </w:r>
      <w:r w:rsidR="00C53E47">
        <w:rPr>
          <w:bCs/>
        </w:rPr>
        <w:t>114-А/2018/ДА</w:t>
      </w:r>
      <w:r w:rsidRPr="00302BB4">
        <w:rPr>
          <w:bCs/>
        </w:rPr>
        <w:t xml:space="preserve"> от 2</w:t>
      </w:r>
      <w:r w:rsidR="00C53E47">
        <w:rPr>
          <w:bCs/>
        </w:rPr>
        <w:t>2</w:t>
      </w:r>
      <w:r w:rsidRPr="00302BB4">
        <w:rPr>
          <w:bCs/>
        </w:rPr>
        <w:t>.10.201</w:t>
      </w:r>
      <w:r w:rsidR="00C53E47">
        <w:rPr>
          <w:bCs/>
        </w:rPr>
        <w:t>8, ООО "НЭСК</w:t>
      </w:r>
      <w:r w:rsidRPr="00302BB4">
        <w:rPr>
          <w:bCs/>
        </w:rPr>
        <w:t xml:space="preserve">" № </w:t>
      </w:r>
      <w:r w:rsidR="00C53E47">
        <w:rPr>
          <w:bCs/>
        </w:rPr>
        <w:t>3/2018/ДА</w:t>
      </w:r>
      <w:r w:rsidRPr="00302BB4">
        <w:rPr>
          <w:bCs/>
        </w:rPr>
        <w:t xml:space="preserve"> от </w:t>
      </w:r>
      <w:r w:rsidR="00C53E47">
        <w:rPr>
          <w:bCs/>
        </w:rPr>
        <w:t>22</w:t>
      </w:r>
      <w:r w:rsidRPr="00302BB4">
        <w:rPr>
          <w:bCs/>
        </w:rPr>
        <w:t>.</w:t>
      </w:r>
      <w:r w:rsidR="00C53E47">
        <w:rPr>
          <w:bCs/>
        </w:rPr>
        <w:t>10</w:t>
      </w:r>
      <w:r w:rsidRPr="00302BB4">
        <w:rPr>
          <w:bCs/>
        </w:rPr>
        <w:t>.2018г.,</w:t>
      </w:r>
      <w:r w:rsidR="00C53E47">
        <w:rPr>
          <w:bCs/>
        </w:rPr>
        <w:t xml:space="preserve"> с ИП Михайловым П.А. № 1/2018/ДА от 22.10.2018г., ИП </w:t>
      </w:r>
      <w:proofErr w:type="spellStart"/>
      <w:r w:rsidR="00C53E47">
        <w:rPr>
          <w:bCs/>
        </w:rPr>
        <w:lastRenderedPageBreak/>
        <w:t>Тимошик</w:t>
      </w:r>
      <w:proofErr w:type="spellEnd"/>
      <w:r w:rsidR="00C53E47">
        <w:rPr>
          <w:bCs/>
        </w:rPr>
        <w:t xml:space="preserve"> И.В. № 2/2018/ДА от 22.10.2018г.</w:t>
      </w:r>
      <w:r w:rsidR="00817507">
        <w:rPr>
          <w:bCs/>
        </w:rPr>
        <w:t xml:space="preserve"> Также к обоснованию арендной платы организацией были представлены инвентарные карты арендуемых объектов, акты о приеме-передаче здания (сооружения) (ОС-1а), договор купли-продажи имущества, налоговые декларации по уплате налога на имущество, кадастровые паспорта земельных участков, </w:t>
      </w:r>
      <w:proofErr w:type="spellStart"/>
      <w:r w:rsidR="00817507">
        <w:rPr>
          <w:bCs/>
        </w:rPr>
        <w:t>оборотно</w:t>
      </w:r>
      <w:proofErr w:type="spellEnd"/>
      <w:r w:rsidR="00817507">
        <w:rPr>
          <w:bCs/>
        </w:rPr>
        <w:t>-сальдовые ведомости счета 01</w:t>
      </w:r>
      <w:r>
        <w:t>;</w:t>
      </w:r>
    </w:p>
    <w:p w:rsidR="00CB4C24" w:rsidRDefault="00CB4C24" w:rsidP="00CB4C24">
      <w:pPr>
        <w:ind w:firstLine="708"/>
        <w:jc w:val="both"/>
        <w:rPr>
          <w:bCs/>
        </w:rPr>
      </w:pPr>
      <w:r>
        <w:t xml:space="preserve">- расходы на аренду </w:t>
      </w:r>
      <w:r w:rsidR="00817507">
        <w:t xml:space="preserve">нежилого помещения </w:t>
      </w:r>
      <w:r>
        <w:t xml:space="preserve">в размере </w:t>
      </w:r>
      <w:r w:rsidR="00BB1BFD">
        <w:t>150,1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Pr="00CB4C24">
        <w:rPr>
          <w:bCs/>
        </w:rPr>
        <w:t xml:space="preserve"> </w:t>
      </w:r>
      <w:r>
        <w:rPr>
          <w:bCs/>
        </w:rPr>
        <w:t xml:space="preserve">на основании договора </w:t>
      </w:r>
      <w:r w:rsidRPr="00315CB4">
        <w:rPr>
          <w:bCs/>
        </w:rPr>
        <w:t>аренды с ООО «</w:t>
      </w:r>
      <w:r w:rsidR="00817507">
        <w:rPr>
          <w:bCs/>
        </w:rPr>
        <w:t>ТСК-</w:t>
      </w:r>
      <w:proofErr w:type="spellStart"/>
      <w:r w:rsidR="00817507">
        <w:rPr>
          <w:bCs/>
        </w:rPr>
        <w:t>инвест</w:t>
      </w:r>
      <w:proofErr w:type="spellEnd"/>
      <w:r w:rsidRPr="00315CB4">
        <w:rPr>
          <w:bCs/>
        </w:rPr>
        <w:t>» от 17.1</w:t>
      </w:r>
      <w:r w:rsidR="00817507">
        <w:rPr>
          <w:bCs/>
        </w:rPr>
        <w:t>0</w:t>
      </w:r>
      <w:r w:rsidRPr="00315CB4">
        <w:rPr>
          <w:bCs/>
        </w:rPr>
        <w:t>.201</w:t>
      </w:r>
      <w:r w:rsidR="00817507">
        <w:rPr>
          <w:bCs/>
        </w:rPr>
        <w:t>8</w:t>
      </w:r>
      <w:r w:rsidRPr="00315CB4">
        <w:rPr>
          <w:bCs/>
        </w:rPr>
        <w:t xml:space="preserve"> г. № </w:t>
      </w:r>
      <w:r w:rsidR="00817507">
        <w:rPr>
          <w:bCs/>
        </w:rPr>
        <w:t>А-7266</w:t>
      </w:r>
      <w:r w:rsidR="003E3B1F">
        <w:rPr>
          <w:bCs/>
        </w:rPr>
        <w:t>;</w:t>
      </w:r>
    </w:p>
    <w:p w:rsidR="003E3B1F" w:rsidRDefault="003E3B1F" w:rsidP="00CB4C24">
      <w:pPr>
        <w:ind w:firstLine="708"/>
        <w:jc w:val="both"/>
      </w:pPr>
      <w:r w:rsidRPr="00817507">
        <w:rPr>
          <w:bCs/>
        </w:rPr>
        <w:t xml:space="preserve">- расходы на аренду транспортного средства в размере 480,0 </w:t>
      </w:r>
      <w:proofErr w:type="spellStart"/>
      <w:r w:rsidRPr="00817507">
        <w:rPr>
          <w:bCs/>
        </w:rPr>
        <w:t>тыс</w:t>
      </w:r>
      <w:proofErr w:type="gramStart"/>
      <w:r w:rsidRPr="00817507">
        <w:rPr>
          <w:bCs/>
        </w:rPr>
        <w:t>.р</w:t>
      </w:r>
      <w:proofErr w:type="gramEnd"/>
      <w:r w:rsidRPr="00817507">
        <w:rPr>
          <w:bCs/>
        </w:rPr>
        <w:t>уб</w:t>
      </w:r>
      <w:proofErr w:type="spellEnd"/>
      <w:r w:rsidRPr="00817507">
        <w:rPr>
          <w:bCs/>
        </w:rPr>
        <w:t>. на основании договора аренды с Кононовой И.В. от 01.11.2018г. № 4/2018/ДА.</w:t>
      </w:r>
      <w:r>
        <w:rPr>
          <w:bCs/>
        </w:rPr>
        <w:t xml:space="preserve"> </w:t>
      </w:r>
    </w:p>
    <w:p w:rsidR="00032BDF" w:rsidRDefault="00907D57" w:rsidP="00032BDF">
      <w:pPr>
        <w:pStyle w:val="31"/>
        <w:spacing w:after="0"/>
        <w:ind w:left="0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</w:t>
      </w:r>
      <w:r w:rsidR="00032BDF" w:rsidRPr="00465417">
        <w:rPr>
          <w:bCs/>
          <w:sz w:val="24"/>
          <w:szCs w:val="24"/>
        </w:rPr>
        <w:t>епартаментом</w:t>
      </w:r>
      <w:r w:rsidR="00032BDF">
        <w:rPr>
          <w:bCs/>
          <w:sz w:val="24"/>
          <w:szCs w:val="24"/>
        </w:rPr>
        <w:t xml:space="preserve"> признаны </w:t>
      </w:r>
      <w:r w:rsidR="00FE22B5">
        <w:rPr>
          <w:bCs/>
          <w:sz w:val="24"/>
          <w:szCs w:val="24"/>
        </w:rPr>
        <w:t xml:space="preserve">экономически обоснованными </w:t>
      </w:r>
      <w:r w:rsidR="00032BDF">
        <w:rPr>
          <w:bCs/>
          <w:sz w:val="24"/>
          <w:szCs w:val="24"/>
        </w:rPr>
        <w:t xml:space="preserve">расходы по данной статье в размере </w:t>
      </w:r>
      <w:r w:rsidR="00FC224F">
        <w:rPr>
          <w:bCs/>
          <w:sz w:val="24"/>
          <w:szCs w:val="24"/>
        </w:rPr>
        <w:t>529,8</w:t>
      </w:r>
      <w:r w:rsidR="00032BDF">
        <w:rPr>
          <w:bCs/>
          <w:sz w:val="24"/>
          <w:szCs w:val="24"/>
        </w:rPr>
        <w:t xml:space="preserve"> </w:t>
      </w:r>
      <w:proofErr w:type="spellStart"/>
      <w:r w:rsidR="00032BDF">
        <w:rPr>
          <w:bCs/>
          <w:sz w:val="24"/>
          <w:szCs w:val="24"/>
        </w:rPr>
        <w:t>тыс</w:t>
      </w:r>
      <w:proofErr w:type="gramStart"/>
      <w:r w:rsidR="00032BDF">
        <w:rPr>
          <w:bCs/>
          <w:sz w:val="24"/>
          <w:szCs w:val="24"/>
        </w:rPr>
        <w:t>.р</w:t>
      </w:r>
      <w:proofErr w:type="gramEnd"/>
      <w:r w:rsidR="00032BDF">
        <w:rPr>
          <w:bCs/>
          <w:sz w:val="24"/>
          <w:szCs w:val="24"/>
        </w:rPr>
        <w:t>уб</w:t>
      </w:r>
      <w:proofErr w:type="spellEnd"/>
      <w:r w:rsidR="00032BDF">
        <w:rPr>
          <w:bCs/>
          <w:sz w:val="24"/>
          <w:szCs w:val="24"/>
        </w:rPr>
        <w:t>., в том числе:</w:t>
      </w:r>
    </w:p>
    <w:p w:rsidR="00C722F1" w:rsidRDefault="00032BDF" w:rsidP="00FE7B38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32BDF">
        <w:rPr>
          <w:bCs/>
        </w:rPr>
        <w:t xml:space="preserve">- </w:t>
      </w:r>
      <w:r w:rsidR="00496897">
        <w:rPr>
          <w:bCs/>
        </w:rPr>
        <w:t xml:space="preserve">расходы на </w:t>
      </w:r>
      <w:r w:rsidRPr="00032BDF">
        <w:rPr>
          <w:bCs/>
        </w:rPr>
        <w:t>аренд</w:t>
      </w:r>
      <w:r w:rsidR="00496897">
        <w:rPr>
          <w:bCs/>
        </w:rPr>
        <w:t>у</w:t>
      </w:r>
      <w:r w:rsidRPr="00032BDF">
        <w:rPr>
          <w:bCs/>
        </w:rPr>
        <w:t xml:space="preserve"> объектов электросетевого хозяйства </w:t>
      </w:r>
      <w:r w:rsidR="005E73C8">
        <w:rPr>
          <w:bCs/>
        </w:rPr>
        <w:t xml:space="preserve"> состав</w:t>
      </w:r>
      <w:r w:rsidR="00714B9D">
        <w:rPr>
          <w:bCs/>
        </w:rPr>
        <w:t>ят</w:t>
      </w:r>
      <w:r w:rsidR="005E73C8">
        <w:rPr>
          <w:bCs/>
        </w:rPr>
        <w:t xml:space="preserve"> </w:t>
      </w:r>
      <w:r w:rsidR="004B5B5A">
        <w:rPr>
          <w:bCs/>
        </w:rPr>
        <w:t>400</w:t>
      </w:r>
      <w:r w:rsidR="00841CA6">
        <w:rPr>
          <w:bCs/>
        </w:rPr>
        <w:t>,2</w:t>
      </w:r>
      <w:r w:rsidRPr="00032BDF">
        <w:rPr>
          <w:bCs/>
        </w:rPr>
        <w:t xml:space="preserve"> </w:t>
      </w:r>
      <w:proofErr w:type="spellStart"/>
      <w:r w:rsidRPr="00032BDF">
        <w:rPr>
          <w:bCs/>
        </w:rPr>
        <w:t>тыс</w:t>
      </w:r>
      <w:proofErr w:type="gramStart"/>
      <w:r w:rsidRPr="00032BDF">
        <w:rPr>
          <w:bCs/>
        </w:rPr>
        <w:t>.р</w:t>
      </w:r>
      <w:proofErr w:type="gramEnd"/>
      <w:r w:rsidRPr="00032BDF">
        <w:rPr>
          <w:bCs/>
        </w:rPr>
        <w:t>уб</w:t>
      </w:r>
      <w:proofErr w:type="spellEnd"/>
      <w:r w:rsidRPr="00032BDF">
        <w:rPr>
          <w:bCs/>
        </w:rPr>
        <w:t xml:space="preserve">. и </w:t>
      </w:r>
      <w:r w:rsidR="00FE7B38" w:rsidRPr="00582744">
        <w:rPr>
          <w:bCs/>
        </w:rPr>
        <w:t>рассчитан</w:t>
      </w:r>
      <w:r w:rsidR="00496897">
        <w:rPr>
          <w:bCs/>
        </w:rPr>
        <w:t>ы</w:t>
      </w:r>
      <w:r w:rsidR="00FE7B38" w:rsidRPr="00582744">
        <w:rPr>
          <w:bCs/>
        </w:rPr>
        <w:t xml:space="preserve"> департаментом</w:t>
      </w:r>
      <w:r w:rsidR="00C722F1">
        <w:rPr>
          <w:bCs/>
        </w:rPr>
        <w:t xml:space="preserve"> следующим образом:</w:t>
      </w:r>
    </w:p>
    <w:p w:rsidR="00C722F1" w:rsidRPr="006F5523" w:rsidRDefault="003D4699" w:rsidP="006F5523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color w:val="000000"/>
          <w:lang w:eastAsia="en-US"/>
        </w:rPr>
      </w:pPr>
      <w:r>
        <w:rPr>
          <w:bCs/>
        </w:rPr>
        <w:t>а</w:t>
      </w:r>
      <w:r w:rsidR="00C722F1">
        <w:rPr>
          <w:bCs/>
        </w:rPr>
        <w:t>мортизаци</w:t>
      </w:r>
      <w:r>
        <w:rPr>
          <w:bCs/>
        </w:rPr>
        <w:t>онные отчисления</w:t>
      </w:r>
      <w:r w:rsidR="00C722F1">
        <w:rPr>
          <w:bCs/>
        </w:rPr>
        <w:t xml:space="preserve"> объектов основных средств</w:t>
      </w:r>
      <w:r w:rsidR="00CA3394">
        <w:rPr>
          <w:bCs/>
        </w:rPr>
        <w:t>, учтенные на оплату арендной платы,</w:t>
      </w:r>
      <w:r w:rsidR="00C722F1">
        <w:rPr>
          <w:bCs/>
        </w:rPr>
        <w:t xml:space="preserve"> </w:t>
      </w:r>
      <w:r w:rsidR="00735540">
        <w:rPr>
          <w:bCs/>
        </w:rPr>
        <w:t xml:space="preserve">составят </w:t>
      </w:r>
      <w:r w:rsidR="001A59F5">
        <w:rPr>
          <w:bCs/>
        </w:rPr>
        <w:t>1</w:t>
      </w:r>
      <w:r w:rsidR="004B5B5A">
        <w:rPr>
          <w:bCs/>
        </w:rPr>
        <w:t>1</w:t>
      </w:r>
      <w:r w:rsidR="001A59F5">
        <w:rPr>
          <w:bCs/>
        </w:rPr>
        <w:t>2,0</w:t>
      </w:r>
      <w:r w:rsidR="005E73C8">
        <w:rPr>
          <w:bCs/>
        </w:rPr>
        <w:t xml:space="preserve"> </w:t>
      </w:r>
      <w:proofErr w:type="spellStart"/>
      <w:r w:rsidR="005E73C8">
        <w:rPr>
          <w:bCs/>
        </w:rPr>
        <w:t>тыс</w:t>
      </w:r>
      <w:proofErr w:type="gramStart"/>
      <w:r w:rsidR="005E73C8">
        <w:rPr>
          <w:bCs/>
        </w:rPr>
        <w:t>.р</w:t>
      </w:r>
      <w:proofErr w:type="gramEnd"/>
      <w:r w:rsidR="005E73C8">
        <w:rPr>
          <w:bCs/>
        </w:rPr>
        <w:t>уб</w:t>
      </w:r>
      <w:proofErr w:type="spellEnd"/>
      <w:r w:rsidR="005E73C8">
        <w:rPr>
          <w:bCs/>
        </w:rPr>
        <w:t>.</w:t>
      </w:r>
      <w:r w:rsidR="005E73C8" w:rsidRPr="00582744">
        <w:rPr>
          <w:bCs/>
        </w:rPr>
        <w:t xml:space="preserve"> </w:t>
      </w:r>
      <w:r w:rsidR="00C722F1">
        <w:rPr>
          <w:bCs/>
        </w:rPr>
        <w:t xml:space="preserve">без учета переоценки объектов электросетевого хозяйства </w:t>
      </w:r>
      <w:r w:rsidR="00FE7B38" w:rsidRPr="00582744">
        <w:rPr>
          <w:bCs/>
        </w:rPr>
        <w:t xml:space="preserve">согласно договорам </w:t>
      </w:r>
      <w:r w:rsidR="00FE7B38" w:rsidRPr="00302BB4">
        <w:rPr>
          <w:bCs/>
        </w:rPr>
        <w:t xml:space="preserve">аренды с  </w:t>
      </w:r>
      <w:r w:rsidR="001A59F5">
        <w:rPr>
          <w:bCs/>
        </w:rPr>
        <w:t xml:space="preserve">АО </w:t>
      </w:r>
      <w:r w:rsidR="001A59F5" w:rsidRPr="00302BB4">
        <w:rPr>
          <w:bCs/>
        </w:rPr>
        <w:t xml:space="preserve"> </w:t>
      </w:r>
      <w:r w:rsidR="001A59F5">
        <w:rPr>
          <w:bCs/>
        </w:rPr>
        <w:t>«</w:t>
      </w:r>
      <w:proofErr w:type="spellStart"/>
      <w:r w:rsidR="001A59F5">
        <w:rPr>
          <w:bCs/>
        </w:rPr>
        <w:t>СибПСК</w:t>
      </w:r>
      <w:proofErr w:type="spellEnd"/>
      <w:r w:rsidR="001A59F5">
        <w:rPr>
          <w:bCs/>
        </w:rPr>
        <w:t xml:space="preserve">» </w:t>
      </w:r>
      <w:r w:rsidR="001A59F5" w:rsidRPr="00302BB4">
        <w:rPr>
          <w:bCs/>
        </w:rPr>
        <w:t xml:space="preserve">№ </w:t>
      </w:r>
      <w:r w:rsidR="001A59F5">
        <w:rPr>
          <w:bCs/>
        </w:rPr>
        <w:t>114-А/2018/ДА</w:t>
      </w:r>
      <w:r w:rsidR="001A59F5" w:rsidRPr="00302BB4">
        <w:rPr>
          <w:bCs/>
        </w:rPr>
        <w:t xml:space="preserve"> от 2</w:t>
      </w:r>
      <w:r w:rsidR="001A59F5">
        <w:rPr>
          <w:bCs/>
        </w:rPr>
        <w:t>2</w:t>
      </w:r>
      <w:r w:rsidR="001A59F5" w:rsidRPr="00302BB4">
        <w:rPr>
          <w:bCs/>
        </w:rPr>
        <w:t>.10.201</w:t>
      </w:r>
      <w:r w:rsidR="001A59F5">
        <w:rPr>
          <w:bCs/>
        </w:rPr>
        <w:t>8, ООО "НЭСК</w:t>
      </w:r>
      <w:r w:rsidR="001A59F5" w:rsidRPr="00302BB4">
        <w:rPr>
          <w:bCs/>
        </w:rPr>
        <w:t xml:space="preserve">" № </w:t>
      </w:r>
      <w:r w:rsidR="001A59F5">
        <w:rPr>
          <w:bCs/>
        </w:rPr>
        <w:t>3/2018/ДА</w:t>
      </w:r>
      <w:r w:rsidR="001A59F5" w:rsidRPr="00302BB4">
        <w:rPr>
          <w:bCs/>
        </w:rPr>
        <w:t xml:space="preserve"> от </w:t>
      </w:r>
      <w:r w:rsidR="001A59F5">
        <w:rPr>
          <w:bCs/>
        </w:rPr>
        <w:t>22</w:t>
      </w:r>
      <w:r w:rsidR="001A59F5" w:rsidRPr="00302BB4">
        <w:rPr>
          <w:bCs/>
        </w:rPr>
        <w:t>.</w:t>
      </w:r>
      <w:r w:rsidR="001A59F5">
        <w:rPr>
          <w:bCs/>
        </w:rPr>
        <w:t>10</w:t>
      </w:r>
      <w:r w:rsidR="001A59F5" w:rsidRPr="00302BB4">
        <w:rPr>
          <w:bCs/>
        </w:rPr>
        <w:t>.2018г.,</w:t>
      </w:r>
      <w:r w:rsidR="001A59F5">
        <w:rPr>
          <w:bCs/>
        </w:rPr>
        <w:t xml:space="preserve"> с ИП Михайловым П.А. № 1/2018/ДА от 22.10.2018г., ИП </w:t>
      </w:r>
      <w:proofErr w:type="spellStart"/>
      <w:r w:rsidR="001A59F5">
        <w:rPr>
          <w:bCs/>
        </w:rPr>
        <w:t>Тимошик</w:t>
      </w:r>
      <w:proofErr w:type="spellEnd"/>
      <w:r w:rsidR="001A59F5">
        <w:rPr>
          <w:bCs/>
        </w:rPr>
        <w:t xml:space="preserve"> И.В. № 2/2018/ДА от 22.10.2018г. </w:t>
      </w:r>
      <w:proofErr w:type="gramStart"/>
      <w:r w:rsidR="005E73C8">
        <w:rPr>
          <w:bCs/>
        </w:rPr>
        <w:t xml:space="preserve">и рассчитаны </w:t>
      </w:r>
      <w:r w:rsidR="00FE7B38" w:rsidRPr="00302BB4">
        <w:rPr>
          <w:bCs/>
        </w:rPr>
        <w:t>в соответствии с Классификацией основных средств, включаемых в амортизационные группы, утвержденной постановлением Правительства Российской Федерации от 01.01.2002 №1</w:t>
      </w:r>
      <w:r w:rsidR="005E73C8">
        <w:rPr>
          <w:bCs/>
        </w:rPr>
        <w:t xml:space="preserve"> </w:t>
      </w:r>
      <w:r w:rsidR="00FE7B38" w:rsidRPr="00302BB4">
        <w:rPr>
          <w:bCs/>
        </w:rPr>
        <w:t>по максимальным срокам использования в соответствии</w:t>
      </w:r>
      <w:r w:rsidR="00FE7B38">
        <w:t xml:space="preserve"> с п</w:t>
      </w:r>
      <w:r w:rsidR="00FE7B38" w:rsidRPr="00F44704">
        <w:rPr>
          <w:bCs/>
        </w:rPr>
        <w:t>.</w:t>
      </w:r>
      <w:r w:rsidR="00FE7B38">
        <w:rPr>
          <w:bCs/>
        </w:rPr>
        <w:t xml:space="preserve"> 27 Основ ценообразования</w:t>
      </w:r>
      <w:r w:rsidR="006F5523">
        <w:rPr>
          <w:bCs/>
        </w:rPr>
        <w:t xml:space="preserve">, </w:t>
      </w:r>
      <w:r w:rsidR="006F5523">
        <w:rPr>
          <w:rFonts w:ascii="Times New Roman CYR" w:eastAsiaTheme="minorHAnsi" w:hAnsi="Times New Roman CYR" w:cs="Times New Roman CYR"/>
          <w:lang w:eastAsia="en-US"/>
        </w:rPr>
        <w:t>первоначальной стоимост</w:t>
      </w:r>
      <w:r w:rsidR="00735540">
        <w:rPr>
          <w:rFonts w:ascii="Times New Roman CYR" w:eastAsiaTheme="minorHAnsi" w:hAnsi="Times New Roman CYR" w:cs="Times New Roman CYR"/>
          <w:lang w:eastAsia="en-US"/>
        </w:rPr>
        <w:t>ью</w:t>
      </w:r>
      <w:r w:rsidR="006F5523">
        <w:rPr>
          <w:rFonts w:ascii="Times New Roman CYR" w:eastAsiaTheme="minorHAnsi" w:hAnsi="Times New Roman CYR" w:cs="Times New Roman CYR"/>
          <w:lang w:eastAsia="en-US"/>
        </w:rPr>
        <w:t xml:space="preserve"> электросетевого имущества, подтвержденной </w:t>
      </w:r>
      <w:r w:rsidR="006F5523">
        <w:rPr>
          <w:rFonts w:ascii="Times New Roman CYR" w:eastAsiaTheme="minorHAnsi" w:hAnsi="Times New Roman CYR" w:cs="Times New Roman CYR"/>
          <w:lang w:eastAsia="en-US"/>
        </w:rPr>
        <w:t xml:space="preserve">инвентарными карточками  </w:t>
      </w:r>
      <w:r w:rsidR="006F5523">
        <w:rPr>
          <w:rFonts w:ascii="Times New Roman CYR" w:eastAsiaTheme="minorHAnsi" w:hAnsi="Times New Roman CYR" w:cs="Times New Roman CYR"/>
          <w:lang w:eastAsia="en-US"/>
        </w:rPr>
        <w:t>предыдущи</w:t>
      </w:r>
      <w:r w:rsidR="006F5523">
        <w:rPr>
          <w:rFonts w:ascii="Times New Roman CYR" w:eastAsiaTheme="minorHAnsi" w:hAnsi="Times New Roman CYR" w:cs="Times New Roman CYR"/>
          <w:lang w:eastAsia="en-US"/>
        </w:rPr>
        <w:t>х</w:t>
      </w:r>
      <w:r w:rsidR="006F5523">
        <w:rPr>
          <w:rFonts w:ascii="Times New Roman CYR" w:eastAsiaTheme="minorHAnsi" w:hAnsi="Times New Roman CYR" w:cs="Times New Roman CYR"/>
          <w:lang w:eastAsia="en-US"/>
        </w:rPr>
        <w:t xml:space="preserve"> собственнико</w:t>
      </w:r>
      <w:r w:rsidR="006F5523">
        <w:rPr>
          <w:rFonts w:ascii="Times New Roman CYR" w:eastAsiaTheme="minorHAnsi" w:hAnsi="Times New Roman CYR" w:cs="Times New Roman CYR"/>
          <w:lang w:eastAsia="en-US"/>
        </w:rPr>
        <w:t>в</w:t>
      </w:r>
      <w:r w:rsidR="006F5523">
        <w:rPr>
          <w:rFonts w:ascii="Times New Roman CYR" w:eastAsiaTheme="minorHAnsi" w:hAnsi="Times New Roman CYR" w:cs="Times New Roman CYR"/>
          <w:lang w:eastAsia="en-US"/>
        </w:rPr>
        <w:t xml:space="preserve"> ООО «НЭСК»</w:t>
      </w:r>
      <w:r w:rsidR="006F5523">
        <w:rPr>
          <w:rFonts w:ascii="Times New Roman CYR" w:eastAsiaTheme="minorHAnsi" w:hAnsi="Times New Roman CYR" w:cs="Times New Roman CYR"/>
          <w:lang w:eastAsia="en-US"/>
        </w:rPr>
        <w:t xml:space="preserve"> и ООО «СИБЭЛС»</w:t>
      </w:r>
      <w:r w:rsidR="006F5523">
        <w:rPr>
          <w:rFonts w:ascii="Times New Roman CYR" w:eastAsiaTheme="minorHAnsi" w:hAnsi="Times New Roman CYR" w:cs="Times New Roman CYR"/>
          <w:color w:val="000000"/>
          <w:lang w:eastAsia="en-US"/>
        </w:rPr>
        <w:t>.</w:t>
      </w:r>
      <w:proofErr w:type="gramEnd"/>
      <w:r w:rsidR="006F5523">
        <w:rPr>
          <w:rFonts w:ascii="Times New Roman CYR" w:eastAsiaTheme="minorHAnsi" w:hAnsi="Times New Roman CYR" w:cs="Times New Roman CYR"/>
          <w:color w:val="000000"/>
          <w:lang w:eastAsia="en-US"/>
        </w:rPr>
        <w:t xml:space="preserve"> С учетом определения ВАС РФ от 19.03.2018 № 31-АПГ17-27 размер арендной платы объектов электросетевого имущества </w:t>
      </w:r>
      <w:proofErr w:type="gramStart"/>
      <w:r w:rsidR="006F5523">
        <w:rPr>
          <w:rFonts w:ascii="Times New Roman CYR" w:eastAsiaTheme="minorHAnsi" w:hAnsi="Times New Roman CYR" w:cs="Times New Roman CYR"/>
          <w:color w:val="000000"/>
          <w:lang w:eastAsia="en-US"/>
        </w:rPr>
        <w:t>исходя из измененной (увеличенной) стоимости без проведения мероприятий по модернизации и реконструкции не признается</w:t>
      </w:r>
      <w:proofErr w:type="gramEnd"/>
      <w:r w:rsidR="006F5523">
        <w:rPr>
          <w:rFonts w:ascii="Times New Roman CYR" w:eastAsiaTheme="minorHAnsi" w:hAnsi="Times New Roman CYR" w:cs="Times New Roman CYR"/>
          <w:color w:val="000000"/>
          <w:lang w:eastAsia="en-US"/>
        </w:rPr>
        <w:t xml:space="preserve"> экон</w:t>
      </w:r>
      <w:r w:rsidR="006F5523">
        <w:rPr>
          <w:rFonts w:ascii="Times New Roman CYR" w:eastAsiaTheme="minorHAnsi" w:hAnsi="Times New Roman CYR" w:cs="Times New Roman CYR"/>
          <w:color w:val="000000"/>
          <w:lang w:eastAsia="en-US"/>
        </w:rPr>
        <w:t>омически обоснованным размером</w:t>
      </w:r>
      <w:r w:rsidR="00BA0141">
        <w:rPr>
          <w:rFonts w:eastAsiaTheme="minorHAnsi"/>
          <w:lang w:eastAsia="en-US"/>
        </w:rPr>
        <w:t>;</w:t>
      </w:r>
    </w:p>
    <w:p w:rsidR="00C722F1" w:rsidRDefault="00FE7B38" w:rsidP="00FE7B38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налог на имущество </w:t>
      </w:r>
      <w:r w:rsidR="00C722F1">
        <w:rPr>
          <w:bCs/>
        </w:rPr>
        <w:t xml:space="preserve">– </w:t>
      </w:r>
      <w:r w:rsidR="001A59F5">
        <w:rPr>
          <w:bCs/>
        </w:rPr>
        <w:t>269,8</w:t>
      </w:r>
      <w:r w:rsidR="00C722F1">
        <w:rPr>
          <w:bCs/>
        </w:rPr>
        <w:t xml:space="preserve"> </w:t>
      </w:r>
      <w:proofErr w:type="spellStart"/>
      <w:r w:rsidR="00C722F1">
        <w:rPr>
          <w:bCs/>
        </w:rPr>
        <w:t>тыс</w:t>
      </w:r>
      <w:proofErr w:type="gramStart"/>
      <w:r w:rsidR="00C722F1">
        <w:rPr>
          <w:bCs/>
        </w:rPr>
        <w:t>.р</w:t>
      </w:r>
      <w:proofErr w:type="gramEnd"/>
      <w:r w:rsidR="00C722F1">
        <w:rPr>
          <w:bCs/>
        </w:rPr>
        <w:t>уб</w:t>
      </w:r>
      <w:proofErr w:type="spellEnd"/>
      <w:r w:rsidR="00C722F1">
        <w:rPr>
          <w:bCs/>
        </w:rPr>
        <w:t xml:space="preserve">. рассчитанный на объекты недвижимого имущества </w:t>
      </w:r>
      <w:r w:rsidR="005C28AF">
        <w:rPr>
          <w:bCs/>
        </w:rPr>
        <w:t>исходя из остаточной стоимости и</w:t>
      </w:r>
      <w:r>
        <w:rPr>
          <w:bCs/>
        </w:rPr>
        <w:t xml:space="preserve"> </w:t>
      </w:r>
      <w:r w:rsidR="005C28AF">
        <w:rPr>
          <w:bCs/>
        </w:rPr>
        <w:t xml:space="preserve">налоговой </w:t>
      </w:r>
      <w:r>
        <w:rPr>
          <w:bCs/>
        </w:rPr>
        <w:t>ставк</w:t>
      </w:r>
      <w:r w:rsidR="005C28AF">
        <w:rPr>
          <w:bCs/>
        </w:rPr>
        <w:t>и</w:t>
      </w:r>
      <w:r>
        <w:rPr>
          <w:bCs/>
        </w:rPr>
        <w:t xml:space="preserve"> 2,2%</w:t>
      </w:r>
      <w:r w:rsidR="00C722F1">
        <w:rPr>
          <w:bCs/>
        </w:rPr>
        <w:t>;</w:t>
      </w:r>
    </w:p>
    <w:p w:rsidR="00BA0141" w:rsidRDefault="00C722F1" w:rsidP="00FE7B38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налог на землю – </w:t>
      </w:r>
      <w:r w:rsidR="001A59F5">
        <w:rPr>
          <w:bCs/>
        </w:rPr>
        <w:t>18,</w:t>
      </w:r>
      <w:r w:rsidR="00841CA6">
        <w:rPr>
          <w:bCs/>
        </w:rPr>
        <w:t>4</w:t>
      </w:r>
      <w:r>
        <w:rPr>
          <w:bCs/>
        </w:rPr>
        <w:t xml:space="preserve"> 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>. рассчитанный</w:t>
      </w:r>
      <w:r w:rsidR="00BA0141">
        <w:rPr>
          <w:bCs/>
        </w:rPr>
        <w:t xml:space="preserve"> исходя из кадастровой стоимости земельного участка и налоговой</w:t>
      </w:r>
      <w:r w:rsidR="00BA0141">
        <w:rPr>
          <w:bCs/>
        </w:rPr>
        <w:tab/>
        <w:t xml:space="preserve"> ставки </w:t>
      </w:r>
      <w:r w:rsidR="00AE61A0">
        <w:rPr>
          <w:bCs/>
        </w:rPr>
        <w:t>1,5</w:t>
      </w:r>
      <w:r w:rsidR="00BA0141">
        <w:rPr>
          <w:bCs/>
        </w:rPr>
        <w:t>%;</w:t>
      </w:r>
    </w:p>
    <w:p w:rsidR="008C6C2D" w:rsidRDefault="00032BDF" w:rsidP="00FC224F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032BDF">
        <w:rPr>
          <w:bCs/>
        </w:rPr>
        <w:t xml:space="preserve">- </w:t>
      </w:r>
      <w:r w:rsidR="005E73C8">
        <w:rPr>
          <w:bCs/>
        </w:rPr>
        <w:t>расходы на аренду офиса учтены в размере</w:t>
      </w:r>
      <w:r w:rsidR="00F82547" w:rsidRPr="00582744">
        <w:rPr>
          <w:bCs/>
        </w:rPr>
        <w:t xml:space="preserve"> </w:t>
      </w:r>
      <w:r w:rsidR="00315CB4">
        <w:rPr>
          <w:bCs/>
        </w:rPr>
        <w:t>1</w:t>
      </w:r>
      <w:r w:rsidR="00FC224F">
        <w:rPr>
          <w:bCs/>
        </w:rPr>
        <w:t>29,6</w:t>
      </w:r>
      <w:r w:rsidR="00F82547" w:rsidRPr="00582744">
        <w:rPr>
          <w:bCs/>
        </w:rPr>
        <w:t xml:space="preserve"> </w:t>
      </w:r>
      <w:proofErr w:type="spellStart"/>
      <w:r w:rsidR="00F82547" w:rsidRPr="00582744">
        <w:rPr>
          <w:bCs/>
        </w:rPr>
        <w:t>тыс</w:t>
      </w:r>
      <w:proofErr w:type="gramStart"/>
      <w:r w:rsidR="00F82547" w:rsidRPr="00582744">
        <w:rPr>
          <w:bCs/>
        </w:rPr>
        <w:t>.р</w:t>
      </w:r>
      <w:proofErr w:type="gramEnd"/>
      <w:r w:rsidR="00F82547" w:rsidRPr="00582744">
        <w:rPr>
          <w:bCs/>
        </w:rPr>
        <w:t>уб</w:t>
      </w:r>
      <w:proofErr w:type="spellEnd"/>
      <w:r w:rsidR="00F82547" w:rsidRPr="00582744">
        <w:rPr>
          <w:bCs/>
        </w:rPr>
        <w:t xml:space="preserve">. </w:t>
      </w:r>
      <w:r w:rsidR="000A5E4B">
        <w:rPr>
          <w:bCs/>
        </w:rPr>
        <w:t xml:space="preserve">В соответствии с п. 5 ст. 28 Основ ценообразования, расходы на аренду </w:t>
      </w:r>
      <w:r w:rsidR="000A5E4B">
        <w:rPr>
          <w:rFonts w:eastAsiaTheme="minorHAnsi"/>
          <w:lang w:eastAsia="en-US"/>
        </w:rPr>
        <w:t>определяются исходя из величины амортизации и налога на имущество, относящихся к арендуемому имуществу.</w:t>
      </w:r>
      <w:r w:rsidR="000A5E4B">
        <w:rPr>
          <w:rFonts w:eastAsiaTheme="minorHAnsi"/>
          <w:lang w:eastAsia="en-US"/>
        </w:rPr>
        <w:t xml:space="preserve"> </w:t>
      </w:r>
      <w:proofErr w:type="gramStart"/>
      <w:r w:rsidR="000A5E4B">
        <w:rPr>
          <w:rFonts w:eastAsiaTheme="minorHAnsi"/>
          <w:lang w:eastAsia="en-US"/>
        </w:rPr>
        <w:t>Поскольку организацией не был</w:t>
      </w:r>
      <w:r w:rsidR="00FC224F">
        <w:rPr>
          <w:rFonts w:eastAsiaTheme="minorHAnsi"/>
          <w:lang w:eastAsia="en-US"/>
        </w:rPr>
        <w:t>о</w:t>
      </w:r>
      <w:r w:rsidR="000A5E4B">
        <w:rPr>
          <w:rFonts w:eastAsiaTheme="minorHAnsi"/>
          <w:lang w:eastAsia="en-US"/>
        </w:rPr>
        <w:t xml:space="preserve"> представлен</w:t>
      </w:r>
      <w:r w:rsidR="00FC224F">
        <w:rPr>
          <w:rFonts w:eastAsiaTheme="minorHAnsi"/>
          <w:lang w:eastAsia="en-US"/>
        </w:rPr>
        <w:t>о</w:t>
      </w:r>
      <w:r w:rsidR="000A5E4B">
        <w:rPr>
          <w:rFonts w:eastAsiaTheme="minorHAnsi"/>
          <w:lang w:eastAsia="en-US"/>
        </w:rPr>
        <w:t xml:space="preserve"> обоснование </w:t>
      </w:r>
      <w:r w:rsidR="00C032EF">
        <w:rPr>
          <w:rFonts w:eastAsiaTheme="minorHAnsi"/>
          <w:lang w:eastAsia="en-US"/>
        </w:rPr>
        <w:t xml:space="preserve">по </w:t>
      </w:r>
      <w:r w:rsidR="000A5E4B">
        <w:rPr>
          <w:rFonts w:eastAsiaTheme="minorHAnsi"/>
          <w:lang w:eastAsia="en-US"/>
        </w:rPr>
        <w:t>амортизации и налог</w:t>
      </w:r>
      <w:r w:rsidR="00C032EF">
        <w:rPr>
          <w:rFonts w:eastAsiaTheme="minorHAnsi"/>
          <w:lang w:eastAsia="en-US"/>
        </w:rPr>
        <w:t>у</w:t>
      </w:r>
      <w:r w:rsidR="000A5E4B">
        <w:rPr>
          <w:rFonts w:eastAsiaTheme="minorHAnsi"/>
          <w:lang w:eastAsia="en-US"/>
        </w:rPr>
        <w:t xml:space="preserve"> на имущество арендуемого офиса, </w:t>
      </w:r>
      <w:r w:rsidR="008C6C2D">
        <w:rPr>
          <w:bCs/>
        </w:rPr>
        <w:t xml:space="preserve"> департаментом </w:t>
      </w:r>
      <w:r w:rsidR="000A5E4B">
        <w:rPr>
          <w:bCs/>
        </w:rPr>
        <w:t xml:space="preserve">произведен расчет арендной платы </w:t>
      </w:r>
      <w:r w:rsidR="008C6C2D" w:rsidRPr="00582744">
        <w:rPr>
          <w:bCs/>
        </w:rPr>
        <w:t xml:space="preserve">исходя из необходимой площади помещений </w:t>
      </w:r>
      <w:r w:rsidR="008C6C2D">
        <w:rPr>
          <w:bCs/>
        </w:rPr>
        <w:t xml:space="preserve"> </w:t>
      </w:r>
      <w:r w:rsidR="008C6C2D" w:rsidRPr="00582744">
        <w:rPr>
          <w:bCs/>
        </w:rPr>
        <w:t xml:space="preserve">для </w:t>
      </w:r>
      <w:r w:rsidR="000A5E4B">
        <w:rPr>
          <w:bCs/>
        </w:rPr>
        <w:t>4</w:t>
      </w:r>
      <w:r w:rsidR="008C6C2D" w:rsidRPr="00582744">
        <w:rPr>
          <w:bCs/>
        </w:rPr>
        <w:t xml:space="preserve"> человек (</w:t>
      </w:r>
      <w:r w:rsidR="008C6C2D">
        <w:rPr>
          <w:bCs/>
        </w:rPr>
        <w:t>2</w:t>
      </w:r>
      <w:r w:rsidR="000A5E4B">
        <w:rPr>
          <w:bCs/>
        </w:rPr>
        <w:t>4</w:t>
      </w:r>
      <w:r w:rsidR="008C6C2D">
        <w:rPr>
          <w:bCs/>
        </w:rPr>
        <w:t>,0</w:t>
      </w:r>
      <w:r w:rsidR="008C6C2D" w:rsidRPr="00582744">
        <w:rPr>
          <w:bCs/>
        </w:rPr>
        <w:t xml:space="preserve"> </w:t>
      </w:r>
      <w:proofErr w:type="spellStart"/>
      <w:r w:rsidR="008C6C2D" w:rsidRPr="00582744">
        <w:rPr>
          <w:bCs/>
        </w:rPr>
        <w:t>кв.м</w:t>
      </w:r>
      <w:proofErr w:type="spellEnd"/>
      <w:r w:rsidR="008C6C2D" w:rsidRPr="00582744">
        <w:rPr>
          <w:bCs/>
        </w:rPr>
        <w:t xml:space="preserve">.) в соответствии с п. 3.4 </w:t>
      </w:r>
      <w:r w:rsidR="008C6C2D" w:rsidRPr="00582744">
        <w:rPr>
          <w:rFonts w:eastAsiaTheme="minorHAnsi"/>
          <w:lang w:eastAsia="en-US"/>
        </w:rPr>
        <w:t>СА</w:t>
      </w:r>
      <w:r w:rsidR="00ED60F2">
        <w:rPr>
          <w:rFonts w:eastAsiaTheme="minorHAnsi"/>
          <w:lang w:eastAsia="en-US"/>
        </w:rPr>
        <w:t>НПИН 2.2.2/2.4.1340-03</w:t>
      </w:r>
      <w:r w:rsidR="008C6C2D" w:rsidRPr="00582744">
        <w:rPr>
          <w:rFonts w:eastAsiaTheme="minorHAnsi"/>
          <w:lang w:eastAsia="en-US"/>
        </w:rPr>
        <w:t xml:space="preserve"> </w:t>
      </w:r>
      <w:r w:rsidR="008C6C2D" w:rsidRPr="00582744">
        <w:rPr>
          <w:bCs/>
        </w:rPr>
        <w:t>(</w:t>
      </w:r>
      <w:r w:rsidR="000A5E4B">
        <w:rPr>
          <w:bCs/>
        </w:rPr>
        <w:t xml:space="preserve">6,0 </w:t>
      </w:r>
      <w:proofErr w:type="spellStart"/>
      <w:r w:rsidR="008C6C2D" w:rsidRPr="00582744">
        <w:rPr>
          <w:bCs/>
        </w:rPr>
        <w:t>кв.м</w:t>
      </w:r>
      <w:proofErr w:type="spellEnd"/>
      <w:r w:rsidR="008C6C2D" w:rsidRPr="00582744">
        <w:rPr>
          <w:bCs/>
        </w:rPr>
        <w:t xml:space="preserve">. </w:t>
      </w:r>
      <w:r w:rsidR="008C6C2D">
        <w:rPr>
          <w:bCs/>
        </w:rPr>
        <w:t>на 1 человека</w:t>
      </w:r>
      <w:r w:rsidR="008C6C2D" w:rsidRPr="00582744">
        <w:rPr>
          <w:bCs/>
        </w:rPr>
        <w:t>)</w:t>
      </w:r>
      <w:r w:rsidR="008C6C2D" w:rsidRPr="00ED60F2">
        <w:rPr>
          <w:rFonts w:eastAsiaTheme="minorHAnsi"/>
          <w:lang w:eastAsia="en-US"/>
        </w:rPr>
        <w:t xml:space="preserve"> и стоимости аренды 1кв.м. </w:t>
      </w:r>
      <w:r w:rsidR="00ED60F2">
        <w:rPr>
          <w:rFonts w:eastAsiaTheme="minorHAnsi"/>
          <w:lang w:eastAsia="en-US"/>
        </w:rPr>
        <w:t>450,</w:t>
      </w:r>
      <w:r w:rsidR="008C6C2D" w:rsidRPr="00ED60F2">
        <w:rPr>
          <w:rFonts w:eastAsiaTheme="minorHAnsi"/>
          <w:lang w:eastAsia="en-US"/>
        </w:rPr>
        <w:t>0руб./</w:t>
      </w:r>
      <w:proofErr w:type="spellStart"/>
      <w:r w:rsidR="008C6C2D" w:rsidRPr="00ED60F2">
        <w:rPr>
          <w:rFonts w:eastAsiaTheme="minorHAnsi"/>
          <w:lang w:eastAsia="en-US"/>
        </w:rPr>
        <w:t>кв.м</w:t>
      </w:r>
      <w:proofErr w:type="spellEnd"/>
      <w:r w:rsidR="008C6C2D" w:rsidRPr="00ED60F2">
        <w:rPr>
          <w:rFonts w:eastAsiaTheme="minorHAnsi"/>
          <w:lang w:eastAsia="en-US"/>
        </w:rPr>
        <w:t xml:space="preserve">. </w:t>
      </w:r>
      <w:r w:rsidR="00ED60F2">
        <w:rPr>
          <w:rFonts w:eastAsiaTheme="minorHAnsi"/>
          <w:lang w:eastAsia="en-US"/>
        </w:rPr>
        <w:t xml:space="preserve">согласно договору </w:t>
      </w:r>
      <w:r w:rsidR="00ED60F2" w:rsidRPr="00ED60F2">
        <w:rPr>
          <w:rFonts w:eastAsiaTheme="minorHAnsi"/>
          <w:lang w:eastAsia="en-US"/>
        </w:rPr>
        <w:t>аренды с ООО «ТСК-</w:t>
      </w:r>
      <w:proofErr w:type="spellStart"/>
      <w:r w:rsidR="00ED60F2" w:rsidRPr="00ED60F2">
        <w:rPr>
          <w:rFonts w:eastAsiaTheme="minorHAnsi"/>
          <w:lang w:eastAsia="en-US"/>
        </w:rPr>
        <w:t>инвест</w:t>
      </w:r>
      <w:proofErr w:type="spellEnd"/>
      <w:proofErr w:type="gramEnd"/>
      <w:r w:rsidR="00ED60F2" w:rsidRPr="00ED60F2">
        <w:rPr>
          <w:rFonts w:eastAsiaTheme="minorHAnsi"/>
          <w:lang w:eastAsia="en-US"/>
        </w:rPr>
        <w:t xml:space="preserve">» </w:t>
      </w:r>
      <w:proofErr w:type="gramStart"/>
      <w:r w:rsidR="00ED60F2" w:rsidRPr="00ED60F2">
        <w:rPr>
          <w:rFonts w:eastAsiaTheme="minorHAnsi"/>
          <w:lang w:eastAsia="en-US"/>
        </w:rPr>
        <w:t>от</w:t>
      </w:r>
      <w:proofErr w:type="gramEnd"/>
      <w:r w:rsidR="00ED60F2" w:rsidRPr="00ED60F2">
        <w:rPr>
          <w:rFonts w:eastAsiaTheme="minorHAnsi"/>
          <w:lang w:eastAsia="en-US"/>
        </w:rPr>
        <w:t xml:space="preserve"> </w:t>
      </w:r>
      <w:proofErr w:type="gramStart"/>
      <w:r w:rsidR="00ED60F2" w:rsidRPr="00ED60F2">
        <w:rPr>
          <w:rFonts w:eastAsiaTheme="minorHAnsi"/>
          <w:lang w:eastAsia="en-US"/>
        </w:rPr>
        <w:t>17.10.2018 г. № А-7266</w:t>
      </w:r>
      <w:r w:rsidR="00ED60F2">
        <w:rPr>
          <w:rFonts w:eastAsiaTheme="minorHAnsi"/>
          <w:lang w:eastAsia="en-US"/>
        </w:rPr>
        <w:t xml:space="preserve">, что не превышает стоимость </w:t>
      </w:r>
      <w:r w:rsidR="00ED60F2" w:rsidRPr="00FB705A">
        <w:rPr>
          <w:rFonts w:ascii="Times New Roman CYR" w:eastAsiaTheme="minorHAnsi" w:hAnsi="Times New Roman CYR" w:cs="Times New Roman CYR"/>
          <w:lang w:eastAsia="en-US"/>
        </w:rPr>
        <w:t>1 кв</w:t>
      </w:r>
      <w:proofErr w:type="gramEnd"/>
      <w:r w:rsidR="00ED60F2" w:rsidRPr="00FB705A">
        <w:rPr>
          <w:rFonts w:ascii="Times New Roman CYR" w:eastAsiaTheme="minorHAnsi" w:hAnsi="Times New Roman CYR" w:cs="Times New Roman CYR"/>
          <w:lang w:eastAsia="en-US"/>
        </w:rPr>
        <w:t xml:space="preserve">. м. </w:t>
      </w:r>
      <w:r w:rsidR="00ED60F2">
        <w:rPr>
          <w:rFonts w:eastAsia="Calibri"/>
        </w:rPr>
        <w:t>по данным сайта</w:t>
      </w:r>
      <w:r w:rsidR="00ED60F2" w:rsidRPr="00C515ED">
        <w:rPr>
          <w:rFonts w:eastAsia="Calibri"/>
        </w:rPr>
        <w:t xml:space="preserve"> </w:t>
      </w:r>
      <w:proofErr w:type="spellStart"/>
      <w:r w:rsidR="00ED60F2" w:rsidRPr="00C515ED">
        <w:rPr>
          <w:rFonts w:eastAsia="Calibri"/>
        </w:rPr>
        <w:t>НГС</w:t>
      </w:r>
      <w:proofErr w:type="gramStart"/>
      <w:r w:rsidR="00ED60F2" w:rsidRPr="00C515ED">
        <w:rPr>
          <w:rFonts w:eastAsia="Calibri"/>
        </w:rPr>
        <w:t>.Н</w:t>
      </w:r>
      <w:proofErr w:type="gramEnd"/>
      <w:r w:rsidR="00ED60F2" w:rsidRPr="00C515ED">
        <w:rPr>
          <w:rFonts w:eastAsia="Calibri"/>
        </w:rPr>
        <w:t>едвижимость</w:t>
      </w:r>
      <w:proofErr w:type="spellEnd"/>
      <w:r w:rsidR="00ED60F2" w:rsidRPr="00C515ED">
        <w:rPr>
          <w:rFonts w:eastAsia="Calibri"/>
        </w:rPr>
        <w:t xml:space="preserve"> по состоянию на 12.12.2018 г.</w:t>
      </w:r>
      <w:r w:rsidR="00ED60F2">
        <w:rPr>
          <w:rFonts w:eastAsia="Calibri"/>
        </w:rPr>
        <w:t xml:space="preserve"> (</w:t>
      </w:r>
      <w:r w:rsidR="00ED60F2">
        <w:rPr>
          <w:rFonts w:ascii="Times New Roman CYR" w:eastAsiaTheme="minorHAnsi" w:hAnsi="Times New Roman CYR" w:cs="Times New Roman CYR"/>
          <w:lang w:eastAsia="en-US"/>
        </w:rPr>
        <w:t>627,0</w:t>
      </w:r>
      <w:r w:rsidR="00ED60F2" w:rsidRPr="00FB705A">
        <w:rPr>
          <w:rFonts w:ascii="Times New Roman CYR" w:eastAsiaTheme="minorHAnsi" w:hAnsi="Times New Roman CYR" w:cs="Times New Roman CYR"/>
          <w:lang w:eastAsia="en-US"/>
        </w:rPr>
        <w:t xml:space="preserve"> руб.</w:t>
      </w:r>
      <w:r w:rsidR="00ED60F2">
        <w:rPr>
          <w:rFonts w:eastAsia="Calibri"/>
        </w:rPr>
        <w:t>).</w:t>
      </w:r>
    </w:p>
    <w:p w:rsidR="00110B73" w:rsidRDefault="000A5E4B" w:rsidP="00110B7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="Calibri"/>
        </w:rPr>
        <w:t>Р</w:t>
      </w:r>
      <w:r w:rsidR="00110B73">
        <w:rPr>
          <w:rFonts w:eastAsia="Calibri"/>
        </w:rPr>
        <w:t xml:space="preserve">асходы на аренду автомобиля </w:t>
      </w:r>
      <w:r>
        <w:rPr>
          <w:rFonts w:eastAsia="Calibri"/>
        </w:rPr>
        <w:t xml:space="preserve">не </w:t>
      </w:r>
      <w:r w:rsidR="00110B73">
        <w:rPr>
          <w:rFonts w:eastAsia="Calibri"/>
        </w:rPr>
        <w:t>учены департаментом в полном объеме</w:t>
      </w:r>
      <w:r w:rsidR="00C032EF">
        <w:rPr>
          <w:rFonts w:eastAsia="Calibri"/>
        </w:rPr>
        <w:t>,</w:t>
      </w:r>
      <w:r w:rsidR="001462D4">
        <w:rPr>
          <w:rFonts w:eastAsia="Calibri"/>
        </w:rPr>
        <w:t xml:space="preserve"> </w:t>
      </w:r>
      <w:r>
        <w:rPr>
          <w:rFonts w:eastAsia="Calibri"/>
        </w:rPr>
        <w:t xml:space="preserve">поскольку к договору аренды транспортного средства организацией не представлено обоснование </w:t>
      </w:r>
      <w:r w:rsidR="00C032EF">
        <w:rPr>
          <w:rFonts w:eastAsia="Calibri"/>
        </w:rPr>
        <w:t xml:space="preserve">по амортизации и налогу. Департамент рекомендует организации заключить договор на услуги </w:t>
      </w:r>
      <w:r w:rsidR="003F0DE4">
        <w:rPr>
          <w:rFonts w:eastAsia="Calibri"/>
        </w:rPr>
        <w:t xml:space="preserve">по предоставлению </w:t>
      </w:r>
      <w:bookmarkStart w:id="0" w:name="_GoBack"/>
      <w:bookmarkEnd w:id="0"/>
      <w:r w:rsidR="00C032EF">
        <w:rPr>
          <w:rFonts w:eastAsia="Calibri"/>
        </w:rPr>
        <w:t xml:space="preserve">автотранспортного средства. </w:t>
      </w:r>
    </w:p>
    <w:p w:rsidR="005C55E7" w:rsidRDefault="005C55E7" w:rsidP="00EC354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82713" w:rsidRPr="001D0AFC" w:rsidRDefault="005C55E7" w:rsidP="001D513C">
      <w:pPr>
        <w:autoSpaceDE w:val="0"/>
        <w:autoSpaceDN w:val="0"/>
        <w:adjustRightInd w:val="0"/>
        <w:jc w:val="both"/>
        <w:rPr>
          <w:b/>
          <w:i/>
          <w:iCs/>
          <w:color w:val="000000"/>
        </w:rPr>
      </w:pPr>
      <w:r w:rsidRPr="00595E96">
        <w:rPr>
          <w:rFonts w:eastAsiaTheme="minorHAnsi"/>
          <w:b/>
          <w:lang w:eastAsia="en-US"/>
        </w:rPr>
        <w:tab/>
      </w:r>
      <w:r w:rsidR="00DE6B3C">
        <w:rPr>
          <w:rFonts w:eastAsiaTheme="minorHAnsi"/>
          <w:lang w:eastAsia="en-US"/>
        </w:rPr>
        <w:t xml:space="preserve"> </w:t>
      </w:r>
      <w:r w:rsidR="001462D4" w:rsidRPr="001462D4">
        <w:rPr>
          <w:b/>
          <w:i/>
          <w:iCs/>
          <w:color w:val="000000"/>
        </w:rPr>
        <w:t>3</w:t>
      </w:r>
      <w:r w:rsidR="00282713">
        <w:rPr>
          <w:b/>
          <w:i/>
          <w:iCs/>
          <w:color w:val="000000"/>
        </w:rPr>
        <w:t>.</w:t>
      </w:r>
      <w:r w:rsidR="00282713" w:rsidRPr="001D0AFC">
        <w:rPr>
          <w:b/>
          <w:i/>
          <w:iCs/>
          <w:color w:val="000000"/>
        </w:rPr>
        <w:t>Расходы на покупку технологического расхода (потерь) электрической энергии на ее передачу</w:t>
      </w:r>
    </w:p>
    <w:p w:rsidR="00282713" w:rsidRDefault="00282713" w:rsidP="00282713">
      <w:pPr>
        <w:autoSpaceDE w:val="0"/>
        <w:autoSpaceDN w:val="0"/>
        <w:adjustRightInd w:val="0"/>
        <w:ind w:firstLine="709"/>
        <w:jc w:val="both"/>
      </w:pPr>
      <w:r w:rsidRPr="0093585B">
        <w:t xml:space="preserve">Расходы на покупку </w:t>
      </w:r>
      <w:r w:rsidRPr="0093585B">
        <w:rPr>
          <w:rFonts w:ascii="Times New Roman CYR" w:hAnsi="Times New Roman CYR" w:cs="Times New Roman CYR"/>
        </w:rPr>
        <w:t>технологического расхода электрической энергии (потерь)</w:t>
      </w:r>
      <w:r w:rsidRPr="0093585B">
        <w:t xml:space="preserve"> определены департаментом в размере</w:t>
      </w:r>
      <w:r>
        <w:t xml:space="preserve"> </w:t>
      </w:r>
      <w:r w:rsidR="001462D4" w:rsidRPr="001462D4">
        <w:t>6738,</w:t>
      </w:r>
      <w:r w:rsidR="001E1C2F">
        <w:t>2</w:t>
      </w:r>
      <w:r w:rsidR="00234A7E" w:rsidRPr="00234A7E">
        <w:t xml:space="preserve"> </w:t>
      </w:r>
      <w:proofErr w:type="spellStart"/>
      <w:r w:rsidRPr="0093585B">
        <w:t>тыс</w:t>
      </w:r>
      <w:proofErr w:type="gramStart"/>
      <w:r w:rsidRPr="0093585B">
        <w:t>.р</w:t>
      </w:r>
      <w:proofErr w:type="gramEnd"/>
      <w:r w:rsidRPr="0093585B">
        <w:t>уб</w:t>
      </w:r>
      <w:proofErr w:type="spellEnd"/>
      <w:r w:rsidRPr="0093585B">
        <w:t xml:space="preserve">., исходя из рассчитанного департаментом </w:t>
      </w:r>
      <w:r w:rsidR="00387B73">
        <w:t xml:space="preserve">объема </w:t>
      </w:r>
      <w:r w:rsidR="00387B73" w:rsidRPr="0093585B">
        <w:t xml:space="preserve">технологического расхода электрической энергии (потерь) на ее передачу </w:t>
      </w:r>
      <w:r w:rsidR="00387B73">
        <w:t xml:space="preserve">в пределах </w:t>
      </w:r>
      <w:r w:rsidRPr="0093585B">
        <w:t xml:space="preserve">норматива в соответствии </w:t>
      </w:r>
      <w:r w:rsidRPr="00355965">
        <w:rPr>
          <w:rFonts w:eastAsiaTheme="minorHAnsi"/>
          <w:lang w:eastAsia="en-US"/>
        </w:rPr>
        <w:t xml:space="preserve">с </w:t>
      </w:r>
      <w:r>
        <w:rPr>
          <w:rFonts w:eastAsiaTheme="minorHAnsi"/>
          <w:lang w:eastAsia="en-US"/>
        </w:rPr>
        <w:t>п</w:t>
      </w:r>
      <w:r w:rsidRPr="003B4E9D">
        <w:rPr>
          <w:bCs/>
          <w:color w:val="000000" w:themeColor="text1"/>
        </w:rPr>
        <w:t>риказ</w:t>
      </w:r>
      <w:r>
        <w:rPr>
          <w:bCs/>
          <w:color w:val="000000" w:themeColor="text1"/>
        </w:rPr>
        <w:t>ом</w:t>
      </w:r>
      <w:r w:rsidRPr="003B4E9D">
        <w:rPr>
          <w:bCs/>
          <w:color w:val="000000" w:themeColor="text1"/>
        </w:rPr>
        <w:t xml:space="preserve"> Минэнерго России </w:t>
      </w:r>
      <w:r w:rsidR="00CA0054">
        <w:rPr>
          <w:bCs/>
          <w:color w:val="000000" w:themeColor="text1"/>
        </w:rPr>
        <w:t>от 26</w:t>
      </w:r>
      <w:r w:rsidR="00CA0054" w:rsidRPr="003B4E9D">
        <w:rPr>
          <w:bCs/>
          <w:color w:val="000000" w:themeColor="text1"/>
        </w:rPr>
        <w:t>.09.201</w:t>
      </w:r>
      <w:r w:rsidR="00CA0054">
        <w:rPr>
          <w:bCs/>
          <w:color w:val="000000" w:themeColor="text1"/>
        </w:rPr>
        <w:t>7</w:t>
      </w:r>
      <w:r w:rsidR="00CA0054" w:rsidRPr="003B4E9D">
        <w:rPr>
          <w:bCs/>
          <w:color w:val="000000" w:themeColor="text1"/>
        </w:rPr>
        <w:t xml:space="preserve"> № </w:t>
      </w:r>
      <w:r w:rsidR="00CA0054">
        <w:rPr>
          <w:bCs/>
          <w:color w:val="000000" w:themeColor="text1"/>
        </w:rPr>
        <w:t>887</w:t>
      </w:r>
      <w:r w:rsidR="00CA0054" w:rsidRPr="003B4E9D">
        <w:rPr>
          <w:bCs/>
          <w:color w:val="000000" w:themeColor="text1"/>
        </w:rPr>
        <w:t xml:space="preserve"> </w:t>
      </w:r>
      <w:r w:rsidRPr="003B4E9D">
        <w:rPr>
          <w:bCs/>
          <w:color w:val="000000" w:themeColor="text1"/>
        </w:rPr>
        <w:t xml:space="preserve"> «Об утверждении нормативов потерь электрической энергии при её передаче по электрическим сетям территориальных сетевых организаций» </w:t>
      </w:r>
      <w:r>
        <w:rPr>
          <w:bCs/>
          <w:color w:val="000000" w:themeColor="text1"/>
        </w:rPr>
        <w:t xml:space="preserve">в размере </w:t>
      </w:r>
      <w:r w:rsidR="001462D4">
        <w:rPr>
          <w:bCs/>
          <w:color w:val="000000" w:themeColor="text1"/>
        </w:rPr>
        <w:t>12,34</w:t>
      </w:r>
      <w:r>
        <w:rPr>
          <w:bCs/>
          <w:color w:val="000000" w:themeColor="text1"/>
        </w:rPr>
        <w:t xml:space="preserve"> % от отпуска </w:t>
      </w:r>
      <w:proofErr w:type="gramStart"/>
      <w:r>
        <w:rPr>
          <w:bCs/>
          <w:color w:val="000000" w:themeColor="text1"/>
        </w:rPr>
        <w:t xml:space="preserve">в </w:t>
      </w:r>
      <w:r>
        <w:rPr>
          <w:bCs/>
          <w:color w:val="000000" w:themeColor="text1"/>
        </w:rPr>
        <w:lastRenderedPageBreak/>
        <w:t xml:space="preserve">сеть организации, </w:t>
      </w:r>
      <w:r w:rsidRPr="0093585B">
        <w:t xml:space="preserve">и </w:t>
      </w:r>
      <w:r>
        <w:t xml:space="preserve">прогнозируемого </w:t>
      </w:r>
      <w:r w:rsidRPr="0093585B">
        <w:rPr>
          <w:rFonts w:ascii="Times New Roman CYR" w:hAnsi="Times New Roman CYR" w:cs="Times New Roman CYR"/>
        </w:rPr>
        <w:t>тарифа покупки потерь</w:t>
      </w:r>
      <w:r w:rsidRPr="0093585B">
        <w:t xml:space="preserve"> </w:t>
      </w:r>
      <w:r w:rsidRPr="0093585B">
        <w:rPr>
          <w:rFonts w:ascii="Times New Roman CYR" w:hAnsi="Times New Roman CYR" w:cs="Times New Roman CYR"/>
        </w:rPr>
        <w:t>на 201</w:t>
      </w:r>
      <w:r w:rsidR="00C4471D">
        <w:rPr>
          <w:rFonts w:ascii="Times New Roman CYR" w:hAnsi="Times New Roman CYR" w:cs="Times New Roman CYR"/>
        </w:rPr>
        <w:t>9</w:t>
      </w:r>
      <w:r w:rsidRPr="0093585B">
        <w:rPr>
          <w:rFonts w:ascii="Times New Roman CYR" w:hAnsi="Times New Roman CYR" w:cs="Times New Roman CYR"/>
        </w:rPr>
        <w:t xml:space="preserve"> год </w:t>
      </w:r>
      <w:r w:rsidRPr="00F82547">
        <w:rPr>
          <w:rFonts w:ascii="Times New Roman CYR" w:hAnsi="Times New Roman CYR" w:cs="Times New Roman CYR"/>
        </w:rPr>
        <w:t xml:space="preserve">в размере </w:t>
      </w:r>
      <w:r w:rsidR="00F82547" w:rsidRPr="00F82547">
        <w:rPr>
          <w:rFonts w:ascii="Times New Roman CYR" w:hAnsi="Times New Roman CYR" w:cs="Times New Roman CYR"/>
        </w:rPr>
        <w:t>1,95404</w:t>
      </w:r>
      <w:r w:rsidR="00234A7E" w:rsidRPr="00F82547">
        <w:rPr>
          <w:rFonts w:ascii="Times New Roman CYR" w:hAnsi="Times New Roman CYR" w:cs="Times New Roman CYR"/>
        </w:rPr>
        <w:t xml:space="preserve"> </w:t>
      </w:r>
      <w:r w:rsidRPr="00F82547">
        <w:rPr>
          <w:rFonts w:ascii="Times New Roman CYR" w:hAnsi="Times New Roman CYR" w:cs="Times New Roman CYR"/>
        </w:rPr>
        <w:t>руб./</w:t>
      </w:r>
      <w:proofErr w:type="spellStart"/>
      <w:r w:rsidRPr="00F82547">
        <w:rPr>
          <w:rFonts w:ascii="Times New Roman CYR" w:hAnsi="Times New Roman CYR" w:cs="Times New Roman CYR"/>
        </w:rPr>
        <w:t>кВтч</w:t>
      </w:r>
      <w:proofErr w:type="spellEnd"/>
      <w:r w:rsidRPr="00F82547">
        <w:rPr>
          <w:rFonts w:ascii="Times New Roman CYR" w:hAnsi="Times New Roman CYR" w:cs="Times New Roman CYR"/>
        </w:rPr>
        <w:t xml:space="preserve">, </w:t>
      </w:r>
      <w:r w:rsidRPr="00F82547">
        <w:t>(</w:t>
      </w:r>
      <w:r w:rsidR="00234A7E" w:rsidRPr="00F82547">
        <w:t xml:space="preserve">сформирована </w:t>
      </w:r>
      <w:r w:rsidR="00234A7E" w:rsidRPr="00F82547">
        <w:rPr>
          <w:rFonts w:ascii="Times New Roman CYR" w:hAnsi="Times New Roman CYR" w:cs="Times New Roman CYR"/>
        </w:rPr>
        <w:t>с учетом официально опубликованных советом рынка данных о прогнозных свободных (нерегулируемых) ценах на электрическую энергию на 2018 год (по состоянию на 01.11.201</w:t>
      </w:r>
      <w:r w:rsidR="00C4471D" w:rsidRPr="00F82547">
        <w:rPr>
          <w:rFonts w:ascii="Times New Roman CYR" w:hAnsi="Times New Roman CYR" w:cs="Times New Roman CYR"/>
        </w:rPr>
        <w:t>8</w:t>
      </w:r>
      <w:r w:rsidR="00234A7E" w:rsidRPr="00F82547">
        <w:rPr>
          <w:rFonts w:ascii="Times New Roman CYR" w:hAnsi="Times New Roman CYR" w:cs="Times New Roman CYR"/>
        </w:rPr>
        <w:t xml:space="preserve"> года), прогнозной величины сбытовой надбавки и платы за услуги, оказание которых неразрывно связано с процессом снабжения потребителей электрической энергией, рассчитанных с</w:t>
      </w:r>
      <w:proofErr w:type="gramEnd"/>
      <w:r w:rsidR="00234A7E" w:rsidRPr="00F82547">
        <w:rPr>
          <w:rFonts w:ascii="Times New Roman CYR" w:hAnsi="Times New Roman CYR" w:cs="Times New Roman CYR"/>
        </w:rPr>
        <w:t xml:space="preserve"> учетом индексов роста цен по данным Минэкономразвития России на 201</w:t>
      </w:r>
      <w:r w:rsidR="00C4471D" w:rsidRPr="00F82547">
        <w:rPr>
          <w:rFonts w:ascii="Times New Roman CYR" w:hAnsi="Times New Roman CYR" w:cs="Times New Roman CYR"/>
        </w:rPr>
        <w:t>9</w:t>
      </w:r>
      <w:r w:rsidR="00234A7E" w:rsidRPr="00F82547">
        <w:rPr>
          <w:rFonts w:ascii="Times New Roman CYR" w:hAnsi="Times New Roman CYR" w:cs="Times New Roman CYR"/>
        </w:rPr>
        <w:t xml:space="preserve"> год</w:t>
      </w:r>
      <w:r w:rsidRPr="00F82547">
        <w:t>).</w:t>
      </w:r>
    </w:p>
    <w:p w:rsidR="0099403C" w:rsidRDefault="0099403C" w:rsidP="00461740">
      <w:pPr>
        <w:autoSpaceDE w:val="0"/>
        <w:autoSpaceDN w:val="0"/>
        <w:adjustRightInd w:val="0"/>
        <w:ind w:firstLine="709"/>
        <w:jc w:val="both"/>
      </w:pPr>
    </w:p>
    <w:p w:rsidR="00282713" w:rsidRPr="00553B99" w:rsidRDefault="00282713" w:rsidP="001462D4">
      <w:pPr>
        <w:pStyle w:val="21"/>
        <w:numPr>
          <w:ilvl w:val="0"/>
          <w:numId w:val="25"/>
        </w:numPr>
        <w:spacing w:line="240" w:lineRule="auto"/>
        <w:ind w:left="0" w:firstLine="708"/>
        <w:jc w:val="both"/>
        <w:rPr>
          <w:b/>
          <w:i/>
          <w:color w:val="000000"/>
        </w:rPr>
      </w:pPr>
      <w:r w:rsidRPr="00553B99">
        <w:rPr>
          <w:b/>
          <w:i/>
          <w:color w:val="000000"/>
        </w:rPr>
        <w:t>Необходимый объем финансовых средств на осуществление деятельности по</w:t>
      </w:r>
      <w:r w:rsidRPr="00553B99">
        <w:rPr>
          <w:b/>
          <w:i/>
        </w:rPr>
        <w:t xml:space="preserve"> предоставлению услуг по передаче электрической энергии</w:t>
      </w:r>
    </w:p>
    <w:p w:rsidR="00282713" w:rsidRPr="00D517A7" w:rsidRDefault="00387B73" w:rsidP="0028271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Необходимая валовая выручка </w:t>
      </w:r>
      <w:r w:rsidR="00282713">
        <w:rPr>
          <w:sz w:val="24"/>
          <w:szCs w:val="24"/>
        </w:rPr>
        <w:t>ООО «</w:t>
      </w:r>
      <w:r w:rsidR="001462D4">
        <w:rPr>
          <w:sz w:val="24"/>
          <w:szCs w:val="24"/>
        </w:rPr>
        <w:t>НСК Электросеть</w:t>
      </w:r>
      <w:r w:rsidR="00282713">
        <w:rPr>
          <w:sz w:val="24"/>
          <w:szCs w:val="24"/>
        </w:rPr>
        <w:t>»</w:t>
      </w:r>
      <w:r w:rsidR="00282713" w:rsidRPr="002C4EE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на </w:t>
      </w:r>
      <w:r w:rsidR="00282713" w:rsidRPr="002C4EE8">
        <w:rPr>
          <w:bCs/>
          <w:sz w:val="24"/>
          <w:szCs w:val="24"/>
        </w:rPr>
        <w:t>осуществление деятельности по предоставлению услуг по передаче электрической энергии на 20</w:t>
      </w:r>
      <w:r w:rsidR="00D517A7">
        <w:rPr>
          <w:bCs/>
          <w:sz w:val="24"/>
          <w:szCs w:val="24"/>
        </w:rPr>
        <w:t>1</w:t>
      </w:r>
      <w:r w:rsidR="00C4471D">
        <w:rPr>
          <w:bCs/>
          <w:sz w:val="24"/>
          <w:szCs w:val="24"/>
        </w:rPr>
        <w:t>9</w:t>
      </w:r>
      <w:r w:rsidR="00282713" w:rsidRPr="002C4EE8">
        <w:rPr>
          <w:bCs/>
          <w:sz w:val="24"/>
          <w:szCs w:val="24"/>
        </w:rPr>
        <w:t xml:space="preserve"> год по результатам </w:t>
      </w:r>
      <w:r w:rsidR="00282713">
        <w:rPr>
          <w:bCs/>
          <w:sz w:val="24"/>
          <w:szCs w:val="24"/>
        </w:rPr>
        <w:t xml:space="preserve">экспертизы </w:t>
      </w:r>
      <w:r w:rsidR="00282713" w:rsidRPr="002C4EE8">
        <w:rPr>
          <w:bCs/>
          <w:sz w:val="24"/>
          <w:szCs w:val="24"/>
        </w:rPr>
        <w:t>определен</w:t>
      </w:r>
      <w:r>
        <w:rPr>
          <w:bCs/>
          <w:sz w:val="24"/>
          <w:szCs w:val="24"/>
        </w:rPr>
        <w:t>а</w:t>
      </w:r>
      <w:r w:rsidR="00282713" w:rsidRPr="002C4EE8">
        <w:rPr>
          <w:bCs/>
          <w:sz w:val="24"/>
          <w:szCs w:val="24"/>
        </w:rPr>
        <w:t xml:space="preserve"> </w:t>
      </w:r>
      <w:r w:rsidR="00282713">
        <w:rPr>
          <w:bCs/>
          <w:sz w:val="24"/>
          <w:szCs w:val="24"/>
        </w:rPr>
        <w:t>д</w:t>
      </w:r>
      <w:r w:rsidR="00282713" w:rsidRPr="002C4EE8">
        <w:rPr>
          <w:bCs/>
          <w:sz w:val="24"/>
          <w:szCs w:val="24"/>
        </w:rPr>
        <w:t xml:space="preserve">епартаментом в </w:t>
      </w:r>
      <w:r w:rsidR="00282713" w:rsidRPr="00D517A7">
        <w:rPr>
          <w:bCs/>
          <w:sz w:val="24"/>
          <w:szCs w:val="24"/>
        </w:rPr>
        <w:t xml:space="preserve">размере </w:t>
      </w:r>
      <w:r w:rsidR="00976FB3" w:rsidRPr="00976FB3">
        <w:rPr>
          <w:b/>
          <w:bCs/>
          <w:sz w:val="24"/>
          <w:szCs w:val="24"/>
        </w:rPr>
        <w:t>1</w:t>
      </w:r>
      <w:r w:rsidR="00B21207">
        <w:rPr>
          <w:b/>
          <w:bCs/>
          <w:sz w:val="24"/>
          <w:szCs w:val="24"/>
        </w:rPr>
        <w:t>4255,4</w:t>
      </w:r>
      <w:r w:rsidR="00282713" w:rsidRPr="00D517A7">
        <w:rPr>
          <w:b/>
          <w:bCs/>
          <w:sz w:val="24"/>
          <w:szCs w:val="24"/>
        </w:rPr>
        <w:t xml:space="preserve"> </w:t>
      </w:r>
      <w:proofErr w:type="spellStart"/>
      <w:r w:rsidR="00282713" w:rsidRPr="00D517A7">
        <w:rPr>
          <w:bCs/>
          <w:sz w:val="24"/>
          <w:szCs w:val="24"/>
        </w:rPr>
        <w:t>тыс</w:t>
      </w:r>
      <w:proofErr w:type="gramStart"/>
      <w:r w:rsidR="00282713" w:rsidRPr="00D517A7">
        <w:rPr>
          <w:bCs/>
          <w:sz w:val="24"/>
          <w:szCs w:val="24"/>
        </w:rPr>
        <w:t>.р</w:t>
      </w:r>
      <w:proofErr w:type="gramEnd"/>
      <w:r w:rsidR="00282713" w:rsidRPr="00D517A7">
        <w:rPr>
          <w:bCs/>
          <w:sz w:val="24"/>
          <w:szCs w:val="24"/>
        </w:rPr>
        <w:t>уб</w:t>
      </w:r>
      <w:proofErr w:type="spellEnd"/>
      <w:r w:rsidR="00282713" w:rsidRPr="00D517A7">
        <w:rPr>
          <w:bCs/>
          <w:sz w:val="24"/>
          <w:szCs w:val="24"/>
        </w:rPr>
        <w:t xml:space="preserve">., </w:t>
      </w:r>
      <w:r w:rsidR="00282713" w:rsidRPr="00D517A7">
        <w:rPr>
          <w:sz w:val="24"/>
          <w:szCs w:val="24"/>
        </w:rPr>
        <w:t>в том числе:</w:t>
      </w:r>
    </w:p>
    <w:p w:rsidR="00282713" w:rsidRPr="00D517A7" w:rsidRDefault="00282713" w:rsidP="00282713">
      <w:pPr>
        <w:pStyle w:val="2"/>
        <w:spacing w:after="0" w:line="240" w:lineRule="auto"/>
        <w:ind w:firstLine="720"/>
        <w:jc w:val="both"/>
        <w:rPr>
          <w:sz w:val="24"/>
          <w:szCs w:val="24"/>
        </w:rPr>
      </w:pPr>
      <w:r w:rsidRPr="00D517A7">
        <w:rPr>
          <w:sz w:val="24"/>
          <w:szCs w:val="24"/>
        </w:rPr>
        <w:t xml:space="preserve">- на содержание и эксплуатацию электрических сетей в </w:t>
      </w:r>
      <w:r w:rsidR="005649FB" w:rsidRPr="00D517A7">
        <w:rPr>
          <w:sz w:val="24"/>
          <w:szCs w:val="24"/>
        </w:rPr>
        <w:t>размере</w:t>
      </w:r>
      <w:r w:rsidRPr="00D517A7">
        <w:rPr>
          <w:sz w:val="24"/>
          <w:szCs w:val="24"/>
        </w:rPr>
        <w:t xml:space="preserve"> </w:t>
      </w:r>
      <w:r w:rsidR="00B21207">
        <w:rPr>
          <w:sz w:val="24"/>
          <w:szCs w:val="24"/>
        </w:rPr>
        <w:t>7517,2</w:t>
      </w:r>
      <w:r w:rsidR="00D517A7">
        <w:rPr>
          <w:sz w:val="24"/>
          <w:szCs w:val="24"/>
        </w:rPr>
        <w:t xml:space="preserve"> </w:t>
      </w:r>
      <w:proofErr w:type="spellStart"/>
      <w:r w:rsidRPr="00342F38">
        <w:rPr>
          <w:sz w:val="24"/>
          <w:szCs w:val="24"/>
        </w:rPr>
        <w:t>тыс</w:t>
      </w:r>
      <w:proofErr w:type="gramStart"/>
      <w:r w:rsidRPr="00342F38">
        <w:rPr>
          <w:sz w:val="24"/>
          <w:szCs w:val="24"/>
        </w:rPr>
        <w:t>.р</w:t>
      </w:r>
      <w:proofErr w:type="gramEnd"/>
      <w:r w:rsidRPr="00342F38">
        <w:rPr>
          <w:sz w:val="24"/>
          <w:szCs w:val="24"/>
        </w:rPr>
        <w:t>уб</w:t>
      </w:r>
      <w:proofErr w:type="spellEnd"/>
      <w:r w:rsidRPr="00D517A7">
        <w:rPr>
          <w:sz w:val="24"/>
          <w:szCs w:val="24"/>
        </w:rPr>
        <w:t>.;</w:t>
      </w:r>
    </w:p>
    <w:p w:rsidR="00282713" w:rsidRDefault="00282713" w:rsidP="00282713">
      <w:pPr>
        <w:pStyle w:val="2"/>
        <w:spacing w:after="0" w:line="240" w:lineRule="auto"/>
        <w:ind w:firstLine="720"/>
        <w:jc w:val="both"/>
        <w:rPr>
          <w:sz w:val="24"/>
          <w:szCs w:val="24"/>
        </w:rPr>
      </w:pPr>
      <w:r w:rsidRPr="00D517A7">
        <w:rPr>
          <w:sz w:val="24"/>
          <w:szCs w:val="24"/>
        </w:rPr>
        <w:t xml:space="preserve">- на покупку технологического расхода (потерь) электрической энергии – </w:t>
      </w:r>
      <w:r w:rsidR="00DD3508">
        <w:rPr>
          <w:sz w:val="24"/>
          <w:szCs w:val="24"/>
        </w:rPr>
        <w:t>6738,2</w:t>
      </w:r>
      <w:r w:rsidR="00D517A7" w:rsidRPr="00D517A7">
        <w:rPr>
          <w:sz w:val="24"/>
          <w:szCs w:val="24"/>
        </w:rPr>
        <w:t xml:space="preserve"> </w:t>
      </w:r>
      <w:proofErr w:type="spellStart"/>
      <w:r w:rsidR="005649FB" w:rsidRPr="00D517A7">
        <w:rPr>
          <w:sz w:val="24"/>
          <w:szCs w:val="24"/>
        </w:rPr>
        <w:t>тыс</w:t>
      </w:r>
      <w:proofErr w:type="gramStart"/>
      <w:r w:rsidR="005649FB" w:rsidRPr="00D517A7">
        <w:rPr>
          <w:sz w:val="24"/>
          <w:szCs w:val="24"/>
        </w:rPr>
        <w:t>.р</w:t>
      </w:r>
      <w:proofErr w:type="gramEnd"/>
      <w:r w:rsidR="005649FB" w:rsidRPr="00D517A7">
        <w:rPr>
          <w:sz w:val="24"/>
          <w:szCs w:val="24"/>
        </w:rPr>
        <w:t>уб</w:t>
      </w:r>
      <w:proofErr w:type="spellEnd"/>
      <w:r w:rsidR="005649FB" w:rsidRPr="00D517A7">
        <w:rPr>
          <w:sz w:val="24"/>
          <w:szCs w:val="24"/>
        </w:rPr>
        <w:t>.</w:t>
      </w:r>
    </w:p>
    <w:p w:rsidR="00D517A7" w:rsidRDefault="00D517A7" w:rsidP="00282713">
      <w:pPr>
        <w:pStyle w:val="2"/>
        <w:spacing w:after="0" w:line="240" w:lineRule="auto"/>
        <w:ind w:firstLine="720"/>
        <w:jc w:val="both"/>
        <w:rPr>
          <w:sz w:val="24"/>
          <w:szCs w:val="24"/>
        </w:rPr>
      </w:pPr>
    </w:p>
    <w:p w:rsidR="00D517A7" w:rsidRDefault="001462D4" w:rsidP="00D517A7">
      <w:pPr>
        <w:pStyle w:val="a4"/>
        <w:spacing w:after="0"/>
        <w:ind w:left="0" w:firstLine="709"/>
        <w:jc w:val="both"/>
        <w:rPr>
          <w:b/>
          <w:i/>
          <w:color w:val="000000"/>
        </w:rPr>
      </w:pPr>
      <w:r>
        <w:rPr>
          <w:b/>
          <w:i/>
          <w:color w:val="000000"/>
        </w:rPr>
        <w:t>5</w:t>
      </w:r>
      <w:r w:rsidR="00D517A7">
        <w:rPr>
          <w:b/>
          <w:i/>
          <w:color w:val="000000"/>
        </w:rPr>
        <w:t xml:space="preserve">. </w:t>
      </w:r>
      <w:r w:rsidR="00D517A7" w:rsidRPr="00E1186C">
        <w:rPr>
          <w:b/>
          <w:i/>
          <w:color w:val="000000"/>
        </w:rPr>
        <w:t>Расчет индивидуальных тарифов на долгосрочный период регулирования 201</w:t>
      </w:r>
      <w:r w:rsidR="00CC01D2">
        <w:rPr>
          <w:b/>
          <w:i/>
          <w:color w:val="000000"/>
        </w:rPr>
        <w:t>9</w:t>
      </w:r>
      <w:r w:rsidR="00D517A7" w:rsidRPr="00E1186C">
        <w:rPr>
          <w:b/>
          <w:i/>
          <w:color w:val="000000"/>
        </w:rPr>
        <w:t xml:space="preserve"> г. приведен в таблице </w:t>
      </w:r>
      <w:r>
        <w:rPr>
          <w:b/>
          <w:i/>
          <w:color w:val="000000"/>
        </w:rPr>
        <w:t>3</w:t>
      </w:r>
      <w:r w:rsidR="00D517A7" w:rsidRPr="00E1186C">
        <w:rPr>
          <w:b/>
          <w:i/>
          <w:color w:val="000000"/>
        </w:rPr>
        <w:t>.</w:t>
      </w:r>
    </w:p>
    <w:p w:rsidR="00282713" w:rsidRPr="004470C2" w:rsidRDefault="00D517A7" w:rsidP="004470C2">
      <w:pPr>
        <w:jc w:val="right"/>
      </w:pPr>
      <w:r>
        <w:t xml:space="preserve">Таблица </w:t>
      </w:r>
      <w:r w:rsidR="001462D4">
        <w:t>3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1276"/>
        <w:gridCol w:w="1417"/>
        <w:gridCol w:w="1418"/>
      </w:tblGrid>
      <w:tr w:rsidR="001D513C" w:rsidRPr="001A686D" w:rsidTr="001D513C">
        <w:trPr>
          <w:trHeight w:val="5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13C" w:rsidRPr="001A686D" w:rsidRDefault="001D513C" w:rsidP="00FF1079">
            <w:pPr>
              <w:jc w:val="center"/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13C" w:rsidRPr="007D3456" w:rsidRDefault="001D513C" w:rsidP="00FF1079">
            <w:pPr>
              <w:jc w:val="center"/>
              <w:rPr>
                <w:sz w:val="16"/>
                <w:szCs w:val="16"/>
              </w:rPr>
            </w:pPr>
            <w:r w:rsidRPr="007D3456">
              <w:rPr>
                <w:sz w:val="16"/>
                <w:szCs w:val="16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513C" w:rsidRPr="001A686D" w:rsidRDefault="001D513C" w:rsidP="00DB0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D513C" w:rsidRPr="001A686D" w:rsidRDefault="001D513C" w:rsidP="00DB0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D513C" w:rsidRPr="001A686D" w:rsidRDefault="001D513C" w:rsidP="00DB0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/г</w:t>
            </w:r>
          </w:p>
        </w:tc>
      </w:tr>
      <w:tr w:rsidR="00320D2F" w:rsidRPr="003B235A" w:rsidTr="001D513C">
        <w:trPr>
          <w:trHeight w:val="2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D2F" w:rsidRPr="001A686D" w:rsidRDefault="00320D2F" w:rsidP="00FF1079">
            <w:pPr>
              <w:rPr>
                <w:color w:val="000000"/>
                <w:sz w:val="18"/>
                <w:szCs w:val="18"/>
              </w:rPr>
            </w:pPr>
            <w:proofErr w:type="gramStart"/>
            <w:r w:rsidRPr="001A686D">
              <w:rPr>
                <w:color w:val="000000"/>
                <w:sz w:val="18"/>
                <w:szCs w:val="18"/>
              </w:rPr>
              <w:t>Оплачиваемый</w:t>
            </w:r>
            <w:proofErr w:type="gramEnd"/>
            <w:r w:rsidRPr="001A686D">
              <w:rPr>
                <w:color w:val="000000"/>
                <w:sz w:val="18"/>
                <w:szCs w:val="18"/>
              </w:rPr>
              <w:t xml:space="preserve"> сальдо-</w:t>
            </w:r>
            <w:proofErr w:type="spellStart"/>
            <w:r w:rsidRPr="001A686D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1A686D">
              <w:rPr>
                <w:color w:val="000000"/>
                <w:sz w:val="18"/>
                <w:szCs w:val="18"/>
              </w:rPr>
              <w:t xml:space="preserve"> мощности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r w:rsidRPr="007D3456">
              <w:rPr>
                <w:sz w:val="16"/>
                <w:szCs w:val="16"/>
              </w:rPr>
              <w:t>МВт.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3,8916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3,8948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3,8884</w:t>
            </w:r>
          </w:p>
        </w:tc>
      </w:tr>
      <w:tr w:rsidR="00320D2F" w:rsidRPr="00295A7E" w:rsidTr="001D513C">
        <w:trPr>
          <w:trHeight w:val="15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>НВВ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proofErr w:type="spellStart"/>
            <w:r w:rsidRPr="007D3456">
              <w:rPr>
                <w:sz w:val="16"/>
                <w:szCs w:val="16"/>
              </w:rPr>
              <w:t>тыс</w:t>
            </w:r>
            <w:proofErr w:type="gramStart"/>
            <w:r w:rsidRPr="007D3456">
              <w:rPr>
                <w:sz w:val="16"/>
                <w:szCs w:val="16"/>
              </w:rPr>
              <w:t>.р</w:t>
            </w:r>
            <w:proofErr w:type="gramEnd"/>
            <w:r w:rsidRPr="007D3456">
              <w:rPr>
                <w:sz w:val="16"/>
                <w:szCs w:val="16"/>
              </w:rPr>
              <w:t>уб</w:t>
            </w:r>
            <w:proofErr w:type="spellEnd"/>
            <w:r w:rsidRPr="007D3456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7 517,2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3758,6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3 758,6</w:t>
            </w:r>
          </w:p>
        </w:tc>
      </w:tr>
      <w:tr w:rsidR="00320D2F" w:rsidRPr="00295A7E" w:rsidTr="001D513C">
        <w:trPr>
          <w:trHeight w:val="1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proofErr w:type="spellStart"/>
            <w:r w:rsidRPr="007D3456">
              <w:rPr>
                <w:sz w:val="16"/>
                <w:szCs w:val="16"/>
              </w:rPr>
              <w:t>руб</w:t>
            </w:r>
            <w:proofErr w:type="spellEnd"/>
            <w:r w:rsidRPr="007D3456">
              <w:rPr>
                <w:sz w:val="16"/>
                <w:szCs w:val="16"/>
              </w:rPr>
              <w:t>/</w:t>
            </w:r>
            <w:proofErr w:type="spellStart"/>
            <w:r w:rsidRPr="007D3456">
              <w:rPr>
                <w:sz w:val="16"/>
                <w:szCs w:val="16"/>
              </w:rPr>
              <w:t>МВт</w:t>
            </w:r>
            <w:proofErr w:type="gramStart"/>
            <w:r w:rsidRPr="007D3456">
              <w:rPr>
                <w:sz w:val="16"/>
                <w:szCs w:val="16"/>
              </w:rPr>
              <w:t>.в</w:t>
            </w:r>
            <w:proofErr w:type="spellEnd"/>
            <w:proofErr w:type="gramEnd"/>
            <w:r w:rsidRPr="007D3456">
              <w:rPr>
                <w:sz w:val="16"/>
                <w:szCs w:val="16"/>
              </w:rPr>
              <w:t xml:space="preserve"> мес.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160,9714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160,8395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161,1033</w:t>
            </w:r>
          </w:p>
        </w:tc>
      </w:tr>
      <w:tr w:rsidR="00320D2F" w:rsidRPr="003B235A" w:rsidTr="001D513C">
        <w:trPr>
          <w:trHeight w:val="35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 xml:space="preserve">Суммарный сальдированный </w:t>
            </w:r>
            <w:proofErr w:type="spellStart"/>
            <w:r w:rsidRPr="001A686D">
              <w:rPr>
                <w:sz w:val="18"/>
                <w:szCs w:val="18"/>
              </w:rPr>
              <w:t>переток</w:t>
            </w:r>
            <w:proofErr w:type="spellEnd"/>
            <w:r w:rsidRPr="001A686D">
              <w:rPr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proofErr w:type="spellStart"/>
            <w:r w:rsidRPr="007D3456">
              <w:rPr>
                <w:sz w:val="16"/>
                <w:szCs w:val="16"/>
              </w:rPr>
              <w:t>млн</w:t>
            </w:r>
            <w:proofErr w:type="gramStart"/>
            <w:r w:rsidRPr="007D3456">
              <w:rPr>
                <w:sz w:val="16"/>
                <w:szCs w:val="16"/>
              </w:rPr>
              <w:t>.к</w:t>
            </w:r>
            <w:proofErr w:type="gramEnd"/>
            <w:r w:rsidRPr="007D3456">
              <w:rPr>
                <w:sz w:val="16"/>
                <w:szCs w:val="16"/>
              </w:rPr>
              <w:t>Вт.ч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27,948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13,974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13,974</w:t>
            </w:r>
          </w:p>
        </w:tc>
      </w:tr>
      <w:tr w:rsidR="00320D2F" w:rsidRPr="003B235A" w:rsidTr="001D513C">
        <w:trPr>
          <w:trHeight w:val="4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proofErr w:type="spellStart"/>
            <w:r w:rsidRPr="007D3456">
              <w:rPr>
                <w:sz w:val="16"/>
                <w:szCs w:val="16"/>
              </w:rPr>
              <w:t>млн</w:t>
            </w:r>
            <w:proofErr w:type="gramStart"/>
            <w:r w:rsidRPr="007D3456">
              <w:rPr>
                <w:sz w:val="16"/>
                <w:szCs w:val="16"/>
              </w:rPr>
              <w:t>.к</w:t>
            </w:r>
            <w:proofErr w:type="gramEnd"/>
            <w:r w:rsidRPr="007D3456">
              <w:rPr>
                <w:sz w:val="16"/>
                <w:szCs w:val="16"/>
              </w:rPr>
              <w:t>Вт.ч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3,448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1,724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1,724</w:t>
            </w:r>
          </w:p>
        </w:tc>
      </w:tr>
      <w:tr w:rsidR="00320D2F" w:rsidRPr="003B235A" w:rsidTr="001D513C">
        <w:trPr>
          <w:trHeight w:val="19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r w:rsidRPr="007D3456">
              <w:rPr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12,34</w:t>
            </w:r>
          </w:p>
        </w:tc>
      </w:tr>
      <w:tr w:rsidR="00320D2F" w:rsidRPr="003B235A" w:rsidTr="001D513C">
        <w:trPr>
          <w:trHeight w:val="34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proofErr w:type="spellStart"/>
            <w:r w:rsidRPr="007D3456">
              <w:rPr>
                <w:sz w:val="16"/>
                <w:szCs w:val="16"/>
              </w:rPr>
              <w:t>руб</w:t>
            </w:r>
            <w:proofErr w:type="spellEnd"/>
            <w:r w:rsidRPr="007D3456">
              <w:rPr>
                <w:sz w:val="16"/>
                <w:szCs w:val="16"/>
              </w:rPr>
              <w:t>/</w:t>
            </w:r>
            <w:proofErr w:type="spellStart"/>
            <w:r w:rsidRPr="007D3456">
              <w:rPr>
                <w:sz w:val="16"/>
                <w:szCs w:val="16"/>
              </w:rPr>
              <w:t>МВт</w:t>
            </w:r>
            <w:proofErr w:type="gramStart"/>
            <w:r w:rsidRPr="007D3456">
              <w:rPr>
                <w:sz w:val="16"/>
                <w:szCs w:val="16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1954,04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1954,04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1954,04</w:t>
            </w:r>
          </w:p>
        </w:tc>
      </w:tr>
      <w:tr w:rsidR="00320D2F" w:rsidRPr="00923945" w:rsidTr="001D513C">
        <w:trPr>
          <w:trHeight w:val="3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proofErr w:type="spellStart"/>
            <w:r w:rsidRPr="007D3456">
              <w:rPr>
                <w:sz w:val="16"/>
                <w:szCs w:val="16"/>
              </w:rPr>
              <w:t>тыс</w:t>
            </w:r>
            <w:proofErr w:type="gramStart"/>
            <w:r w:rsidRPr="007D3456">
              <w:rPr>
                <w:sz w:val="16"/>
                <w:szCs w:val="16"/>
              </w:rPr>
              <w:t>.р</w:t>
            </w:r>
            <w:proofErr w:type="gramEnd"/>
            <w:r w:rsidRPr="007D3456">
              <w:rPr>
                <w:sz w:val="16"/>
                <w:szCs w:val="16"/>
              </w:rPr>
              <w:t>уб</w:t>
            </w:r>
            <w:proofErr w:type="spellEnd"/>
            <w:r w:rsidRPr="007D3456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6738,2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3369,1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3369,1</w:t>
            </w:r>
          </w:p>
        </w:tc>
      </w:tr>
      <w:tr w:rsidR="00320D2F" w:rsidRPr="00923945" w:rsidTr="001D513C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r w:rsidRPr="001A686D">
              <w:rPr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proofErr w:type="spellStart"/>
            <w:r w:rsidRPr="007D3456">
              <w:rPr>
                <w:sz w:val="16"/>
                <w:szCs w:val="16"/>
              </w:rPr>
              <w:t>руб</w:t>
            </w:r>
            <w:proofErr w:type="spellEnd"/>
            <w:r w:rsidRPr="007D3456">
              <w:rPr>
                <w:sz w:val="16"/>
                <w:szCs w:val="16"/>
              </w:rPr>
              <w:t>/</w:t>
            </w:r>
            <w:proofErr w:type="spellStart"/>
            <w:r w:rsidRPr="007D3456">
              <w:rPr>
                <w:sz w:val="16"/>
                <w:szCs w:val="16"/>
              </w:rPr>
              <w:t>МВт</w:t>
            </w:r>
            <w:proofErr w:type="gramStart"/>
            <w:r w:rsidRPr="007D3456">
              <w:rPr>
                <w:sz w:val="16"/>
                <w:szCs w:val="16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0,24109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0,24109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0,24109</w:t>
            </w:r>
          </w:p>
        </w:tc>
      </w:tr>
      <w:tr w:rsidR="00320D2F" w:rsidRPr="00923945" w:rsidTr="001D513C">
        <w:trPr>
          <w:trHeight w:val="16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D2F" w:rsidRPr="001A686D" w:rsidRDefault="00320D2F" w:rsidP="00FF1079">
            <w:pPr>
              <w:rPr>
                <w:sz w:val="18"/>
                <w:szCs w:val="18"/>
              </w:rPr>
            </w:pPr>
            <w:proofErr w:type="spellStart"/>
            <w:r w:rsidRPr="001A686D">
              <w:rPr>
                <w:sz w:val="18"/>
                <w:szCs w:val="18"/>
              </w:rPr>
              <w:t>Одноставочный</w:t>
            </w:r>
            <w:proofErr w:type="spellEnd"/>
            <w:r w:rsidRPr="001A686D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D2F" w:rsidRPr="007D3456" w:rsidRDefault="00320D2F" w:rsidP="00FF1079">
            <w:pPr>
              <w:jc w:val="center"/>
              <w:rPr>
                <w:sz w:val="16"/>
                <w:szCs w:val="16"/>
              </w:rPr>
            </w:pPr>
            <w:proofErr w:type="spellStart"/>
            <w:r w:rsidRPr="007D3456">
              <w:rPr>
                <w:sz w:val="16"/>
                <w:szCs w:val="16"/>
              </w:rPr>
              <w:t>руб</w:t>
            </w:r>
            <w:proofErr w:type="spellEnd"/>
            <w:r w:rsidRPr="007D3456">
              <w:rPr>
                <w:sz w:val="16"/>
                <w:szCs w:val="16"/>
              </w:rPr>
              <w:t>/</w:t>
            </w:r>
            <w:proofErr w:type="spellStart"/>
            <w:r w:rsidRPr="007D3456">
              <w:rPr>
                <w:sz w:val="16"/>
                <w:szCs w:val="16"/>
              </w:rPr>
              <w:t>кВт</w:t>
            </w:r>
            <w:proofErr w:type="gramStart"/>
            <w:r w:rsidRPr="007D3456">
              <w:rPr>
                <w:sz w:val="16"/>
                <w:szCs w:val="16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0,51006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0,51006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D2F" w:rsidRPr="00320D2F" w:rsidRDefault="00320D2F">
            <w:pPr>
              <w:jc w:val="right"/>
              <w:rPr>
                <w:sz w:val="22"/>
                <w:szCs w:val="22"/>
              </w:rPr>
            </w:pPr>
            <w:r w:rsidRPr="00320D2F">
              <w:rPr>
                <w:sz w:val="22"/>
                <w:szCs w:val="22"/>
              </w:rPr>
              <w:t>0,51006</w:t>
            </w:r>
          </w:p>
        </w:tc>
      </w:tr>
    </w:tbl>
    <w:p w:rsidR="00282713" w:rsidRPr="00C80319" w:rsidRDefault="00282713" w:rsidP="007E18CF">
      <w:pPr>
        <w:pStyle w:val="a4"/>
        <w:spacing w:after="0"/>
        <w:ind w:left="0"/>
        <w:jc w:val="both"/>
        <w:rPr>
          <w:color w:val="000000"/>
          <w:sz w:val="16"/>
          <w:szCs w:val="16"/>
        </w:rPr>
      </w:pPr>
    </w:p>
    <w:p w:rsidR="007E18CF" w:rsidRDefault="007E18CF" w:rsidP="007E18CF">
      <w:pPr>
        <w:pStyle w:val="a4"/>
        <w:spacing w:after="0"/>
        <w:ind w:left="0" w:firstLine="708"/>
        <w:jc w:val="both"/>
        <w:rPr>
          <w:color w:val="000000"/>
        </w:rPr>
      </w:pPr>
      <w:r w:rsidRPr="007E18CF">
        <w:rPr>
          <w:color w:val="000000"/>
        </w:rPr>
        <w:t xml:space="preserve">Распределение НВВ по полугодиям </w:t>
      </w:r>
      <w:proofErr w:type="spellStart"/>
      <w:r w:rsidRPr="007E18CF">
        <w:rPr>
          <w:color w:val="000000"/>
        </w:rPr>
        <w:t>осуществлёно</w:t>
      </w:r>
      <w:proofErr w:type="spellEnd"/>
      <w:r w:rsidRPr="007E18CF">
        <w:rPr>
          <w:color w:val="000000"/>
        </w:rPr>
        <w:t xml:space="preserve"> пропорционально объему электропотребления с учетом п. 11.1 Основ ценообразования.</w:t>
      </w:r>
    </w:p>
    <w:p w:rsidR="008A05D6" w:rsidRPr="00C80319" w:rsidRDefault="008A05D6" w:rsidP="008A05D6">
      <w:pPr>
        <w:ind w:firstLine="709"/>
        <w:jc w:val="both"/>
        <w:rPr>
          <w:rFonts w:eastAsiaTheme="minorHAnsi" w:cstheme="minorBidi"/>
          <w:bCs/>
          <w:smallCaps/>
          <w:sz w:val="16"/>
          <w:szCs w:val="16"/>
        </w:rPr>
      </w:pPr>
    </w:p>
    <w:p w:rsidR="00C80319" w:rsidRDefault="00C80319" w:rsidP="008A05D6">
      <w:pPr>
        <w:jc w:val="both"/>
      </w:pPr>
    </w:p>
    <w:p w:rsidR="008A05D6" w:rsidRPr="008A05D6" w:rsidRDefault="008A05D6" w:rsidP="008A05D6">
      <w:pPr>
        <w:jc w:val="both"/>
      </w:pPr>
      <w:r w:rsidRPr="008A05D6">
        <w:t>СОГЛАСОВАНО:</w:t>
      </w:r>
    </w:p>
    <w:p w:rsidR="008A05D6" w:rsidRPr="00C80319" w:rsidRDefault="008A05D6" w:rsidP="008A05D6">
      <w:pPr>
        <w:jc w:val="both"/>
        <w:rPr>
          <w:sz w:val="16"/>
          <w:szCs w:val="16"/>
        </w:rPr>
      </w:pPr>
    </w:p>
    <w:p w:rsidR="008A05D6" w:rsidRPr="008A05D6" w:rsidRDefault="008A05D6" w:rsidP="008A05D6">
      <w:pPr>
        <w:jc w:val="both"/>
      </w:pPr>
      <w:r w:rsidRPr="008A05D6">
        <w:t>Начальник отдела регулирования</w:t>
      </w:r>
    </w:p>
    <w:p w:rsidR="008A05D6" w:rsidRPr="008A05D6" w:rsidRDefault="008A05D6" w:rsidP="008A05D6">
      <w:pPr>
        <w:jc w:val="both"/>
      </w:pPr>
      <w:r w:rsidRPr="008A05D6">
        <w:t>электроэнергетики</w:t>
      </w:r>
    </w:p>
    <w:p w:rsidR="008A05D6" w:rsidRPr="008A05D6" w:rsidRDefault="008A05D6" w:rsidP="008A05D6">
      <w:pPr>
        <w:jc w:val="both"/>
      </w:pPr>
      <w:r w:rsidRPr="008A05D6">
        <w:tab/>
      </w:r>
      <w:r w:rsidRPr="008A05D6">
        <w:tab/>
      </w:r>
      <w:r w:rsidRPr="008A05D6">
        <w:tab/>
      </w:r>
      <w:r w:rsidRPr="008A05D6">
        <w:tab/>
      </w:r>
      <w:r w:rsidRPr="008A05D6">
        <w:rPr>
          <w:sz w:val="22"/>
          <w:szCs w:val="22"/>
        </w:rPr>
        <w:t xml:space="preserve">   </w:t>
      </w:r>
      <w:r w:rsidRPr="008A05D6">
        <w:rPr>
          <w:sz w:val="22"/>
          <w:szCs w:val="22"/>
        </w:rPr>
        <w:tab/>
      </w:r>
      <w:r w:rsidRPr="008A05D6">
        <w:rPr>
          <w:sz w:val="22"/>
          <w:szCs w:val="22"/>
        </w:rPr>
        <w:tab/>
      </w:r>
      <w:r w:rsidRPr="008A05D6">
        <w:rPr>
          <w:sz w:val="22"/>
          <w:szCs w:val="22"/>
        </w:rPr>
        <w:tab/>
      </w:r>
      <w:r w:rsidRPr="008A05D6">
        <w:rPr>
          <w:sz w:val="22"/>
          <w:szCs w:val="22"/>
        </w:rPr>
        <w:tab/>
      </w:r>
      <w:r w:rsidRPr="008A05D6">
        <w:rPr>
          <w:sz w:val="22"/>
          <w:szCs w:val="22"/>
        </w:rPr>
        <w:tab/>
      </w:r>
      <w:r w:rsidRPr="008A05D6">
        <w:rPr>
          <w:sz w:val="22"/>
          <w:szCs w:val="22"/>
        </w:rPr>
        <w:tab/>
      </w:r>
      <w:r w:rsidRPr="008A05D6">
        <w:t xml:space="preserve"> А.И. Третьякова</w:t>
      </w:r>
    </w:p>
    <w:p w:rsidR="008A05D6" w:rsidRPr="008A05D6" w:rsidRDefault="008A05D6" w:rsidP="008A05D6">
      <w:r w:rsidRPr="008A05D6">
        <w:t>Консультант</w:t>
      </w:r>
    </w:p>
    <w:p w:rsidR="008A05D6" w:rsidRPr="008A05D6" w:rsidRDefault="008A05D6" w:rsidP="008A05D6">
      <w:pPr>
        <w:jc w:val="both"/>
      </w:pPr>
      <w:r w:rsidRPr="008A05D6">
        <w:t>отдела регулирования</w:t>
      </w:r>
    </w:p>
    <w:p w:rsidR="008A05D6" w:rsidRPr="0093414E" w:rsidRDefault="008A05D6" w:rsidP="0093414E">
      <w:pPr>
        <w:jc w:val="both"/>
      </w:pPr>
      <w:r w:rsidRPr="008A05D6">
        <w:t>электроэнергетики</w:t>
      </w:r>
      <w:r w:rsidRPr="008A05D6">
        <w:tab/>
      </w:r>
      <w:r w:rsidRPr="008A05D6">
        <w:tab/>
      </w:r>
      <w:r w:rsidRPr="008A05D6">
        <w:tab/>
      </w:r>
      <w:r w:rsidRPr="008A05D6">
        <w:tab/>
      </w:r>
      <w:r w:rsidRPr="008A05D6">
        <w:tab/>
      </w:r>
      <w:r w:rsidRPr="008A05D6">
        <w:tab/>
      </w:r>
      <w:r w:rsidRPr="008A05D6">
        <w:tab/>
      </w:r>
      <w:r w:rsidRPr="008A05D6">
        <w:tab/>
        <w:t xml:space="preserve">  Д.А. </w:t>
      </w:r>
      <w:proofErr w:type="spellStart"/>
      <w:r w:rsidRPr="008A05D6">
        <w:t>Данильчук</w:t>
      </w:r>
      <w:proofErr w:type="spellEnd"/>
      <w:r w:rsidRPr="008A05D6">
        <w:t xml:space="preserve"> </w:t>
      </w:r>
    </w:p>
    <w:sectPr w:rsidR="008A05D6" w:rsidRPr="0093414E" w:rsidSect="00C80319">
      <w:footerReference w:type="default" r:id="rId9"/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10E" w:rsidRDefault="0034310E" w:rsidP="001349E0">
      <w:r>
        <w:separator/>
      </w:r>
    </w:p>
  </w:endnote>
  <w:endnote w:type="continuationSeparator" w:id="0">
    <w:p w:rsidR="0034310E" w:rsidRDefault="0034310E" w:rsidP="0013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56094"/>
      <w:docPartObj>
        <w:docPartGallery w:val="Page Numbers (Bottom of Page)"/>
        <w:docPartUnique/>
      </w:docPartObj>
    </w:sdtPr>
    <w:sdtContent>
      <w:p w:rsidR="005C788B" w:rsidRDefault="005C788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DE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C788B" w:rsidRDefault="005C788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10E" w:rsidRDefault="0034310E" w:rsidP="001349E0">
      <w:r>
        <w:separator/>
      </w:r>
    </w:p>
  </w:footnote>
  <w:footnote w:type="continuationSeparator" w:id="0">
    <w:p w:rsidR="0034310E" w:rsidRDefault="0034310E" w:rsidP="00134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13D"/>
    <w:multiLevelType w:val="hybridMultilevel"/>
    <w:tmpl w:val="F732C602"/>
    <w:lvl w:ilvl="0" w:tplc="651C6F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EC3BFC"/>
    <w:multiLevelType w:val="multilevel"/>
    <w:tmpl w:val="63728D50"/>
    <w:lvl w:ilvl="0">
      <w:start w:val="1"/>
      <w:numFmt w:val="decimal"/>
      <w:lvlText w:val="%1."/>
      <w:lvlJc w:val="left"/>
      <w:pPr>
        <w:ind w:left="1028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76E2C1A"/>
    <w:multiLevelType w:val="multilevel"/>
    <w:tmpl w:val="353A82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0" w:hanging="11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0" w:hanging="11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0" w:hanging="11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0" w:hanging="11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0DD9652E"/>
    <w:multiLevelType w:val="multilevel"/>
    <w:tmpl w:val="772EBA40"/>
    <w:lvl w:ilvl="0">
      <w:start w:val="1"/>
      <w:numFmt w:val="upperRoman"/>
      <w:lvlText w:val="%1."/>
      <w:lvlJc w:val="left"/>
      <w:pPr>
        <w:ind w:left="1723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0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abstractNum w:abstractNumId="4">
    <w:nsid w:val="0F7D5718"/>
    <w:multiLevelType w:val="multilevel"/>
    <w:tmpl w:val="681099D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/>
        <w:color w:val="auto"/>
      </w:rPr>
    </w:lvl>
    <w:lvl w:ilvl="1">
      <w:start w:val="2"/>
      <w:numFmt w:val="decimal"/>
      <w:isLgl/>
      <w:lvlText w:val="%1.%2."/>
      <w:lvlJc w:val="left"/>
      <w:pPr>
        <w:ind w:left="181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56" w:hanging="1800"/>
      </w:pPr>
      <w:rPr>
        <w:rFonts w:hint="default"/>
      </w:rPr>
    </w:lvl>
  </w:abstractNum>
  <w:abstractNum w:abstractNumId="5">
    <w:nsid w:val="0FCB1DDD"/>
    <w:multiLevelType w:val="hybridMultilevel"/>
    <w:tmpl w:val="FE9656A8"/>
    <w:lvl w:ilvl="0" w:tplc="04190001">
      <w:start w:val="1"/>
      <w:numFmt w:val="bullet"/>
      <w:lvlText w:val=""/>
      <w:lvlJc w:val="left"/>
      <w:pPr>
        <w:ind w:left="13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2" w:hanging="360"/>
      </w:pPr>
      <w:rPr>
        <w:rFonts w:ascii="Wingdings" w:hAnsi="Wingdings" w:hint="default"/>
      </w:rPr>
    </w:lvl>
  </w:abstractNum>
  <w:abstractNum w:abstractNumId="6">
    <w:nsid w:val="146D3E8D"/>
    <w:multiLevelType w:val="hybridMultilevel"/>
    <w:tmpl w:val="355097EC"/>
    <w:lvl w:ilvl="0" w:tplc="05D404A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5D70555"/>
    <w:multiLevelType w:val="hybridMultilevel"/>
    <w:tmpl w:val="EC9EE846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8">
    <w:nsid w:val="276225D2"/>
    <w:multiLevelType w:val="hybridMultilevel"/>
    <w:tmpl w:val="05F25370"/>
    <w:lvl w:ilvl="0" w:tplc="943EA84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95722FF"/>
    <w:multiLevelType w:val="hybridMultilevel"/>
    <w:tmpl w:val="C95A1B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F3898"/>
    <w:multiLevelType w:val="hybridMultilevel"/>
    <w:tmpl w:val="6C2E7A44"/>
    <w:lvl w:ilvl="0" w:tplc="E99A76F8">
      <w:start w:val="2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E1867B7"/>
    <w:multiLevelType w:val="hybridMultilevel"/>
    <w:tmpl w:val="B816B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EBB48C3"/>
    <w:multiLevelType w:val="hybridMultilevel"/>
    <w:tmpl w:val="D46257D6"/>
    <w:lvl w:ilvl="0" w:tplc="4558C88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3096CA3"/>
    <w:multiLevelType w:val="hybridMultilevel"/>
    <w:tmpl w:val="B4DE297C"/>
    <w:lvl w:ilvl="0" w:tplc="00365C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C15673"/>
    <w:multiLevelType w:val="hybridMultilevel"/>
    <w:tmpl w:val="A9E2C7E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4F55379A"/>
    <w:multiLevelType w:val="hybridMultilevel"/>
    <w:tmpl w:val="153011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19A5658"/>
    <w:multiLevelType w:val="multilevel"/>
    <w:tmpl w:val="63728D50"/>
    <w:lvl w:ilvl="0">
      <w:start w:val="1"/>
      <w:numFmt w:val="decimal"/>
      <w:lvlText w:val="%1."/>
      <w:lvlJc w:val="left"/>
      <w:pPr>
        <w:ind w:left="1028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56A118E5"/>
    <w:multiLevelType w:val="hybridMultilevel"/>
    <w:tmpl w:val="D49C18EE"/>
    <w:lvl w:ilvl="0" w:tplc="A99079E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205126"/>
    <w:multiLevelType w:val="hybridMultilevel"/>
    <w:tmpl w:val="47B4356C"/>
    <w:lvl w:ilvl="0" w:tplc="C5F4A21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B8E3240"/>
    <w:multiLevelType w:val="hybridMultilevel"/>
    <w:tmpl w:val="C8DACC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60226"/>
    <w:multiLevelType w:val="hybridMultilevel"/>
    <w:tmpl w:val="DDEE835A"/>
    <w:lvl w:ilvl="0" w:tplc="49C43D9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60F5720B"/>
    <w:multiLevelType w:val="hybridMultilevel"/>
    <w:tmpl w:val="E93E89EC"/>
    <w:lvl w:ilvl="0" w:tplc="DA1E4B9A">
      <w:start w:val="1"/>
      <w:numFmt w:val="upperRoman"/>
      <w:lvlText w:val="%1."/>
      <w:lvlJc w:val="left"/>
      <w:pPr>
        <w:ind w:left="171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2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69B103C2"/>
    <w:multiLevelType w:val="multilevel"/>
    <w:tmpl w:val="BC5ED68C"/>
    <w:lvl w:ilvl="0">
      <w:start w:val="1"/>
      <w:numFmt w:val="bullet"/>
      <w:lvlText w:val=""/>
      <w:lvlJc w:val="left"/>
      <w:pPr>
        <w:ind w:left="1723" w:hanging="720"/>
      </w:pPr>
      <w:rPr>
        <w:rFonts w:ascii="Symbol" w:hAnsi="Symbol" w:hint="default"/>
      </w:rPr>
    </w:lvl>
    <w:lvl w:ilvl="1">
      <w:start w:val="4"/>
      <w:numFmt w:val="decimal"/>
      <w:isLgl/>
      <w:lvlText w:val="%1.%2."/>
      <w:lvlJc w:val="left"/>
      <w:pPr>
        <w:ind w:left="140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abstractNum w:abstractNumId="24">
    <w:nsid w:val="6F392D27"/>
    <w:multiLevelType w:val="hybridMultilevel"/>
    <w:tmpl w:val="C71E526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11"/>
  </w:num>
  <w:num w:numId="5">
    <w:abstractNumId w:val="5"/>
  </w:num>
  <w:num w:numId="6">
    <w:abstractNumId w:val="9"/>
  </w:num>
  <w:num w:numId="7">
    <w:abstractNumId w:val="24"/>
  </w:num>
  <w:num w:numId="8">
    <w:abstractNumId w:val="14"/>
  </w:num>
  <w:num w:numId="9">
    <w:abstractNumId w:val="3"/>
  </w:num>
  <w:num w:numId="10">
    <w:abstractNumId w:val="22"/>
  </w:num>
  <w:num w:numId="11">
    <w:abstractNumId w:val="23"/>
  </w:num>
  <w:num w:numId="12">
    <w:abstractNumId w:val="16"/>
  </w:num>
  <w:num w:numId="13">
    <w:abstractNumId w:val="1"/>
  </w:num>
  <w:num w:numId="14">
    <w:abstractNumId w:val="2"/>
  </w:num>
  <w:num w:numId="15">
    <w:abstractNumId w:val="0"/>
  </w:num>
  <w:num w:numId="16">
    <w:abstractNumId w:val="6"/>
  </w:num>
  <w:num w:numId="17">
    <w:abstractNumId w:val="20"/>
  </w:num>
  <w:num w:numId="18">
    <w:abstractNumId w:val="18"/>
  </w:num>
  <w:num w:numId="19">
    <w:abstractNumId w:val="8"/>
  </w:num>
  <w:num w:numId="20">
    <w:abstractNumId w:val="21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713"/>
    <w:rsid w:val="000047EF"/>
    <w:rsid w:val="000056F9"/>
    <w:rsid w:val="00006048"/>
    <w:rsid w:val="000062B8"/>
    <w:rsid w:val="00010BA9"/>
    <w:rsid w:val="00011FF8"/>
    <w:rsid w:val="000155EB"/>
    <w:rsid w:val="00016A4F"/>
    <w:rsid w:val="000218A1"/>
    <w:rsid w:val="00022DF9"/>
    <w:rsid w:val="00026E0D"/>
    <w:rsid w:val="00032A10"/>
    <w:rsid w:val="00032A86"/>
    <w:rsid w:val="00032BDF"/>
    <w:rsid w:val="000334F7"/>
    <w:rsid w:val="000366BA"/>
    <w:rsid w:val="00050083"/>
    <w:rsid w:val="00051B26"/>
    <w:rsid w:val="00053133"/>
    <w:rsid w:val="00056754"/>
    <w:rsid w:val="0005696B"/>
    <w:rsid w:val="00056CEF"/>
    <w:rsid w:val="0005710E"/>
    <w:rsid w:val="000618F4"/>
    <w:rsid w:val="000620D3"/>
    <w:rsid w:val="00063C8D"/>
    <w:rsid w:val="00067836"/>
    <w:rsid w:val="00080041"/>
    <w:rsid w:val="00085CBC"/>
    <w:rsid w:val="000864C5"/>
    <w:rsid w:val="00092CC5"/>
    <w:rsid w:val="00092D0A"/>
    <w:rsid w:val="00094A7A"/>
    <w:rsid w:val="00095A29"/>
    <w:rsid w:val="000A0391"/>
    <w:rsid w:val="000A073B"/>
    <w:rsid w:val="000A07A9"/>
    <w:rsid w:val="000A13E9"/>
    <w:rsid w:val="000A1F8E"/>
    <w:rsid w:val="000A20CC"/>
    <w:rsid w:val="000A5E4B"/>
    <w:rsid w:val="000B4A7F"/>
    <w:rsid w:val="000B7C9E"/>
    <w:rsid w:val="000C2624"/>
    <w:rsid w:val="000C73B0"/>
    <w:rsid w:val="000D3081"/>
    <w:rsid w:val="000D3547"/>
    <w:rsid w:val="000D77CB"/>
    <w:rsid w:val="000E19C5"/>
    <w:rsid w:val="000E49B1"/>
    <w:rsid w:val="000E7917"/>
    <w:rsid w:val="000F1FC3"/>
    <w:rsid w:val="000F22C8"/>
    <w:rsid w:val="000F2EE2"/>
    <w:rsid w:val="000F752D"/>
    <w:rsid w:val="000F76E4"/>
    <w:rsid w:val="00103278"/>
    <w:rsid w:val="00107006"/>
    <w:rsid w:val="00110B73"/>
    <w:rsid w:val="0011343E"/>
    <w:rsid w:val="001214C9"/>
    <w:rsid w:val="00123DB1"/>
    <w:rsid w:val="00123F86"/>
    <w:rsid w:val="00124D34"/>
    <w:rsid w:val="001258BF"/>
    <w:rsid w:val="00130402"/>
    <w:rsid w:val="00131F6C"/>
    <w:rsid w:val="0013461B"/>
    <w:rsid w:val="001349E0"/>
    <w:rsid w:val="00135A46"/>
    <w:rsid w:val="00140B2B"/>
    <w:rsid w:val="001462D4"/>
    <w:rsid w:val="00146313"/>
    <w:rsid w:val="00147C6F"/>
    <w:rsid w:val="001518A6"/>
    <w:rsid w:val="001537AA"/>
    <w:rsid w:val="001539B8"/>
    <w:rsid w:val="00153F55"/>
    <w:rsid w:val="00161297"/>
    <w:rsid w:val="0016148B"/>
    <w:rsid w:val="0016477A"/>
    <w:rsid w:val="001651F6"/>
    <w:rsid w:val="0017192E"/>
    <w:rsid w:val="001760E0"/>
    <w:rsid w:val="00177FC4"/>
    <w:rsid w:val="00182B61"/>
    <w:rsid w:val="00185232"/>
    <w:rsid w:val="00190765"/>
    <w:rsid w:val="001916F1"/>
    <w:rsid w:val="0019474C"/>
    <w:rsid w:val="001A0815"/>
    <w:rsid w:val="001A11A3"/>
    <w:rsid w:val="001A1BAD"/>
    <w:rsid w:val="001A2AA2"/>
    <w:rsid w:val="001A50F6"/>
    <w:rsid w:val="001A59F5"/>
    <w:rsid w:val="001A68F7"/>
    <w:rsid w:val="001B0541"/>
    <w:rsid w:val="001B0D66"/>
    <w:rsid w:val="001B4254"/>
    <w:rsid w:val="001B7578"/>
    <w:rsid w:val="001C2079"/>
    <w:rsid w:val="001C3BBA"/>
    <w:rsid w:val="001C4435"/>
    <w:rsid w:val="001C7468"/>
    <w:rsid w:val="001D024B"/>
    <w:rsid w:val="001D3A44"/>
    <w:rsid w:val="001D513C"/>
    <w:rsid w:val="001E1C2F"/>
    <w:rsid w:val="001E3741"/>
    <w:rsid w:val="001E455C"/>
    <w:rsid w:val="001E67A1"/>
    <w:rsid w:val="001E68BE"/>
    <w:rsid w:val="001F24CA"/>
    <w:rsid w:val="001F467A"/>
    <w:rsid w:val="001F65E7"/>
    <w:rsid w:val="002017B5"/>
    <w:rsid w:val="0020455A"/>
    <w:rsid w:val="00205A21"/>
    <w:rsid w:val="00213DEC"/>
    <w:rsid w:val="002163C3"/>
    <w:rsid w:val="0022029D"/>
    <w:rsid w:val="0022063C"/>
    <w:rsid w:val="00223423"/>
    <w:rsid w:val="002278F0"/>
    <w:rsid w:val="00230B7F"/>
    <w:rsid w:val="00233D08"/>
    <w:rsid w:val="00234A7E"/>
    <w:rsid w:val="00237BD5"/>
    <w:rsid w:val="002414F1"/>
    <w:rsid w:val="00241AEF"/>
    <w:rsid w:val="0024478A"/>
    <w:rsid w:val="00250E0C"/>
    <w:rsid w:val="00250FC3"/>
    <w:rsid w:val="002513FE"/>
    <w:rsid w:val="002524EA"/>
    <w:rsid w:val="002530CA"/>
    <w:rsid w:val="0025368A"/>
    <w:rsid w:val="00265B92"/>
    <w:rsid w:val="0026719B"/>
    <w:rsid w:val="00270AE1"/>
    <w:rsid w:val="00272B80"/>
    <w:rsid w:val="0027608C"/>
    <w:rsid w:val="00276445"/>
    <w:rsid w:val="002767A1"/>
    <w:rsid w:val="00276E11"/>
    <w:rsid w:val="00277070"/>
    <w:rsid w:val="00277A10"/>
    <w:rsid w:val="00282713"/>
    <w:rsid w:val="00283AAF"/>
    <w:rsid w:val="002852A0"/>
    <w:rsid w:val="002857EC"/>
    <w:rsid w:val="002870FF"/>
    <w:rsid w:val="0029536F"/>
    <w:rsid w:val="00295520"/>
    <w:rsid w:val="00297240"/>
    <w:rsid w:val="002A0C7A"/>
    <w:rsid w:val="002A448F"/>
    <w:rsid w:val="002B02D8"/>
    <w:rsid w:val="002B0E3F"/>
    <w:rsid w:val="002B0FE1"/>
    <w:rsid w:val="002B4A54"/>
    <w:rsid w:val="002B5F76"/>
    <w:rsid w:val="002B684F"/>
    <w:rsid w:val="002C2A5B"/>
    <w:rsid w:val="002C6556"/>
    <w:rsid w:val="002D1ACC"/>
    <w:rsid w:val="002D46D1"/>
    <w:rsid w:val="002E0778"/>
    <w:rsid w:val="002E0817"/>
    <w:rsid w:val="002E2C5B"/>
    <w:rsid w:val="002E3DE9"/>
    <w:rsid w:val="002F11CC"/>
    <w:rsid w:val="002F1E07"/>
    <w:rsid w:val="002F3AC4"/>
    <w:rsid w:val="002F552C"/>
    <w:rsid w:val="00303409"/>
    <w:rsid w:val="00304DC6"/>
    <w:rsid w:val="003077A3"/>
    <w:rsid w:val="00307BC7"/>
    <w:rsid w:val="00314A61"/>
    <w:rsid w:val="00315CB4"/>
    <w:rsid w:val="00317F19"/>
    <w:rsid w:val="00320D2F"/>
    <w:rsid w:val="00323E90"/>
    <w:rsid w:val="00324868"/>
    <w:rsid w:val="00324FA6"/>
    <w:rsid w:val="003251ED"/>
    <w:rsid w:val="00325D3E"/>
    <w:rsid w:val="00327B14"/>
    <w:rsid w:val="00330451"/>
    <w:rsid w:val="003319C8"/>
    <w:rsid w:val="00332C7A"/>
    <w:rsid w:val="00335AEA"/>
    <w:rsid w:val="00336144"/>
    <w:rsid w:val="0034297F"/>
    <w:rsid w:val="0034310E"/>
    <w:rsid w:val="0034462A"/>
    <w:rsid w:val="003464FC"/>
    <w:rsid w:val="00346D9B"/>
    <w:rsid w:val="0034737E"/>
    <w:rsid w:val="00351BE8"/>
    <w:rsid w:val="00352A26"/>
    <w:rsid w:val="00357C46"/>
    <w:rsid w:val="00361AF1"/>
    <w:rsid w:val="00362B59"/>
    <w:rsid w:val="00366E47"/>
    <w:rsid w:val="00367B37"/>
    <w:rsid w:val="00370FDD"/>
    <w:rsid w:val="00374B1B"/>
    <w:rsid w:val="00381E20"/>
    <w:rsid w:val="003842BA"/>
    <w:rsid w:val="00387B73"/>
    <w:rsid w:val="003902C9"/>
    <w:rsid w:val="0039795A"/>
    <w:rsid w:val="003A1347"/>
    <w:rsid w:val="003A467B"/>
    <w:rsid w:val="003A5ED1"/>
    <w:rsid w:val="003A713C"/>
    <w:rsid w:val="003B17B3"/>
    <w:rsid w:val="003C29EA"/>
    <w:rsid w:val="003C7E7C"/>
    <w:rsid w:val="003D1D93"/>
    <w:rsid w:val="003D3D95"/>
    <w:rsid w:val="003D4699"/>
    <w:rsid w:val="003D6014"/>
    <w:rsid w:val="003D7201"/>
    <w:rsid w:val="003D775C"/>
    <w:rsid w:val="003D7E27"/>
    <w:rsid w:val="003E111B"/>
    <w:rsid w:val="003E2848"/>
    <w:rsid w:val="003E3B1F"/>
    <w:rsid w:val="003E3D83"/>
    <w:rsid w:val="003E5360"/>
    <w:rsid w:val="003F0DE4"/>
    <w:rsid w:val="003F1A8D"/>
    <w:rsid w:val="003F332B"/>
    <w:rsid w:val="0040433D"/>
    <w:rsid w:val="0040482B"/>
    <w:rsid w:val="0041620B"/>
    <w:rsid w:val="0042124B"/>
    <w:rsid w:val="004217E1"/>
    <w:rsid w:val="0042375B"/>
    <w:rsid w:val="0044122E"/>
    <w:rsid w:val="00442884"/>
    <w:rsid w:val="00442E87"/>
    <w:rsid w:val="00443CF7"/>
    <w:rsid w:val="004470C2"/>
    <w:rsid w:val="004475AB"/>
    <w:rsid w:val="0045060C"/>
    <w:rsid w:val="00454E26"/>
    <w:rsid w:val="004575BC"/>
    <w:rsid w:val="00460819"/>
    <w:rsid w:val="00461740"/>
    <w:rsid w:val="0046376E"/>
    <w:rsid w:val="00464452"/>
    <w:rsid w:val="0046552F"/>
    <w:rsid w:val="004667A7"/>
    <w:rsid w:val="00466F08"/>
    <w:rsid w:val="0047112F"/>
    <w:rsid w:val="004715EC"/>
    <w:rsid w:val="004716A3"/>
    <w:rsid w:val="00472915"/>
    <w:rsid w:val="00473A73"/>
    <w:rsid w:val="00475BFE"/>
    <w:rsid w:val="00480523"/>
    <w:rsid w:val="004808EA"/>
    <w:rsid w:val="0048119D"/>
    <w:rsid w:val="00485893"/>
    <w:rsid w:val="00496897"/>
    <w:rsid w:val="004A2E85"/>
    <w:rsid w:val="004A32B0"/>
    <w:rsid w:val="004A3596"/>
    <w:rsid w:val="004A421C"/>
    <w:rsid w:val="004A7371"/>
    <w:rsid w:val="004A7694"/>
    <w:rsid w:val="004B01D5"/>
    <w:rsid w:val="004B5B5A"/>
    <w:rsid w:val="004C0131"/>
    <w:rsid w:val="004C09EF"/>
    <w:rsid w:val="004C10BE"/>
    <w:rsid w:val="004D09DC"/>
    <w:rsid w:val="004D2DB0"/>
    <w:rsid w:val="004D5006"/>
    <w:rsid w:val="004D54CD"/>
    <w:rsid w:val="004D6C35"/>
    <w:rsid w:val="004D789E"/>
    <w:rsid w:val="004E09B8"/>
    <w:rsid w:val="004E1A7B"/>
    <w:rsid w:val="004E2523"/>
    <w:rsid w:val="004E4E02"/>
    <w:rsid w:val="004E59EC"/>
    <w:rsid w:val="004E6A8C"/>
    <w:rsid w:val="004F690D"/>
    <w:rsid w:val="004F7141"/>
    <w:rsid w:val="004F7ACD"/>
    <w:rsid w:val="00500176"/>
    <w:rsid w:val="00500A19"/>
    <w:rsid w:val="0050236D"/>
    <w:rsid w:val="00512D4B"/>
    <w:rsid w:val="00513581"/>
    <w:rsid w:val="00515365"/>
    <w:rsid w:val="00516AA7"/>
    <w:rsid w:val="00517172"/>
    <w:rsid w:val="00521052"/>
    <w:rsid w:val="005258C3"/>
    <w:rsid w:val="00527BD3"/>
    <w:rsid w:val="005305DE"/>
    <w:rsid w:val="00533E42"/>
    <w:rsid w:val="00534CB0"/>
    <w:rsid w:val="005362C8"/>
    <w:rsid w:val="005371AD"/>
    <w:rsid w:val="00542427"/>
    <w:rsid w:val="005441CC"/>
    <w:rsid w:val="005468B5"/>
    <w:rsid w:val="00546DD0"/>
    <w:rsid w:val="00546EC4"/>
    <w:rsid w:val="005514C1"/>
    <w:rsid w:val="00551C10"/>
    <w:rsid w:val="0055329E"/>
    <w:rsid w:val="005534B4"/>
    <w:rsid w:val="0055759A"/>
    <w:rsid w:val="00557B12"/>
    <w:rsid w:val="005622FC"/>
    <w:rsid w:val="00562816"/>
    <w:rsid w:val="005649FB"/>
    <w:rsid w:val="00564DE4"/>
    <w:rsid w:val="00570B0B"/>
    <w:rsid w:val="005723B0"/>
    <w:rsid w:val="0057681E"/>
    <w:rsid w:val="00580798"/>
    <w:rsid w:val="00581E71"/>
    <w:rsid w:val="005840BB"/>
    <w:rsid w:val="00584E14"/>
    <w:rsid w:val="005850FD"/>
    <w:rsid w:val="005878E7"/>
    <w:rsid w:val="005948E7"/>
    <w:rsid w:val="00595E96"/>
    <w:rsid w:val="005A085F"/>
    <w:rsid w:val="005A29D9"/>
    <w:rsid w:val="005A2CF1"/>
    <w:rsid w:val="005A440A"/>
    <w:rsid w:val="005A5EBB"/>
    <w:rsid w:val="005A6818"/>
    <w:rsid w:val="005A6BF7"/>
    <w:rsid w:val="005B1708"/>
    <w:rsid w:val="005B2262"/>
    <w:rsid w:val="005B39DD"/>
    <w:rsid w:val="005B55B0"/>
    <w:rsid w:val="005B7A9F"/>
    <w:rsid w:val="005B7BBA"/>
    <w:rsid w:val="005C092C"/>
    <w:rsid w:val="005C28AF"/>
    <w:rsid w:val="005C55E7"/>
    <w:rsid w:val="005C788B"/>
    <w:rsid w:val="005C7BAB"/>
    <w:rsid w:val="005D2026"/>
    <w:rsid w:val="005D3BC2"/>
    <w:rsid w:val="005D4A1A"/>
    <w:rsid w:val="005D59FC"/>
    <w:rsid w:val="005E1B68"/>
    <w:rsid w:val="005E6375"/>
    <w:rsid w:val="005E73C8"/>
    <w:rsid w:val="005E7BA7"/>
    <w:rsid w:val="005F59D3"/>
    <w:rsid w:val="0061104D"/>
    <w:rsid w:val="00613204"/>
    <w:rsid w:val="006140BA"/>
    <w:rsid w:val="00614B8F"/>
    <w:rsid w:val="006204A4"/>
    <w:rsid w:val="00623D66"/>
    <w:rsid w:val="006260DA"/>
    <w:rsid w:val="00626417"/>
    <w:rsid w:val="00630FE8"/>
    <w:rsid w:val="006354E3"/>
    <w:rsid w:val="00635F8F"/>
    <w:rsid w:val="00645A3C"/>
    <w:rsid w:val="00652C79"/>
    <w:rsid w:val="00653735"/>
    <w:rsid w:val="00654D93"/>
    <w:rsid w:val="00657B07"/>
    <w:rsid w:val="00662399"/>
    <w:rsid w:val="0066284B"/>
    <w:rsid w:val="006656B2"/>
    <w:rsid w:val="006657E7"/>
    <w:rsid w:val="00670DAB"/>
    <w:rsid w:val="006728D7"/>
    <w:rsid w:val="00675E0F"/>
    <w:rsid w:val="00684715"/>
    <w:rsid w:val="00693A26"/>
    <w:rsid w:val="006975AA"/>
    <w:rsid w:val="00697F67"/>
    <w:rsid w:val="006A08A2"/>
    <w:rsid w:val="006A27BA"/>
    <w:rsid w:val="006A2F8D"/>
    <w:rsid w:val="006A543B"/>
    <w:rsid w:val="006A6926"/>
    <w:rsid w:val="006B56E6"/>
    <w:rsid w:val="006C1580"/>
    <w:rsid w:val="006C5085"/>
    <w:rsid w:val="006C62A4"/>
    <w:rsid w:val="006D52E2"/>
    <w:rsid w:val="006E0404"/>
    <w:rsid w:val="006E0EDB"/>
    <w:rsid w:val="006E59A1"/>
    <w:rsid w:val="006E6134"/>
    <w:rsid w:val="006E640A"/>
    <w:rsid w:val="006E6CF8"/>
    <w:rsid w:val="006F0FC2"/>
    <w:rsid w:val="006F36CE"/>
    <w:rsid w:val="006F49C1"/>
    <w:rsid w:val="006F5523"/>
    <w:rsid w:val="006F6F7B"/>
    <w:rsid w:val="00703035"/>
    <w:rsid w:val="00703587"/>
    <w:rsid w:val="0070386B"/>
    <w:rsid w:val="007038F7"/>
    <w:rsid w:val="0070404A"/>
    <w:rsid w:val="00712B6E"/>
    <w:rsid w:val="00714278"/>
    <w:rsid w:val="00714B9D"/>
    <w:rsid w:val="00724AE4"/>
    <w:rsid w:val="00730527"/>
    <w:rsid w:val="00730C62"/>
    <w:rsid w:val="007328B1"/>
    <w:rsid w:val="00735314"/>
    <w:rsid w:val="00735540"/>
    <w:rsid w:val="0074019C"/>
    <w:rsid w:val="00750677"/>
    <w:rsid w:val="007544D5"/>
    <w:rsid w:val="00756AE4"/>
    <w:rsid w:val="00764A8C"/>
    <w:rsid w:val="00772E2A"/>
    <w:rsid w:val="00775C8F"/>
    <w:rsid w:val="00777F9D"/>
    <w:rsid w:val="007806C7"/>
    <w:rsid w:val="0078149A"/>
    <w:rsid w:val="00785477"/>
    <w:rsid w:val="00785A14"/>
    <w:rsid w:val="00787958"/>
    <w:rsid w:val="007922BC"/>
    <w:rsid w:val="007944B8"/>
    <w:rsid w:val="007955EA"/>
    <w:rsid w:val="00797990"/>
    <w:rsid w:val="007B05BD"/>
    <w:rsid w:val="007B0B17"/>
    <w:rsid w:val="007B1080"/>
    <w:rsid w:val="007B1BAA"/>
    <w:rsid w:val="007C21A1"/>
    <w:rsid w:val="007C296D"/>
    <w:rsid w:val="007C2FE4"/>
    <w:rsid w:val="007C320A"/>
    <w:rsid w:val="007C33B0"/>
    <w:rsid w:val="007D0015"/>
    <w:rsid w:val="007D0307"/>
    <w:rsid w:val="007D1B2F"/>
    <w:rsid w:val="007D210A"/>
    <w:rsid w:val="007D3456"/>
    <w:rsid w:val="007D3E46"/>
    <w:rsid w:val="007D41CC"/>
    <w:rsid w:val="007D69DB"/>
    <w:rsid w:val="007E18CF"/>
    <w:rsid w:val="007E5125"/>
    <w:rsid w:val="007F056B"/>
    <w:rsid w:val="007F1E9F"/>
    <w:rsid w:val="007F5158"/>
    <w:rsid w:val="007F764E"/>
    <w:rsid w:val="00801977"/>
    <w:rsid w:val="00804D94"/>
    <w:rsid w:val="00804FFC"/>
    <w:rsid w:val="0080754F"/>
    <w:rsid w:val="00811E60"/>
    <w:rsid w:val="00814025"/>
    <w:rsid w:val="00815D42"/>
    <w:rsid w:val="00816DAB"/>
    <w:rsid w:val="00817507"/>
    <w:rsid w:val="00820741"/>
    <w:rsid w:val="00822F55"/>
    <w:rsid w:val="00823C2F"/>
    <w:rsid w:val="00824B37"/>
    <w:rsid w:val="008312A5"/>
    <w:rsid w:val="008316E8"/>
    <w:rsid w:val="00836281"/>
    <w:rsid w:val="00836BFA"/>
    <w:rsid w:val="008402B2"/>
    <w:rsid w:val="0084171E"/>
    <w:rsid w:val="00841CA6"/>
    <w:rsid w:val="008529E2"/>
    <w:rsid w:val="00853501"/>
    <w:rsid w:val="0086109C"/>
    <w:rsid w:val="00866BF5"/>
    <w:rsid w:val="008736C6"/>
    <w:rsid w:val="00877CA5"/>
    <w:rsid w:val="00882F79"/>
    <w:rsid w:val="00885D43"/>
    <w:rsid w:val="00894930"/>
    <w:rsid w:val="00894FB5"/>
    <w:rsid w:val="00895FAB"/>
    <w:rsid w:val="0089671C"/>
    <w:rsid w:val="008A05D6"/>
    <w:rsid w:val="008A110F"/>
    <w:rsid w:val="008A19CD"/>
    <w:rsid w:val="008A2A8C"/>
    <w:rsid w:val="008A3784"/>
    <w:rsid w:val="008A390D"/>
    <w:rsid w:val="008A3CA3"/>
    <w:rsid w:val="008A42D3"/>
    <w:rsid w:val="008A7B13"/>
    <w:rsid w:val="008B1118"/>
    <w:rsid w:val="008B206A"/>
    <w:rsid w:val="008B2266"/>
    <w:rsid w:val="008B3602"/>
    <w:rsid w:val="008B4AA9"/>
    <w:rsid w:val="008B56B6"/>
    <w:rsid w:val="008C1360"/>
    <w:rsid w:val="008C306F"/>
    <w:rsid w:val="008C3731"/>
    <w:rsid w:val="008C391F"/>
    <w:rsid w:val="008C5683"/>
    <w:rsid w:val="008C6C2D"/>
    <w:rsid w:val="008C6D38"/>
    <w:rsid w:val="008D2632"/>
    <w:rsid w:val="008D2FA6"/>
    <w:rsid w:val="008E243A"/>
    <w:rsid w:val="008E4D70"/>
    <w:rsid w:val="008F43D4"/>
    <w:rsid w:val="008F6546"/>
    <w:rsid w:val="009014CF"/>
    <w:rsid w:val="009030CA"/>
    <w:rsid w:val="00907D57"/>
    <w:rsid w:val="0091023E"/>
    <w:rsid w:val="00912659"/>
    <w:rsid w:val="009143B0"/>
    <w:rsid w:val="00923945"/>
    <w:rsid w:val="00926C39"/>
    <w:rsid w:val="00927580"/>
    <w:rsid w:val="00931613"/>
    <w:rsid w:val="0093233E"/>
    <w:rsid w:val="0093414E"/>
    <w:rsid w:val="00935E38"/>
    <w:rsid w:val="00936CBA"/>
    <w:rsid w:val="009374C8"/>
    <w:rsid w:val="00945F5F"/>
    <w:rsid w:val="00947C49"/>
    <w:rsid w:val="009506CD"/>
    <w:rsid w:val="00951046"/>
    <w:rsid w:val="0095120A"/>
    <w:rsid w:val="00952B4E"/>
    <w:rsid w:val="0095399B"/>
    <w:rsid w:val="00953A04"/>
    <w:rsid w:val="00954C2B"/>
    <w:rsid w:val="00957904"/>
    <w:rsid w:val="00972C92"/>
    <w:rsid w:val="0097310C"/>
    <w:rsid w:val="009746AC"/>
    <w:rsid w:val="00976FB3"/>
    <w:rsid w:val="009800CC"/>
    <w:rsid w:val="0098635F"/>
    <w:rsid w:val="00987F90"/>
    <w:rsid w:val="0099403C"/>
    <w:rsid w:val="00994E62"/>
    <w:rsid w:val="00995BB5"/>
    <w:rsid w:val="00995F6D"/>
    <w:rsid w:val="009A4A77"/>
    <w:rsid w:val="009B10FE"/>
    <w:rsid w:val="009B36B4"/>
    <w:rsid w:val="009B3BD6"/>
    <w:rsid w:val="009B3D11"/>
    <w:rsid w:val="009C2385"/>
    <w:rsid w:val="009C29B2"/>
    <w:rsid w:val="009C6755"/>
    <w:rsid w:val="009D20F0"/>
    <w:rsid w:val="009D4C7E"/>
    <w:rsid w:val="009D66D4"/>
    <w:rsid w:val="009D6A4E"/>
    <w:rsid w:val="009E2A00"/>
    <w:rsid w:val="009E5F59"/>
    <w:rsid w:val="009F208A"/>
    <w:rsid w:val="009F2E9B"/>
    <w:rsid w:val="009F2F29"/>
    <w:rsid w:val="009F6470"/>
    <w:rsid w:val="00A028DF"/>
    <w:rsid w:val="00A040A4"/>
    <w:rsid w:val="00A05950"/>
    <w:rsid w:val="00A07DB0"/>
    <w:rsid w:val="00A2014C"/>
    <w:rsid w:val="00A22432"/>
    <w:rsid w:val="00A24439"/>
    <w:rsid w:val="00A24929"/>
    <w:rsid w:val="00A2621A"/>
    <w:rsid w:val="00A32B73"/>
    <w:rsid w:val="00A35C13"/>
    <w:rsid w:val="00A618E7"/>
    <w:rsid w:val="00A66CA6"/>
    <w:rsid w:val="00A67D4C"/>
    <w:rsid w:val="00A7021C"/>
    <w:rsid w:val="00A70B6B"/>
    <w:rsid w:val="00A7214C"/>
    <w:rsid w:val="00A73116"/>
    <w:rsid w:val="00A745BB"/>
    <w:rsid w:val="00A74B5A"/>
    <w:rsid w:val="00A759DF"/>
    <w:rsid w:val="00A77720"/>
    <w:rsid w:val="00A80851"/>
    <w:rsid w:val="00A81371"/>
    <w:rsid w:val="00A8200B"/>
    <w:rsid w:val="00A854FC"/>
    <w:rsid w:val="00A958F6"/>
    <w:rsid w:val="00A97042"/>
    <w:rsid w:val="00A9749E"/>
    <w:rsid w:val="00AA05F4"/>
    <w:rsid w:val="00AA2B42"/>
    <w:rsid w:val="00AA3209"/>
    <w:rsid w:val="00AA3896"/>
    <w:rsid w:val="00AA6D47"/>
    <w:rsid w:val="00AA7BBF"/>
    <w:rsid w:val="00AB298C"/>
    <w:rsid w:val="00AB350E"/>
    <w:rsid w:val="00AB360A"/>
    <w:rsid w:val="00AB3620"/>
    <w:rsid w:val="00AB5E2F"/>
    <w:rsid w:val="00AB7BC1"/>
    <w:rsid w:val="00AC0DF9"/>
    <w:rsid w:val="00AC19E1"/>
    <w:rsid w:val="00AC23B0"/>
    <w:rsid w:val="00AC402B"/>
    <w:rsid w:val="00AC6B95"/>
    <w:rsid w:val="00AD5BD7"/>
    <w:rsid w:val="00AE052D"/>
    <w:rsid w:val="00AE1AC2"/>
    <w:rsid w:val="00AE2DD3"/>
    <w:rsid w:val="00AE3751"/>
    <w:rsid w:val="00AE55B6"/>
    <w:rsid w:val="00AE61A0"/>
    <w:rsid w:val="00AF3FD1"/>
    <w:rsid w:val="00AF428E"/>
    <w:rsid w:val="00AF4B0C"/>
    <w:rsid w:val="00AF7075"/>
    <w:rsid w:val="00B026EF"/>
    <w:rsid w:val="00B04E81"/>
    <w:rsid w:val="00B06EF7"/>
    <w:rsid w:val="00B100CE"/>
    <w:rsid w:val="00B11ECF"/>
    <w:rsid w:val="00B21207"/>
    <w:rsid w:val="00B24AF4"/>
    <w:rsid w:val="00B30487"/>
    <w:rsid w:val="00B330D2"/>
    <w:rsid w:val="00B34959"/>
    <w:rsid w:val="00B36769"/>
    <w:rsid w:val="00B4333A"/>
    <w:rsid w:val="00B4443D"/>
    <w:rsid w:val="00B477A3"/>
    <w:rsid w:val="00B515AB"/>
    <w:rsid w:val="00B52409"/>
    <w:rsid w:val="00B531C1"/>
    <w:rsid w:val="00B569B2"/>
    <w:rsid w:val="00B64796"/>
    <w:rsid w:val="00B71221"/>
    <w:rsid w:val="00B71E7E"/>
    <w:rsid w:val="00B74F5F"/>
    <w:rsid w:val="00B7547D"/>
    <w:rsid w:val="00B85BFC"/>
    <w:rsid w:val="00B8622A"/>
    <w:rsid w:val="00B863E8"/>
    <w:rsid w:val="00B86480"/>
    <w:rsid w:val="00B92121"/>
    <w:rsid w:val="00B94404"/>
    <w:rsid w:val="00B95155"/>
    <w:rsid w:val="00B97280"/>
    <w:rsid w:val="00BA0141"/>
    <w:rsid w:val="00BA1413"/>
    <w:rsid w:val="00BA280A"/>
    <w:rsid w:val="00BA39E6"/>
    <w:rsid w:val="00BA53BF"/>
    <w:rsid w:val="00BA6229"/>
    <w:rsid w:val="00BA786C"/>
    <w:rsid w:val="00BB1BFD"/>
    <w:rsid w:val="00BB1DCA"/>
    <w:rsid w:val="00BB4D89"/>
    <w:rsid w:val="00BB69AC"/>
    <w:rsid w:val="00BB767E"/>
    <w:rsid w:val="00BC38E9"/>
    <w:rsid w:val="00BC47F2"/>
    <w:rsid w:val="00BD4095"/>
    <w:rsid w:val="00BD60E7"/>
    <w:rsid w:val="00BD6C8A"/>
    <w:rsid w:val="00BD7237"/>
    <w:rsid w:val="00BE23B8"/>
    <w:rsid w:val="00BE6B3D"/>
    <w:rsid w:val="00BE723B"/>
    <w:rsid w:val="00C00DF8"/>
    <w:rsid w:val="00C032EF"/>
    <w:rsid w:val="00C0629E"/>
    <w:rsid w:val="00C07112"/>
    <w:rsid w:val="00C13D2E"/>
    <w:rsid w:val="00C202C6"/>
    <w:rsid w:val="00C23B83"/>
    <w:rsid w:val="00C267E4"/>
    <w:rsid w:val="00C32724"/>
    <w:rsid w:val="00C3285E"/>
    <w:rsid w:val="00C35895"/>
    <w:rsid w:val="00C40AB4"/>
    <w:rsid w:val="00C4471D"/>
    <w:rsid w:val="00C4617D"/>
    <w:rsid w:val="00C5155C"/>
    <w:rsid w:val="00C530D0"/>
    <w:rsid w:val="00C533AB"/>
    <w:rsid w:val="00C53E47"/>
    <w:rsid w:val="00C55C35"/>
    <w:rsid w:val="00C56588"/>
    <w:rsid w:val="00C66603"/>
    <w:rsid w:val="00C66AF1"/>
    <w:rsid w:val="00C722F1"/>
    <w:rsid w:val="00C731D8"/>
    <w:rsid w:val="00C73388"/>
    <w:rsid w:val="00C74DD7"/>
    <w:rsid w:val="00C80319"/>
    <w:rsid w:val="00C82851"/>
    <w:rsid w:val="00C86077"/>
    <w:rsid w:val="00C92961"/>
    <w:rsid w:val="00C97C22"/>
    <w:rsid w:val="00CA0054"/>
    <w:rsid w:val="00CA1E94"/>
    <w:rsid w:val="00CA3394"/>
    <w:rsid w:val="00CB04DC"/>
    <w:rsid w:val="00CB0838"/>
    <w:rsid w:val="00CB4C24"/>
    <w:rsid w:val="00CC01D2"/>
    <w:rsid w:val="00CC2212"/>
    <w:rsid w:val="00CC3410"/>
    <w:rsid w:val="00CC54B8"/>
    <w:rsid w:val="00CC5FA1"/>
    <w:rsid w:val="00CC6047"/>
    <w:rsid w:val="00CC775A"/>
    <w:rsid w:val="00CC7E14"/>
    <w:rsid w:val="00CD19A0"/>
    <w:rsid w:val="00CD366C"/>
    <w:rsid w:val="00CD475A"/>
    <w:rsid w:val="00CD4963"/>
    <w:rsid w:val="00CD7211"/>
    <w:rsid w:val="00CE2140"/>
    <w:rsid w:val="00CF137C"/>
    <w:rsid w:val="00CF18FD"/>
    <w:rsid w:val="00CF2C95"/>
    <w:rsid w:val="00D020E3"/>
    <w:rsid w:val="00D04375"/>
    <w:rsid w:val="00D06CBB"/>
    <w:rsid w:val="00D07195"/>
    <w:rsid w:val="00D10222"/>
    <w:rsid w:val="00D11503"/>
    <w:rsid w:val="00D20F0B"/>
    <w:rsid w:val="00D24906"/>
    <w:rsid w:val="00D3572E"/>
    <w:rsid w:val="00D3700A"/>
    <w:rsid w:val="00D37197"/>
    <w:rsid w:val="00D42184"/>
    <w:rsid w:val="00D42FE4"/>
    <w:rsid w:val="00D43363"/>
    <w:rsid w:val="00D4404E"/>
    <w:rsid w:val="00D45193"/>
    <w:rsid w:val="00D470E2"/>
    <w:rsid w:val="00D50773"/>
    <w:rsid w:val="00D517A7"/>
    <w:rsid w:val="00D52D8B"/>
    <w:rsid w:val="00D55169"/>
    <w:rsid w:val="00D560B1"/>
    <w:rsid w:val="00D56B09"/>
    <w:rsid w:val="00D60BD2"/>
    <w:rsid w:val="00D65296"/>
    <w:rsid w:val="00D66923"/>
    <w:rsid w:val="00D67B84"/>
    <w:rsid w:val="00D7547B"/>
    <w:rsid w:val="00D760F4"/>
    <w:rsid w:val="00D80BC6"/>
    <w:rsid w:val="00D81CF7"/>
    <w:rsid w:val="00D83FA1"/>
    <w:rsid w:val="00D85DBC"/>
    <w:rsid w:val="00D95F59"/>
    <w:rsid w:val="00D976C6"/>
    <w:rsid w:val="00DA01C8"/>
    <w:rsid w:val="00DA0B31"/>
    <w:rsid w:val="00DA1645"/>
    <w:rsid w:val="00DA22E1"/>
    <w:rsid w:val="00DA687C"/>
    <w:rsid w:val="00DB0644"/>
    <w:rsid w:val="00DB5312"/>
    <w:rsid w:val="00DB5FDF"/>
    <w:rsid w:val="00DB675B"/>
    <w:rsid w:val="00DC6038"/>
    <w:rsid w:val="00DC6943"/>
    <w:rsid w:val="00DC7B5E"/>
    <w:rsid w:val="00DD3508"/>
    <w:rsid w:val="00DD4B9F"/>
    <w:rsid w:val="00DD7105"/>
    <w:rsid w:val="00DE2AD8"/>
    <w:rsid w:val="00DE482A"/>
    <w:rsid w:val="00DE5D61"/>
    <w:rsid w:val="00DE6B3C"/>
    <w:rsid w:val="00DE7631"/>
    <w:rsid w:val="00DF19B1"/>
    <w:rsid w:val="00DF2E57"/>
    <w:rsid w:val="00DF37D2"/>
    <w:rsid w:val="00DF6597"/>
    <w:rsid w:val="00E0029A"/>
    <w:rsid w:val="00E01CF7"/>
    <w:rsid w:val="00E03500"/>
    <w:rsid w:val="00E0558A"/>
    <w:rsid w:val="00E10906"/>
    <w:rsid w:val="00E10B9A"/>
    <w:rsid w:val="00E12D0D"/>
    <w:rsid w:val="00E131E9"/>
    <w:rsid w:val="00E154DF"/>
    <w:rsid w:val="00E157ED"/>
    <w:rsid w:val="00E2653D"/>
    <w:rsid w:val="00E270A3"/>
    <w:rsid w:val="00E3264F"/>
    <w:rsid w:val="00E352B6"/>
    <w:rsid w:val="00E3698D"/>
    <w:rsid w:val="00E36E9E"/>
    <w:rsid w:val="00E41637"/>
    <w:rsid w:val="00E423E2"/>
    <w:rsid w:val="00E5100D"/>
    <w:rsid w:val="00E72343"/>
    <w:rsid w:val="00E770EA"/>
    <w:rsid w:val="00E77C6D"/>
    <w:rsid w:val="00E82D82"/>
    <w:rsid w:val="00E8383D"/>
    <w:rsid w:val="00E83C0B"/>
    <w:rsid w:val="00E83E71"/>
    <w:rsid w:val="00E8432A"/>
    <w:rsid w:val="00E864E4"/>
    <w:rsid w:val="00EA0A06"/>
    <w:rsid w:val="00EA3547"/>
    <w:rsid w:val="00EA5617"/>
    <w:rsid w:val="00EA73C0"/>
    <w:rsid w:val="00EB08B8"/>
    <w:rsid w:val="00EB1260"/>
    <w:rsid w:val="00EB673F"/>
    <w:rsid w:val="00EB73F0"/>
    <w:rsid w:val="00EC3543"/>
    <w:rsid w:val="00EC5D27"/>
    <w:rsid w:val="00EC6117"/>
    <w:rsid w:val="00EC6CE7"/>
    <w:rsid w:val="00EC74F7"/>
    <w:rsid w:val="00ED1DAA"/>
    <w:rsid w:val="00ED2CB3"/>
    <w:rsid w:val="00ED3DCC"/>
    <w:rsid w:val="00ED60F2"/>
    <w:rsid w:val="00ED7A5F"/>
    <w:rsid w:val="00EE28FD"/>
    <w:rsid w:val="00EE2B8E"/>
    <w:rsid w:val="00EE57FE"/>
    <w:rsid w:val="00EE6BDF"/>
    <w:rsid w:val="00EE71CE"/>
    <w:rsid w:val="00EF0F9F"/>
    <w:rsid w:val="00EF11BB"/>
    <w:rsid w:val="00EF540E"/>
    <w:rsid w:val="00EF7A92"/>
    <w:rsid w:val="00F03FDF"/>
    <w:rsid w:val="00F07191"/>
    <w:rsid w:val="00F0761F"/>
    <w:rsid w:val="00F14B36"/>
    <w:rsid w:val="00F14D2E"/>
    <w:rsid w:val="00F15E22"/>
    <w:rsid w:val="00F161CE"/>
    <w:rsid w:val="00F1716C"/>
    <w:rsid w:val="00F17A91"/>
    <w:rsid w:val="00F22E7B"/>
    <w:rsid w:val="00F2666B"/>
    <w:rsid w:val="00F30F5D"/>
    <w:rsid w:val="00F35517"/>
    <w:rsid w:val="00F42C08"/>
    <w:rsid w:val="00F4357E"/>
    <w:rsid w:val="00F449BC"/>
    <w:rsid w:val="00F45788"/>
    <w:rsid w:val="00F47997"/>
    <w:rsid w:val="00F528B6"/>
    <w:rsid w:val="00F52C7C"/>
    <w:rsid w:val="00F53C81"/>
    <w:rsid w:val="00F541CF"/>
    <w:rsid w:val="00F548ED"/>
    <w:rsid w:val="00F636CC"/>
    <w:rsid w:val="00F63E80"/>
    <w:rsid w:val="00F65FC3"/>
    <w:rsid w:val="00F67659"/>
    <w:rsid w:val="00F67C14"/>
    <w:rsid w:val="00F72E44"/>
    <w:rsid w:val="00F75B65"/>
    <w:rsid w:val="00F77881"/>
    <w:rsid w:val="00F807BD"/>
    <w:rsid w:val="00F81CCD"/>
    <w:rsid w:val="00F8240C"/>
    <w:rsid w:val="00F82547"/>
    <w:rsid w:val="00F82AE1"/>
    <w:rsid w:val="00F84E6E"/>
    <w:rsid w:val="00F85B0C"/>
    <w:rsid w:val="00F85C3B"/>
    <w:rsid w:val="00F94417"/>
    <w:rsid w:val="00F9512F"/>
    <w:rsid w:val="00F966B0"/>
    <w:rsid w:val="00FA17CE"/>
    <w:rsid w:val="00FA4432"/>
    <w:rsid w:val="00FB2CF7"/>
    <w:rsid w:val="00FB3CBA"/>
    <w:rsid w:val="00FB51F3"/>
    <w:rsid w:val="00FB5E01"/>
    <w:rsid w:val="00FB705A"/>
    <w:rsid w:val="00FC0ECE"/>
    <w:rsid w:val="00FC1834"/>
    <w:rsid w:val="00FC224F"/>
    <w:rsid w:val="00FC42FD"/>
    <w:rsid w:val="00FC5BD0"/>
    <w:rsid w:val="00FD2141"/>
    <w:rsid w:val="00FD6EE5"/>
    <w:rsid w:val="00FE22B5"/>
    <w:rsid w:val="00FE34FB"/>
    <w:rsid w:val="00FE5B04"/>
    <w:rsid w:val="00FE60D3"/>
    <w:rsid w:val="00FE7B38"/>
    <w:rsid w:val="00FF1079"/>
    <w:rsid w:val="00FF2AF5"/>
    <w:rsid w:val="00FF65F5"/>
    <w:rsid w:val="00FF6ABB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2713"/>
    <w:pPr>
      <w:keepNext/>
      <w:ind w:firstLine="709"/>
      <w:jc w:val="both"/>
      <w:outlineLvl w:val="0"/>
    </w:pPr>
    <w:rPr>
      <w:color w:val="000000"/>
      <w:szCs w:val="20"/>
    </w:rPr>
  </w:style>
  <w:style w:type="paragraph" w:styleId="3">
    <w:name w:val="heading 3"/>
    <w:basedOn w:val="a"/>
    <w:next w:val="a"/>
    <w:link w:val="30"/>
    <w:qFormat/>
    <w:rsid w:val="00282713"/>
    <w:pPr>
      <w:keepNext/>
      <w:ind w:firstLine="426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271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827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0558A"/>
    <w:pPr>
      <w:ind w:left="720"/>
      <w:contextualSpacing/>
    </w:pPr>
    <w:rPr>
      <w:sz w:val="20"/>
    </w:rPr>
  </w:style>
  <w:style w:type="paragraph" w:styleId="2">
    <w:name w:val="Body Text 2"/>
    <w:basedOn w:val="a"/>
    <w:link w:val="20"/>
    <w:uiPriority w:val="99"/>
    <w:rsid w:val="0028271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282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28271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82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2827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82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28271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82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2827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827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282713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2827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349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49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349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349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qFormat/>
    <w:rsid w:val="00D517A7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D517A7"/>
  </w:style>
  <w:style w:type="character" w:customStyle="1" w:styleId="11">
    <w:name w:val="Основной текст с отступом Знак1"/>
    <w:basedOn w:val="a0"/>
    <w:rsid w:val="00D517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D46D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D46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D1B59-95D5-4C33-8B09-56EC52208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14962</TotalTime>
  <Pages>10</Pages>
  <Words>4858</Words>
  <Characters>27692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32486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dda</dc:creator>
  <cp:keywords/>
  <dc:description/>
  <cp:lastModifiedBy>Данильчук</cp:lastModifiedBy>
  <cp:revision>700</cp:revision>
  <cp:lastPrinted>2019-02-11T09:59:00Z</cp:lastPrinted>
  <dcterms:created xsi:type="dcterms:W3CDTF">2017-10-03T07:24:00Z</dcterms:created>
  <dcterms:modified xsi:type="dcterms:W3CDTF">2019-02-11T10:30:00Z</dcterms:modified>
</cp:coreProperties>
</file>