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E0" w:rsidRPr="008D14C4" w:rsidRDefault="00D91BE0" w:rsidP="00D91BE0">
      <w:pPr>
        <w:pStyle w:val="ac"/>
        <w:rPr>
          <w:b/>
          <w:color w:val="000000"/>
          <w:sz w:val="24"/>
          <w:szCs w:val="24"/>
        </w:rPr>
      </w:pPr>
      <w:r w:rsidRPr="008D14C4">
        <w:rPr>
          <w:b/>
          <w:color w:val="000000"/>
          <w:sz w:val="24"/>
          <w:szCs w:val="24"/>
        </w:rPr>
        <w:t>Заключение</w:t>
      </w:r>
    </w:p>
    <w:p w:rsidR="00D91BE0" w:rsidRPr="00A22DED" w:rsidRDefault="00D91BE0" w:rsidP="00D91BE0">
      <w:pPr>
        <w:pStyle w:val="a3"/>
        <w:spacing w:after="0" w:line="276" w:lineRule="auto"/>
        <w:ind w:left="284"/>
        <w:jc w:val="center"/>
        <w:rPr>
          <w:b/>
          <w:color w:val="000000"/>
          <w:sz w:val="24"/>
        </w:rPr>
      </w:pPr>
      <w:r w:rsidRPr="00A22DED">
        <w:rPr>
          <w:b/>
          <w:color w:val="000000"/>
          <w:sz w:val="24"/>
          <w:szCs w:val="24"/>
        </w:rPr>
        <w:t>департамента по тарифам Новосибирской области</w:t>
      </w:r>
    </w:p>
    <w:p w:rsidR="00D91BE0" w:rsidRPr="00D91BE0" w:rsidRDefault="00D91BE0" w:rsidP="00D91BE0">
      <w:pPr>
        <w:pStyle w:val="1"/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91BE0">
        <w:rPr>
          <w:rFonts w:ascii="Times New Roman" w:hAnsi="Times New Roman" w:cs="Times New Roman"/>
          <w:color w:val="auto"/>
          <w:sz w:val="24"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2015 г</w:t>
      </w:r>
      <w:r>
        <w:rPr>
          <w:rFonts w:ascii="Times New Roman" w:hAnsi="Times New Roman" w:cs="Times New Roman"/>
          <w:color w:val="auto"/>
          <w:sz w:val="24"/>
          <w:szCs w:val="24"/>
        </w:rPr>
        <w:t>од</w:t>
      </w:r>
      <w:r w:rsidRPr="00D91BE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D91BE0">
        <w:rPr>
          <w:rFonts w:ascii="Times New Roman" w:hAnsi="Times New Roman" w:cs="Times New Roman"/>
          <w:color w:val="auto"/>
          <w:sz w:val="24"/>
          <w:szCs w:val="24"/>
        </w:rPr>
        <w:t>в рамках дела об установлении индивидуальных тарифов на услуги по передаче электрической энергии на долгосрочный период</w:t>
      </w:r>
      <w:proofErr w:type="gramEnd"/>
      <w:r w:rsidRPr="00D91BE0">
        <w:rPr>
          <w:rFonts w:ascii="Times New Roman" w:hAnsi="Times New Roman" w:cs="Times New Roman"/>
          <w:color w:val="auto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D91BE0">
        <w:rPr>
          <w:rFonts w:ascii="Times New Roman" w:hAnsi="Times New Roman" w:cs="Times New Roman"/>
          <w:color w:val="auto"/>
          <w:sz w:val="24"/>
          <w:szCs w:val="24"/>
        </w:rPr>
        <w:t>-201</w:t>
      </w: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D91BE0">
        <w:rPr>
          <w:rFonts w:ascii="Times New Roman" w:hAnsi="Times New Roman" w:cs="Times New Roman"/>
          <w:color w:val="auto"/>
          <w:sz w:val="24"/>
          <w:szCs w:val="24"/>
        </w:rPr>
        <w:t xml:space="preserve"> годы для О</w:t>
      </w:r>
      <w:r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D91BE0">
        <w:rPr>
          <w:rFonts w:ascii="Times New Roman" w:hAnsi="Times New Roman" w:cs="Times New Roman"/>
          <w:color w:val="auto"/>
          <w:sz w:val="24"/>
          <w:szCs w:val="24"/>
        </w:rPr>
        <w:t>О «</w:t>
      </w:r>
      <w:r>
        <w:rPr>
          <w:rFonts w:ascii="Times New Roman" w:hAnsi="Times New Roman" w:cs="Times New Roman"/>
          <w:color w:val="auto"/>
          <w:sz w:val="24"/>
          <w:szCs w:val="24"/>
        </w:rPr>
        <w:t>КОРС-А</w:t>
      </w:r>
      <w:r w:rsidRPr="00D91BE0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D91BE0" w:rsidRDefault="00D91BE0" w:rsidP="00FB2B5C">
      <w:pPr>
        <w:pStyle w:val="21"/>
        <w:spacing w:after="0" w:line="240" w:lineRule="auto"/>
        <w:jc w:val="center"/>
        <w:rPr>
          <w:b/>
          <w:sz w:val="24"/>
          <w:szCs w:val="24"/>
        </w:rPr>
      </w:pPr>
    </w:p>
    <w:p w:rsidR="00D91BE0" w:rsidRDefault="00D91BE0" w:rsidP="00FB2B5C">
      <w:pPr>
        <w:pStyle w:val="23"/>
        <w:spacing w:after="0"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6F5A32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6F5A32">
        <w:rPr>
          <w:sz w:val="24"/>
          <w:szCs w:val="24"/>
        </w:rPr>
        <w:t xml:space="preserve"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</w:t>
      </w:r>
      <w:r w:rsidR="00846F16">
        <w:rPr>
          <w:bCs/>
          <w:sz w:val="24"/>
          <w:szCs w:val="24"/>
        </w:rPr>
        <w:t>проекта Методических указаний по определению</w:t>
      </w:r>
      <w:proofErr w:type="gramEnd"/>
      <w:r w:rsidR="00846F16">
        <w:rPr>
          <w:bCs/>
          <w:sz w:val="24"/>
          <w:szCs w:val="24"/>
        </w:rPr>
        <w:t xml:space="preserve"> </w:t>
      </w:r>
      <w:proofErr w:type="gramStart"/>
      <w:r w:rsidR="00846F16">
        <w:rPr>
          <w:bCs/>
          <w:sz w:val="24"/>
          <w:szCs w:val="24"/>
        </w:rPr>
        <w:t>базового уровня операционных, подконтрольных расходов территориальных сетевых организаций, необходимых для осуществления регулируемой деятельности, индекса эффективности операционных, подконтрольных расходов с применением метода сравнения аналогов, разработанных ФСТ России и рекомендованных к применению письмом ФСТ России от 21.11.2014 № СП-12808/12 (далее - Методические указания с применением метода сравнения аналогов), Приказа Минэнерго России от 30.09.2014 № 674 «Об утверждении нормативов потерь электрической энергии при её передаче</w:t>
      </w:r>
      <w:proofErr w:type="gramEnd"/>
      <w:r w:rsidR="00846F16">
        <w:rPr>
          <w:bCs/>
          <w:sz w:val="24"/>
          <w:szCs w:val="24"/>
        </w:rPr>
        <w:t xml:space="preserve"> </w:t>
      </w:r>
      <w:proofErr w:type="gramStart"/>
      <w:r w:rsidR="00846F16">
        <w:rPr>
          <w:bCs/>
          <w:sz w:val="24"/>
          <w:szCs w:val="24"/>
        </w:rPr>
        <w:t xml:space="preserve">по электрическим сетям территориальных сетевых организаций» (далее - Нормативы потерь), </w:t>
      </w:r>
      <w:r w:rsidR="00846F16" w:rsidRPr="006F5A32">
        <w:rPr>
          <w:sz w:val="24"/>
          <w:szCs w:val="24"/>
        </w:rPr>
        <w:t xml:space="preserve">департаментом по тарифам Новосибирской области (далее департамент) </w:t>
      </w:r>
      <w:r w:rsidRPr="006F5A32">
        <w:rPr>
          <w:sz w:val="24"/>
          <w:szCs w:val="24"/>
        </w:rPr>
        <w:t>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 w:val="24"/>
          <w:szCs w:val="24"/>
        </w:rPr>
        <w:t>3</w:t>
      </w:r>
      <w:r w:rsidRPr="006F5A32">
        <w:rPr>
          <w:sz w:val="24"/>
          <w:szCs w:val="24"/>
        </w:rPr>
        <w:t>-201</w:t>
      </w:r>
      <w:r>
        <w:rPr>
          <w:sz w:val="24"/>
          <w:szCs w:val="24"/>
        </w:rPr>
        <w:t xml:space="preserve">5 </w:t>
      </w:r>
      <w:r w:rsidRPr="006F5A32">
        <w:rPr>
          <w:sz w:val="24"/>
          <w:szCs w:val="24"/>
        </w:rPr>
        <w:t xml:space="preserve">г.г. для </w:t>
      </w:r>
      <w:r>
        <w:rPr>
          <w:sz w:val="24"/>
          <w:szCs w:val="24"/>
        </w:rPr>
        <w:t>общества с ограниченной ответственностью</w:t>
      </w:r>
      <w:r w:rsidRPr="005B6BF5">
        <w:rPr>
          <w:sz w:val="24"/>
          <w:szCs w:val="24"/>
        </w:rPr>
        <w:t xml:space="preserve"> «К</w:t>
      </w:r>
      <w:r>
        <w:rPr>
          <w:sz w:val="24"/>
          <w:szCs w:val="24"/>
        </w:rPr>
        <w:t>ОРС</w:t>
      </w:r>
      <w:r w:rsidRPr="005B6BF5">
        <w:rPr>
          <w:sz w:val="24"/>
          <w:szCs w:val="24"/>
        </w:rPr>
        <w:t>-А»</w:t>
      </w:r>
      <w:r w:rsidRPr="006F5A32">
        <w:rPr>
          <w:sz w:val="24"/>
          <w:szCs w:val="24"/>
        </w:rPr>
        <w:t xml:space="preserve"> </w:t>
      </w:r>
      <w:r w:rsidRPr="00662ED9">
        <w:rPr>
          <w:sz w:val="24"/>
          <w:szCs w:val="24"/>
        </w:rPr>
        <w:t>(</w:t>
      </w:r>
      <w:r w:rsidRPr="00AF0915">
        <w:rPr>
          <w:sz w:val="24"/>
          <w:szCs w:val="24"/>
        </w:rPr>
        <w:t>ОГРН</w:t>
      </w:r>
      <w:r>
        <w:rPr>
          <w:sz w:val="24"/>
          <w:szCs w:val="24"/>
        </w:rPr>
        <w:t xml:space="preserve"> </w:t>
      </w:r>
      <w:r w:rsidRPr="005A3A2D">
        <w:rPr>
          <w:sz w:val="24"/>
          <w:szCs w:val="24"/>
          <w:shd w:val="clear" w:color="auto" w:fill="FFFFFF"/>
        </w:rPr>
        <w:t>1095402013046</w:t>
      </w:r>
      <w:r w:rsidRPr="00AF0915">
        <w:rPr>
          <w:sz w:val="24"/>
          <w:szCs w:val="24"/>
        </w:rPr>
        <w:t>, ИНН</w:t>
      </w:r>
      <w:r>
        <w:rPr>
          <w:sz w:val="24"/>
          <w:szCs w:val="24"/>
        </w:rPr>
        <w:t xml:space="preserve"> 5402519148</w:t>
      </w:r>
      <w:r w:rsidRPr="00662ED9">
        <w:rPr>
          <w:sz w:val="24"/>
          <w:szCs w:val="24"/>
        </w:rPr>
        <w:t>) (</w:t>
      </w:r>
      <w:r w:rsidRPr="00662ED9">
        <w:rPr>
          <w:sz w:val="24"/>
        </w:rPr>
        <w:t xml:space="preserve">далее </w:t>
      </w:r>
      <w:r w:rsidRPr="005B6BF5">
        <w:rPr>
          <w:sz w:val="24"/>
          <w:szCs w:val="24"/>
        </w:rPr>
        <w:t>ООО «К</w:t>
      </w:r>
      <w:r>
        <w:rPr>
          <w:sz w:val="24"/>
          <w:szCs w:val="24"/>
        </w:rPr>
        <w:t>ОРС</w:t>
      </w:r>
      <w:r w:rsidRPr="005B6BF5">
        <w:rPr>
          <w:sz w:val="24"/>
          <w:szCs w:val="24"/>
        </w:rPr>
        <w:t>-А»</w:t>
      </w:r>
      <w:r w:rsidRPr="00662ED9">
        <w:rPr>
          <w:sz w:val="24"/>
        </w:rPr>
        <w:t>)</w:t>
      </w:r>
      <w:r>
        <w:rPr>
          <w:sz w:val="24"/>
        </w:rPr>
        <w:t xml:space="preserve"> </w:t>
      </w:r>
      <w:r w:rsidRPr="006F5A32">
        <w:rPr>
          <w:sz w:val="24"/>
          <w:szCs w:val="24"/>
        </w:rPr>
        <w:t xml:space="preserve">произведена корректировка </w:t>
      </w:r>
      <w:r>
        <w:rPr>
          <w:sz w:val="24"/>
          <w:szCs w:val="24"/>
        </w:rPr>
        <w:t xml:space="preserve">необходимой валовой выручки </w:t>
      </w:r>
      <w:r w:rsidRPr="006F5A32">
        <w:rPr>
          <w:sz w:val="24"/>
          <w:szCs w:val="24"/>
        </w:rPr>
        <w:t>на 201</w:t>
      </w:r>
      <w:r>
        <w:rPr>
          <w:sz w:val="24"/>
          <w:szCs w:val="24"/>
        </w:rPr>
        <w:t>5 г</w:t>
      </w:r>
      <w:r w:rsidRPr="006F5A32">
        <w:rPr>
          <w:sz w:val="24"/>
          <w:szCs w:val="24"/>
        </w:rPr>
        <w:t>.</w:t>
      </w:r>
      <w:r>
        <w:rPr>
          <w:sz w:val="24"/>
          <w:szCs w:val="24"/>
        </w:rPr>
        <w:t>, в том числе по</w:t>
      </w:r>
      <w:proofErr w:type="gramEnd"/>
      <w:r>
        <w:rPr>
          <w:sz w:val="24"/>
          <w:szCs w:val="24"/>
        </w:rPr>
        <w:t xml:space="preserve"> полугодиям.</w:t>
      </w:r>
    </w:p>
    <w:p w:rsidR="00382E79" w:rsidRDefault="00382E79" w:rsidP="00FB2B5C">
      <w:pPr>
        <w:pStyle w:val="a3"/>
        <w:spacing w:after="0"/>
        <w:ind w:left="0" w:firstLine="709"/>
        <w:jc w:val="both"/>
        <w:rPr>
          <w:sz w:val="24"/>
          <w:szCs w:val="24"/>
        </w:rPr>
      </w:pPr>
    </w:p>
    <w:p w:rsidR="00CB1E58" w:rsidRPr="005B6BF5" w:rsidRDefault="00CB1E58" w:rsidP="00FB2B5C">
      <w:pPr>
        <w:pStyle w:val="a3"/>
        <w:spacing w:after="0"/>
        <w:ind w:left="0" w:firstLine="709"/>
        <w:jc w:val="both"/>
        <w:rPr>
          <w:sz w:val="24"/>
          <w:szCs w:val="24"/>
        </w:rPr>
      </w:pPr>
    </w:p>
    <w:p w:rsidR="00F175EC" w:rsidRDefault="00F175EC" w:rsidP="00A97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661C" w:rsidRPr="00ED661C" w:rsidRDefault="00ED661C" w:rsidP="004950C8">
      <w:pPr>
        <w:pStyle w:val="a3"/>
        <w:numPr>
          <w:ilvl w:val="0"/>
          <w:numId w:val="31"/>
        </w:numPr>
        <w:spacing w:after="0"/>
        <w:jc w:val="center"/>
        <w:rPr>
          <w:b/>
          <w:color w:val="000000"/>
          <w:sz w:val="24"/>
        </w:rPr>
      </w:pPr>
      <w:r w:rsidRPr="00ED661C">
        <w:rPr>
          <w:b/>
          <w:sz w:val="24"/>
        </w:rPr>
        <w:t xml:space="preserve">Корректировка расходов и необходимой валовой выручки </w:t>
      </w:r>
      <w:r w:rsidRPr="00ED661C">
        <w:rPr>
          <w:b/>
          <w:sz w:val="24"/>
          <w:szCs w:val="24"/>
        </w:rPr>
        <w:t>на осуществление деятельности по оказанию услуг по передаче электрической энерг</w:t>
      </w:r>
      <w:proofErr w:type="gramStart"/>
      <w:r w:rsidRPr="00ED661C">
        <w:rPr>
          <w:b/>
          <w:sz w:val="24"/>
          <w:szCs w:val="24"/>
        </w:rPr>
        <w:t xml:space="preserve">ии </w:t>
      </w:r>
      <w:r w:rsidRPr="00ED661C">
        <w:rPr>
          <w:b/>
          <w:sz w:val="24"/>
        </w:rPr>
        <w:t>О</w:t>
      </w:r>
      <w:r>
        <w:rPr>
          <w:b/>
          <w:sz w:val="24"/>
        </w:rPr>
        <w:t>О</w:t>
      </w:r>
      <w:r w:rsidRPr="00ED661C">
        <w:rPr>
          <w:b/>
          <w:sz w:val="24"/>
        </w:rPr>
        <w:t>О</w:t>
      </w:r>
      <w:proofErr w:type="gramEnd"/>
      <w:r w:rsidRPr="00ED661C">
        <w:rPr>
          <w:b/>
          <w:sz w:val="24"/>
        </w:rPr>
        <w:t xml:space="preserve"> «</w:t>
      </w:r>
      <w:r>
        <w:rPr>
          <w:b/>
          <w:sz w:val="24"/>
        </w:rPr>
        <w:t>КОРС-А</w:t>
      </w:r>
      <w:r w:rsidRPr="00ED661C">
        <w:rPr>
          <w:b/>
          <w:sz w:val="24"/>
        </w:rPr>
        <w:t xml:space="preserve">» </w:t>
      </w:r>
      <w:r w:rsidRPr="00ED661C">
        <w:rPr>
          <w:b/>
          <w:sz w:val="24"/>
          <w:szCs w:val="24"/>
        </w:rPr>
        <w:t xml:space="preserve">на 2015 год в рамках долгосрочного периода регулирования </w:t>
      </w:r>
      <w:r w:rsidRPr="00ED661C">
        <w:rPr>
          <w:b/>
          <w:color w:val="000000"/>
          <w:sz w:val="24"/>
          <w:szCs w:val="24"/>
        </w:rPr>
        <w:t xml:space="preserve">2014-2016 </w:t>
      </w:r>
      <w:r>
        <w:rPr>
          <w:b/>
          <w:color w:val="000000"/>
          <w:sz w:val="24"/>
          <w:szCs w:val="24"/>
        </w:rPr>
        <w:t>годы</w:t>
      </w:r>
    </w:p>
    <w:p w:rsidR="00ED661C" w:rsidRPr="00ED661C" w:rsidRDefault="00ED661C" w:rsidP="00ED661C">
      <w:pPr>
        <w:pStyle w:val="a3"/>
        <w:ind w:left="1069"/>
        <w:rPr>
          <w:b/>
          <w:color w:val="000000"/>
          <w:sz w:val="8"/>
          <w:szCs w:val="8"/>
        </w:rPr>
      </w:pPr>
    </w:p>
    <w:p w:rsidR="00ED661C" w:rsidRPr="00ED661C" w:rsidRDefault="00ED661C" w:rsidP="00ED661C">
      <w:pPr>
        <w:pStyle w:val="a5"/>
        <w:numPr>
          <w:ilvl w:val="0"/>
          <w:numId w:val="2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D661C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значения параметров расчёта тарифов </w:t>
      </w:r>
      <w:r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Pr="00ED661C">
        <w:rPr>
          <w:rFonts w:ascii="Times New Roman" w:hAnsi="Times New Roman" w:cs="Times New Roman"/>
          <w:b/>
          <w:i/>
          <w:sz w:val="24"/>
          <w:szCs w:val="24"/>
        </w:rPr>
        <w:t xml:space="preserve"> 2015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ED661C" w:rsidRPr="00ED661C" w:rsidRDefault="00ED661C" w:rsidP="00ED661C">
      <w:pPr>
        <w:pStyle w:val="a5"/>
        <w:tabs>
          <w:tab w:val="left" w:pos="108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8"/>
          <w:szCs w:val="8"/>
        </w:rPr>
      </w:pPr>
    </w:p>
    <w:p w:rsidR="00ED661C" w:rsidRPr="00ED661C" w:rsidRDefault="00ED661C" w:rsidP="00ED66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Уточненный индекс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26.09.2014 г. составляет на 2015 г. 106,7 %.</w:t>
      </w:r>
    </w:p>
    <w:p w:rsidR="00ED661C" w:rsidRPr="00ED661C" w:rsidRDefault="00ED661C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Размер активов принят департаментом без изменений в размере </w:t>
      </w:r>
      <w:r>
        <w:rPr>
          <w:rFonts w:ascii="Times New Roman" w:hAnsi="Times New Roman" w:cs="Times New Roman"/>
          <w:bCs/>
          <w:color w:val="000000"/>
        </w:rPr>
        <w:t>148,68</w:t>
      </w:r>
      <w:r w:rsidRPr="00ED661C">
        <w:rPr>
          <w:rFonts w:ascii="Times New Roman" w:hAnsi="Times New Roman" w:cs="Times New Roman"/>
          <w:bCs/>
          <w:color w:val="000000"/>
        </w:rPr>
        <w:t xml:space="preserve"> 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>условных единиц (</w:t>
      </w:r>
      <w:proofErr w:type="spellStart"/>
      <w:r w:rsidRPr="00ED661C">
        <w:rPr>
          <w:rFonts w:ascii="Times New Roman" w:hAnsi="Times New Roman" w:cs="Times New Roman"/>
          <w:color w:val="000000"/>
          <w:sz w:val="24"/>
          <w:szCs w:val="24"/>
        </w:rPr>
        <w:t>у.е</w:t>
      </w:r>
      <w:proofErr w:type="spellEnd"/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.), что соответствует размеру активов базового периода.  </w:t>
      </w:r>
    </w:p>
    <w:p w:rsidR="00ED661C" w:rsidRPr="00ED661C" w:rsidRDefault="00ED661C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Величина подконтрольных расходов на 2015 год сформирована, </w:t>
      </w:r>
      <w:r w:rsidRPr="00ED661C">
        <w:rPr>
          <w:rFonts w:ascii="Times New Roman" w:hAnsi="Times New Roman" w:cs="Times New Roman"/>
          <w:sz w:val="24"/>
          <w:szCs w:val="24"/>
        </w:rPr>
        <w:t>исходя из базовых расходов,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установленных на 2014 год, с учётом уточнённого индекса потребительских цен на 2015 г. и составит </w:t>
      </w:r>
      <w:r w:rsidR="00B74AED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4AED">
        <w:rPr>
          <w:rFonts w:ascii="Times New Roman" w:hAnsi="Times New Roman" w:cs="Times New Roman"/>
          <w:bCs/>
          <w:sz w:val="24"/>
          <w:szCs w:val="24"/>
        </w:rPr>
        <w:t>1 391,4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D661C">
        <w:rPr>
          <w:rFonts w:ascii="Times New Roman" w:hAnsi="Times New Roman" w:cs="Times New Roman"/>
          <w:bCs/>
        </w:rPr>
        <w:t xml:space="preserve"> 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>тыс</w:t>
      </w:r>
      <w:proofErr w:type="gramStart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уб. </w:t>
      </w:r>
    </w:p>
    <w:p w:rsidR="00ED661C" w:rsidRPr="00ED661C" w:rsidRDefault="00ED661C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Величина неподконтрольных расходов 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на 2015 г. составит </w:t>
      </w:r>
      <w:r w:rsidR="00135BFA">
        <w:rPr>
          <w:rFonts w:ascii="Times New Roman" w:hAnsi="Times New Roman" w:cs="Times New Roman"/>
          <w:color w:val="000000"/>
          <w:sz w:val="24"/>
          <w:szCs w:val="24"/>
        </w:rPr>
        <w:t>211,4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тыс</w:t>
      </w:r>
      <w:proofErr w:type="gramStart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>уб.</w:t>
      </w:r>
    </w:p>
    <w:p w:rsidR="00ED661C" w:rsidRPr="00ED661C" w:rsidRDefault="00ED661C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Расходы сформированы: </w:t>
      </w:r>
    </w:p>
    <w:p w:rsidR="00ED661C" w:rsidRPr="00ED661C" w:rsidRDefault="00ED661C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>- в части налогов, страховых взносов и обязательных платежей расчётным способом исходя из налогооблагаемой базы и действующих ставок</w:t>
      </w:r>
      <w:r w:rsidRPr="00ED661C">
        <w:rPr>
          <w:rFonts w:ascii="Times New Roman" w:hAnsi="Times New Roman" w:cs="Times New Roman"/>
          <w:sz w:val="24"/>
          <w:szCs w:val="24"/>
        </w:rPr>
        <w:t xml:space="preserve">; 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>тариф на обязательное социальное страхование от несчастных случаев на производстве и профессиональных заболеваний, установленный для организаций, оказывающих услуги по передаче электрической энергии в размере 0,2 % от ФОТ ППП (</w:t>
      </w:r>
      <w:r w:rsidRPr="00ED661C">
        <w:rPr>
          <w:rFonts w:ascii="Times New Roman" w:hAnsi="Times New Roman" w:cs="Times New Roman"/>
          <w:bCs/>
          <w:sz w:val="24"/>
          <w:szCs w:val="24"/>
        </w:rPr>
        <w:t>1 класс профессионального риска – деятельность по обеспечению работоспособности электрических сетей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81067A" w:rsidRDefault="00ED661C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61C">
        <w:rPr>
          <w:rFonts w:ascii="Times New Roman" w:hAnsi="Times New Roman" w:cs="Times New Roman"/>
          <w:sz w:val="24"/>
          <w:szCs w:val="24"/>
        </w:rPr>
        <w:lastRenderedPageBreak/>
        <w:t xml:space="preserve">- амортизационные отчисления </w:t>
      </w:r>
      <w:r w:rsidR="00135BFA">
        <w:rPr>
          <w:rFonts w:ascii="Times New Roman" w:hAnsi="Times New Roman" w:cs="Times New Roman"/>
          <w:sz w:val="24"/>
          <w:szCs w:val="24"/>
        </w:rPr>
        <w:t>соответствуют базовому уровню расходов</w:t>
      </w:r>
      <w:r w:rsidR="0081067A">
        <w:rPr>
          <w:rFonts w:ascii="Times New Roman" w:hAnsi="Times New Roman" w:cs="Times New Roman"/>
          <w:sz w:val="24"/>
          <w:szCs w:val="24"/>
        </w:rPr>
        <w:t>;</w:t>
      </w:r>
    </w:p>
    <w:p w:rsidR="00ED661C" w:rsidRPr="00ED661C" w:rsidRDefault="0081067A" w:rsidP="00ED66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2C34">
        <w:rPr>
          <w:rFonts w:ascii="Times New Roman" w:hAnsi="Times New Roman" w:cs="Times New Roman"/>
          <w:sz w:val="24"/>
          <w:szCs w:val="24"/>
        </w:rPr>
        <w:t xml:space="preserve">расходы по </w:t>
      </w:r>
      <w:r>
        <w:rPr>
          <w:rFonts w:ascii="Times New Roman" w:hAnsi="Times New Roman" w:cs="Times New Roman"/>
          <w:sz w:val="24"/>
          <w:szCs w:val="24"/>
        </w:rPr>
        <w:t>налог</w:t>
      </w:r>
      <w:r w:rsidR="00B72C3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на прибыль </w:t>
      </w:r>
      <w:r w:rsidR="00B72C34">
        <w:rPr>
          <w:rFonts w:ascii="Times New Roman" w:hAnsi="Times New Roman" w:cs="Times New Roman"/>
          <w:sz w:val="24"/>
          <w:szCs w:val="24"/>
        </w:rPr>
        <w:t>исключены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72C34">
        <w:rPr>
          <w:rFonts w:ascii="Times New Roman" w:hAnsi="Times New Roman" w:cs="Times New Roman"/>
          <w:sz w:val="24"/>
          <w:szCs w:val="24"/>
        </w:rPr>
        <w:t xml:space="preserve">так как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B72C34">
        <w:rPr>
          <w:rFonts w:ascii="Times New Roman" w:hAnsi="Times New Roman" w:cs="Times New Roman"/>
          <w:sz w:val="24"/>
          <w:szCs w:val="24"/>
        </w:rPr>
        <w:t>соответствии с п.20 Основ ценообразования при установлении тарифов на услуги по передаче электрической энергии</w:t>
      </w:r>
      <w:r w:rsidR="008274CE">
        <w:rPr>
          <w:rFonts w:ascii="Times New Roman" w:hAnsi="Times New Roman" w:cs="Times New Roman"/>
          <w:sz w:val="24"/>
          <w:szCs w:val="24"/>
        </w:rPr>
        <w:t xml:space="preserve"> величина налога на прибыль учитывается по данным бухгалтерского учета за последний отчетный год. По данным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по результатам </w:t>
      </w:r>
      <w:r w:rsidR="008274CE">
        <w:rPr>
          <w:rFonts w:ascii="Times New Roman" w:hAnsi="Times New Roman" w:cs="Times New Roman"/>
          <w:sz w:val="24"/>
          <w:szCs w:val="24"/>
        </w:rPr>
        <w:t xml:space="preserve">регулируемой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 w:rsidR="008274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 2013 год организацией получен убыток</w:t>
      </w:r>
      <w:r w:rsidR="00135B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274CE">
        <w:rPr>
          <w:rFonts w:ascii="Times New Roman" w:hAnsi="Times New Roman" w:cs="Times New Roman"/>
          <w:color w:val="000000"/>
          <w:sz w:val="24"/>
          <w:szCs w:val="24"/>
        </w:rPr>
        <w:t xml:space="preserve"> Кроме того, организацией не ведется раздельный учет по видам деятельности.</w:t>
      </w:r>
      <w:r w:rsidR="00ED661C"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D661C" w:rsidRPr="00ED661C" w:rsidRDefault="00ED661C" w:rsidP="00ED66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переток</w:t>
      </w:r>
      <w:proofErr w:type="spellEnd"/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мощности, принятый при расчёте тарифа </w:t>
      </w:r>
      <w:r w:rsidRPr="00ED661C">
        <w:rPr>
          <w:rFonts w:ascii="Times New Roman" w:hAnsi="Times New Roman" w:cs="Times New Roman"/>
          <w:sz w:val="24"/>
          <w:szCs w:val="24"/>
        </w:rPr>
        <w:t>на услуги по передаче электрической энергии</w:t>
      </w:r>
      <w:r w:rsidR="00203AFB">
        <w:rPr>
          <w:rFonts w:ascii="Times New Roman" w:hAnsi="Times New Roman" w:cs="Times New Roman"/>
          <w:sz w:val="24"/>
          <w:szCs w:val="24"/>
        </w:rPr>
        <w:t>,</w:t>
      </w:r>
      <w:r w:rsidRPr="00ED661C">
        <w:rPr>
          <w:rFonts w:ascii="Times New Roman" w:hAnsi="Times New Roman" w:cs="Times New Roman"/>
          <w:sz w:val="24"/>
          <w:szCs w:val="24"/>
        </w:rPr>
        <w:t xml:space="preserve"> </w:t>
      </w:r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составит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7E8C" w:rsidRPr="00427E8C">
        <w:rPr>
          <w:rFonts w:ascii="Times New Roman" w:hAnsi="Times New Roman" w:cs="Times New Roman"/>
          <w:color w:val="000000"/>
          <w:sz w:val="24"/>
          <w:szCs w:val="24"/>
        </w:rPr>
        <w:t>0,972</w:t>
      </w:r>
      <w:r w:rsidRPr="00427E8C">
        <w:rPr>
          <w:rFonts w:ascii="Times New Roman" w:hAnsi="Times New Roman" w:cs="Times New Roman"/>
          <w:sz w:val="24"/>
          <w:szCs w:val="24"/>
        </w:rPr>
        <w:t xml:space="preserve"> </w:t>
      </w:r>
      <w:r w:rsidRPr="00427E8C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427E8C">
        <w:rPr>
          <w:rFonts w:ascii="Times New Roman" w:hAnsi="Times New Roman" w:cs="Times New Roman"/>
          <w:bCs/>
          <w:color w:val="000000"/>
          <w:sz w:val="24"/>
          <w:szCs w:val="24"/>
        </w:rPr>
        <w:t>Вт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в том числе на первое полугодие – </w:t>
      </w:r>
      <w:r w:rsidR="00427E8C">
        <w:rPr>
          <w:rFonts w:ascii="Times New Roman" w:hAnsi="Times New Roman" w:cs="Times New Roman"/>
          <w:bCs/>
          <w:color w:val="000000"/>
          <w:sz w:val="24"/>
          <w:szCs w:val="24"/>
        </w:rPr>
        <w:t>1,002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МВт, на второе полугодие – </w:t>
      </w:r>
      <w:r w:rsidR="00427E8C">
        <w:rPr>
          <w:rFonts w:ascii="Times New Roman" w:hAnsi="Times New Roman" w:cs="Times New Roman"/>
          <w:bCs/>
          <w:color w:val="000000"/>
          <w:sz w:val="24"/>
          <w:szCs w:val="24"/>
        </w:rPr>
        <w:t>0,943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МВт.</w:t>
      </w:r>
    </w:p>
    <w:p w:rsidR="00ED661C" w:rsidRDefault="00ED661C" w:rsidP="00ED66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переток</w:t>
      </w:r>
      <w:proofErr w:type="spellEnd"/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электрической энергии, принят при расчёте тарифа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на услуги по</w:t>
      </w:r>
      <w:r w:rsidR="00203AFB">
        <w:rPr>
          <w:rFonts w:ascii="Times New Roman" w:hAnsi="Times New Roman" w:cs="Times New Roman"/>
          <w:color w:val="000000"/>
          <w:sz w:val="24"/>
          <w:szCs w:val="24"/>
        </w:rPr>
        <w:t xml:space="preserve"> передаче электрической энергии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0C1F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 w:rsidR="00200C1F" w:rsidRPr="00200C1F">
        <w:rPr>
          <w:rFonts w:ascii="Times New Roman" w:hAnsi="Times New Roman" w:cs="Times New Roman"/>
          <w:color w:val="000000"/>
          <w:sz w:val="24"/>
          <w:szCs w:val="24"/>
        </w:rPr>
        <w:t xml:space="preserve">с балансом, утвержденным приказом ФСТ от 27.11.2014 № 276-э/1 и </w:t>
      </w:r>
      <w:r w:rsidRPr="00200C1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сос</w:t>
      </w:r>
      <w:r w:rsidRPr="00ED6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тавит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4494">
        <w:rPr>
          <w:rFonts w:ascii="Times New Roman" w:hAnsi="Times New Roman" w:cs="Times New Roman"/>
          <w:color w:val="000000"/>
          <w:sz w:val="24"/>
          <w:szCs w:val="24"/>
        </w:rPr>
        <w:t>7,037</w:t>
      </w:r>
      <w:r w:rsidRPr="00ED661C">
        <w:rPr>
          <w:rFonts w:ascii="Times New Roman" w:hAnsi="Times New Roman" w:cs="Times New Roman"/>
          <w:color w:val="000000"/>
          <w:sz w:val="24"/>
          <w:szCs w:val="24"/>
        </w:rPr>
        <w:t xml:space="preserve"> млн</w:t>
      </w:r>
      <w:proofErr w:type="gramStart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>.к</w:t>
      </w:r>
      <w:proofErr w:type="gramEnd"/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Втч, в том числе на первое полугодие – </w:t>
      </w:r>
      <w:r w:rsidR="00E6462E">
        <w:rPr>
          <w:rFonts w:ascii="Times New Roman" w:hAnsi="Times New Roman" w:cs="Times New Roman"/>
          <w:bCs/>
          <w:color w:val="000000"/>
          <w:sz w:val="24"/>
          <w:szCs w:val="24"/>
        </w:rPr>
        <w:t>3,</w:t>
      </w:r>
      <w:r w:rsidR="00A24494">
        <w:rPr>
          <w:rFonts w:ascii="Times New Roman" w:hAnsi="Times New Roman" w:cs="Times New Roman"/>
          <w:bCs/>
          <w:color w:val="000000"/>
          <w:sz w:val="24"/>
          <w:szCs w:val="24"/>
        </w:rPr>
        <w:t>615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млн.кВтч, на второе полугодие – </w:t>
      </w:r>
      <w:r w:rsidR="00E6462E">
        <w:rPr>
          <w:rFonts w:ascii="Times New Roman" w:hAnsi="Times New Roman" w:cs="Times New Roman"/>
          <w:bCs/>
          <w:color w:val="000000"/>
          <w:sz w:val="24"/>
          <w:szCs w:val="24"/>
        </w:rPr>
        <w:t>3,</w:t>
      </w:r>
      <w:r w:rsidR="00A24494">
        <w:rPr>
          <w:rFonts w:ascii="Times New Roman" w:hAnsi="Times New Roman" w:cs="Times New Roman"/>
          <w:bCs/>
          <w:color w:val="000000"/>
          <w:sz w:val="24"/>
          <w:szCs w:val="24"/>
        </w:rPr>
        <w:t>422</w:t>
      </w:r>
      <w:r w:rsidRPr="00ED6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млн.кВтч.</w:t>
      </w:r>
    </w:p>
    <w:p w:rsidR="00C2363D" w:rsidRPr="00CE4D0B" w:rsidRDefault="00C2363D" w:rsidP="00C53827">
      <w:pPr>
        <w:pStyle w:val="23"/>
        <w:spacing w:after="0" w:line="240" w:lineRule="auto"/>
        <w:ind w:left="0" w:firstLine="709"/>
        <w:jc w:val="both"/>
        <w:rPr>
          <w:color w:val="FF0000"/>
          <w:sz w:val="24"/>
          <w:szCs w:val="24"/>
        </w:rPr>
      </w:pPr>
      <w:r w:rsidRPr="00C53827">
        <w:rPr>
          <w:bCs/>
          <w:sz w:val="24"/>
          <w:szCs w:val="24"/>
        </w:rPr>
        <w:t>Цена (тариф) покупки потерь электрической энергии, учитываемая при</w:t>
      </w:r>
      <w:r w:rsidRPr="00C53827">
        <w:rPr>
          <w:sz w:val="24"/>
          <w:szCs w:val="24"/>
        </w:rPr>
        <w:t xml:space="preserve"> установлении </w:t>
      </w:r>
      <w:r w:rsidRPr="00CE4D0B">
        <w:rPr>
          <w:sz w:val="24"/>
          <w:szCs w:val="24"/>
        </w:rPr>
        <w:t xml:space="preserve">тарифа на услуги по передаче электрической энергии, </w:t>
      </w:r>
      <w:r w:rsidR="00C53827" w:rsidRPr="00CE4D0B">
        <w:rPr>
          <w:sz w:val="24"/>
          <w:szCs w:val="24"/>
        </w:rPr>
        <w:t xml:space="preserve">на 2015 год </w:t>
      </w:r>
      <w:r w:rsidRPr="00CE4D0B">
        <w:rPr>
          <w:sz w:val="24"/>
          <w:szCs w:val="24"/>
        </w:rPr>
        <w:t>составит  1360,8 руб./</w:t>
      </w:r>
      <w:proofErr w:type="spellStart"/>
      <w:r w:rsidRPr="00CE4D0B">
        <w:rPr>
          <w:sz w:val="24"/>
          <w:szCs w:val="24"/>
        </w:rPr>
        <w:t>МВтч</w:t>
      </w:r>
      <w:proofErr w:type="spellEnd"/>
      <w:r w:rsidRPr="00CE4D0B">
        <w:rPr>
          <w:sz w:val="24"/>
          <w:szCs w:val="24"/>
        </w:rPr>
        <w:t xml:space="preserve">. </w:t>
      </w:r>
      <w:r w:rsidR="00C53827" w:rsidRPr="00CE4D0B">
        <w:rPr>
          <w:sz w:val="24"/>
          <w:szCs w:val="24"/>
        </w:rPr>
        <w:t>(сформирована с учётом фактической средневзвешенной стоимости покупки</w:t>
      </w:r>
      <w:r w:rsidR="00C53827" w:rsidRPr="00CE4D0B">
        <w:rPr>
          <w:color w:val="000000"/>
          <w:sz w:val="24"/>
          <w:szCs w:val="24"/>
        </w:rPr>
        <w:t xml:space="preserve"> электроэнергии на оптовом рынке по данным за январ</w:t>
      </w:r>
      <w:proofErr w:type="gramStart"/>
      <w:r w:rsidR="00C53827" w:rsidRPr="00CE4D0B">
        <w:rPr>
          <w:color w:val="000000"/>
          <w:sz w:val="24"/>
          <w:szCs w:val="24"/>
        </w:rPr>
        <w:t>ь-</w:t>
      </w:r>
      <w:proofErr w:type="gramEnd"/>
      <w:r w:rsidR="00C53827" w:rsidRPr="00CE4D0B">
        <w:rPr>
          <w:color w:val="000000"/>
          <w:sz w:val="24"/>
          <w:szCs w:val="24"/>
        </w:rPr>
        <w:t xml:space="preserve"> октябрь 2014г. – 1233,7 руб./</w:t>
      </w:r>
      <w:proofErr w:type="spellStart"/>
      <w:r w:rsidR="00C53827" w:rsidRPr="00CE4D0B">
        <w:rPr>
          <w:color w:val="000000"/>
          <w:sz w:val="24"/>
          <w:szCs w:val="24"/>
        </w:rPr>
        <w:t>МВтч</w:t>
      </w:r>
      <w:proofErr w:type="spellEnd"/>
      <w:r w:rsidR="00C53827" w:rsidRPr="00CE4D0B">
        <w:rPr>
          <w:color w:val="000000"/>
          <w:sz w:val="24"/>
          <w:szCs w:val="24"/>
        </w:rPr>
        <w:t xml:space="preserve"> и прогнозного индекса изменения цен на электрическую энергию (цены на оптовом рынке)</w:t>
      </w:r>
      <w:r w:rsidR="00C53827" w:rsidRPr="00CE4D0B">
        <w:rPr>
          <w:sz w:val="24"/>
          <w:szCs w:val="24"/>
        </w:rPr>
        <w:t xml:space="preserve"> в размере 110,3%).</w:t>
      </w:r>
      <w:r w:rsidR="00C53827" w:rsidRPr="00CE4D0B">
        <w:rPr>
          <w:color w:val="FF0000"/>
          <w:sz w:val="24"/>
          <w:szCs w:val="24"/>
        </w:rPr>
        <w:t xml:space="preserve"> </w:t>
      </w:r>
    </w:p>
    <w:p w:rsidR="00912DBA" w:rsidRDefault="00912DBA" w:rsidP="00ED66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12DBA" w:rsidRPr="00912DBA" w:rsidRDefault="00912DBA" w:rsidP="00912DBA">
      <w:pPr>
        <w:pStyle w:val="23"/>
        <w:spacing w:after="0" w:line="240" w:lineRule="auto"/>
        <w:ind w:left="0" w:firstLine="709"/>
        <w:jc w:val="both"/>
        <w:rPr>
          <w:b/>
          <w:bCs/>
          <w:i/>
          <w:color w:val="000000"/>
          <w:sz w:val="24"/>
          <w:szCs w:val="24"/>
        </w:rPr>
      </w:pPr>
      <w:r w:rsidRPr="00912DBA">
        <w:rPr>
          <w:b/>
          <w:bCs/>
          <w:i/>
          <w:color w:val="000000"/>
          <w:sz w:val="24"/>
          <w:szCs w:val="24"/>
        </w:rPr>
        <w:t>2. Корректировка НВВ с учетом исполнения показателей надежности и качества</w:t>
      </w:r>
    </w:p>
    <w:p w:rsidR="007D07E2" w:rsidRPr="00035132" w:rsidRDefault="007D07E2" w:rsidP="007D0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132">
        <w:rPr>
          <w:rFonts w:ascii="Times New Roman" w:hAnsi="Times New Roman" w:cs="Times New Roman"/>
          <w:sz w:val="24"/>
          <w:szCs w:val="24"/>
        </w:rPr>
        <w:t>В связи с тем, что отчетные данные по показателям уровней надёжности и качества представлены позже срока, установленного пунктом 14 постановления Правительства РФ от 31.12.2009 N 1220 "Об определении применяемых при установлении долгосрочных тарифов показателей надежности и качества поставляемых товаров и оказываемых услуг", корректировка НВВ на 2015 год проводиться не будет.</w:t>
      </w:r>
    </w:p>
    <w:p w:rsidR="00912DBA" w:rsidRPr="00912DBA" w:rsidRDefault="00912DBA" w:rsidP="00912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2DBA" w:rsidRPr="00912DBA" w:rsidRDefault="00912DBA" w:rsidP="0091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2DBA">
        <w:rPr>
          <w:rFonts w:ascii="Times New Roman" w:hAnsi="Times New Roman" w:cs="Times New Roman"/>
          <w:b/>
          <w:i/>
          <w:sz w:val="24"/>
          <w:szCs w:val="24"/>
        </w:rPr>
        <w:t>3. Корректировка НВВ с учетом изменения полезного отпуска и цен</w:t>
      </w:r>
    </w:p>
    <w:p w:rsidR="00E6462E" w:rsidRDefault="00E6462E" w:rsidP="00E646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12DBA" w:rsidRPr="00E6462E" w:rsidRDefault="00B57DBA" w:rsidP="00E646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</w:t>
      </w:r>
      <w:r w:rsidRPr="00E6462E">
        <w:rPr>
          <w:rFonts w:ascii="Times New Roman" w:hAnsi="Times New Roman" w:cs="Times New Roman"/>
          <w:sz w:val="24"/>
          <w:szCs w:val="24"/>
        </w:rPr>
        <w:t xml:space="preserve">деятельности по передаче электрической энергии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E6462E">
        <w:rPr>
          <w:rFonts w:ascii="Times New Roman" w:hAnsi="Times New Roman" w:cs="Times New Roman"/>
          <w:sz w:val="24"/>
          <w:szCs w:val="24"/>
        </w:rPr>
        <w:t xml:space="preserve"> 2013 год </w:t>
      </w:r>
      <w:r>
        <w:rPr>
          <w:rFonts w:ascii="Times New Roman" w:hAnsi="Times New Roman" w:cs="Times New Roman"/>
          <w:sz w:val="24"/>
          <w:szCs w:val="24"/>
        </w:rPr>
        <w:t xml:space="preserve">выявлено, что организацией </w:t>
      </w:r>
      <w:r w:rsidR="00E6462E" w:rsidRPr="00E6462E">
        <w:rPr>
          <w:rFonts w:ascii="Times New Roman" w:hAnsi="Times New Roman" w:cs="Times New Roman"/>
          <w:sz w:val="24"/>
          <w:szCs w:val="24"/>
        </w:rPr>
        <w:t>недо</w:t>
      </w:r>
      <w:r w:rsidR="00912DBA" w:rsidRPr="00E6462E">
        <w:rPr>
          <w:rFonts w:ascii="Times New Roman" w:hAnsi="Times New Roman" w:cs="Times New Roman"/>
          <w:sz w:val="24"/>
          <w:szCs w:val="24"/>
        </w:rPr>
        <w:t>получен</w:t>
      </w:r>
      <w:r w:rsidR="00E6462E" w:rsidRPr="00E6462E">
        <w:rPr>
          <w:rFonts w:ascii="Times New Roman" w:hAnsi="Times New Roman" w:cs="Times New Roman"/>
          <w:sz w:val="24"/>
          <w:szCs w:val="24"/>
        </w:rPr>
        <w:t>а</w:t>
      </w:r>
      <w:r w:rsidR="00912DBA" w:rsidRPr="00E6462E">
        <w:rPr>
          <w:rFonts w:ascii="Times New Roman" w:hAnsi="Times New Roman" w:cs="Times New Roman"/>
          <w:sz w:val="24"/>
          <w:szCs w:val="24"/>
        </w:rPr>
        <w:t xml:space="preserve"> </w:t>
      </w:r>
      <w:r w:rsidR="00E6462E" w:rsidRPr="00E6462E">
        <w:rPr>
          <w:rFonts w:ascii="Times New Roman" w:hAnsi="Times New Roman" w:cs="Times New Roman"/>
          <w:sz w:val="24"/>
          <w:szCs w:val="24"/>
        </w:rPr>
        <w:t>выручка</w:t>
      </w:r>
      <w:r w:rsidR="00912DBA" w:rsidRPr="00E6462E">
        <w:rPr>
          <w:rFonts w:ascii="Times New Roman" w:hAnsi="Times New Roman" w:cs="Times New Roman"/>
          <w:sz w:val="24"/>
          <w:szCs w:val="24"/>
        </w:rPr>
        <w:t xml:space="preserve"> 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E6462E" w:rsidRPr="00E6462E">
        <w:rPr>
          <w:rFonts w:ascii="Times New Roman" w:hAnsi="Times New Roman" w:cs="Times New Roman"/>
          <w:bCs/>
          <w:sz w:val="24"/>
          <w:szCs w:val="24"/>
        </w:rPr>
        <w:t>размере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4D0B">
        <w:rPr>
          <w:rFonts w:ascii="Times New Roman" w:hAnsi="Times New Roman" w:cs="Times New Roman"/>
          <w:bCs/>
          <w:sz w:val="24"/>
          <w:szCs w:val="24"/>
        </w:rPr>
        <w:t>66,1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="00912DBA" w:rsidRPr="00E6462E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12DBA" w:rsidRPr="00E6462E">
        <w:rPr>
          <w:rFonts w:ascii="Times New Roman" w:hAnsi="Times New Roman" w:cs="Times New Roman"/>
          <w:bCs/>
          <w:sz w:val="24"/>
          <w:szCs w:val="24"/>
        </w:rPr>
        <w:t>уб</w:t>
      </w:r>
      <w:r w:rsidR="00E6462E" w:rsidRPr="00E6462E">
        <w:rPr>
          <w:rFonts w:ascii="Times New Roman" w:hAnsi="Times New Roman" w:cs="Times New Roman"/>
          <w:sz w:val="24"/>
          <w:szCs w:val="24"/>
        </w:rPr>
        <w:t>., что связано со снижением объема передачи электрической энергии</w:t>
      </w:r>
      <w:r w:rsidR="00912DBA" w:rsidRPr="00E6462E">
        <w:rPr>
          <w:rFonts w:ascii="Times New Roman" w:hAnsi="Times New Roman" w:cs="Times New Roman"/>
          <w:sz w:val="24"/>
          <w:szCs w:val="24"/>
        </w:rPr>
        <w:t xml:space="preserve">. </w:t>
      </w:r>
      <w:r w:rsidR="00E6462E" w:rsidRPr="00E6462E">
        <w:rPr>
          <w:rFonts w:ascii="Times New Roman" w:hAnsi="Times New Roman" w:cs="Times New Roman"/>
          <w:sz w:val="24"/>
          <w:szCs w:val="24"/>
        </w:rPr>
        <w:t xml:space="preserve">В связи с этим </w:t>
      </w:r>
      <w:r w:rsidR="00E6462E" w:rsidRPr="00E6462E">
        <w:rPr>
          <w:rFonts w:ascii="Times New Roman" w:hAnsi="Times New Roman" w:cs="Times New Roman"/>
          <w:bCs/>
          <w:sz w:val="24"/>
          <w:szCs w:val="24"/>
        </w:rPr>
        <w:t>н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="00E6462E" w:rsidRPr="00E6462E">
        <w:rPr>
          <w:rFonts w:ascii="Times New Roman" w:hAnsi="Times New Roman" w:cs="Times New Roman"/>
          <w:bCs/>
          <w:sz w:val="24"/>
          <w:szCs w:val="24"/>
        </w:rPr>
        <w:t xml:space="preserve">2015 год проведена корректировка НВВ на 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>указанн</w:t>
      </w:r>
      <w:r w:rsidR="00E6462E" w:rsidRPr="00E6462E">
        <w:rPr>
          <w:rFonts w:ascii="Times New Roman" w:hAnsi="Times New Roman" w:cs="Times New Roman"/>
          <w:bCs/>
          <w:sz w:val="24"/>
          <w:szCs w:val="24"/>
        </w:rPr>
        <w:t>ую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 xml:space="preserve"> сумм</w:t>
      </w:r>
      <w:r w:rsidR="00E6462E" w:rsidRPr="00E6462E">
        <w:rPr>
          <w:rFonts w:ascii="Times New Roman" w:hAnsi="Times New Roman" w:cs="Times New Roman"/>
          <w:bCs/>
          <w:sz w:val="24"/>
          <w:szCs w:val="24"/>
        </w:rPr>
        <w:t>у</w:t>
      </w:r>
      <w:r w:rsidR="00912DBA" w:rsidRPr="00E6462E">
        <w:rPr>
          <w:rFonts w:ascii="Times New Roman" w:hAnsi="Times New Roman" w:cs="Times New Roman"/>
          <w:bCs/>
          <w:sz w:val="24"/>
          <w:szCs w:val="24"/>
        </w:rPr>
        <w:t>.</w:t>
      </w:r>
    </w:p>
    <w:p w:rsidR="00912DBA" w:rsidRPr="00912DBA" w:rsidRDefault="00912DBA" w:rsidP="00912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2DBA" w:rsidRDefault="00912DBA" w:rsidP="00912DBA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 w:rsidRPr="00912DBA">
        <w:rPr>
          <w:b/>
          <w:i/>
          <w:sz w:val="24"/>
          <w:szCs w:val="24"/>
        </w:rPr>
        <w:t>Скорректированный расчёт необходимой валовой выручки на 2015 г</w:t>
      </w:r>
      <w:r w:rsidR="00AC5171">
        <w:rPr>
          <w:b/>
          <w:i/>
          <w:sz w:val="24"/>
          <w:szCs w:val="24"/>
        </w:rPr>
        <w:t>од</w:t>
      </w:r>
      <w:r w:rsidRPr="00912DBA">
        <w:rPr>
          <w:b/>
          <w:i/>
          <w:sz w:val="24"/>
          <w:szCs w:val="24"/>
        </w:rPr>
        <w:t xml:space="preserve"> приведён в таблице </w:t>
      </w:r>
      <w:r w:rsidR="004950C8">
        <w:rPr>
          <w:b/>
          <w:i/>
          <w:sz w:val="24"/>
          <w:szCs w:val="24"/>
        </w:rPr>
        <w:t>1</w:t>
      </w:r>
    </w:p>
    <w:p w:rsidR="00F175EC" w:rsidRPr="00912DBA" w:rsidRDefault="00F175EC" w:rsidP="00F175EC">
      <w:pPr>
        <w:pStyle w:val="a3"/>
        <w:tabs>
          <w:tab w:val="left" w:pos="426"/>
          <w:tab w:val="left" w:pos="1134"/>
        </w:tabs>
        <w:spacing w:after="0"/>
        <w:ind w:left="709"/>
        <w:jc w:val="both"/>
        <w:rPr>
          <w:b/>
          <w:i/>
          <w:sz w:val="24"/>
          <w:szCs w:val="24"/>
        </w:rPr>
      </w:pPr>
    </w:p>
    <w:p w:rsidR="00912DBA" w:rsidRPr="009D7B76" w:rsidRDefault="009D7B76" w:rsidP="009D7B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D7B76">
        <w:rPr>
          <w:rFonts w:ascii="Times New Roman" w:hAnsi="Times New Roman" w:cs="Times New Roman"/>
        </w:rPr>
        <w:t xml:space="preserve">Табл. </w:t>
      </w:r>
      <w:r w:rsidR="004950C8">
        <w:rPr>
          <w:rFonts w:ascii="Times New Roman" w:hAnsi="Times New Roman" w:cs="Times New Roman"/>
        </w:rPr>
        <w:t>1</w:t>
      </w:r>
    </w:p>
    <w:tbl>
      <w:tblPr>
        <w:tblW w:w="9791" w:type="dxa"/>
        <w:tblInd w:w="98" w:type="dxa"/>
        <w:tblLayout w:type="fixed"/>
        <w:tblLook w:val="04A0"/>
      </w:tblPr>
      <w:tblGrid>
        <w:gridCol w:w="861"/>
        <w:gridCol w:w="5103"/>
        <w:gridCol w:w="992"/>
        <w:gridCol w:w="992"/>
        <w:gridCol w:w="993"/>
        <w:gridCol w:w="850"/>
      </w:tblGrid>
      <w:tr w:rsidR="009D7B76" w:rsidRPr="009D7B76" w:rsidTr="000A0284">
        <w:trPr>
          <w:trHeight w:val="525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 (базовый)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</w:tr>
      <w:tr w:rsidR="009D7B76" w:rsidRPr="009D7B76" w:rsidTr="000A0284">
        <w:trPr>
          <w:trHeight w:val="300"/>
        </w:trPr>
        <w:tc>
          <w:tcPr>
            <w:tcW w:w="979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</w:tr>
      <w:tr w:rsidR="009D7B76" w:rsidRPr="009D7B76" w:rsidTr="000A0284">
        <w:trPr>
          <w:trHeight w:val="51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9D7B76" w:rsidRPr="009D7B76" w:rsidTr="000A0284">
        <w:trPr>
          <w:trHeight w:val="765"/>
        </w:trPr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2%</w:t>
            </w:r>
          </w:p>
        </w:tc>
      </w:tr>
      <w:tr w:rsidR="009D7B76" w:rsidRPr="009D7B76" w:rsidTr="000A0284">
        <w:trPr>
          <w:trHeight w:val="300"/>
        </w:trPr>
        <w:tc>
          <w:tcPr>
            <w:tcW w:w="979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потребительских цен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1,044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у.е</w:t>
            </w:r>
            <w:proofErr w:type="spell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148,68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изменения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7B76" w:rsidRPr="009D7B76" w:rsidTr="000A0284">
        <w:trPr>
          <w:trHeight w:val="31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коэффициент индексации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1,034</w:t>
            </w:r>
          </w:p>
        </w:tc>
      </w:tr>
      <w:tr w:rsidR="009D7B76" w:rsidRPr="009D7B76" w:rsidTr="000A0284">
        <w:trPr>
          <w:trHeight w:val="315"/>
        </w:trPr>
        <w:tc>
          <w:tcPr>
            <w:tcW w:w="97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подконтрольных расходов</w:t>
            </w:r>
          </w:p>
        </w:tc>
      </w:tr>
      <w:tr w:rsidR="009D7B76" w:rsidRPr="009D7B76" w:rsidTr="009D7B76">
        <w:trPr>
          <w:trHeight w:val="78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 (базовый уровень)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332,4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9D7B76" w:rsidRPr="009D7B76" w:rsidTr="009D7B76">
        <w:trPr>
          <w:trHeight w:val="765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705,1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расходы, 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236,7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работ и услуг сторонних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9D7B76" w:rsidRPr="009D7B76" w:rsidTr="009D7B76">
        <w:trPr>
          <w:trHeight w:val="51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юридические и информационные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аудиторские и консультационные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6C3EFB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6C3EFB">
        <w:trPr>
          <w:trHeight w:val="300"/>
        </w:trPr>
        <w:tc>
          <w:tcPr>
            <w:tcW w:w="861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услуги сторонних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командировки и представительские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подготовку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9D7B76" w:rsidRPr="009D7B76" w:rsidTr="009D7B76">
        <w:trPr>
          <w:trHeight w:val="51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страхование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230,9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9D7B76" w:rsidRPr="009D7B76" w:rsidTr="009D7B76">
        <w:trPr>
          <w:trHeight w:val="300"/>
        </w:trPr>
        <w:tc>
          <w:tcPr>
            <w:tcW w:w="861" w:type="dxa"/>
            <w:tcBorders>
              <w:top w:val="single" w:sz="4" w:space="0" w:color="auto"/>
              <w:left w:val="single" w:sz="4" w:space="0" w:color="333333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Электроэнергия на </w:t>
            </w:r>
            <w:proofErr w:type="spell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</w:t>
            </w:r>
            <w:proofErr w:type="spell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9D7B76" w:rsidRPr="009D7B76" w:rsidTr="000A0284">
        <w:trPr>
          <w:trHeight w:val="315"/>
        </w:trPr>
        <w:tc>
          <w:tcPr>
            <w:tcW w:w="861" w:type="dxa"/>
            <w:tcBorders>
              <w:top w:val="single" w:sz="4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B76" w:rsidRPr="009D7B76" w:rsidRDefault="009D7B76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1 438,1</w:t>
            </w:r>
          </w:p>
        </w:tc>
      </w:tr>
      <w:tr w:rsidR="00271C9F" w:rsidRPr="009D7B76" w:rsidTr="00271C9F">
        <w:trPr>
          <w:trHeight w:val="861"/>
        </w:trPr>
        <w:tc>
          <w:tcPr>
            <w:tcW w:w="861" w:type="dxa"/>
            <w:tcBorders>
              <w:top w:val="single" w:sz="4" w:space="0" w:color="auto"/>
              <w:left w:val="single" w:sz="4" w:space="0" w:color="333333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C9F" w:rsidRPr="00271C9F" w:rsidRDefault="00271C9F" w:rsidP="00271C9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1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Подконтрольные расходы, сформированные методом экономически обоснованных расходов (80%) и методом сравнения аналогов (20%):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27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1C9F" w:rsidRPr="009D7B76" w:rsidTr="000A0284">
        <w:trPr>
          <w:trHeight w:val="315"/>
        </w:trPr>
        <w:tc>
          <w:tcPr>
            <w:tcW w:w="97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неподконтрольных расходов</w:t>
            </w:r>
          </w:p>
        </w:tc>
      </w:tr>
      <w:tr w:rsidR="00271C9F" w:rsidRPr="009D7B76" w:rsidTr="009D7B76">
        <w:trPr>
          <w:trHeight w:val="52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2014(базовый уровень)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услуг ОАО "ФСК ЕЭС"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аренду имущества и лизинг (аренда земли)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сего</w:t>
            </w:r>
            <w:proofErr w:type="spell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плата за землю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2.5.2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налоги и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Страховые взносы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212,9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неподконтрольные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Выпадающие доходы по п.71 Основ ценообразования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00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 ОС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</w:tr>
      <w:tr w:rsidR="00271C9F" w:rsidRPr="009D7B76" w:rsidTr="009D7B7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71C9F" w:rsidRPr="009D7B76" w:rsidTr="009D7B76">
        <w:trPr>
          <w:trHeight w:val="31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333333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238,8</w:t>
            </w:r>
          </w:p>
        </w:tc>
      </w:tr>
      <w:tr w:rsidR="00271C9F" w:rsidRPr="009D7B76" w:rsidTr="00271C9F">
        <w:trPr>
          <w:trHeight w:val="315"/>
        </w:trPr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Выпадающие доходы (избыток средств)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CE4D0B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1C9F" w:rsidRPr="009D7B76" w:rsidRDefault="00271C9F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3498" w:rsidRPr="009D7B76" w:rsidTr="00271C9F">
        <w:trPr>
          <w:trHeight w:val="31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НВВ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1 668,8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1 676,8</w:t>
            </w:r>
          </w:p>
        </w:tc>
      </w:tr>
      <w:tr w:rsidR="008B3498" w:rsidRPr="009D7B76" w:rsidTr="00421FD3">
        <w:trPr>
          <w:trHeight w:val="300"/>
        </w:trPr>
        <w:tc>
          <w:tcPr>
            <w:tcW w:w="8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9D7B76" w:rsidRDefault="008B3498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838,42</w:t>
            </w:r>
          </w:p>
        </w:tc>
      </w:tr>
      <w:tr w:rsidR="008B3498" w:rsidRPr="009D7B76" w:rsidTr="009D7B76">
        <w:trPr>
          <w:trHeight w:val="315"/>
        </w:trPr>
        <w:tc>
          <w:tcPr>
            <w:tcW w:w="8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498" w:rsidRPr="009D7B76" w:rsidRDefault="008B3498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2 полугодие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838,42</w:t>
            </w:r>
          </w:p>
        </w:tc>
      </w:tr>
      <w:tr w:rsidR="008B3498" w:rsidRPr="009D7B76" w:rsidTr="009D7B76">
        <w:trPr>
          <w:trHeight w:val="315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9D7B76" w:rsidRDefault="008B3498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9D7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98" w:rsidRPr="009D7B76" w:rsidRDefault="008B3498" w:rsidP="009D7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108,44%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96,89%</w:t>
            </w:r>
          </w:p>
        </w:tc>
      </w:tr>
    </w:tbl>
    <w:p w:rsidR="009D7B76" w:rsidRDefault="009D7B76" w:rsidP="0091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667E" w:rsidRDefault="006C667E" w:rsidP="006C667E">
      <w:pPr>
        <w:pStyle w:val="a3"/>
        <w:tabs>
          <w:tab w:val="left" w:pos="1080"/>
        </w:tabs>
        <w:ind w:firstLine="709"/>
        <w:rPr>
          <w:i/>
          <w:sz w:val="24"/>
          <w:szCs w:val="24"/>
        </w:rPr>
      </w:pPr>
      <w:r>
        <w:rPr>
          <w:i/>
          <w:sz w:val="24"/>
        </w:rPr>
        <w:t>Скорректированный расчет</w:t>
      </w:r>
      <w:r w:rsidRPr="006F5A32">
        <w:rPr>
          <w:i/>
          <w:sz w:val="24"/>
        </w:rPr>
        <w:t xml:space="preserve"> индивидуальных тарифов на услуги по передаче электрической энерг</w:t>
      </w:r>
      <w:proofErr w:type="gramStart"/>
      <w:r w:rsidRPr="006F5A32">
        <w:rPr>
          <w:i/>
          <w:sz w:val="24"/>
        </w:rPr>
        <w:t xml:space="preserve">ии </w:t>
      </w:r>
      <w:r w:rsidRPr="00C36B37">
        <w:rPr>
          <w:sz w:val="24"/>
        </w:rPr>
        <w:t>О</w:t>
      </w:r>
      <w:r w:rsidR="009D7B76">
        <w:rPr>
          <w:sz w:val="24"/>
        </w:rPr>
        <w:t>О</w:t>
      </w:r>
      <w:r w:rsidRPr="00C36B37">
        <w:rPr>
          <w:sz w:val="24"/>
        </w:rPr>
        <w:t>О</w:t>
      </w:r>
      <w:proofErr w:type="gramEnd"/>
      <w:r w:rsidRPr="00C36B37">
        <w:rPr>
          <w:sz w:val="24"/>
        </w:rPr>
        <w:t xml:space="preserve"> «</w:t>
      </w:r>
      <w:r w:rsidR="009D7B76">
        <w:rPr>
          <w:sz w:val="24"/>
        </w:rPr>
        <w:t>КОРС-А</w:t>
      </w:r>
      <w:r w:rsidRPr="00C36B37">
        <w:rPr>
          <w:sz w:val="24"/>
        </w:rPr>
        <w:t xml:space="preserve">» </w:t>
      </w:r>
      <w:r w:rsidRPr="006F5A32">
        <w:rPr>
          <w:i/>
          <w:sz w:val="24"/>
        </w:rPr>
        <w:t>на 201</w:t>
      </w:r>
      <w:r>
        <w:rPr>
          <w:i/>
          <w:sz w:val="24"/>
        </w:rPr>
        <w:t>5</w:t>
      </w:r>
      <w:r w:rsidRPr="006F5A32">
        <w:rPr>
          <w:i/>
          <w:sz w:val="24"/>
        </w:rPr>
        <w:t xml:space="preserve"> го</w:t>
      </w:r>
      <w:r>
        <w:rPr>
          <w:i/>
          <w:sz w:val="24"/>
        </w:rPr>
        <w:t>д, в том числе по полугодиям</w:t>
      </w:r>
      <w:r w:rsidRPr="006F5A32">
        <w:rPr>
          <w:i/>
          <w:sz w:val="24"/>
        </w:rPr>
        <w:t xml:space="preserve"> </w:t>
      </w:r>
      <w:r w:rsidRPr="006F5A32">
        <w:rPr>
          <w:i/>
          <w:sz w:val="24"/>
          <w:szCs w:val="24"/>
        </w:rPr>
        <w:t xml:space="preserve">приведён в таблице </w:t>
      </w:r>
      <w:r w:rsidR="004950C8">
        <w:rPr>
          <w:i/>
          <w:sz w:val="24"/>
          <w:szCs w:val="24"/>
        </w:rPr>
        <w:t>2</w:t>
      </w:r>
      <w:r w:rsidRPr="006F5A32">
        <w:rPr>
          <w:i/>
          <w:sz w:val="24"/>
          <w:szCs w:val="24"/>
        </w:rPr>
        <w:t>.</w:t>
      </w:r>
    </w:p>
    <w:p w:rsidR="006C667E" w:rsidRDefault="006C667E" w:rsidP="006C667E">
      <w:pPr>
        <w:pStyle w:val="a3"/>
        <w:ind w:left="720"/>
        <w:jc w:val="right"/>
      </w:pPr>
      <w:r w:rsidRPr="008579EB">
        <w:t xml:space="preserve">Таблица </w:t>
      </w:r>
      <w:r w:rsidR="004950C8">
        <w:t>2</w:t>
      </w:r>
    </w:p>
    <w:tbl>
      <w:tblPr>
        <w:tblW w:w="10211" w:type="dxa"/>
        <w:tblInd w:w="103" w:type="dxa"/>
        <w:tblLayout w:type="fixed"/>
        <w:tblLook w:val="04A0"/>
      </w:tblPr>
      <w:tblGrid>
        <w:gridCol w:w="2699"/>
        <w:gridCol w:w="1134"/>
        <w:gridCol w:w="992"/>
        <w:gridCol w:w="1134"/>
        <w:gridCol w:w="1134"/>
        <w:gridCol w:w="850"/>
        <w:gridCol w:w="142"/>
        <w:gridCol w:w="992"/>
        <w:gridCol w:w="69"/>
        <w:gridCol w:w="1065"/>
      </w:tblGrid>
      <w:tr w:rsidR="00E67E3B" w:rsidRPr="00E67E3B" w:rsidTr="00F537CB">
        <w:trPr>
          <w:trHeight w:val="315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</w:t>
            </w:r>
          </w:p>
        </w:tc>
      </w:tr>
      <w:tr w:rsidR="00E67E3B" w:rsidRPr="00E67E3B" w:rsidTr="00F537CB">
        <w:trPr>
          <w:trHeight w:val="300"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полугодие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полугодие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полугодие</w:t>
            </w:r>
          </w:p>
        </w:tc>
      </w:tr>
      <w:tr w:rsidR="00E67E3B" w:rsidRPr="00E67E3B" w:rsidTr="00F537CB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Оплачиваемый</w:t>
            </w:r>
            <w:proofErr w:type="gram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сальдо-переток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мощности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МВт.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0,943</w:t>
            </w:r>
          </w:p>
        </w:tc>
      </w:tr>
      <w:tr w:rsidR="008B3498" w:rsidRPr="00E67E3B" w:rsidTr="00F537CB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НВВ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1668,8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857,3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811,6</w:t>
            </w:r>
          </w:p>
        </w:tc>
      </w:tr>
      <w:tr w:rsidR="008B3498" w:rsidRPr="00E67E3B" w:rsidTr="00F537CB">
        <w:trPr>
          <w:trHeight w:val="58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Ставка на 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КВт</w:t>
            </w:r>
            <w:proofErr w:type="gramStart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.в</w:t>
            </w:r>
            <w:proofErr w:type="spellEnd"/>
            <w:proofErr w:type="gramEnd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143,0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100" w:afterAutospacing="1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143,5</w:t>
            </w:r>
          </w:p>
        </w:tc>
      </w:tr>
      <w:tr w:rsidR="00E67E3B" w:rsidRPr="00E67E3B" w:rsidTr="008B3498">
        <w:trPr>
          <w:trHeight w:val="6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Суммарный</w:t>
            </w:r>
            <w:proofErr w:type="gramEnd"/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сальдированный </w:t>
            </w:r>
            <w:proofErr w:type="spellStart"/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переток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электрической энергии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7,037</w:t>
            </w:r>
          </w:p>
        </w:tc>
        <w:tc>
          <w:tcPr>
            <w:tcW w:w="10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3,422</w:t>
            </w:r>
          </w:p>
        </w:tc>
      </w:tr>
      <w:tr w:rsidR="00E67E3B" w:rsidRPr="00E67E3B" w:rsidTr="00F537CB">
        <w:trPr>
          <w:trHeight w:val="6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F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F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0,23423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F53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0,222</w:t>
            </w:r>
          </w:p>
        </w:tc>
      </w:tr>
      <w:tr w:rsidR="00E67E3B" w:rsidRPr="00E67E3B" w:rsidTr="00F537CB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же в процентах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6,48%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6,48%</w:t>
            </w:r>
          </w:p>
        </w:tc>
      </w:tr>
      <w:tr w:rsidR="00E67E3B" w:rsidRPr="00E67E3B" w:rsidTr="00F537CB">
        <w:trPr>
          <w:trHeight w:val="6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МВтч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1360,80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1360,80</w:t>
            </w:r>
          </w:p>
        </w:tc>
      </w:tr>
      <w:tr w:rsidR="00E67E3B" w:rsidRPr="00E67E3B" w:rsidTr="00F537CB">
        <w:trPr>
          <w:trHeight w:val="6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620,5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301,8</w:t>
            </w:r>
          </w:p>
        </w:tc>
      </w:tr>
      <w:tr w:rsidR="00E67E3B" w:rsidRPr="00E67E3B" w:rsidTr="00F537CB">
        <w:trPr>
          <w:trHeight w:val="58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/КВтч.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0,08818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0,08818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3B" w:rsidRPr="00E67E3B" w:rsidRDefault="00E67E3B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0,08818</w:t>
            </w:r>
          </w:p>
        </w:tc>
      </w:tr>
      <w:tr w:rsidR="008B3498" w:rsidRPr="00E67E3B" w:rsidTr="00F537CB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тариф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/КВтч.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0,20337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0,20337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E67E3B" w:rsidRDefault="008B3498" w:rsidP="00E67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0,20337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0,23716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0,23716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498" w:rsidRPr="008B3498" w:rsidRDefault="008B3498" w:rsidP="008B3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0,23716</w:t>
            </w:r>
          </w:p>
        </w:tc>
      </w:tr>
      <w:tr w:rsidR="00E67E3B" w:rsidRPr="00E67E3B" w:rsidTr="00E67E3B">
        <w:trPr>
          <w:trHeight w:val="300"/>
        </w:trPr>
        <w:tc>
          <w:tcPr>
            <w:tcW w:w="102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3B" w:rsidRPr="008B3498" w:rsidRDefault="00E67E3B" w:rsidP="008B3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 в % (год к году;  1полуг. послед</w:t>
            </w:r>
            <w:proofErr w:type="gram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ода ко 2полуг. </w:t>
            </w:r>
            <w:proofErr w:type="spell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предыд</w:t>
            </w:r>
            <w:proofErr w:type="spell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года; 2 </w:t>
            </w:r>
            <w:proofErr w:type="spell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полуг</w:t>
            </w:r>
            <w:proofErr w:type="spell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</w:t>
            </w:r>
            <w:proofErr w:type="spell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года к 1 </w:t>
            </w:r>
            <w:proofErr w:type="spell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полуг</w:t>
            </w:r>
            <w:proofErr w:type="spell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</w:t>
            </w:r>
            <w:proofErr w:type="spellEnd"/>
            <w:r w:rsidRPr="008B34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года)</w:t>
            </w:r>
          </w:p>
        </w:tc>
      </w:tr>
      <w:tr w:rsidR="008B3498" w:rsidRPr="00E67E3B" w:rsidTr="00E67E3B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на содержание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124,1%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123,7%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100,6%</w:t>
            </w:r>
          </w:p>
        </w:tc>
      </w:tr>
      <w:tr w:rsidR="008B3498" w:rsidRPr="00E67E3B" w:rsidTr="00E67E3B">
        <w:trPr>
          <w:trHeight w:val="3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индивидуальный тариф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E67E3B" w:rsidRDefault="008B3498" w:rsidP="00E6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7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116,6%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116,6%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498" w:rsidRPr="008B3498" w:rsidRDefault="008B3498" w:rsidP="008B34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3498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</w:tbl>
    <w:p w:rsidR="006C667E" w:rsidRDefault="006C667E" w:rsidP="0050797F">
      <w:pPr>
        <w:pStyle w:val="a3"/>
        <w:ind w:left="720"/>
        <w:jc w:val="both"/>
      </w:pPr>
    </w:p>
    <w:p w:rsidR="0050797F" w:rsidRPr="0050797F" w:rsidRDefault="0050797F" w:rsidP="006C667E">
      <w:pPr>
        <w:pStyle w:val="a3"/>
        <w:ind w:left="720"/>
        <w:jc w:val="right"/>
      </w:pPr>
    </w:p>
    <w:p w:rsidR="006C667E" w:rsidRPr="00F537CB" w:rsidRDefault="006C667E" w:rsidP="006C667E">
      <w:pPr>
        <w:pStyle w:val="a3"/>
        <w:numPr>
          <w:ilvl w:val="0"/>
          <w:numId w:val="23"/>
        </w:numPr>
        <w:tabs>
          <w:tab w:val="left" w:pos="0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 w:rsidRPr="002472AC">
        <w:rPr>
          <w:b/>
          <w:i/>
          <w:sz w:val="24"/>
        </w:rPr>
        <w:t xml:space="preserve">Формирование НВВ в части деятельности по содержанию объектов </w:t>
      </w:r>
      <w:proofErr w:type="spellStart"/>
      <w:r w:rsidRPr="002472AC">
        <w:rPr>
          <w:b/>
          <w:i/>
          <w:sz w:val="24"/>
        </w:rPr>
        <w:t>электросетевого</w:t>
      </w:r>
      <w:proofErr w:type="spellEnd"/>
      <w:r w:rsidRPr="002472AC">
        <w:rPr>
          <w:b/>
          <w:i/>
          <w:sz w:val="24"/>
        </w:rPr>
        <w:t xml:space="preserve"> хозяйства в целом по предприятию, с учетом корректировки расходов на осуществление деятельности по оказанию услуг по передаче электроэнергии на 201</w:t>
      </w:r>
      <w:r>
        <w:rPr>
          <w:b/>
          <w:i/>
          <w:sz w:val="24"/>
        </w:rPr>
        <w:t>5 год</w:t>
      </w:r>
    </w:p>
    <w:p w:rsidR="00F537CB" w:rsidRPr="00AC5171" w:rsidRDefault="00F537CB" w:rsidP="00F537CB">
      <w:pPr>
        <w:pStyle w:val="a3"/>
        <w:tabs>
          <w:tab w:val="left" w:pos="0"/>
        </w:tabs>
        <w:spacing w:after="0"/>
        <w:ind w:left="709"/>
        <w:jc w:val="both"/>
        <w:rPr>
          <w:b/>
          <w:i/>
          <w:sz w:val="24"/>
          <w:szCs w:val="24"/>
        </w:rPr>
      </w:pPr>
    </w:p>
    <w:p w:rsidR="00AC5171" w:rsidRPr="002472AC" w:rsidRDefault="00AC5171" w:rsidP="00AC5171">
      <w:pPr>
        <w:pStyle w:val="a3"/>
        <w:numPr>
          <w:ilvl w:val="0"/>
          <w:numId w:val="28"/>
        </w:numPr>
        <w:tabs>
          <w:tab w:val="left" w:pos="1080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 w:rsidRPr="002472AC">
        <w:rPr>
          <w:b/>
          <w:i/>
          <w:sz w:val="24"/>
        </w:rPr>
        <w:t>Объём и структура энергопотребления</w:t>
      </w:r>
      <w:r w:rsidRPr="002472AC">
        <w:rPr>
          <w:b/>
          <w:i/>
          <w:sz w:val="24"/>
          <w:szCs w:val="24"/>
        </w:rPr>
        <w:t xml:space="preserve"> </w:t>
      </w:r>
      <w:r w:rsidRPr="00662ED9">
        <w:rPr>
          <w:b/>
          <w:sz w:val="24"/>
        </w:rPr>
        <w:t>О</w:t>
      </w:r>
      <w:r>
        <w:rPr>
          <w:b/>
          <w:sz w:val="24"/>
        </w:rPr>
        <w:t>О</w:t>
      </w:r>
      <w:r w:rsidRPr="00662ED9">
        <w:rPr>
          <w:b/>
          <w:sz w:val="24"/>
        </w:rPr>
        <w:t xml:space="preserve">О </w:t>
      </w:r>
      <w:r>
        <w:rPr>
          <w:b/>
          <w:sz w:val="24"/>
        </w:rPr>
        <w:t>«КОРС-А</w:t>
      </w:r>
      <w:r w:rsidRPr="00662ED9">
        <w:rPr>
          <w:b/>
          <w:sz w:val="24"/>
        </w:rPr>
        <w:t>»</w:t>
      </w:r>
      <w:r w:rsidRPr="002472AC">
        <w:rPr>
          <w:b/>
          <w:i/>
          <w:sz w:val="24"/>
        </w:rPr>
        <w:t xml:space="preserve"> </w:t>
      </w:r>
      <w:r w:rsidRPr="002472AC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>2014-</w:t>
      </w:r>
      <w:r w:rsidRPr="002472AC">
        <w:rPr>
          <w:b/>
          <w:i/>
          <w:sz w:val="24"/>
          <w:szCs w:val="24"/>
        </w:rPr>
        <w:t>201</w:t>
      </w:r>
      <w:r>
        <w:rPr>
          <w:b/>
          <w:i/>
          <w:sz w:val="24"/>
          <w:szCs w:val="24"/>
        </w:rPr>
        <w:t>5</w:t>
      </w:r>
      <w:r w:rsidRPr="002472A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годы</w:t>
      </w:r>
      <w:r w:rsidRPr="002472AC">
        <w:rPr>
          <w:b/>
          <w:i/>
          <w:sz w:val="24"/>
          <w:szCs w:val="24"/>
        </w:rPr>
        <w:t xml:space="preserve"> приведена в таблице </w:t>
      </w:r>
      <w:r w:rsidR="004950C8">
        <w:rPr>
          <w:b/>
          <w:i/>
          <w:sz w:val="24"/>
          <w:szCs w:val="24"/>
        </w:rPr>
        <w:t>3</w:t>
      </w:r>
    </w:p>
    <w:p w:rsidR="00AC5171" w:rsidRPr="008579EB" w:rsidRDefault="00AC5171" w:rsidP="00AC5171">
      <w:pPr>
        <w:pStyle w:val="a3"/>
        <w:ind w:left="284" w:firstLine="425"/>
        <w:jc w:val="right"/>
      </w:pPr>
      <w:r w:rsidRPr="008579EB">
        <w:t xml:space="preserve">Таблица </w:t>
      </w:r>
      <w:r w:rsidR="004950C8">
        <w:t>3</w:t>
      </w:r>
    </w:p>
    <w:p w:rsidR="00AC5171" w:rsidRPr="008579EB" w:rsidRDefault="00AC5171" w:rsidP="00AC5171">
      <w:pPr>
        <w:pStyle w:val="a3"/>
        <w:ind w:left="284" w:firstLine="425"/>
        <w:jc w:val="right"/>
      </w:pPr>
      <w:r>
        <w:t>тыс</w:t>
      </w:r>
      <w:r w:rsidRPr="008579EB">
        <w:t>. кВтч.</w:t>
      </w:r>
    </w:p>
    <w:tbl>
      <w:tblPr>
        <w:tblW w:w="5000" w:type="pct"/>
        <w:tblLayout w:type="fixed"/>
        <w:tblLook w:val="04A0"/>
      </w:tblPr>
      <w:tblGrid>
        <w:gridCol w:w="5353"/>
        <w:gridCol w:w="1275"/>
        <w:gridCol w:w="1277"/>
        <w:gridCol w:w="997"/>
        <w:gridCol w:w="952"/>
      </w:tblGrid>
      <w:tr w:rsidR="00AC5171" w:rsidRPr="00AC5171" w:rsidTr="00D9599F">
        <w:trPr>
          <w:trHeight w:val="330"/>
        </w:trPr>
        <w:tc>
          <w:tcPr>
            <w:tcW w:w="2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C5171" w:rsidRPr="00AC5171" w:rsidRDefault="00AC5171" w:rsidP="00AC51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1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C5171" w:rsidRPr="00AC5171" w:rsidRDefault="00AC5171" w:rsidP="00AC5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171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5171" w:rsidRPr="00AC5171" w:rsidRDefault="00AC5171" w:rsidP="00AC5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171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5171" w:rsidRPr="00AC5171" w:rsidRDefault="00AC5171" w:rsidP="00AC5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171">
              <w:rPr>
                <w:rFonts w:ascii="Times New Roman" w:hAnsi="Times New Roman" w:cs="Times New Roman"/>
                <w:sz w:val="18"/>
                <w:szCs w:val="18"/>
              </w:rPr>
              <w:t xml:space="preserve">То же, </w:t>
            </w:r>
            <w:proofErr w:type="gramStart"/>
            <w:r w:rsidRPr="00AC517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C5171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</w:tr>
      <w:tr w:rsidR="00AC5171" w:rsidRPr="00AC5171" w:rsidTr="00D9599F">
        <w:trPr>
          <w:trHeight w:val="239"/>
        </w:trPr>
        <w:tc>
          <w:tcPr>
            <w:tcW w:w="2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5171" w:rsidRPr="00AC5171" w:rsidRDefault="00AC5171" w:rsidP="00AC5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5171" w:rsidRPr="00AC5171" w:rsidRDefault="00AC5171" w:rsidP="00AC5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171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5171" w:rsidRPr="00AC5171" w:rsidRDefault="00AC5171" w:rsidP="00AC51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171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5171" w:rsidRPr="00AC5171" w:rsidRDefault="00AC5171" w:rsidP="00AC5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5171" w:rsidRPr="00AC5171" w:rsidRDefault="00AC5171" w:rsidP="00AC51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4494" w:rsidRPr="00AC5171" w:rsidTr="00A24494">
        <w:trPr>
          <w:trHeight w:val="330"/>
        </w:trPr>
        <w:tc>
          <w:tcPr>
            <w:tcW w:w="2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C5171" w:rsidRDefault="00A24494" w:rsidP="00D9599F">
            <w:pPr>
              <w:spacing w:after="0"/>
              <w:rPr>
                <w:rFonts w:ascii="Times New Roman" w:hAnsi="Times New Roman" w:cs="Times New Roman"/>
              </w:rPr>
            </w:pPr>
            <w:r w:rsidRPr="00AC5171">
              <w:rPr>
                <w:rFonts w:ascii="Times New Roman" w:hAnsi="Times New Roman" w:cs="Times New Roman"/>
              </w:rPr>
              <w:t>1.Объем покупной электроэнергии всего: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12 628,2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12 612,6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-15,63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99,88%</w:t>
            </w:r>
          </w:p>
        </w:tc>
      </w:tr>
      <w:tr w:rsidR="00A24494" w:rsidRPr="00AC5171" w:rsidTr="00A24494">
        <w:trPr>
          <w:trHeight w:val="744"/>
        </w:trPr>
        <w:tc>
          <w:tcPr>
            <w:tcW w:w="2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C5171" w:rsidRDefault="00A24494" w:rsidP="00D9599F">
            <w:pPr>
              <w:spacing w:after="0"/>
              <w:rPr>
                <w:rFonts w:ascii="Times New Roman" w:hAnsi="Times New Roman" w:cs="Times New Roman"/>
              </w:rPr>
            </w:pPr>
            <w:r w:rsidRPr="00AC5171">
              <w:rPr>
                <w:rFonts w:ascii="Times New Roman" w:hAnsi="Times New Roman" w:cs="Times New Roman"/>
              </w:rPr>
              <w:t xml:space="preserve">1.1. Потребление электроэнергии на прочие виды деятельности и </w:t>
            </w:r>
            <w:proofErr w:type="spellStart"/>
            <w:r w:rsidRPr="00AC5171">
              <w:rPr>
                <w:rFonts w:ascii="Times New Roman" w:hAnsi="Times New Roman" w:cs="Times New Roman"/>
              </w:rPr>
              <w:t>хоз</w:t>
            </w:r>
            <w:proofErr w:type="spellEnd"/>
            <w:r w:rsidRPr="00AC5171">
              <w:rPr>
                <w:rFonts w:ascii="Times New Roman" w:hAnsi="Times New Roman" w:cs="Times New Roman"/>
              </w:rPr>
              <w:t xml:space="preserve">. нужды с потерями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5 061,2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5 575,9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514,72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110,17%</w:t>
            </w:r>
          </w:p>
        </w:tc>
      </w:tr>
      <w:tr w:rsidR="00A24494" w:rsidRPr="00AC5171" w:rsidTr="00A24494">
        <w:trPr>
          <w:trHeight w:val="448"/>
        </w:trPr>
        <w:tc>
          <w:tcPr>
            <w:tcW w:w="2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C5171" w:rsidRDefault="00A24494" w:rsidP="00D9599F">
            <w:pPr>
              <w:spacing w:after="0"/>
              <w:rPr>
                <w:rFonts w:ascii="Times New Roman" w:hAnsi="Times New Roman" w:cs="Times New Roman"/>
              </w:rPr>
            </w:pPr>
            <w:r w:rsidRPr="00AC5171">
              <w:rPr>
                <w:rFonts w:ascii="Times New Roman" w:hAnsi="Times New Roman" w:cs="Times New Roman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7 036,7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-530,35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92,99%</w:t>
            </w:r>
          </w:p>
        </w:tc>
      </w:tr>
      <w:tr w:rsidR="00A24494" w:rsidRPr="00AC5171" w:rsidTr="00A24494">
        <w:trPr>
          <w:trHeight w:val="309"/>
        </w:trPr>
        <w:tc>
          <w:tcPr>
            <w:tcW w:w="2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C5171" w:rsidRDefault="00A24494" w:rsidP="00D9599F">
            <w:pPr>
              <w:spacing w:after="0"/>
              <w:rPr>
                <w:rFonts w:ascii="Times New Roman" w:hAnsi="Times New Roman" w:cs="Times New Roman"/>
              </w:rPr>
            </w:pPr>
            <w:r w:rsidRPr="00AC5171">
              <w:rPr>
                <w:rFonts w:ascii="Times New Roman" w:hAnsi="Times New Roman" w:cs="Times New Roman"/>
              </w:rPr>
              <w:t xml:space="preserve">1.2.1. Потери, относимые на сторонних потребителей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C51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C51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sz w:val="20"/>
                <w:szCs w:val="20"/>
              </w:rPr>
              <w:t>455,98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24494" w:rsidRPr="00AC5171" w:rsidTr="00A24494">
        <w:trPr>
          <w:trHeight w:val="158"/>
        </w:trPr>
        <w:tc>
          <w:tcPr>
            <w:tcW w:w="2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81067A" w:rsidRDefault="00A24494" w:rsidP="00D9599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1067A">
              <w:rPr>
                <w:rFonts w:ascii="Times New Roman" w:hAnsi="Times New Roman" w:cs="Times New Roman"/>
                <w:i/>
              </w:rPr>
              <w:t xml:space="preserve">        </w:t>
            </w:r>
            <w:r>
              <w:rPr>
                <w:rFonts w:ascii="Times New Roman" w:hAnsi="Times New Roman" w:cs="Times New Roman"/>
                <w:i/>
              </w:rPr>
              <w:t>в</w:t>
            </w:r>
            <w:r w:rsidRPr="0081067A">
              <w:rPr>
                <w:rFonts w:ascii="Times New Roman" w:hAnsi="Times New Roman" w:cs="Times New Roman"/>
                <w:i/>
              </w:rPr>
              <w:t xml:space="preserve"> %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i/>
                <w:sz w:val="20"/>
                <w:szCs w:val="20"/>
              </w:rPr>
              <w:t>6,48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24494" w:rsidRPr="00AC5171" w:rsidTr="00A24494">
        <w:trPr>
          <w:trHeight w:val="158"/>
        </w:trPr>
        <w:tc>
          <w:tcPr>
            <w:tcW w:w="2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C5171" w:rsidRDefault="00A24494" w:rsidP="00D9599F">
            <w:pPr>
              <w:spacing w:after="0"/>
              <w:rPr>
                <w:rFonts w:ascii="Times New Roman" w:hAnsi="Times New Roman" w:cs="Times New Roman"/>
              </w:rPr>
            </w:pPr>
            <w:r w:rsidRPr="00AC5171">
              <w:rPr>
                <w:rFonts w:ascii="Times New Roman" w:hAnsi="Times New Roman" w:cs="Times New Roman"/>
              </w:rPr>
              <w:t>1.2.2. Полезный отпуск сторонним потребителям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sz w:val="20"/>
                <w:szCs w:val="20"/>
              </w:rPr>
              <w:t>7 567,1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D9599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sz w:val="20"/>
                <w:szCs w:val="20"/>
              </w:rPr>
              <w:t>6 580,7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-986,33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4494" w:rsidRPr="00A24494" w:rsidRDefault="00A24494" w:rsidP="00A2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44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86,97%</w:t>
            </w:r>
          </w:p>
        </w:tc>
      </w:tr>
    </w:tbl>
    <w:p w:rsidR="00AC5171" w:rsidRDefault="00AC5171" w:rsidP="00D9599F">
      <w:pPr>
        <w:pStyle w:val="a3"/>
        <w:spacing w:after="0"/>
        <w:rPr>
          <w:sz w:val="24"/>
        </w:rPr>
      </w:pPr>
    </w:p>
    <w:p w:rsidR="00AC5171" w:rsidRDefault="00AC5171" w:rsidP="00AC5171">
      <w:pPr>
        <w:pStyle w:val="a3"/>
        <w:numPr>
          <w:ilvl w:val="0"/>
          <w:numId w:val="28"/>
        </w:numPr>
        <w:tabs>
          <w:tab w:val="left" w:pos="993"/>
        </w:tabs>
        <w:spacing w:after="0"/>
        <w:ind w:left="0" w:firstLine="709"/>
        <w:jc w:val="both"/>
      </w:pPr>
      <w:r w:rsidRPr="00F537CB">
        <w:rPr>
          <w:b/>
          <w:i/>
          <w:sz w:val="24"/>
        </w:rPr>
        <w:t>Основные экономические показатели, связанные с содержанием объектов</w:t>
      </w:r>
      <w:r w:rsidRPr="00AC5171">
        <w:rPr>
          <w:b/>
          <w:i/>
          <w:sz w:val="24"/>
        </w:rPr>
        <w:t xml:space="preserve"> </w:t>
      </w:r>
      <w:proofErr w:type="spellStart"/>
      <w:r w:rsidRPr="00AC5171">
        <w:rPr>
          <w:b/>
          <w:i/>
          <w:sz w:val="24"/>
        </w:rPr>
        <w:t>электросетевого</w:t>
      </w:r>
      <w:proofErr w:type="spellEnd"/>
      <w:r w:rsidRPr="00AC5171">
        <w:rPr>
          <w:b/>
          <w:i/>
          <w:sz w:val="24"/>
        </w:rPr>
        <w:t xml:space="preserve"> хозяйства в целом по предприятию, а также с деятельностью по</w:t>
      </w:r>
      <w:r w:rsidRPr="00CB5DEC">
        <w:rPr>
          <w:b/>
          <w:i/>
          <w:sz w:val="24"/>
        </w:rPr>
        <w:t xml:space="preserve"> оказанию услуг по передаче электрической энергии с учётом корректировки </w:t>
      </w:r>
      <w:r w:rsidRPr="00CB5DEC">
        <w:rPr>
          <w:b/>
          <w:i/>
          <w:sz w:val="24"/>
          <w:szCs w:val="24"/>
        </w:rPr>
        <w:t>п</w:t>
      </w:r>
      <w:r w:rsidRPr="00CB5DEC">
        <w:rPr>
          <w:b/>
          <w:i/>
          <w:sz w:val="24"/>
        </w:rPr>
        <w:t>риведены в таблице</w:t>
      </w:r>
      <w:r>
        <w:rPr>
          <w:b/>
          <w:i/>
          <w:sz w:val="24"/>
        </w:rPr>
        <w:t xml:space="preserve"> </w:t>
      </w:r>
      <w:r w:rsidR="004950C8">
        <w:rPr>
          <w:b/>
          <w:i/>
          <w:sz w:val="24"/>
        </w:rPr>
        <w:t>4</w:t>
      </w:r>
    </w:p>
    <w:p w:rsidR="00AC5171" w:rsidRPr="008579EB" w:rsidRDefault="00AC5171" w:rsidP="00AC5171">
      <w:pPr>
        <w:pStyle w:val="a3"/>
        <w:ind w:left="720"/>
        <w:jc w:val="right"/>
        <w:rPr>
          <w:bCs/>
        </w:rPr>
      </w:pPr>
      <w:r w:rsidRPr="008579EB">
        <w:t xml:space="preserve">Таблица </w:t>
      </w:r>
      <w:r w:rsidR="004950C8">
        <w:t>4</w:t>
      </w:r>
      <w:r w:rsidRPr="008579EB">
        <w:rPr>
          <w:bCs/>
        </w:rPr>
        <w:t xml:space="preserve"> </w:t>
      </w:r>
    </w:p>
    <w:tbl>
      <w:tblPr>
        <w:tblW w:w="9508" w:type="dxa"/>
        <w:tblInd w:w="98" w:type="dxa"/>
        <w:tblLook w:val="04A0"/>
      </w:tblPr>
      <w:tblGrid>
        <w:gridCol w:w="4830"/>
        <w:gridCol w:w="1042"/>
        <w:gridCol w:w="1239"/>
        <w:gridCol w:w="1239"/>
        <w:gridCol w:w="1158"/>
      </w:tblGrid>
      <w:tr w:rsidR="00A270F7" w:rsidRPr="00A270F7" w:rsidTr="006C3EFB">
        <w:trPr>
          <w:trHeight w:val="300"/>
        </w:trPr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0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.и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зм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% к плану 2014г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F7" w:rsidRPr="00A270F7" w:rsidTr="006C3EFB">
        <w:trPr>
          <w:trHeight w:val="230"/>
        </w:trPr>
        <w:tc>
          <w:tcPr>
            <w:tcW w:w="4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F7" w:rsidRPr="00A270F7" w:rsidTr="006C3EFB">
        <w:trPr>
          <w:trHeight w:val="54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С/стоимость  услуг по передаче э/энергии всего,</w:t>
            </w: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 , в т.ч.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412,37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2 543,04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105,42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услуги производственного характера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432,52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456,89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материалы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энергия на </w:t>
            </w: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нужды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132,77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затраты на оплату труда 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1 077,77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1 138,48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отчисления на соц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329,80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343,82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104,25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амортизация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7,28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прочие затраты, в том числе: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363,68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383,91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105,56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общехозяйственные расходы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361,86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налог на имущество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91,24</w:t>
            </w:r>
          </w:p>
        </w:tc>
      </w:tr>
      <w:tr w:rsidR="00A270F7" w:rsidRPr="00A270F7" w:rsidTr="006C3EFB">
        <w:trPr>
          <w:trHeight w:val="315"/>
        </w:trPr>
        <w:tc>
          <w:tcPr>
            <w:tcW w:w="48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СПРАВОЧНО: Среднемесячная </w:t>
            </w: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работника, руб.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22 453,54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23 718,38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15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отнесения расходов на сторонних потребителей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59,92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59,92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С/стоимость передачи э/энергии сторон. </w:t>
            </w: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потреб.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,т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ыс.руб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1 445,54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1 523,83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105,42</w:t>
            </w:r>
          </w:p>
        </w:tc>
      </w:tr>
      <w:tr w:rsidR="00A270F7" w:rsidRPr="00A270F7" w:rsidTr="00F175EC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из прибыли, в т.ч.: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155,84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84,51</w:t>
            </w:r>
          </w:p>
        </w:tc>
      </w:tr>
      <w:tr w:rsidR="00A270F7" w:rsidRPr="00A270F7" w:rsidTr="00F175EC">
        <w:trPr>
          <w:trHeight w:val="30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расходы на социальные нужды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131,70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105,63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налог на прибыль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31,17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270F7" w:rsidRPr="00A270F7" w:rsidTr="006C3EF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от деятельности по оказанию услуг по передаче э/э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93,38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84,51</w:t>
            </w:r>
          </w:p>
        </w:tc>
      </w:tr>
      <w:tr w:rsidR="00A270F7" w:rsidRPr="00A270F7" w:rsidTr="006C3EFB">
        <w:trPr>
          <w:trHeight w:val="525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(изъятие) недополученных (излишних) финансовых средств базового периода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0F7" w:rsidRPr="00A270F7" w:rsidRDefault="00CE4D0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70F7" w:rsidRPr="00A270F7" w:rsidRDefault="00A270F7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CB" w:rsidRPr="00A270F7" w:rsidTr="006C3EFB">
        <w:trPr>
          <w:trHeight w:val="525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покупку технологического расхода (потерь) электрической энергии на ее передачу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F537CB" w:rsidRDefault="00F537CB" w:rsidP="00B72C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620,49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E4D0B" w:rsidRPr="00A270F7" w:rsidTr="00F537CB">
        <w:trPr>
          <w:trHeight w:val="525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Необходимая валовая выручка (НВВ) от деятельности по оказанию услуг по передаче э/э, всего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538,92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2 289,34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148,76</w:t>
            </w:r>
          </w:p>
        </w:tc>
      </w:tr>
      <w:tr w:rsidR="00CE4D0B" w:rsidRPr="00A270F7" w:rsidTr="00F537C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в т.ч.: на содержание объектов </w:t>
            </w: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хозяйства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</w:t>
            </w:r>
            <w:r w:rsidRPr="00A27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538,92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1 668,85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108,44</w:t>
            </w:r>
          </w:p>
        </w:tc>
      </w:tr>
      <w:tr w:rsidR="00CE4D0B" w:rsidRPr="00CE4D0B" w:rsidTr="00F537CB">
        <w:trPr>
          <w:trHeight w:val="300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</w:t>
            </w:r>
            <w:r w:rsidRPr="00CE4D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оплату технологического расхода (потерь)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F17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270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620,49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E4D0B" w:rsidRPr="00A270F7" w:rsidTr="006C3EFB">
        <w:trPr>
          <w:trHeight w:val="525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Удельный размер финансовых средств по содержанию </w:t>
            </w: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электросетевого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руб./кВтч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124,70</w:t>
            </w:r>
          </w:p>
        </w:tc>
      </w:tr>
      <w:tr w:rsidR="00CE4D0B" w:rsidRPr="00A270F7" w:rsidTr="006C3EFB">
        <w:trPr>
          <w:trHeight w:val="615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размер финансовых средств на осуществление деятельности по передаче э/э с учетом расходов на компенсацию потерь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A270F7" w:rsidRDefault="00CE4D0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руб./кВтч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F537CB" w:rsidRDefault="00CE4D0B" w:rsidP="00F537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4D0B" w:rsidRPr="00CE4D0B" w:rsidRDefault="00CE4D0B" w:rsidP="00CE4D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E4D0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171,06</w:t>
            </w:r>
          </w:p>
        </w:tc>
      </w:tr>
      <w:tr w:rsidR="00F537CB" w:rsidRPr="00A270F7" w:rsidTr="006C3EFB">
        <w:trPr>
          <w:trHeight w:val="315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 Объем условных единиц всего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у.е</w:t>
            </w:r>
            <w:proofErr w:type="spellEnd"/>
            <w:r w:rsidRPr="00A270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148,68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148,68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37CB" w:rsidRPr="00A270F7" w:rsidRDefault="00F537CB" w:rsidP="00A27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70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AC5171" w:rsidRPr="00A270F7" w:rsidRDefault="00AC5171" w:rsidP="00AC5171">
      <w:pPr>
        <w:pStyle w:val="a3"/>
        <w:tabs>
          <w:tab w:val="left" w:pos="0"/>
        </w:tabs>
        <w:spacing w:after="0"/>
        <w:ind w:left="709"/>
        <w:jc w:val="both"/>
        <w:rPr>
          <w:sz w:val="24"/>
          <w:szCs w:val="24"/>
        </w:rPr>
      </w:pPr>
    </w:p>
    <w:p w:rsidR="006734B0" w:rsidRDefault="006734B0" w:rsidP="00925920">
      <w:pPr>
        <w:rPr>
          <w:rFonts w:ascii="Times New Roman" w:hAnsi="Times New Roman" w:cs="Times New Roman"/>
          <w:sz w:val="24"/>
          <w:szCs w:val="24"/>
        </w:rPr>
      </w:pPr>
    </w:p>
    <w:p w:rsidR="00682C4E" w:rsidRDefault="00682C4E" w:rsidP="00A270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исполняющий </w:t>
      </w:r>
    </w:p>
    <w:p w:rsidR="00925920" w:rsidRPr="005B6BF5" w:rsidRDefault="00682C4E" w:rsidP="00A270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обязанности </w:t>
      </w:r>
      <w:r w:rsidR="00925920" w:rsidRPr="005B6BF5">
        <w:rPr>
          <w:rFonts w:ascii="Times New Roman" w:hAnsi="Times New Roman" w:cs="Times New Roman"/>
          <w:sz w:val="24"/>
          <w:szCs w:val="24"/>
        </w:rPr>
        <w:t xml:space="preserve">руководителя </w:t>
      </w:r>
      <w:r w:rsidR="005C50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925920" w:rsidRPr="005B6BF5" w:rsidRDefault="00925920" w:rsidP="00A270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BF5">
        <w:rPr>
          <w:rFonts w:ascii="Times New Roman" w:hAnsi="Times New Roman" w:cs="Times New Roman"/>
          <w:sz w:val="24"/>
          <w:szCs w:val="24"/>
        </w:rPr>
        <w:t xml:space="preserve">департамента                                                                                                         </w:t>
      </w:r>
      <w:r w:rsidR="00682C4E">
        <w:rPr>
          <w:rFonts w:ascii="Times New Roman" w:hAnsi="Times New Roman" w:cs="Times New Roman"/>
          <w:sz w:val="24"/>
          <w:szCs w:val="24"/>
        </w:rPr>
        <w:t>Г.Р</w:t>
      </w:r>
      <w:r w:rsidR="00682C4E" w:rsidRPr="005B6B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2C4E">
        <w:rPr>
          <w:rFonts w:ascii="Times New Roman" w:hAnsi="Times New Roman" w:cs="Times New Roman"/>
          <w:sz w:val="24"/>
          <w:szCs w:val="24"/>
        </w:rPr>
        <w:t>Асмодьяров</w:t>
      </w:r>
      <w:proofErr w:type="spellEnd"/>
    </w:p>
    <w:p w:rsidR="00925920" w:rsidRPr="005B6BF5" w:rsidRDefault="00925920" w:rsidP="00925920">
      <w:pPr>
        <w:rPr>
          <w:rFonts w:ascii="Times New Roman" w:hAnsi="Times New Roman" w:cs="Times New Roman"/>
          <w:sz w:val="24"/>
          <w:szCs w:val="24"/>
        </w:rPr>
      </w:pPr>
    </w:p>
    <w:p w:rsidR="00925920" w:rsidRPr="005B6BF5" w:rsidRDefault="00925920" w:rsidP="00925920">
      <w:pPr>
        <w:rPr>
          <w:rFonts w:ascii="Times New Roman" w:hAnsi="Times New Roman" w:cs="Times New Roman"/>
          <w:sz w:val="24"/>
          <w:szCs w:val="24"/>
        </w:rPr>
      </w:pPr>
    </w:p>
    <w:p w:rsidR="00925920" w:rsidRPr="005B6BF5" w:rsidRDefault="00925920" w:rsidP="00A270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BF5">
        <w:rPr>
          <w:rFonts w:ascii="Times New Roman" w:hAnsi="Times New Roman" w:cs="Times New Roman"/>
          <w:sz w:val="24"/>
          <w:szCs w:val="24"/>
        </w:rPr>
        <w:t>Начальник отдела регулирования                                                                       А.И. Третьякова</w:t>
      </w:r>
    </w:p>
    <w:p w:rsidR="00925920" w:rsidRPr="005B6BF5" w:rsidRDefault="00925920" w:rsidP="00A270F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B6BF5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5B6BF5">
        <w:rPr>
          <w:rFonts w:ascii="Times New Roman" w:hAnsi="Times New Roman" w:cs="Times New Roman"/>
          <w:sz w:val="24"/>
          <w:szCs w:val="24"/>
        </w:rPr>
        <w:t>- и теплоэнергетики</w:t>
      </w:r>
    </w:p>
    <w:p w:rsidR="00925920" w:rsidRDefault="00925920" w:rsidP="00925920">
      <w:pPr>
        <w:rPr>
          <w:rFonts w:ascii="Times New Roman" w:hAnsi="Times New Roman" w:cs="Times New Roman"/>
          <w:sz w:val="24"/>
          <w:szCs w:val="24"/>
        </w:rPr>
      </w:pPr>
    </w:p>
    <w:p w:rsidR="006C3EFB" w:rsidRDefault="006C3EFB" w:rsidP="00925920">
      <w:pPr>
        <w:rPr>
          <w:rFonts w:ascii="Times New Roman" w:hAnsi="Times New Roman" w:cs="Times New Roman"/>
          <w:sz w:val="24"/>
          <w:szCs w:val="24"/>
        </w:rPr>
      </w:pPr>
    </w:p>
    <w:p w:rsidR="00925920" w:rsidRPr="005C5048" w:rsidRDefault="00925920" w:rsidP="006C3EF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C5048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A97478" w:rsidRPr="005C5048" w:rsidRDefault="00682C4E" w:rsidP="006C3EF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Е.В</w:t>
      </w:r>
      <w:r w:rsidR="00925920" w:rsidRPr="005C504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Бойко</w:t>
      </w:r>
    </w:p>
    <w:sectPr w:rsidR="00A97478" w:rsidRPr="005C5048" w:rsidSect="00CB1E58">
      <w:headerReference w:type="default" r:id="rId8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5EC" w:rsidRDefault="00F175EC" w:rsidP="000478D6">
      <w:pPr>
        <w:spacing w:after="0" w:line="240" w:lineRule="auto"/>
      </w:pPr>
      <w:r>
        <w:separator/>
      </w:r>
    </w:p>
  </w:endnote>
  <w:endnote w:type="continuationSeparator" w:id="0">
    <w:p w:rsidR="00F175EC" w:rsidRDefault="00F175EC" w:rsidP="0004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5EC" w:rsidRDefault="00F175EC" w:rsidP="000478D6">
      <w:pPr>
        <w:spacing w:after="0" w:line="240" w:lineRule="auto"/>
      </w:pPr>
      <w:r>
        <w:separator/>
      </w:r>
    </w:p>
  </w:footnote>
  <w:footnote w:type="continuationSeparator" w:id="0">
    <w:p w:rsidR="00F175EC" w:rsidRDefault="00F175EC" w:rsidP="00047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65708"/>
      <w:docPartObj>
        <w:docPartGallery w:val="Page Numbers (Top of Page)"/>
        <w:docPartUnique/>
      </w:docPartObj>
    </w:sdtPr>
    <w:sdtContent>
      <w:p w:rsidR="00F175EC" w:rsidRDefault="00E83E85">
        <w:pPr>
          <w:pStyle w:val="a8"/>
          <w:jc w:val="right"/>
        </w:pPr>
        <w:fldSimple w:instr=" PAGE   \* MERGEFORMAT ">
          <w:r w:rsidR="004950C8">
            <w:rPr>
              <w:noProof/>
            </w:rPr>
            <w:t>3</w:t>
          </w:r>
        </w:fldSimple>
      </w:p>
    </w:sdtContent>
  </w:sdt>
  <w:p w:rsidR="00F175EC" w:rsidRDefault="00F175E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E3B"/>
    <w:multiLevelType w:val="multilevel"/>
    <w:tmpl w:val="1C7AFEF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">
    <w:nsid w:val="092C051A"/>
    <w:multiLevelType w:val="multilevel"/>
    <w:tmpl w:val="B86A7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1395F8B"/>
    <w:multiLevelType w:val="multilevel"/>
    <w:tmpl w:val="6E9E0C5A"/>
    <w:lvl w:ilvl="0">
      <w:start w:val="1"/>
      <w:numFmt w:val="upperRoman"/>
      <w:lvlText w:val="%1."/>
      <w:lvlJc w:val="left"/>
      <w:pPr>
        <w:ind w:left="1077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5" w:hanging="2160"/>
      </w:pPr>
      <w:rPr>
        <w:rFonts w:hint="default"/>
      </w:rPr>
    </w:lvl>
  </w:abstractNum>
  <w:abstractNum w:abstractNumId="3">
    <w:nsid w:val="191321D0"/>
    <w:multiLevelType w:val="hybridMultilevel"/>
    <w:tmpl w:val="B734C760"/>
    <w:lvl w:ilvl="0" w:tplc="A9583580">
      <w:start w:val="2"/>
      <w:numFmt w:val="upperRoman"/>
      <w:lvlText w:val="%1."/>
      <w:lvlJc w:val="left"/>
      <w:pPr>
        <w:ind w:left="1429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105AC5"/>
    <w:multiLevelType w:val="multilevel"/>
    <w:tmpl w:val="139EF2D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>
    <w:nsid w:val="25DB759E"/>
    <w:multiLevelType w:val="multilevel"/>
    <w:tmpl w:val="C0422078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2569" w:hanging="11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56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6">
    <w:nsid w:val="27E65196"/>
    <w:multiLevelType w:val="hybridMultilevel"/>
    <w:tmpl w:val="24A4EA20"/>
    <w:lvl w:ilvl="0" w:tplc="BE66DEE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515C9C"/>
    <w:multiLevelType w:val="hybridMultilevel"/>
    <w:tmpl w:val="2E0CFB1C"/>
    <w:lvl w:ilvl="0" w:tplc="0E900D8C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2D8D4564"/>
    <w:multiLevelType w:val="multilevel"/>
    <w:tmpl w:val="93F487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F187AFA"/>
    <w:multiLevelType w:val="multilevel"/>
    <w:tmpl w:val="36D4F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65E7449"/>
    <w:multiLevelType w:val="multilevel"/>
    <w:tmpl w:val="C03673B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EFC0266"/>
    <w:multiLevelType w:val="hybridMultilevel"/>
    <w:tmpl w:val="5BC6107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2">
    <w:nsid w:val="3F9A4AFD"/>
    <w:multiLevelType w:val="hybridMultilevel"/>
    <w:tmpl w:val="4704E6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63536"/>
    <w:multiLevelType w:val="hybridMultilevel"/>
    <w:tmpl w:val="64F6CB74"/>
    <w:lvl w:ilvl="0" w:tplc="E5FC9E9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A466D"/>
    <w:multiLevelType w:val="multilevel"/>
    <w:tmpl w:val="32368A8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1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5">
    <w:nsid w:val="47206BE8"/>
    <w:multiLevelType w:val="hybridMultilevel"/>
    <w:tmpl w:val="5B926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3251A"/>
    <w:multiLevelType w:val="hybridMultilevel"/>
    <w:tmpl w:val="969A3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62A98"/>
    <w:multiLevelType w:val="multilevel"/>
    <w:tmpl w:val="8BD4ED9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7547D02"/>
    <w:multiLevelType w:val="multilevel"/>
    <w:tmpl w:val="1ACC7630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60C36B5B"/>
    <w:multiLevelType w:val="hybridMultilevel"/>
    <w:tmpl w:val="4C361B02"/>
    <w:lvl w:ilvl="0" w:tplc="D4C2A2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14C5A4C"/>
    <w:multiLevelType w:val="multilevel"/>
    <w:tmpl w:val="CBD40F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1">
    <w:nsid w:val="62C161C5"/>
    <w:multiLevelType w:val="multilevel"/>
    <w:tmpl w:val="23EA2F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/>
      </w:rPr>
    </w:lvl>
  </w:abstractNum>
  <w:abstractNum w:abstractNumId="22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698029AB"/>
    <w:multiLevelType w:val="hybridMultilevel"/>
    <w:tmpl w:val="3256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02311"/>
    <w:multiLevelType w:val="multilevel"/>
    <w:tmpl w:val="85C2FB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6DBE6C86"/>
    <w:multiLevelType w:val="hybridMultilevel"/>
    <w:tmpl w:val="5FEE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B066F3"/>
    <w:multiLevelType w:val="hybridMultilevel"/>
    <w:tmpl w:val="A45E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C13A4D"/>
    <w:multiLevelType w:val="multilevel"/>
    <w:tmpl w:val="CE24D59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28">
    <w:nsid w:val="73B666E0"/>
    <w:multiLevelType w:val="multilevel"/>
    <w:tmpl w:val="D6A0588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9">
    <w:nsid w:val="7920094E"/>
    <w:multiLevelType w:val="multilevel"/>
    <w:tmpl w:val="565A1B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0">
    <w:nsid w:val="7D656139"/>
    <w:multiLevelType w:val="hybridMultilevel"/>
    <w:tmpl w:val="896C82E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0F">
      <w:start w:val="1"/>
      <w:numFmt w:val="decimal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21"/>
  </w:num>
  <w:num w:numId="3">
    <w:abstractNumId w:val="27"/>
  </w:num>
  <w:num w:numId="4">
    <w:abstractNumId w:val="28"/>
  </w:num>
  <w:num w:numId="5">
    <w:abstractNumId w:val="24"/>
  </w:num>
  <w:num w:numId="6">
    <w:abstractNumId w:val="10"/>
  </w:num>
  <w:num w:numId="7">
    <w:abstractNumId w:val="20"/>
  </w:num>
  <w:num w:numId="8">
    <w:abstractNumId w:val="29"/>
  </w:num>
  <w:num w:numId="9">
    <w:abstractNumId w:val="2"/>
  </w:num>
  <w:num w:numId="10">
    <w:abstractNumId w:val="9"/>
  </w:num>
  <w:num w:numId="11">
    <w:abstractNumId w:val="1"/>
  </w:num>
  <w:num w:numId="12">
    <w:abstractNumId w:val="8"/>
  </w:num>
  <w:num w:numId="13">
    <w:abstractNumId w:val="14"/>
  </w:num>
  <w:num w:numId="14">
    <w:abstractNumId w:val="17"/>
  </w:num>
  <w:num w:numId="15">
    <w:abstractNumId w:val="12"/>
  </w:num>
  <w:num w:numId="16">
    <w:abstractNumId w:val="30"/>
  </w:num>
  <w:num w:numId="17">
    <w:abstractNumId w:val="25"/>
  </w:num>
  <w:num w:numId="18">
    <w:abstractNumId w:val="23"/>
  </w:num>
  <w:num w:numId="19">
    <w:abstractNumId w:val="15"/>
  </w:num>
  <w:num w:numId="20">
    <w:abstractNumId w:val="0"/>
  </w:num>
  <w:num w:numId="21">
    <w:abstractNumId w:val="18"/>
  </w:num>
  <w:num w:numId="22">
    <w:abstractNumId w:val="22"/>
  </w:num>
  <w:num w:numId="23">
    <w:abstractNumId w:val="3"/>
  </w:num>
  <w:num w:numId="24">
    <w:abstractNumId w:val="6"/>
  </w:num>
  <w:num w:numId="25">
    <w:abstractNumId w:val="26"/>
  </w:num>
  <w:num w:numId="26">
    <w:abstractNumId w:val="16"/>
  </w:num>
  <w:num w:numId="27">
    <w:abstractNumId w:val="19"/>
  </w:num>
  <w:num w:numId="28">
    <w:abstractNumId w:val="7"/>
  </w:num>
  <w:num w:numId="29">
    <w:abstractNumId w:val="11"/>
  </w:num>
  <w:num w:numId="30">
    <w:abstractNumId w:val="4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B5C"/>
    <w:rsid w:val="00020BDB"/>
    <w:rsid w:val="00031044"/>
    <w:rsid w:val="00035132"/>
    <w:rsid w:val="000478D6"/>
    <w:rsid w:val="000853BF"/>
    <w:rsid w:val="00086A17"/>
    <w:rsid w:val="000A0284"/>
    <w:rsid w:val="000A0A96"/>
    <w:rsid w:val="000B2F20"/>
    <w:rsid w:val="000C3DD3"/>
    <w:rsid w:val="000C65B2"/>
    <w:rsid w:val="00135BFA"/>
    <w:rsid w:val="00167BD3"/>
    <w:rsid w:val="00184FC4"/>
    <w:rsid w:val="001937B0"/>
    <w:rsid w:val="001B61B6"/>
    <w:rsid w:val="00200C1F"/>
    <w:rsid w:val="00203AFB"/>
    <w:rsid w:val="00211113"/>
    <w:rsid w:val="0021503B"/>
    <w:rsid w:val="0023730C"/>
    <w:rsid w:val="00252BDC"/>
    <w:rsid w:val="00271C9F"/>
    <w:rsid w:val="00275654"/>
    <w:rsid w:val="002838E0"/>
    <w:rsid w:val="00283EFC"/>
    <w:rsid w:val="0029527F"/>
    <w:rsid w:val="002A681D"/>
    <w:rsid w:val="002B7F21"/>
    <w:rsid w:val="002D1E80"/>
    <w:rsid w:val="002E0ECD"/>
    <w:rsid w:val="002F3813"/>
    <w:rsid w:val="00322A08"/>
    <w:rsid w:val="00335034"/>
    <w:rsid w:val="003501F2"/>
    <w:rsid w:val="00353E58"/>
    <w:rsid w:val="003574CA"/>
    <w:rsid w:val="00382E79"/>
    <w:rsid w:val="0039153A"/>
    <w:rsid w:val="003B100F"/>
    <w:rsid w:val="003C430F"/>
    <w:rsid w:val="003C4545"/>
    <w:rsid w:val="003C5900"/>
    <w:rsid w:val="003C697A"/>
    <w:rsid w:val="003D464D"/>
    <w:rsid w:val="003D692E"/>
    <w:rsid w:val="003E2D90"/>
    <w:rsid w:val="003E3DE2"/>
    <w:rsid w:val="003F1708"/>
    <w:rsid w:val="00405C4A"/>
    <w:rsid w:val="00421FD3"/>
    <w:rsid w:val="00427E8C"/>
    <w:rsid w:val="00434347"/>
    <w:rsid w:val="00437111"/>
    <w:rsid w:val="00457893"/>
    <w:rsid w:val="004852D8"/>
    <w:rsid w:val="004950C8"/>
    <w:rsid w:val="0049589B"/>
    <w:rsid w:val="004B6083"/>
    <w:rsid w:val="0050797F"/>
    <w:rsid w:val="00512A63"/>
    <w:rsid w:val="0051587B"/>
    <w:rsid w:val="005312B2"/>
    <w:rsid w:val="00531E33"/>
    <w:rsid w:val="00531F5E"/>
    <w:rsid w:val="0054043F"/>
    <w:rsid w:val="0054589A"/>
    <w:rsid w:val="00551B2E"/>
    <w:rsid w:val="00586E13"/>
    <w:rsid w:val="005A3A2D"/>
    <w:rsid w:val="005B6BF5"/>
    <w:rsid w:val="005C5048"/>
    <w:rsid w:val="005F7AEA"/>
    <w:rsid w:val="00615616"/>
    <w:rsid w:val="006208FA"/>
    <w:rsid w:val="00621ED0"/>
    <w:rsid w:val="00631A9E"/>
    <w:rsid w:val="00637B7E"/>
    <w:rsid w:val="00663978"/>
    <w:rsid w:val="006734B0"/>
    <w:rsid w:val="00676017"/>
    <w:rsid w:val="00682C4E"/>
    <w:rsid w:val="006C3EFB"/>
    <w:rsid w:val="006C667E"/>
    <w:rsid w:val="007014B9"/>
    <w:rsid w:val="00713683"/>
    <w:rsid w:val="00726C38"/>
    <w:rsid w:val="0073108D"/>
    <w:rsid w:val="00741314"/>
    <w:rsid w:val="00762D2B"/>
    <w:rsid w:val="0077514D"/>
    <w:rsid w:val="007D07E2"/>
    <w:rsid w:val="007E0613"/>
    <w:rsid w:val="007F6B70"/>
    <w:rsid w:val="0081067A"/>
    <w:rsid w:val="00826B07"/>
    <w:rsid w:val="008274CE"/>
    <w:rsid w:val="00846F16"/>
    <w:rsid w:val="00864FA8"/>
    <w:rsid w:val="008B3498"/>
    <w:rsid w:val="008C002F"/>
    <w:rsid w:val="008E1837"/>
    <w:rsid w:val="00903227"/>
    <w:rsid w:val="00912DBA"/>
    <w:rsid w:val="00925920"/>
    <w:rsid w:val="0094736A"/>
    <w:rsid w:val="0095718E"/>
    <w:rsid w:val="00963FAF"/>
    <w:rsid w:val="00973BB8"/>
    <w:rsid w:val="00976C60"/>
    <w:rsid w:val="00986CB5"/>
    <w:rsid w:val="009A5A1F"/>
    <w:rsid w:val="009C17F9"/>
    <w:rsid w:val="009C1FD2"/>
    <w:rsid w:val="009D7B76"/>
    <w:rsid w:val="009E0B25"/>
    <w:rsid w:val="009F349B"/>
    <w:rsid w:val="00A16CCB"/>
    <w:rsid w:val="00A21DF1"/>
    <w:rsid w:val="00A24494"/>
    <w:rsid w:val="00A25B66"/>
    <w:rsid w:val="00A270F7"/>
    <w:rsid w:val="00A657D0"/>
    <w:rsid w:val="00A73209"/>
    <w:rsid w:val="00A97478"/>
    <w:rsid w:val="00AC5171"/>
    <w:rsid w:val="00AE352B"/>
    <w:rsid w:val="00B06C7C"/>
    <w:rsid w:val="00B2328E"/>
    <w:rsid w:val="00B42730"/>
    <w:rsid w:val="00B46062"/>
    <w:rsid w:val="00B52DB1"/>
    <w:rsid w:val="00B56710"/>
    <w:rsid w:val="00B56BE3"/>
    <w:rsid w:val="00B57DBA"/>
    <w:rsid w:val="00B6788B"/>
    <w:rsid w:val="00B72C34"/>
    <w:rsid w:val="00B74AED"/>
    <w:rsid w:val="00B82BB1"/>
    <w:rsid w:val="00B962F8"/>
    <w:rsid w:val="00BA4714"/>
    <w:rsid w:val="00BA78E2"/>
    <w:rsid w:val="00BB433D"/>
    <w:rsid w:val="00C01877"/>
    <w:rsid w:val="00C2363D"/>
    <w:rsid w:val="00C31135"/>
    <w:rsid w:val="00C31CC9"/>
    <w:rsid w:val="00C406EC"/>
    <w:rsid w:val="00C53827"/>
    <w:rsid w:val="00C725CE"/>
    <w:rsid w:val="00C73FB4"/>
    <w:rsid w:val="00CA053C"/>
    <w:rsid w:val="00CA42C9"/>
    <w:rsid w:val="00CB1E58"/>
    <w:rsid w:val="00CE2941"/>
    <w:rsid w:val="00CE2D52"/>
    <w:rsid w:val="00CE4D0B"/>
    <w:rsid w:val="00D023D5"/>
    <w:rsid w:val="00D12303"/>
    <w:rsid w:val="00D20346"/>
    <w:rsid w:val="00D5773D"/>
    <w:rsid w:val="00D91BE0"/>
    <w:rsid w:val="00D92698"/>
    <w:rsid w:val="00D9599F"/>
    <w:rsid w:val="00DC4675"/>
    <w:rsid w:val="00DD1256"/>
    <w:rsid w:val="00DF0510"/>
    <w:rsid w:val="00E126D4"/>
    <w:rsid w:val="00E53CED"/>
    <w:rsid w:val="00E55AB3"/>
    <w:rsid w:val="00E6462E"/>
    <w:rsid w:val="00E67E3B"/>
    <w:rsid w:val="00E7288C"/>
    <w:rsid w:val="00E763E3"/>
    <w:rsid w:val="00E83E85"/>
    <w:rsid w:val="00E86819"/>
    <w:rsid w:val="00EA1744"/>
    <w:rsid w:val="00EB3C71"/>
    <w:rsid w:val="00EB417F"/>
    <w:rsid w:val="00ED2069"/>
    <w:rsid w:val="00ED661C"/>
    <w:rsid w:val="00EF054D"/>
    <w:rsid w:val="00F15CFD"/>
    <w:rsid w:val="00F175EC"/>
    <w:rsid w:val="00F263A8"/>
    <w:rsid w:val="00F271ED"/>
    <w:rsid w:val="00F463BB"/>
    <w:rsid w:val="00F537CB"/>
    <w:rsid w:val="00F552C1"/>
    <w:rsid w:val="00F555DF"/>
    <w:rsid w:val="00F56B3F"/>
    <w:rsid w:val="00F66A29"/>
    <w:rsid w:val="00F777C9"/>
    <w:rsid w:val="00F83606"/>
    <w:rsid w:val="00F845DF"/>
    <w:rsid w:val="00F9519F"/>
    <w:rsid w:val="00FB2687"/>
    <w:rsid w:val="00FB2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7B"/>
  </w:style>
  <w:style w:type="paragraph" w:styleId="1">
    <w:name w:val="heading 1"/>
    <w:basedOn w:val="a"/>
    <w:next w:val="a"/>
    <w:link w:val="10"/>
    <w:uiPriority w:val="9"/>
    <w:qFormat/>
    <w:rsid w:val="00D91B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4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97478"/>
    <w:pPr>
      <w:keepNext/>
      <w:spacing w:after="0" w:line="240" w:lineRule="auto"/>
      <w:ind w:firstLine="426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B2B5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FB2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FB2B5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B2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FB2B5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B2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74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A974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97478"/>
    <w:pPr>
      <w:ind w:left="720"/>
      <w:contextualSpacing/>
    </w:pPr>
  </w:style>
  <w:style w:type="paragraph" w:styleId="a6">
    <w:name w:val="Body Text"/>
    <w:basedOn w:val="a"/>
    <w:link w:val="a7"/>
    <w:rsid w:val="00A974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4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97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7478"/>
  </w:style>
  <w:style w:type="paragraph" w:styleId="aa">
    <w:name w:val="footer"/>
    <w:basedOn w:val="a"/>
    <w:link w:val="ab"/>
    <w:uiPriority w:val="99"/>
    <w:semiHidden/>
    <w:unhideWhenUsed/>
    <w:rsid w:val="00A97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7478"/>
  </w:style>
  <w:style w:type="character" w:customStyle="1" w:styleId="10">
    <w:name w:val="Заголовок 1 Знак"/>
    <w:basedOn w:val="a0"/>
    <w:link w:val="1"/>
    <w:uiPriority w:val="9"/>
    <w:rsid w:val="00D91B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link w:val="ad"/>
    <w:qFormat/>
    <w:rsid w:val="00D91BE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D91BE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ED2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8B34-2242-4EF1-AB56-2D310035D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2128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chop</dc:creator>
  <cp:keywords/>
  <dc:description/>
  <cp:lastModifiedBy>aob</cp:lastModifiedBy>
  <cp:revision>3</cp:revision>
  <cp:lastPrinted>2014-12-11T12:45:00Z</cp:lastPrinted>
  <dcterms:created xsi:type="dcterms:W3CDTF">2014-12-12T03:31:00Z</dcterms:created>
  <dcterms:modified xsi:type="dcterms:W3CDTF">2014-12-12T03:33:00Z</dcterms:modified>
</cp:coreProperties>
</file>