
<file path=[Content_Types].xml><?xml version="1.0" encoding="utf-8"?>
<Types xmlns="http://schemas.openxmlformats.org/package/2006/content-types">
  <Default Extension="bin" ContentType="application/vnd.openxmlformats-officedocument.oleObject"/>
  <Default Extension="png" ContentType="image/png"/>
  <Default Extension="wmf" ContentType="image/x-wmf"/>
  <Default Extension="emf" ContentType="image/x-emf"/>
  <Default Extension="rels" ContentType="application/vnd.openxmlformats-package.relationships+xml"/>
  <Default Extension="xml" ContentType="application/xml"/>
  <Default Extension="xlsx" ContentType="application/vnd.openxmlformats-officedocument.spreadsheetml.sheet"/>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harts/chart1.xml" ContentType="application/vnd.openxmlformats-officedocument.drawingml.chart+xml"/>
  <Override PartName="/word/theme/themeOverride1.xml" ContentType="application/vnd.openxmlformats-officedocument.themeOverride+xml"/>
  <Override PartName="/word/charts/chart2.xml" ContentType="application/vnd.openxmlformats-officedocument.drawingml.chart+xml"/>
  <Override PartName="/word/theme/themeOverride2.xml" ContentType="application/vnd.openxmlformats-officedocument.themeOverride+xml"/>
  <Override PartName="/word/charts/chart3.xml" ContentType="application/vnd.openxmlformats-officedocument.drawingml.chart+xml"/>
  <Override PartName="/word/theme/themeOverride3.xml" ContentType="application/vnd.openxmlformats-officedocument.themeOverride+xml"/>
  <Override PartName="/word/charts/chart4.xml" ContentType="application/vnd.openxmlformats-officedocument.drawingml.chart+xml"/>
  <Override PartName="/word/theme/themeOverride4.xml" ContentType="application/vnd.openxmlformats-officedocument.themeOverride+xml"/>
  <Override PartName="/word/charts/chart5.xml" ContentType="application/vnd.openxmlformats-officedocument.drawingml.chart+xml"/>
  <Override PartName="/word/charts/chart6.xml" ContentType="application/vnd.openxmlformats-officedocument.drawingml.chart+xml"/>
  <Override PartName="/word/charts/chart7.xml" ContentType="application/vnd.openxmlformats-officedocument.drawingml.chart+xml"/>
  <Override PartName="/word/charts/chart8.xml" ContentType="application/vnd.openxmlformats-officedocument.drawingml.chart+xml"/>
  <Override PartName="/word/charts/chart9.xml" ContentType="application/vnd.openxmlformats-officedocument.drawingml.chart+xml"/>
  <Override PartName="/word/charts/chart10.xml" ContentType="application/vnd.openxmlformats-officedocument.drawingml.chart+xml"/>
  <Override PartName="/word/charts/chart11.xml" ContentType="application/vnd.openxmlformats-officedocument.drawingml.chart+xml"/>
  <Override PartName="/word/charts/chart12.xml" ContentType="application/vnd.openxmlformats-officedocument.drawingml.chart+xml"/>
  <Override PartName="/word/charts/chart13.xml" ContentType="application/vnd.openxmlformats-officedocument.drawingml.chart+xml"/>
  <Override PartName="/word/charts/chart14.xml" ContentType="application/vnd.openxmlformats-officedocument.drawingml.chart+xml"/>
  <Override PartName="/word/charts/chart15.xml" ContentType="application/vnd.openxmlformats-officedocument.drawingml.chart+xml"/>
  <Override PartName="/word/theme/themeOverride5.xml" ContentType="application/vnd.openxmlformats-officedocument.themeOverride+xml"/>
  <Override PartName="/word/charts/chart16.xml" ContentType="application/vnd.openxmlformats-officedocument.drawingml.chart+xml"/>
  <Override PartName="/word/theme/themeOverride6.xml" ContentType="application/vnd.openxmlformats-officedocument.themeOverride+xml"/>
  <Override PartName="/word/charts/chart17.xml" ContentType="application/vnd.openxmlformats-officedocument.drawingml.chart+xml"/>
  <Override PartName="/word/theme/themeOverride7.xml" ContentType="application/vnd.openxmlformats-officedocument.themeOverride+xml"/>
  <Override PartName="/word/charts/chart18.xml" ContentType="application/vnd.openxmlformats-officedocument.drawingml.chart+xml"/>
  <Override PartName="/word/theme/themeOverride8.xml" ContentType="application/vnd.openxmlformats-officedocument.themeOverride+xml"/>
  <Override PartName="/word/charts/chart19.xml" ContentType="application/vnd.openxmlformats-officedocument.drawingml.chart+xml"/>
  <Override PartName="/word/theme/themeOverride9.xml" ContentType="application/vnd.openxmlformats-officedocument.themeOverride+xml"/>
  <Override PartName="/word/charts/chart20.xml" ContentType="application/vnd.openxmlformats-officedocument.drawingml.chart+xml"/>
  <Override PartName="/word/theme/themeOverride10.xml" ContentType="application/vnd.openxmlformats-officedocument.themeOverride+xml"/>
  <Override PartName="/word/charts/chart21.xml" ContentType="application/vnd.openxmlformats-officedocument.drawingml.chart+xml"/>
  <Override PartName="/word/theme/themeOverride11.xml" ContentType="application/vnd.openxmlformats-officedocument.themeOverride+xml"/>
  <Override PartName="/word/charts/chart22.xml" ContentType="application/vnd.openxmlformats-officedocument.drawingml.chart+xml"/>
  <Override PartName="/word/theme/themeOverride12.xml" ContentType="application/vnd.openxmlformats-officedocument.themeOverride+xml"/>
  <Override PartName="/word/charts/chart23.xml" ContentType="application/vnd.openxmlformats-officedocument.drawingml.chart+xml"/>
  <Override PartName="/word/theme/themeOverride13.xml" ContentType="application/vnd.openxmlformats-officedocument.themeOverride+xml"/>
  <Override PartName="/word/charts/chart24.xml" ContentType="application/vnd.openxmlformats-officedocument.drawingml.chart+xml"/>
  <Override PartName="/word/theme/themeOverride14.xml" ContentType="application/vnd.openxmlformats-officedocument.themeOverride+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pPr w:leftFromText="180" w:rightFromText="180" w:horzAnchor="margin" w:tblpY="-279"/>
        <w:tblW w:w="9747" w:type="dxa"/>
        <w:tblLayout w:type="fixed"/>
        <w:tblLook w:val="04A0" w:firstRow="1" w:lastRow="0" w:firstColumn="1" w:lastColumn="0" w:noHBand="0" w:noVBand="1"/>
      </w:tblPr>
      <w:tblGrid>
        <w:gridCol w:w="4644"/>
        <w:gridCol w:w="5103"/>
      </w:tblGrid>
      <w:tr w:rsidR="002F3255" w:rsidTr="000E6A73">
        <w:trPr>
          <w:trHeight w:val="1644"/>
        </w:trPr>
        <w:tc>
          <w:tcPr>
            <w:tcW w:w="4644" w:type="dxa"/>
          </w:tcPr>
          <w:p w:rsidR="002F3255" w:rsidRDefault="002F3255" w:rsidP="000E6A73">
            <w:pPr>
              <w:ind w:left="-6186" w:firstLine="6186"/>
              <w:jc w:val="center"/>
            </w:pPr>
            <w:bookmarkStart w:id="0" w:name="_GoBack"/>
            <w:bookmarkEnd w:id="0"/>
          </w:p>
        </w:tc>
        <w:tc>
          <w:tcPr>
            <w:tcW w:w="5103" w:type="dxa"/>
          </w:tcPr>
          <w:p w:rsidR="002F3255" w:rsidRPr="007519A7" w:rsidRDefault="002F3255" w:rsidP="000E6A73">
            <w:pPr>
              <w:jc w:val="center"/>
            </w:pPr>
            <w:r w:rsidRPr="007519A7">
              <w:t>«УТВЕРЖДАЮ»</w:t>
            </w:r>
          </w:p>
          <w:p w:rsidR="002F3255" w:rsidRPr="007519A7" w:rsidRDefault="002F3255" w:rsidP="000E6A73">
            <w:pPr>
              <w:jc w:val="center"/>
            </w:pPr>
            <w:r w:rsidRPr="007519A7">
              <w:t>Руководитель департамента по тарифам Новосибирской области</w:t>
            </w:r>
          </w:p>
          <w:p w:rsidR="002F3255" w:rsidRPr="007519A7" w:rsidRDefault="002F3255" w:rsidP="000E6A73">
            <w:pPr>
              <w:jc w:val="center"/>
            </w:pPr>
          </w:p>
          <w:p w:rsidR="002F3255" w:rsidRPr="007519A7" w:rsidRDefault="002F3255" w:rsidP="000E6A73">
            <w:pPr>
              <w:jc w:val="center"/>
            </w:pPr>
            <w:r w:rsidRPr="007519A7">
              <w:t>_________________</w:t>
            </w:r>
            <w:r w:rsidR="00BD58BF">
              <w:t>__</w:t>
            </w:r>
            <w:r w:rsidRPr="007519A7">
              <w:t>_ Г.Р. Асмодьяров</w:t>
            </w:r>
          </w:p>
          <w:p w:rsidR="002F3255" w:rsidRDefault="00BD58BF" w:rsidP="000E6A73">
            <w:r>
              <w:t xml:space="preserve">         </w:t>
            </w:r>
            <w:r w:rsidR="002F3255" w:rsidRPr="007519A7">
              <w:t xml:space="preserve">                               «</w:t>
            </w:r>
            <w:r w:rsidR="002F3255">
              <w:t>31</w:t>
            </w:r>
            <w:r w:rsidR="002F3255" w:rsidRPr="007519A7">
              <w:t>» марта 20</w:t>
            </w:r>
            <w:r w:rsidR="002F3255">
              <w:t>20</w:t>
            </w:r>
            <w:r w:rsidR="002F3255" w:rsidRPr="007519A7">
              <w:t xml:space="preserve"> года</w:t>
            </w:r>
          </w:p>
          <w:p w:rsidR="002F3255" w:rsidRDefault="002F3255" w:rsidP="000E6A73">
            <w:pPr>
              <w:jc w:val="center"/>
            </w:pPr>
          </w:p>
        </w:tc>
      </w:tr>
    </w:tbl>
    <w:p w:rsidR="002F3255" w:rsidRDefault="002F3255" w:rsidP="002F3255">
      <w:pPr>
        <w:jc w:val="center"/>
        <w:rPr>
          <w:b/>
          <w:sz w:val="32"/>
          <w:szCs w:val="32"/>
        </w:rPr>
      </w:pPr>
    </w:p>
    <w:p w:rsidR="002F3255" w:rsidRDefault="002F3255" w:rsidP="002F3255">
      <w:pPr>
        <w:jc w:val="center"/>
        <w:rPr>
          <w:b/>
          <w:sz w:val="32"/>
          <w:szCs w:val="32"/>
        </w:rPr>
      </w:pPr>
    </w:p>
    <w:p w:rsidR="002F3255" w:rsidRDefault="002F3255" w:rsidP="002F3255">
      <w:pPr>
        <w:jc w:val="center"/>
        <w:rPr>
          <w:b/>
          <w:sz w:val="32"/>
          <w:szCs w:val="32"/>
        </w:rPr>
      </w:pPr>
    </w:p>
    <w:p w:rsidR="00E06C7A" w:rsidRDefault="00E06C7A" w:rsidP="002F3255">
      <w:pPr>
        <w:jc w:val="center"/>
        <w:rPr>
          <w:b/>
          <w:sz w:val="32"/>
          <w:szCs w:val="32"/>
        </w:rPr>
      </w:pPr>
    </w:p>
    <w:p w:rsidR="00E06C7A" w:rsidRDefault="00E06C7A" w:rsidP="002F3255">
      <w:pPr>
        <w:jc w:val="center"/>
        <w:rPr>
          <w:b/>
          <w:sz w:val="32"/>
          <w:szCs w:val="32"/>
        </w:rPr>
      </w:pPr>
    </w:p>
    <w:p w:rsidR="00E06C7A" w:rsidRDefault="00E06C7A" w:rsidP="002F3255">
      <w:pPr>
        <w:jc w:val="center"/>
        <w:rPr>
          <w:b/>
          <w:sz w:val="32"/>
          <w:szCs w:val="32"/>
        </w:rPr>
      </w:pPr>
    </w:p>
    <w:p w:rsidR="00E06C7A" w:rsidRDefault="00E06C7A" w:rsidP="002F3255">
      <w:pPr>
        <w:jc w:val="center"/>
        <w:rPr>
          <w:b/>
          <w:sz w:val="32"/>
          <w:szCs w:val="32"/>
        </w:rPr>
      </w:pPr>
    </w:p>
    <w:p w:rsidR="00E06C7A" w:rsidRDefault="00E06C7A" w:rsidP="002F3255">
      <w:pPr>
        <w:jc w:val="center"/>
        <w:rPr>
          <w:b/>
          <w:sz w:val="32"/>
          <w:szCs w:val="32"/>
        </w:rPr>
      </w:pPr>
    </w:p>
    <w:p w:rsidR="00E06C7A" w:rsidRDefault="00E06C7A" w:rsidP="002F3255">
      <w:pPr>
        <w:jc w:val="center"/>
        <w:rPr>
          <w:b/>
          <w:sz w:val="32"/>
          <w:szCs w:val="32"/>
        </w:rPr>
      </w:pPr>
    </w:p>
    <w:p w:rsidR="00E06C7A" w:rsidRDefault="00E06C7A" w:rsidP="002F3255">
      <w:pPr>
        <w:jc w:val="center"/>
        <w:rPr>
          <w:b/>
          <w:sz w:val="32"/>
          <w:szCs w:val="32"/>
        </w:rPr>
      </w:pPr>
    </w:p>
    <w:p w:rsidR="00E06C7A" w:rsidRDefault="00E06C7A" w:rsidP="002F3255">
      <w:pPr>
        <w:jc w:val="center"/>
        <w:rPr>
          <w:b/>
          <w:sz w:val="32"/>
          <w:szCs w:val="32"/>
        </w:rPr>
      </w:pPr>
    </w:p>
    <w:p w:rsidR="002F3255" w:rsidRPr="008D7B9C" w:rsidRDefault="002F3255" w:rsidP="002F3255">
      <w:pPr>
        <w:jc w:val="center"/>
        <w:rPr>
          <w:b/>
          <w:sz w:val="32"/>
          <w:szCs w:val="32"/>
        </w:rPr>
      </w:pPr>
      <w:r w:rsidRPr="008D7B9C">
        <w:rPr>
          <w:b/>
          <w:sz w:val="32"/>
          <w:szCs w:val="32"/>
        </w:rPr>
        <w:t>ОТЧЕТ</w:t>
      </w:r>
    </w:p>
    <w:p w:rsidR="002F3255" w:rsidRPr="008D7B9C" w:rsidRDefault="002F3255" w:rsidP="002F3255">
      <w:pPr>
        <w:jc w:val="center"/>
        <w:rPr>
          <w:b/>
          <w:sz w:val="32"/>
          <w:szCs w:val="32"/>
        </w:rPr>
      </w:pPr>
      <w:r w:rsidRPr="008D7B9C">
        <w:rPr>
          <w:b/>
          <w:sz w:val="32"/>
          <w:szCs w:val="32"/>
        </w:rPr>
        <w:t xml:space="preserve"> о результатах деятельности Департамента по тарифам </w:t>
      </w:r>
    </w:p>
    <w:p w:rsidR="002F3255" w:rsidRDefault="002F3255" w:rsidP="002F3255">
      <w:pPr>
        <w:jc w:val="center"/>
      </w:pPr>
      <w:r w:rsidRPr="008D7B9C">
        <w:rPr>
          <w:b/>
          <w:sz w:val="32"/>
          <w:szCs w:val="32"/>
        </w:rPr>
        <w:t xml:space="preserve">Новосибирской области </w:t>
      </w:r>
      <w:r>
        <w:rPr>
          <w:b/>
          <w:sz w:val="32"/>
          <w:szCs w:val="32"/>
        </w:rPr>
        <w:t>за 2019</w:t>
      </w:r>
      <w:r w:rsidRPr="008D7B9C">
        <w:rPr>
          <w:b/>
          <w:sz w:val="32"/>
          <w:szCs w:val="32"/>
        </w:rPr>
        <w:t xml:space="preserve"> год </w:t>
      </w:r>
    </w:p>
    <w:p w:rsidR="002F3255" w:rsidRDefault="002F3255" w:rsidP="002F3255"/>
    <w:p w:rsidR="002F3255" w:rsidRDefault="002F3255" w:rsidP="002F3255"/>
    <w:p w:rsidR="002F3255" w:rsidRDefault="002F3255" w:rsidP="002F3255"/>
    <w:p w:rsidR="002F3255" w:rsidRDefault="002F3255" w:rsidP="002F3255"/>
    <w:p w:rsidR="002F3255" w:rsidRDefault="002F3255" w:rsidP="002F3255"/>
    <w:p w:rsidR="002F3255" w:rsidRDefault="002F3255" w:rsidP="002F3255"/>
    <w:p w:rsidR="002F3255" w:rsidRDefault="002F3255" w:rsidP="002F3255"/>
    <w:p w:rsidR="002F3255" w:rsidRDefault="002F3255" w:rsidP="002F3255"/>
    <w:p w:rsidR="002F3255" w:rsidRDefault="002F3255" w:rsidP="002F3255"/>
    <w:p w:rsidR="002F3255" w:rsidRDefault="002F3255" w:rsidP="002F3255"/>
    <w:p w:rsidR="002F3255" w:rsidRDefault="002F3255" w:rsidP="002F3255"/>
    <w:p w:rsidR="002F3255" w:rsidRDefault="002F3255" w:rsidP="002F3255"/>
    <w:p w:rsidR="002F3255" w:rsidRDefault="002F3255" w:rsidP="002F3255"/>
    <w:p w:rsidR="002F3255" w:rsidRDefault="002F3255" w:rsidP="002F3255"/>
    <w:p w:rsidR="002F3255" w:rsidRDefault="002F3255" w:rsidP="002F3255"/>
    <w:p w:rsidR="002F3255" w:rsidRDefault="002F3255" w:rsidP="002F3255"/>
    <w:p w:rsidR="002F3255" w:rsidRDefault="002F3255" w:rsidP="002F3255">
      <w:pPr>
        <w:jc w:val="center"/>
        <w:rPr>
          <w:b/>
          <w:sz w:val="28"/>
          <w:szCs w:val="28"/>
        </w:rPr>
      </w:pPr>
      <w:r w:rsidRPr="00196EB6">
        <w:rPr>
          <w:b/>
          <w:sz w:val="28"/>
          <w:szCs w:val="28"/>
        </w:rPr>
        <w:t>г. Новосибирск</w:t>
      </w:r>
    </w:p>
    <w:p w:rsidR="002F3255" w:rsidRPr="00B901A1" w:rsidRDefault="002F3255" w:rsidP="002F3255">
      <w:pPr>
        <w:pStyle w:val="11"/>
      </w:pPr>
      <w:bookmarkStart w:id="1" w:name="_Toc447130734"/>
      <w:r w:rsidRPr="00B901A1">
        <w:lastRenderedPageBreak/>
        <w:t>1. Общие положения</w:t>
      </w:r>
      <w:bookmarkEnd w:id="1"/>
    </w:p>
    <w:p w:rsidR="002F3255" w:rsidRPr="00B901A1" w:rsidRDefault="002F3255" w:rsidP="002F3255">
      <w:pPr>
        <w:pStyle w:val="4"/>
      </w:pPr>
      <w:bookmarkStart w:id="2" w:name="_Toc447130735"/>
      <w:r w:rsidRPr="00B901A1">
        <w:t>1.1. Нормативно-правовые основы деятельности</w:t>
      </w:r>
      <w:bookmarkEnd w:id="2"/>
    </w:p>
    <w:p w:rsidR="002F3255" w:rsidRDefault="002F3255" w:rsidP="002F3255">
      <w:pPr>
        <w:spacing w:after="0" w:line="240" w:lineRule="auto"/>
        <w:ind w:firstLine="720"/>
        <w:jc w:val="both"/>
        <w:rPr>
          <w:sz w:val="28"/>
          <w:szCs w:val="28"/>
        </w:rPr>
      </w:pPr>
      <w:r w:rsidRPr="00E94490">
        <w:rPr>
          <w:sz w:val="28"/>
          <w:szCs w:val="28"/>
        </w:rPr>
        <w:t>Департамент</w:t>
      </w:r>
      <w:r w:rsidR="00541DBC">
        <w:rPr>
          <w:sz w:val="28"/>
          <w:szCs w:val="28"/>
        </w:rPr>
        <w:t xml:space="preserve"> по тарифам Новосибирской области (далее – Департамент)</w:t>
      </w:r>
      <w:r w:rsidRPr="00E94490">
        <w:rPr>
          <w:sz w:val="28"/>
          <w:szCs w:val="28"/>
        </w:rPr>
        <w:t xml:space="preserve"> является областным исполнительным органом государственной власти Новосибирской области, осуществляющим исполнительно-распорядительную деятельность и нормативное правовое регулирование в сфере государственного регулирования цен (тарифов) и ценообразования.</w:t>
      </w:r>
      <w:r>
        <w:rPr>
          <w:sz w:val="28"/>
          <w:szCs w:val="28"/>
        </w:rPr>
        <w:t xml:space="preserve"> </w:t>
      </w:r>
    </w:p>
    <w:p w:rsidR="00541DBC" w:rsidRPr="00745A7A" w:rsidRDefault="00541DBC" w:rsidP="00BD58BF">
      <w:pPr>
        <w:autoSpaceDE w:val="0"/>
        <w:autoSpaceDN w:val="0"/>
        <w:adjustRightInd w:val="0"/>
        <w:spacing w:after="0" w:line="240" w:lineRule="auto"/>
        <w:ind w:firstLine="709"/>
        <w:jc w:val="both"/>
        <w:rPr>
          <w:rFonts w:eastAsiaTheme="minorHAnsi"/>
          <w:lang w:eastAsia="en-US"/>
        </w:rPr>
      </w:pPr>
      <w:r w:rsidRPr="00276018">
        <w:rPr>
          <w:sz w:val="28"/>
          <w:szCs w:val="28"/>
        </w:rPr>
        <w:t>Полномочия</w:t>
      </w:r>
      <w:r>
        <w:rPr>
          <w:sz w:val="28"/>
          <w:szCs w:val="28"/>
        </w:rPr>
        <w:t xml:space="preserve"> </w:t>
      </w:r>
      <w:r w:rsidR="00BD58BF">
        <w:rPr>
          <w:sz w:val="28"/>
          <w:szCs w:val="28"/>
        </w:rPr>
        <w:t>Д</w:t>
      </w:r>
      <w:r>
        <w:rPr>
          <w:sz w:val="28"/>
          <w:szCs w:val="28"/>
        </w:rPr>
        <w:t>епартамента определены «Положением о департаменте по тарифам Новосибирской области», утвержденным постановлением П</w:t>
      </w:r>
      <w:r w:rsidRPr="00E73CC4">
        <w:rPr>
          <w:sz w:val="28"/>
          <w:szCs w:val="28"/>
        </w:rPr>
        <w:t>равительства</w:t>
      </w:r>
      <w:r>
        <w:rPr>
          <w:sz w:val="28"/>
          <w:szCs w:val="28"/>
        </w:rPr>
        <w:t xml:space="preserve"> </w:t>
      </w:r>
      <w:r w:rsidRPr="00E73CC4">
        <w:rPr>
          <w:sz w:val="28"/>
          <w:szCs w:val="28"/>
        </w:rPr>
        <w:t>Новосибирской области</w:t>
      </w:r>
      <w:r>
        <w:rPr>
          <w:sz w:val="28"/>
          <w:szCs w:val="28"/>
        </w:rPr>
        <w:t xml:space="preserve"> от 25.02.2013 года № 74-п (в редакции </w:t>
      </w:r>
      <w:r w:rsidRPr="00745A7A">
        <w:rPr>
          <w:rFonts w:eastAsiaTheme="minorHAnsi"/>
          <w:lang w:eastAsia="en-US"/>
        </w:rPr>
        <w:t xml:space="preserve"> </w:t>
      </w:r>
      <w:r w:rsidRPr="00541DBC">
        <w:rPr>
          <w:sz w:val="28"/>
          <w:szCs w:val="28"/>
        </w:rPr>
        <w:t xml:space="preserve">от 30.04.2019 </w:t>
      </w:r>
      <w:hyperlink r:id="rId8" w:history="1">
        <w:r w:rsidRPr="00541DBC">
          <w:rPr>
            <w:sz w:val="28"/>
            <w:szCs w:val="28"/>
          </w:rPr>
          <w:t>N 178-п</w:t>
        </w:r>
      </w:hyperlink>
      <w:r w:rsidRPr="00541DBC">
        <w:rPr>
          <w:sz w:val="28"/>
          <w:szCs w:val="28"/>
        </w:rPr>
        <w:t xml:space="preserve">, от 28.05.2019 </w:t>
      </w:r>
      <w:hyperlink r:id="rId9" w:history="1">
        <w:r w:rsidRPr="00541DBC">
          <w:rPr>
            <w:sz w:val="28"/>
            <w:szCs w:val="28"/>
          </w:rPr>
          <w:t xml:space="preserve">N 208-п </w:t>
        </w:r>
      </w:hyperlink>
      <w:r>
        <w:rPr>
          <w:rFonts w:eastAsiaTheme="minorHAnsi"/>
          <w:lang w:eastAsia="en-US"/>
        </w:rPr>
        <w:t xml:space="preserve">) </w:t>
      </w:r>
      <w:r>
        <w:rPr>
          <w:sz w:val="28"/>
          <w:szCs w:val="28"/>
        </w:rPr>
        <w:t>(далее</w:t>
      </w:r>
      <w:r w:rsidRPr="00452EED">
        <w:rPr>
          <w:sz w:val="28"/>
          <w:szCs w:val="28"/>
        </w:rPr>
        <w:t xml:space="preserve"> </w:t>
      </w:r>
      <w:r>
        <w:rPr>
          <w:sz w:val="28"/>
          <w:szCs w:val="28"/>
        </w:rPr>
        <w:t>- Положение о департаменте)</w:t>
      </w:r>
      <w:r w:rsidRPr="00745A7A">
        <w:rPr>
          <w:sz w:val="28"/>
          <w:szCs w:val="28"/>
        </w:rPr>
        <w:t>.</w:t>
      </w:r>
      <w:r w:rsidRPr="00745A7A">
        <w:rPr>
          <w:rFonts w:eastAsiaTheme="minorHAnsi"/>
          <w:lang w:eastAsia="en-US"/>
        </w:rPr>
        <w:t xml:space="preserve"> </w:t>
      </w:r>
    </w:p>
    <w:p w:rsidR="00541DBC" w:rsidRDefault="00541DBC" w:rsidP="002F3255">
      <w:pPr>
        <w:spacing w:after="0" w:line="240" w:lineRule="auto"/>
        <w:ind w:firstLine="720"/>
        <w:jc w:val="both"/>
        <w:rPr>
          <w:sz w:val="28"/>
          <w:szCs w:val="28"/>
        </w:rPr>
      </w:pPr>
    </w:p>
    <w:p w:rsidR="002F3255" w:rsidRPr="002171CF" w:rsidRDefault="002F3255" w:rsidP="0061749D">
      <w:pPr>
        <w:pStyle w:val="a3"/>
      </w:pPr>
      <w:r w:rsidRPr="002171CF">
        <w:t>1.2. Цели и задачи</w:t>
      </w:r>
    </w:p>
    <w:p w:rsidR="002F3255" w:rsidRDefault="002F3255" w:rsidP="00BD58BF">
      <w:pPr>
        <w:spacing w:after="0" w:line="240" w:lineRule="auto"/>
        <w:ind w:firstLine="709"/>
        <w:jc w:val="both"/>
        <w:rPr>
          <w:sz w:val="28"/>
          <w:szCs w:val="28"/>
        </w:rPr>
      </w:pPr>
      <w:r>
        <w:rPr>
          <w:sz w:val="28"/>
          <w:szCs w:val="28"/>
        </w:rPr>
        <w:t>Целью деятельности Департамента является обеспечение</w:t>
      </w:r>
      <w:r w:rsidRPr="008D7B9C">
        <w:rPr>
          <w:sz w:val="28"/>
          <w:szCs w:val="28"/>
        </w:rPr>
        <w:t xml:space="preserve"> сбалансированности и долгосрочной стабильности регулируемых рынков товаров и услуг в инфраструктурных секторах экономики на территории Новосибирской области. </w:t>
      </w:r>
    </w:p>
    <w:p w:rsidR="002F3255" w:rsidRDefault="002F3255" w:rsidP="00BD58BF">
      <w:pPr>
        <w:spacing w:after="0" w:line="240" w:lineRule="auto"/>
        <w:ind w:firstLine="709"/>
        <w:jc w:val="both"/>
        <w:rPr>
          <w:sz w:val="28"/>
          <w:szCs w:val="28"/>
        </w:rPr>
      </w:pPr>
      <w:r w:rsidRPr="008D7B9C">
        <w:rPr>
          <w:sz w:val="28"/>
          <w:szCs w:val="28"/>
        </w:rPr>
        <w:t xml:space="preserve">Достижение цели предполагает решение </w:t>
      </w:r>
      <w:r>
        <w:rPr>
          <w:sz w:val="28"/>
          <w:szCs w:val="28"/>
        </w:rPr>
        <w:t xml:space="preserve">следующих </w:t>
      </w:r>
      <w:r w:rsidRPr="008D7B9C">
        <w:rPr>
          <w:sz w:val="28"/>
          <w:szCs w:val="28"/>
        </w:rPr>
        <w:t>стратегическ</w:t>
      </w:r>
      <w:r>
        <w:rPr>
          <w:sz w:val="28"/>
          <w:szCs w:val="28"/>
        </w:rPr>
        <w:t>их задач:</w:t>
      </w:r>
    </w:p>
    <w:p w:rsidR="002F3255" w:rsidRDefault="002F3255" w:rsidP="00BD58BF">
      <w:pPr>
        <w:spacing w:after="0" w:line="240" w:lineRule="auto"/>
        <w:ind w:firstLine="426"/>
        <w:jc w:val="both"/>
        <w:rPr>
          <w:sz w:val="28"/>
          <w:szCs w:val="28"/>
        </w:rPr>
      </w:pPr>
      <w:r>
        <w:rPr>
          <w:sz w:val="28"/>
          <w:szCs w:val="28"/>
        </w:rPr>
        <w:t>1</w:t>
      </w:r>
      <w:r w:rsidR="00BD58BF">
        <w:rPr>
          <w:sz w:val="28"/>
          <w:szCs w:val="28"/>
        </w:rPr>
        <w:t xml:space="preserve">) </w:t>
      </w:r>
      <w:r w:rsidRPr="008D7B9C">
        <w:rPr>
          <w:sz w:val="28"/>
          <w:szCs w:val="28"/>
        </w:rPr>
        <w:t xml:space="preserve">обеспечение эффективного и стабильного государственного регулирования </w:t>
      </w:r>
      <w:r>
        <w:rPr>
          <w:sz w:val="28"/>
          <w:szCs w:val="28"/>
        </w:rPr>
        <w:t>цен и тарифов на территории Новосибирской области;</w:t>
      </w:r>
    </w:p>
    <w:p w:rsidR="002F3255" w:rsidRPr="008D7B9C" w:rsidRDefault="002F3255" w:rsidP="00BD58BF">
      <w:pPr>
        <w:spacing w:after="0" w:line="240" w:lineRule="auto"/>
        <w:ind w:firstLine="426"/>
        <w:jc w:val="both"/>
        <w:rPr>
          <w:sz w:val="28"/>
          <w:szCs w:val="28"/>
        </w:rPr>
      </w:pPr>
      <w:r>
        <w:rPr>
          <w:sz w:val="28"/>
          <w:szCs w:val="28"/>
        </w:rPr>
        <w:t>2</w:t>
      </w:r>
      <w:r w:rsidR="00BD58BF">
        <w:rPr>
          <w:sz w:val="28"/>
          <w:szCs w:val="28"/>
        </w:rPr>
        <w:t>)</w:t>
      </w:r>
      <w:r>
        <w:rPr>
          <w:sz w:val="28"/>
          <w:szCs w:val="28"/>
        </w:rPr>
        <w:t xml:space="preserve"> повышение эффективности регионального контроля регулируемых цен и тарифов.</w:t>
      </w:r>
    </w:p>
    <w:p w:rsidR="002F3255" w:rsidRDefault="002F3255" w:rsidP="002F3255">
      <w:pPr>
        <w:spacing w:after="0" w:line="240" w:lineRule="auto"/>
        <w:ind w:firstLine="900"/>
        <w:jc w:val="both"/>
        <w:rPr>
          <w:b/>
          <w:sz w:val="28"/>
          <w:szCs w:val="28"/>
        </w:rPr>
      </w:pPr>
    </w:p>
    <w:p w:rsidR="002F3255" w:rsidRDefault="002F3255" w:rsidP="0061749D">
      <w:pPr>
        <w:pStyle w:val="a3"/>
      </w:pPr>
      <w:bookmarkStart w:id="3" w:name="_Toc447130737"/>
      <w:r w:rsidRPr="002171CF">
        <w:t>1.3. Структура Департамента</w:t>
      </w:r>
      <w:bookmarkEnd w:id="3"/>
    </w:p>
    <w:p w:rsidR="002F3255" w:rsidRPr="0059743D" w:rsidRDefault="002F3255" w:rsidP="00BD58BF">
      <w:pPr>
        <w:autoSpaceDE w:val="0"/>
        <w:autoSpaceDN w:val="0"/>
        <w:adjustRightInd w:val="0"/>
        <w:spacing w:after="0" w:line="240" w:lineRule="auto"/>
        <w:ind w:firstLine="709"/>
        <w:jc w:val="both"/>
        <w:rPr>
          <w:rFonts w:eastAsia="Calibri"/>
          <w:sz w:val="28"/>
          <w:szCs w:val="28"/>
          <w:lang w:eastAsia="en-US"/>
        </w:rPr>
      </w:pPr>
      <w:r w:rsidRPr="00473099">
        <w:rPr>
          <w:rFonts w:eastAsia="Calibri"/>
          <w:sz w:val="28"/>
          <w:szCs w:val="28"/>
          <w:lang w:eastAsia="en-US"/>
        </w:rPr>
        <w:t xml:space="preserve">Постановлением </w:t>
      </w:r>
      <w:r>
        <w:rPr>
          <w:rFonts w:eastAsia="Calibri"/>
          <w:sz w:val="28"/>
          <w:szCs w:val="28"/>
          <w:lang w:eastAsia="en-US"/>
        </w:rPr>
        <w:t>Правительства</w:t>
      </w:r>
      <w:r w:rsidRPr="00473099">
        <w:rPr>
          <w:rFonts w:eastAsia="Calibri"/>
          <w:sz w:val="28"/>
          <w:szCs w:val="28"/>
          <w:lang w:eastAsia="en-US"/>
        </w:rPr>
        <w:t xml:space="preserve"> Новосибирской области от </w:t>
      </w:r>
      <w:r>
        <w:rPr>
          <w:rFonts w:eastAsia="Calibri"/>
          <w:sz w:val="28"/>
          <w:szCs w:val="28"/>
          <w:lang w:eastAsia="en-US"/>
        </w:rPr>
        <w:t>28</w:t>
      </w:r>
      <w:r w:rsidRPr="00473099">
        <w:rPr>
          <w:rFonts w:eastAsia="Calibri"/>
          <w:sz w:val="28"/>
          <w:szCs w:val="28"/>
          <w:lang w:eastAsia="en-US"/>
        </w:rPr>
        <w:t>.</w:t>
      </w:r>
      <w:r>
        <w:rPr>
          <w:rFonts w:eastAsia="Calibri"/>
          <w:sz w:val="28"/>
          <w:szCs w:val="28"/>
          <w:lang w:eastAsia="en-US"/>
        </w:rPr>
        <w:t>04</w:t>
      </w:r>
      <w:r w:rsidRPr="00473099">
        <w:rPr>
          <w:rFonts w:eastAsia="Calibri"/>
          <w:sz w:val="28"/>
          <w:szCs w:val="28"/>
          <w:lang w:eastAsia="en-US"/>
        </w:rPr>
        <w:t>.20</w:t>
      </w:r>
      <w:r>
        <w:rPr>
          <w:rFonts w:eastAsia="Calibri"/>
          <w:sz w:val="28"/>
          <w:szCs w:val="28"/>
          <w:lang w:eastAsia="en-US"/>
        </w:rPr>
        <w:t>18</w:t>
      </w:r>
      <w:r w:rsidRPr="00473099">
        <w:rPr>
          <w:rFonts w:eastAsia="Calibri"/>
          <w:sz w:val="28"/>
          <w:szCs w:val="28"/>
          <w:lang w:eastAsia="en-US"/>
        </w:rPr>
        <w:t xml:space="preserve"> № </w:t>
      </w:r>
      <w:r>
        <w:rPr>
          <w:rFonts w:eastAsia="Calibri"/>
          <w:sz w:val="28"/>
          <w:szCs w:val="28"/>
          <w:lang w:eastAsia="en-US"/>
        </w:rPr>
        <w:t>174-п</w:t>
      </w:r>
      <w:r w:rsidRPr="00473099">
        <w:rPr>
          <w:rFonts w:eastAsia="Calibri"/>
          <w:sz w:val="28"/>
          <w:szCs w:val="28"/>
          <w:lang w:eastAsia="en-US"/>
        </w:rPr>
        <w:t xml:space="preserve"> </w:t>
      </w:r>
      <w:r>
        <w:rPr>
          <w:rFonts w:eastAsiaTheme="minorHAnsi"/>
          <w:sz w:val="28"/>
          <w:szCs w:val="28"/>
          <w:lang w:eastAsia="en-US"/>
        </w:rPr>
        <w:t xml:space="preserve"> </w:t>
      </w:r>
      <w:r>
        <w:rPr>
          <w:rFonts w:eastAsia="Calibri"/>
          <w:sz w:val="28"/>
          <w:szCs w:val="28"/>
          <w:lang w:eastAsia="en-US"/>
        </w:rPr>
        <w:t xml:space="preserve">«Об организационной структуре </w:t>
      </w:r>
      <w:r w:rsidRPr="00473099">
        <w:rPr>
          <w:rFonts w:eastAsia="Calibri"/>
          <w:sz w:val="28"/>
          <w:szCs w:val="28"/>
          <w:lang w:eastAsia="en-US"/>
        </w:rPr>
        <w:t>департамент</w:t>
      </w:r>
      <w:r>
        <w:rPr>
          <w:rFonts w:eastAsia="Calibri"/>
          <w:sz w:val="28"/>
          <w:szCs w:val="28"/>
          <w:lang w:eastAsia="en-US"/>
        </w:rPr>
        <w:t>а</w:t>
      </w:r>
      <w:r w:rsidRPr="00473099">
        <w:rPr>
          <w:rFonts w:eastAsia="Calibri"/>
          <w:sz w:val="28"/>
          <w:szCs w:val="28"/>
          <w:lang w:eastAsia="en-US"/>
        </w:rPr>
        <w:t xml:space="preserve"> по тарифам Новосибирской области» установлена предельная штатная численность департамента в количестве </w:t>
      </w:r>
      <w:r>
        <w:rPr>
          <w:rFonts w:eastAsia="Calibri"/>
          <w:sz w:val="28"/>
          <w:szCs w:val="28"/>
          <w:lang w:eastAsia="en-US"/>
        </w:rPr>
        <w:t>79</w:t>
      </w:r>
      <w:r w:rsidRPr="00473099">
        <w:rPr>
          <w:rFonts w:eastAsia="Calibri"/>
          <w:sz w:val="28"/>
          <w:szCs w:val="28"/>
          <w:lang w:eastAsia="en-US"/>
        </w:rPr>
        <w:t xml:space="preserve"> штатных единиц, в том числе две штатные единицы заместителя руководителя департамента.</w:t>
      </w:r>
    </w:p>
    <w:p w:rsidR="002F3255" w:rsidRDefault="002F3255" w:rsidP="002F3255">
      <w:pPr>
        <w:pStyle w:val="13"/>
        <w:ind w:firstLine="720"/>
        <w:jc w:val="both"/>
        <w:rPr>
          <w:rFonts w:ascii="Times New Roman" w:hAnsi="Times New Roman"/>
          <w:sz w:val="28"/>
          <w:szCs w:val="28"/>
          <w:lang w:val="ru-RU"/>
        </w:rPr>
      </w:pPr>
      <w:r>
        <w:rPr>
          <w:rFonts w:ascii="Times New Roman" w:hAnsi="Times New Roman"/>
          <w:sz w:val="28"/>
          <w:szCs w:val="28"/>
          <w:lang w:val="ru-RU"/>
        </w:rPr>
        <w:t>В состав Департамента входят 8 отделов:</w:t>
      </w:r>
    </w:p>
    <w:p w:rsidR="002F3255" w:rsidRDefault="002F3255" w:rsidP="002F3255">
      <w:pPr>
        <w:pStyle w:val="13"/>
        <w:numPr>
          <w:ilvl w:val="0"/>
          <w:numId w:val="1"/>
        </w:numPr>
        <w:rPr>
          <w:rFonts w:ascii="Times New Roman" w:hAnsi="Times New Roman"/>
          <w:sz w:val="28"/>
          <w:szCs w:val="28"/>
          <w:lang w:val="ru-RU"/>
        </w:rPr>
      </w:pPr>
      <w:r>
        <w:rPr>
          <w:rFonts w:ascii="Times New Roman" w:hAnsi="Times New Roman"/>
          <w:sz w:val="28"/>
          <w:szCs w:val="28"/>
          <w:lang w:val="ru-RU"/>
        </w:rPr>
        <w:t>Отдел регулирования электроэнергетики;</w:t>
      </w:r>
    </w:p>
    <w:p w:rsidR="002F3255" w:rsidRDefault="002F3255" w:rsidP="002F3255">
      <w:pPr>
        <w:pStyle w:val="13"/>
        <w:numPr>
          <w:ilvl w:val="0"/>
          <w:numId w:val="1"/>
        </w:numPr>
        <w:rPr>
          <w:rFonts w:ascii="Times New Roman" w:hAnsi="Times New Roman"/>
          <w:sz w:val="28"/>
          <w:szCs w:val="28"/>
          <w:lang w:val="ru-RU"/>
        </w:rPr>
      </w:pPr>
      <w:r>
        <w:rPr>
          <w:rFonts w:ascii="Times New Roman" w:hAnsi="Times New Roman"/>
          <w:sz w:val="28"/>
          <w:szCs w:val="28"/>
          <w:lang w:val="ru-RU"/>
        </w:rPr>
        <w:t>Отдел регулирования тепло- и газоснабжения;</w:t>
      </w:r>
    </w:p>
    <w:p w:rsidR="002F3255" w:rsidRDefault="002F3255" w:rsidP="002F3255">
      <w:pPr>
        <w:pStyle w:val="13"/>
        <w:numPr>
          <w:ilvl w:val="0"/>
          <w:numId w:val="1"/>
        </w:numPr>
        <w:rPr>
          <w:rFonts w:ascii="Times New Roman" w:hAnsi="Times New Roman"/>
          <w:sz w:val="28"/>
          <w:szCs w:val="28"/>
          <w:lang w:val="ru-RU"/>
        </w:rPr>
      </w:pPr>
      <w:r>
        <w:rPr>
          <w:rFonts w:ascii="Times New Roman" w:hAnsi="Times New Roman"/>
          <w:sz w:val="28"/>
          <w:szCs w:val="28"/>
          <w:lang w:val="ru-RU"/>
        </w:rPr>
        <w:t>Отдел регулирования водоснабжения и водоотведения;</w:t>
      </w:r>
    </w:p>
    <w:p w:rsidR="002F3255" w:rsidRDefault="002F3255" w:rsidP="002F3255">
      <w:pPr>
        <w:pStyle w:val="13"/>
        <w:numPr>
          <w:ilvl w:val="0"/>
          <w:numId w:val="1"/>
        </w:numPr>
        <w:rPr>
          <w:rFonts w:ascii="Times New Roman" w:hAnsi="Times New Roman"/>
          <w:sz w:val="28"/>
          <w:szCs w:val="28"/>
          <w:lang w:val="ru-RU"/>
        </w:rPr>
      </w:pPr>
      <w:r>
        <w:rPr>
          <w:rFonts w:ascii="Times New Roman" w:hAnsi="Times New Roman"/>
          <w:sz w:val="28"/>
          <w:szCs w:val="28"/>
          <w:lang w:val="ru-RU"/>
        </w:rPr>
        <w:t>Отдел регулирования обращения с твердыми коммунальными отходами и мониторинга;</w:t>
      </w:r>
    </w:p>
    <w:p w:rsidR="002F3255" w:rsidRDefault="002F3255" w:rsidP="002F3255">
      <w:pPr>
        <w:pStyle w:val="13"/>
        <w:numPr>
          <w:ilvl w:val="0"/>
          <w:numId w:val="1"/>
        </w:numPr>
        <w:rPr>
          <w:rFonts w:ascii="Times New Roman" w:hAnsi="Times New Roman"/>
          <w:sz w:val="28"/>
          <w:szCs w:val="28"/>
          <w:lang w:val="ru-RU"/>
        </w:rPr>
      </w:pPr>
      <w:r>
        <w:rPr>
          <w:rFonts w:ascii="Times New Roman" w:hAnsi="Times New Roman"/>
          <w:sz w:val="28"/>
          <w:szCs w:val="28"/>
          <w:lang w:val="ru-RU"/>
        </w:rPr>
        <w:t>Отдел регулирования транспорта и социальной сферы;</w:t>
      </w:r>
    </w:p>
    <w:p w:rsidR="002F3255" w:rsidRDefault="002F3255" w:rsidP="002F3255">
      <w:pPr>
        <w:pStyle w:val="13"/>
        <w:numPr>
          <w:ilvl w:val="0"/>
          <w:numId w:val="1"/>
        </w:numPr>
        <w:rPr>
          <w:rFonts w:ascii="Times New Roman" w:hAnsi="Times New Roman"/>
          <w:sz w:val="28"/>
          <w:szCs w:val="28"/>
          <w:lang w:val="ru-RU"/>
        </w:rPr>
      </w:pPr>
      <w:r>
        <w:rPr>
          <w:rFonts w:ascii="Times New Roman" w:hAnsi="Times New Roman"/>
          <w:sz w:val="28"/>
          <w:szCs w:val="28"/>
          <w:lang w:val="ru-RU"/>
        </w:rPr>
        <w:t>Отдел организационной и информационной работы;</w:t>
      </w:r>
    </w:p>
    <w:p w:rsidR="002F3255" w:rsidRDefault="002F3255" w:rsidP="002F3255">
      <w:pPr>
        <w:pStyle w:val="13"/>
        <w:numPr>
          <w:ilvl w:val="0"/>
          <w:numId w:val="1"/>
        </w:numPr>
        <w:rPr>
          <w:rFonts w:ascii="Times New Roman" w:hAnsi="Times New Roman"/>
          <w:sz w:val="28"/>
          <w:szCs w:val="28"/>
          <w:lang w:val="ru-RU"/>
        </w:rPr>
      </w:pPr>
      <w:r>
        <w:rPr>
          <w:rFonts w:ascii="Times New Roman" w:hAnsi="Times New Roman"/>
          <w:sz w:val="28"/>
          <w:szCs w:val="28"/>
          <w:lang w:val="ru-RU"/>
        </w:rPr>
        <w:t>Контрольно-правовой отдел;</w:t>
      </w:r>
    </w:p>
    <w:p w:rsidR="002F3255" w:rsidRDefault="002F3255" w:rsidP="002F3255">
      <w:pPr>
        <w:pStyle w:val="13"/>
        <w:numPr>
          <w:ilvl w:val="0"/>
          <w:numId w:val="1"/>
        </w:numPr>
        <w:rPr>
          <w:rFonts w:ascii="Times New Roman" w:hAnsi="Times New Roman"/>
          <w:sz w:val="28"/>
          <w:szCs w:val="28"/>
          <w:lang w:val="ru-RU"/>
        </w:rPr>
      </w:pPr>
      <w:r>
        <w:rPr>
          <w:rFonts w:ascii="Times New Roman" w:hAnsi="Times New Roman"/>
          <w:sz w:val="28"/>
          <w:szCs w:val="28"/>
          <w:lang w:val="ru-RU"/>
        </w:rPr>
        <w:t>Отдел финансового и кадрового обеспечения.</w:t>
      </w:r>
    </w:p>
    <w:p w:rsidR="002F3255" w:rsidRDefault="002F3255" w:rsidP="002F3255">
      <w:pPr>
        <w:pStyle w:val="13"/>
        <w:ind w:left="720"/>
        <w:rPr>
          <w:rFonts w:ascii="Times New Roman" w:hAnsi="Times New Roman"/>
          <w:sz w:val="28"/>
          <w:szCs w:val="28"/>
          <w:lang w:val="ru-RU"/>
        </w:rPr>
      </w:pPr>
    </w:p>
    <w:p w:rsidR="002F3255" w:rsidRPr="002171CF" w:rsidRDefault="002F3255" w:rsidP="0061749D">
      <w:pPr>
        <w:pStyle w:val="a3"/>
      </w:pPr>
      <w:bookmarkStart w:id="4" w:name="_Toc447130738"/>
      <w:r w:rsidRPr="002171CF">
        <w:t xml:space="preserve">1.4. </w:t>
      </w:r>
      <w:r w:rsidR="00220164">
        <w:t xml:space="preserve">Итоги работы </w:t>
      </w:r>
      <w:r w:rsidRPr="002171CF">
        <w:t xml:space="preserve"> Правления </w:t>
      </w:r>
      <w:r w:rsidR="00220164">
        <w:t>д</w:t>
      </w:r>
      <w:r w:rsidRPr="002171CF">
        <w:t>епартамента</w:t>
      </w:r>
      <w:bookmarkEnd w:id="4"/>
    </w:p>
    <w:p w:rsidR="002F3255" w:rsidRPr="002B7563" w:rsidRDefault="002F3255" w:rsidP="00BD58BF">
      <w:pPr>
        <w:autoSpaceDE w:val="0"/>
        <w:autoSpaceDN w:val="0"/>
        <w:adjustRightInd w:val="0"/>
        <w:spacing w:after="0" w:line="240" w:lineRule="auto"/>
        <w:ind w:firstLine="709"/>
        <w:jc w:val="both"/>
        <w:rPr>
          <w:rFonts w:eastAsia="Calibri"/>
          <w:sz w:val="28"/>
          <w:szCs w:val="28"/>
          <w:lang w:eastAsia="en-US"/>
        </w:rPr>
      </w:pPr>
      <w:r w:rsidRPr="00F13AA9">
        <w:rPr>
          <w:rFonts w:eastAsia="Calibri"/>
          <w:sz w:val="28"/>
          <w:szCs w:val="28"/>
          <w:lang w:eastAsia="en-US"/>
        </w:rPr>
        <w:t>В соответствии с постановлением администрации Новосибирской области от 25.05.2005 № 15 «О создании правления в департаменте по тарифам Новосибирской области»</w:t>
      </w:r>
      <w:r>
        <w:rPr>
          <w:rFonts w:eastAsia="Calibri"/>
          <w:sz w:val="28"/>
          <w:szCs w:val="28"/>
          <w:lang w:eastAsia="en-US"/>
        </w:rPr>
        <w:t xml:space="preserve"> и пунктами 37, 38 Положения о д</w:t>
      </w:r>
      <w:r w:rsidRPr="00F13AA9">
        <w:rPr>
          <w:rFonts w:eastAsia="Calibri"/>
          <w:sz w:val="28"/>
          <w:szCs w:val="28"/>
          <w:lang w:eastAsia="en-US"/>
        </w:rPr>
        <w:t xml:space="preserve">епартаменте, для определения основных направлений деятельности </w:t>
      </w:r>
      <w:r w:rsidR="002730DE">
        <w:rPr>
          <w:rFonts w:eastAsia="Calibri"/>
          <w:sz w:val="28"/>
          <w:szCs w:val="28"/>
          <w:lang w:eastAsia="en-US"/>
        </w:rPr>
        <w:t>Д</w:t>
      </w:r>
      <w:r w:rsidRPr="00F13AA9">
        <w:rPr>
          <w:rFonts w:eastAsia="Calibri"/>
          <w:sz w:val="28"/>
          <w:szCs w:val="28"/>
          <w:lang w:eastAsia="en-US"/>
        </w:rPr>
        <w:t xml:space="preserve">епартамента и принятия решений об утверждении цен (тарифов) и их предельных уровней в </w:t>
      </w:r>
      <w:r>
        <w:rPr>
          <w:rFonts w:eastAsia="Calibri"/>
          <w:sz w:val="28"/>
          <w:szCs w:val="28"/>
          <w:lang w:eastAsia="en-US"/>
        </w:rPr>
        <w:t>Д</w:t>
      </w:r>
      <w:r w:rsidRPr="00F13AA9">
        <w:rPr>
          <w:rFonts w:eastAsia="Calibri"/>
          <w:sz w:val="28"/>
          <w:szCs w:val="28"/>
          <w:lang w:eastAsia="en-US"/>
        </w:rPr>
        <w:t xml:space="preserve">епартаменте образован коллегиальный орган </w:t>
      </w:r>
      <w:r w:rsidRPr="00F13AA9">
        <w:rPr>
          <w:rFonts w:eastAsia="Calibri"/>
          <w:sz w:val="28"/>
          <w:szCs w:val="28"/>
          <w:lang w:eastAsia="en-US"/>
        </w:rPr>
        <w:lastRenderedPageBreak/>
        <w:t xml:space="preserve">- </w:t>
      </w:r>
      <w:r w:rsidR="00541DBC">
        <w:rPr>
          <w:rFonts w:eastAsia="Calibri"/>
          <w:sz w:val="28"/>
          <w:szCs w:val="28"/>
          <w:lang w:eastAsia="en-US"/>
        </w:rPr>
        <w:t>П</w:t>
      </w:r>
      <w:r w:rsidRPr="00F13AA9">
        <w:rPr>
          <w:rFonts w:eastAsia="Calibri"/>
          <w:sz w:val="28"/>
          <w:szCs w:val="28"/>
          <w:lang w:eastAsia="en-US"/>
        </w:rPr>
        <w:t xml:space="preserve">равление </w:t>
      </w:r>
      <w:r w:rsidR="00220164">
        <w:rPr>
          <w:rFonts w:eastAsia="Calibri"/>
          <w:sz w:val="28"/>
          <w:szCs w:val="28"/>
          <w:lang w:eastAsia="en-US"/>
        </w:rPr>
        <w:t>д</w:t>
      </w:r>
      <w:r w:rsidRPr="00F13AA9">
        <w:rPr>
          <w:rFonts w:eastAsia="Calibri"/>
          <w:sz w:val="28"/>
          <w:szCs w:val="28"/>
          <w:lang w:eastAsia="en-US"/>
        </w:rPr>
        <w:t xml:space="preserve">епартамента общей численностью </w:t>
      </w:r>
      <w:r w:rsidRPr="002B7563">
        <w:rPr>
          <w:rFonts w:eastAsia="Calibri"/>
          <w:sz w:val="28"/>
          <w:szCs w:val="28"/>
          <w:lang w:eastAsia="en-US"/>
        </w:rPr>
        <w:t>8</w:t>
      </w:r>
      <w:r w:rsidRPr="00F13AA9">
        <w:rPr>
          <w:rFonts w:eastAsia="Calibri"/>
          <w:sz w:val="28"/>
          <w:szCs w:val="28"/>
          <w:lang w:eastAsia="en-US"/>
        </w:rPr>
        <w:t xml:space="preserve"> человек</w:t>
      </w:r>
      <w:r w:rsidRPr="00C30AD8">
        <w:rPr>
          <w:rFonts w:eastAsia="Calibri"/>
          <w:sz w:val="28"/>
          <w:szCs w:val="28"/>
        </w:rPr>
        <w:t>, в состав которого без права передачи полномочий иным лицам входят</w:t>
      </w:r>
      <w:r w:rsidR="00220164">
        <w:rPr>
          <w:rFonts w:eastAsia="Calibri"/>
          <w:sz w:val="28"/>
          <w:szCs w:val="28"/>
          <w:lang w:eastAsia="en-US"/>
        </w:rPr>
        <w:t xml:space="preserve"> работники Д</w:t>
      </w:r>
      <w:r w:rsidRPr="00F13AA9">
        <w:rPr>
          <w:rFonts w:eastAsia="Calibri"/>
          <w:sz w:val="28"/>
          <w:szCs w:val="28"/>
          <w:lang w:eastAsia="en-US"/>
        </w:rPr>
        <w:t xml:space="preserve">епартамента числом </w:t>
      </w:r>
      <w:r w:rsidRPr="002B7563">
        <w:rPr>
          <w:rFonts w:eastAsia="Calibri"/>
          <w:sz w:val="28"/>
          <w:szCs w:val="28"/>
          <w:lang w:eastAsia="en-US"/>
        </w:rPr>
        <w:t>6</w:t>
      </w:r>
      <w:r w:rsidRPr="00F13AA9">
        <w:rPr>
          <w:rFonts w:eastAsia="Calibri"/>
          <w:sz w:val="28"/>
          <w:szCs w:val="28"/>
          <w:lang w:eastAsia="en-US"/>
        </w:rPr>
        <w:t xml:space="preserve"> человек</w:t>
      </w:r>
      <w:r w:rsidRPr="002B7563">
        <w:rPr>
          <w:rFonts w:eastAsia="Calibri"/>
          <w:sz w:val="28"/>
          <w:szCs w:val="28"/>
          <w:lang w:eastAsia="en-US"/>
        </w:rPr>
        <w:t xml:space="preserve"> и представитель Управления Федеральной антимонопольной службы по Новосибирской области, а при рассмотрении и принятии решений по вопросам регулирования цен (тарифов) в области электроэнергетики</w:t>
      </w:r>
      <w:r w:rsidR="00220164">
        <w:rPr>
          <w:rFonts w:eastAsia="Calibri"/>
          <w:sz w:val="28"/>
          <w:szCs w:val="28"/>
          <w:lang w:eastAsia="en-US"/>
        </w:rPr>
        <w:t>,</w:t>
      </w:r>
      <w:r w:rsidRPr="002B7563">
        <w:rPr>
          <w:rFonts w:eastAsia="Calibri"/>
          <w:sz w:val="28"/>
          <w:szCs w:val="28"/>
          <w:lang w:eastAsia="en-US"/>
        </w:rPr>
        <w:t xml:space="preserve"> представитель от Ассоциации «Некоммерческое партнерство Совет рынка по организации эффективной системы оптовой и розничной торговли электрической энерги</w:t>
      </w:r>
      <w:r w:rsidR="002730DE">
        <w:rPr>
          <w:rFonts w:eastAsia="Calibri"/>
          <w:sz w:val="28"/>
          <w:szCs w:val="28"/>
          <w:lang w:eastAsia="en-US"/>
        </w:rPr>
        <w:t>ей</w:t>
      </w:r>
      <w:r w:rsidRPr="002B7563">
        <w:rPr>
          <w:rFonts w:eastAsia="Calibri"/>
          <w:sz w:val="28"/>
          <w:szCs w:val="28"/>
          <w:lang w:eastAsia="en-US"/>
        </w:rPr>
        <w:t xml:space="preserve"> и мощностью</w:t>
      </w:r>
      <w:r w:rsidR="002730DE">
        <w:rPr>
          <w:rFonts w:eastAsia="Calibri"/>
          <w:sz w:val="28"/>
          <w:szCs w:val="28"/>
          <w:lang w:eastAsia="en-US"/>
        </w:rPr>
        <w:t>»</w:t>
      </w:r>
      <w:r w:rsidRPr="002B7563">
        <w:rPr>
          <w:rFonts w:eastAsia="Calibri"/>
          <w:sz w:val="28"/>
          <w:szCs w:val="28"/>
          <w:lang w:eastAsia="en-US"/>
        </w:rPr>
        <w:t>.</w:t>
      </w:r>
    </w:p>
    <w:p w:rsidR="002F3255" w:rsidRDefault="002F3255" w:rsidP="002F3255">
      <w:pPr>
        <w:autoSpaceDE w:val="0"/>
        <w:autoSpaceDN w:val="0"/>
        <w:adjustRightInd w:val="0"/>
        <w:spacing w:after="0" w:line="240" w:lineRule="auto"/>
        <w:ind w:firstLine="708"/>
        <w:jc w:val="both"/>
        <w:rPr>
          <w:rFonts w:eastAsia="Calibri"/>
          <w:sz w:val="28"/>
          <w:szCs w:val="28"/>
          <w:lang w:eastAsia="en-US"/>
        </w:rPr>
      </w:pPr>
      <w:r w:rsidRPr="00F13AA9">
        <w:rPr>
          <w:rFonts w:eastAsia="Calibri"/>
          <w:sz w:val="28"/>
          <w:szCs w:val="28"/>
          <w:lang w:eastAsia="en-US"/>
        </w:rPr>
        <w:t xml:space="preserve">Руководитель </w:t>
      </w:r>
      <w:r w:rsidR="00220164">
        <w:rPr>
          <w:rFonts w:eastAsia="Calibri"/>
          <w:sz w:val="28"/>
          <w:szCs w:val="28"/>
          <w:lang w:eastAsia="en-US"/>
        </w:rPr>
        <w:t>Д</w:t>
      </w:r>
      <w:r w:rsidRPr="00F13AA9">
        <w:rPr>
          <w:rFonts w:eastAsia="Calibri"/>
          <w:sz w:val="28"/>
          <w:szCs w:val="28"/>
          <w:lang w:eastAsia="en-US"/>
        </w:rPr>
        <w:t xml:space="preserve">епартамента является председателем </w:t>
      </w:r>
      <w:r w:rsidR="00220164">
        <w:rPr>
          <w:rFonts w:eastAsia="Calibri"/>
          <w:sz w:val="28"/>
          <w:szCs w:val="28"/>
          <w:lang w:eastAsia="en-US"/>
        </w:rPr>
        <w:t>П</w:t>
      </w:r>
      <w:r w:rsidRPr="00F13AA9">
        <w:rPr>
          <w:rFonts w:eastAsia="Calibri"/>
          <w:sz w:val="28"/>
          <w:szCs w:val="28"/>
          <w:lang w:eastAsia="en-US"/>
        </w:rPr>
        <w:t xml:space="preserve">равления </w:t>
      </w:r>
      <w:r w:rsidR="00220164">
        <w:rPr>
          <w:rFonts w:eastAsia="Calibri"/>
          <w:sz w:val="28"/>
          <w:szCs w:val="28"/>
          <w:lang w:eastAsia="en-US"/>
        </w:rPr>
        <w:t>д</w:t>
      </w:r>
      <w:r w:rsidRPr="00F13AA9">
        <w:rPr>
          <w:rFonts w:eastAsia="Calibri"/>
          <w:sz w:val="28"/>
          <w:szCs w:val="28"/>
          <w:lang w:eastAsia="en-US"/>
        </w:rPr>
        <w:t xml:space="preserve">епартамента и утверждает персональный состав </w:t>
      </w:r>
      <w:r w:rsidR="00220164">
        <w:rPr>
          <w:rFonts w:eastAsia="Calibri"/>
          <w:sz w:val="28"/>
          <w:szCs w:val="28"/>
          <w:lang w:eastAsia="en-US"/>
        </w:rPr>
        <w:t>П</w:t>
      </w:r>
      <w:r w:rsidRPr="00F13AA9">
        <w:rPr>
          <w:rFonts w:eastAsia="Calibri"/>
          <w:sz w:val="28"/>
          <w:szCs w:val="28"/>
          <w:lang w:eastAsia="en-US"/>
        </w:rPr>
        <w:t xml:space="preserve">равления </w:t>
      </w:r>
      <w:r w:rsidR="00220164">
        <w:rPr>
          <w:rFonts w:eastAsia="Calibri"/>
          <w:sz w:val="28"/>
          <w:szCs w:val="28"/>
          <w:lang w:eastAsia="en-US"/>
        </w:rPr>
        <w:t>д</w:t>
      </w:r>
      <w:r w:rsidRPr="00F13AA9">
        <w:rPr>
          <w:rFonts w:eastAsia="Calibri"/>
          <w:sz w:val="28"/>
          <w:szCs w:val="28"/>
          <w:lang w:eastAsia="en-US"/>
        </w:rPr>
        <w:t>епартамента, а также порядок его деятельности.</w:t>
      </w:r>
    </w:p>
    <w:p w:rsidR="00943F22" w:rsidRDefault="00943F22" w:rsidP="00943F22">
      <w:pPr>
        <w:autoSpaceDE w:val="0"/>
        <w:autoSpaceDN w:val="0"/>
        <w:adjustRightInd w:val="0"/>
        <w:spacing w:after="0" w:line="240" w:lineRule="auto"/>
        <w:ind w:firstLine="540"/>
        <w:jc w:val="both"/>
        <w:rPr>
          <w:rFonts w:eastAsia="Calibri"/>
          <w:sz w:val="28"/>
          <w:szCs w:val="28"/>
          <w:lang w:eastAsia="en-US"/>
        </w:rPr>
      </w:pPr>
      <w:r>
        <w:rPr>
          <w:rFonts w:eastAsia="Calibri"/>
          <w:sz w:val="28"/>
          <w:szCs w:val="28"/>
          <w:lang w:eastAsia="en-US"/>
        </w:rPr>
        <w:t xml:space="preserve">Персональный состав </w:t>
      </w:r>
      <w:r w:rsidR="00220164">
        <w:rPr>
          <w:rFonts w:eastAsia="Calibri"/>
          <w:sz w:val="28"/>
          <w:szCs w:val="28"/>
          <w:lang w:eastAsia="en-US"/>
        </w:rPr>
        <w:t>П</w:t>
      </w:r>
      <w:r>
        <w:rPr>
          <w:rFonts w:eastAsia="Calibri"/>
          <w:sz w:val="28"/>
          <w:szCs w:val="28"/>
          <w:lang w:eastAsia="en-US"/>
        </w:rPr>
        <w:t xml:space="preserve">равления </w:t>
      </w:r>
      <w:r w:rsidR="00220164">
        <w:rPr>
          <w:rFonts w:eastAsia="Calibri"/>
          <w:sz w:val="28"/>
          <w:szCs w:val="28"/>
          <w:lang w:eastAsia="en-US"/>
        </w:rPr>
        <w:t>д</w:t>
      </w:r>
      <w:r>
        <w:rPr>
          <w:rFonts w:eastAsia="Calibri"/>
          <w:sz w:val="28"/>
          <w:szCs w:val="28"/>
          <w:lang w:eastAsia="en-US"/>
        </w:rPr>
        <w:t>епартамента утвержден приказом руководителя департамента от 07.10.2013 № 27 (в редакции приказов от 27.01.2016 № 4).</w:t>
      </w:r>
    </w:p>
    <w:p w:rsidR="00943F22" w:rsidRDefault="00943F22" w:rsidP="00943F22">
      <w:pPr>
        <w:autoSpaceDE w:val="0"/>
        <w:autoSpaceDN w:val="0"/>
        <w:adjustRightInd w:val="0"/>
        <w:spacing w:after="0" w:line="240" w:lineRule="auto"/>
        <w:ind w:firstLine="709"/>
        <w:jc w:val="both"/>
        <w:rPr>
          <w:sz w:val="28"/>
          <w:szCs w:val="28"/>
        </w:rPr>
      </w:pPr>
      <w:r>
        <w:rPr>
          <w:sz w:val="28"/>
          <w:szCs w:val="28"/>
        </w:rPr>
        <w:t xml:space="preserve">В 2019 году состоялось 71 заседание </w:t>
      </w:r>
      <w:r w:rsidR="00220164">
        <w:rPr>
          <w:sz w:val="28"/>
          <w:szCs w:val="28"/>
        </w:rPr>
        <w:t>П</w:t>
      </w:r>
      <w:r>
        <w:rPr>
          <w:sz w:val="28"/>
          <w:szCs w:val="28"/>
        </w:rPr>
        <w:t xml:space="preserve">равления </w:t>
      </w:r>
      <w:r w:rsidR="00220164">
        <w:rPr>
          <w:sz w:val="28"/>
          <w:szCs w:val="28"/>
        </w:rPr>
        <w:t>д</w:t>
      </w:r>
      <w:r>
        <w:rPr>
          <w:sz w:val="28"/>
          <w:szCs w:val="28"/>
        </w:rPr>
        <w:t xml:space="preserve">епартамента, на которых было принято 993 решения, издано 770 приказов </w:t>
      </w:r>
      <w:r w:rsidR="00220164">
        <w:rPr>
          <w:sz w:val="28"/>
          <w:szCs w:val="28"/>
        </w:rPr>
        <w:t>Д</w:t>
      </w:r>
      <w:r>
        <w:rPr>
          <w:sz w:val="28"/>
          <w:szCs w:val="28"/>
        </w:rPr>
        <w:t>епартамента.</w:t>
      </w:r>
    </w:p>
    <w:p w:rsidR="002F3255" w:rsidRPr="00C30AD8" w:rsidRDefault="002F3255" w:rsidP="002F3255">
      <w:pPr>
        <w:autoSpaceDE w:val="0"/>
        <w:autoSpaceDN w:val="0"/>
        <w:adjustRightInd w:val="0"/>
        <w:spacing w:after="0" w:line="240" w:lineRule="auto"/>
        <w:ind w:firstLine="709"/>
        <w:jc w:val="both"/>
        <w:rPr>
          <w:sz w:val="28"/>
          <w:szCs w:val="28"/>
        </w:rPr>
      </w:pPr>
    </w:p>
    <w:p w:rsidR="002F3255" w:rsidRDefault="002F3255" w:rsidP="002F3255">
      <w:pPr>
        <w:pStyle w:val="a5"/>
        <w:spacing w:after="0" w:line="240" w:lineRule="auto"/>
      </w:pPr>
      <w:bookmarkStart w:id="5" w:name="_Toc447130739"/>
      <w:r w:rsidRPr="002171CF">
        <w:t>2. Итоги регулирования в установленных сферах деятельности</w:t>
      </w:r>
      <w:bookmarkStart w:id="6" w:name="_Toc352234291"/>
      <w:bookmarkEnd w:id="5"/>
    </w:p>
    <w:p w:rsidR="002F3255" w:rsidRDefault="002F3255" w:rsidP="002F3255">
      <w:pPr>
        <w:pStyle w:val="a5"/>
        <w:spacing w:after="0" w:line="240" w:lineRule="auto"/>
      </w:pPr>
    </w:p>
    <w:p w:rsidR="002F3255" w:rsidRDefault="005D5A4D" w:rsidP="002F3255">
      <w:pPr>
        <w:pStyle w:val="a5"/>
        <w:spacing w:after="0" w:line="240" w:lineRule="auto"/>
        <w:rPr>
          <w:szCs w:val="32"/>
        </w:rPr>
      </w:pPr>
      <w:r>
        <w:rPr>
          <w:szCs w:val="32"/>
        </w:rPr>
        <w:t xml:space="preserve">   </w:t>
      </w:r>
      <w:r w:rsidR="002F3255" w:rsidRPr="00E06C7A">
        <w:rPr>
          <w:szCs w:val="32"/>
        </w:rPr>
        <w:t>2.1. Электроэнергетика</w:t>
      </w:r>
      <w:bookmarkEnd w:id="6"/>
    </w:p>
    <w:p w:rsidR="005D5A4D" w:rsidRDefault="005D5A4D" w:rsidP="005D5A4D">
      <w:pPr>
        <w:pStyle w:val="ac"/>
        <w:tabs>
          <w:tab w:val="left" w:pos="9356"/>
        </w:tabs>
        <w:ind w:firstLine="720"/>
        <w:rPr>
          <w:b/>
          <w:szCs w:val="28"/>
        </w:rPr>
      </w:pPr>
    </w:p>
    <w:p w:rsidR="005D5A4D" w:rsidRDefault="005D5A4D" w:rsidP="005D5A4D">
      <w:pPr>
        <w:pStyle w:val="ac"/>
        <w:tabs>
          <w:tab w:val="left" w:pos="9356"/>
        </w:tabs>
        <w:ind w:firstLine="567"/>
        <w:rPr>
          <w:b/>
          <w:szCs w:val="28"/>
        </w:rPr>
      </w:pPr>
      <w:r w:rsidRPr="00237C9F">
        <w:rPr>
          <w:b/>
          <w:szCs w:val="28"/>
        </w:rPr>
        <w:t>2.</w:t>
      </w:r>
      <w:r>
        <w:rPr>
          <w:b/>
          <w:szCs w:val="28"/>
        </w:rPr>
        <w:t>1</w:t>
      </w:r>
      <w:r w:rsidRPr="00237C9F">
        <w:rPr>
          <w:b/>
          <w:szCs w:val="28"/>
        </w:rPr>
        <w:t>.</w:t>
      </w:r>
      <w:r>
        <w:rPr>
          <w:b/>
          <w:szCs w:val="28"/>
        </w:rPr>
        <w:t>1.</w:t>
      </w:r>
      <w:r w:rsidRPr="00237C9F">
        <w:rPr>
          <w:b/>
          <w:szCs w:val="28"/>
        </w:rPr>
        <w:t xml:space="preserve"> Формирование тарифов в сфере электроэнергетики по Новосибирской области</w:t>
      </w:r>
      <w:r>
        <w:rPr>
          <w:b/>
          <w:szCs w:val="28"/>
        </w:rPr>
        <w:t xml:space="preserve"> на 2019-2020 годы</w:t>
      </w:r>
    </w:p>
    <w:p w:rsidR="005D5A4D" w:rsidRPr="00237C9F" w:rsidRDefault="005D5A4D" w:rsidP="005D5A4D">
      <w:pPr>
        <w:pStyle w:val="ac"/>
        <w:tabs>
          <w:tab w:val="left" w:pos="9356"/>
        </w:tabs>
        <w:ind w:firstLine="720"/>
        <w:rPr>
          <w:b/>
          <w:szCs w:val="28"/>
        </w:rPr>
      </w:pPr>
    </w:p>
    <w:p w:rsidR="001E7B45" w:rsidRPr="00E3425F" w:rsidRDefault="001E7B45" w:rsidP="001E7B45">
      <w:pPr>
        <w:pStyle w:val="a6"/>
        <w:spacing w:after="0" w:line="240" w:lineRule="auto"/>
        <w:ind w:left="0" w:firstLine="709"/>
        <w:jc w:val="both"/>
        <w:rPr>
          <w:rFonts w:ascii="Times New Roman" w:hAnsi="Times New Roman"/>
          <w:sz w:val="28"/>
          <w:szCs w:val="28"/>
        </w:rPr>
      </w:pPr>
      <w:r w:rsidRPr="00E3425F">
        <w:rPr>
          <w:rFonts w:ascii="Times New Roman" w:hAnsi="Times New Roman"/>
          <w:sz w:val="28"/>
          <w:szCs w:val="28"/>
        </w:rPr>
        <w:t>Департамент</w:t>
      </w:r>
      <w:r w:rsidR="00BD58BF">
        <w:rPr>
          <w:rFonts w:ascii="Times New Roman" w:hAnsi="Times New Roman"/>
          <w:sz w:val="28"/>
          <w:szCs w:val="28"/>
        </w:rPr>
        <w:t>,</w:t>
      </w:r>
      <w:r w:rsidRPr="00E3425F">
        <w:rPr>
          <w:rFonts w:ascii="Times New Roman" w:hAnsi="Times New Roman"/>
          <w:sz w:val="28"/>
          <w:szCs w:val="28"/>
        </w:rPr>
        <w:t xml:space="preserve"> осуществляя государственное регулирование цен (тари</w:t>
      </w:r>
      <w:r>
        <w:rPr>
          <w:rFonts w:ascii="Times New Roman" w:hAnsi="Times New Roman"/>
          <w:sz w:val="28"/>
          <w:szCs w:val="28"/>
        </w:rPr>
        <w:t xml:space="preserve">фов) в </w:t>
      </w:r>
      <w:r w:rsidR="00BD58BF">
        <w:rPr>
          <w:rFonts w:ascii="Times New Roman" w:hAnsi="Times New Roman"/>
          <w:sz w:val="28"/>
          <w:szCs w:val="28"/>
        </w:rPr>
        <w:t xml:space="preserve">сфере </w:t>
      </w:r>
      <w:r>
        <w:rPr>
          <w:rFonts w:ascii="Times New Roman" w:hAnsi="Times New Roman"/>
          <w:sz w:val="28"/>
          <w:szCs w:val="28"/>
        </w:rPr>
        <w:t>электроэнергетике на 2019-2020</w:t>
      </w:r>
      <w:r w:rsidRPr="00E3425F">
        <w:rPr>
          <w:rFonts w:ascii="Times New Roman" w:hAnsi="Times New Roman"/>
          <w:sz w:val="28"/>
          <w:szCs w:val="28"/>
        </w:rPr>
        <w:t xml:space="preserve"> годы и долгосрочные периоды регулирования, руководствовался</w:t>
      </w:r>
      <w:r w:rsidR="00BD58BF">
        <w:rPr>
          <w:rFonts w:ascii="Times New Roman" w:hAnsi="Times New Roman"/>
          <w:sz w:val="28"/>
          <w:szCs w:val="28"/>
        </w:rPr>
        <w:t>:</w:t>
      </w:r>
      <w:r w:rsidRPr="00E3425F">
        <w:rPr>
          <w:rFonts w:ascii="Times New Roman" w:hAnsi="Times New Roman"/>
          <w:sz w:val="28"/>
          <w:szCs w:val="28"/>
        </w:rPr>
        <w:t xml:space="preserve"> Федеральным законом от 26 марта 2003г. №</w:t>
      </w:r>
      <w:r>
        <w:rPr>
          <w:rFonts w:ascii="Times New Roman" w:hAnsi="Times New Roman"/>
          <w:sz w:val="28"/>
          <w:szCs w:val="28"/>
        </w:rPr>
        <w:t xml:space="preserve"> </w:t>
      </w:r>
      <w:r w:rsidRPr="00E3425F">
        <w:rPr>
          <w:rFonts w:ascii="Times New Roman" w:hAnsi="Times New Roman"/>
          <w:sz w:val="28"/>
          <w:szCs w:val="28"/>
        </w:rPr>
        <w:t>35-ФЗ «Об электроэнергетике»</w:t>
      </w:r>
      <w:r w:rsidR="00BD58BF">
        <w:rPr>
          <w:rFonts w:ascii="Times New Roman" w:hAnsi="Times New Roman"/>
          <w:sz w:val="28"/>
          <w:szCs w:val="28"/>
        </w:rPr>
        <w:t>;</w:t>
      </w:r>
      <w:r w:rsidRPr="00E3425F">
        <w:rPr>
          <w:rFonts w:ascii="Times New Roman" w:hAnsi="Times New Roman"/>
          <w:sz w:val="28"/>
          <w:szCs w:val="28"/>
        </w:rPr>
        <w:t xml:space="preserve"> Федеральным законом от 23.11.2009г. №</w:t>
      </w:r>
      <w:r>
        <w:rPr>
          <w:rFonts w:ascii="Times New Roman" w:hAnsi="Times New Roman"/>
          <w:sz w:val="28"/>
          <w:szCs w:val="28"/>
        </w:rPr>
        <w:t xml:space="preserve"> </w:t>
      </w:r>
      <w:r w:rsidRPr="00E3425F">
        <w:rPr>
          <w:rFonts w:ascii="Times New Roman" w:hAnsi="Times New Roman"/>
          <w:sz w:val="28"/>
          <w:szCs w:val="28"/>
        </w:rPr>
        <w:t>261-ФЗ «Об энергосбережении и о повышении энергетической эффективности и о внесении изменений в отдельные законодательные акты Российской Федерации»</w:t>
      </w:r>
      <w:r w:rsidR="00BD58BF">
        <w:rPr>
          <w:rFonts w:ascii="Times New Roman" w:hAnsi="Times New Roman"/>
          <w:sz w:val="28"/>
          <w:szCs w:val="28"/>
        </w:rPr>
        <w:t>;</w:t>
      </w:r>
      <w:r w:rsidRPr="00E3425F">
        <w:rPr>
          <w:rFonts w:ascii="Times New Roman" w:hAnsi="Times New Roman"/>
          <w:sz w:val="28"/>
          <w:szCs w:val="28"/>
        </w:rPr>
        <w:t xml:space="preserve"> Основами ценообразования в обла</w:t>
      </w:r>
      <w:r>
        <w:rPr>
          <w:rFonts w:ascii="Times New Roman" w:hAnsi="Times New Roman"/>
          <w:sz w:val="28"/>
          <w:szCs w:val="28"/>
        </w:rPr>
        <w:t>сти регулируемых цен</w:t>
      </w:r>
      <w:r w:rsidRPr="00E3425F">
        <w:rPr>
          <w:rFonts w:ascii="Times New Roman" w:hAnsi="Times New Roman"/>
          <w:sz w:val="28"/>
          <w:szCs w:val="28"/>
        </w:rPr>
        <w:t xml:space="preserve"> (тарифов) в электроэнергетике и Правилами государственного регулирования (пересмотра, применения) цен (тарифов) в электроэнергетике, утвержденными постановлением Правительства Российской Федерации от 29 декабря 2011г. №</w:t>
      </w:r>
      <w:r>
        <w:rPr>
          <w:rFonts w:ascii="Times New Roman" w:hAnsi="Times New Roman"/>
          <w:sz w:val="28"/>
          <w:szCs w:val="28"/>
        </w:rPr>
        <w:t xml:space="preserve"> </w:t>
      </w:r>
      <w:r w:rsidRPr="00E3425F">
        <w:rPr>
          <w:rFonts w:ascii="Times New Roman" w:hAnsi="Times New Roman"/>
          <w:sz w:val="28"/>
          <w:szCs w:val="28"/>
        </w:rPr>
        <w:t>117</w:t>
      </w:r>
      <w:r>
        <w:rPr>
          <w:rFonts w:ascii="Times New Roman" w:hAnsi="Times New Roman"/>
          <w:sz w:val="28"/>
          <w:szCs w:val="28"/>
        </w:rPr>
        <w:t>8</w:t>
      </w:r>
      <w:r w:rsidR="00BD58BF">
        <w:rPr>
          <w:rFonts w:ascii="Times New Roman" w:hAnsi="Times New Roman"/>
          <w:sz w:val="28"/>
          <w:szCs w:val="28"/>
        </w:rPr>
        <w:t>;</w:t>
      </w:r>
      <w:r>
        <w:rPr>
          <w:rFonts w:ascii="Times New Roman" w:hAnsi="Times New Roman"/>
          <w:sz w:val="28"/>
          <w:szCs w:val="28"/>
        </w:rPr>
        <w:t xml:space="preserve"> постановлением Правительства</w:t>
      </w:r>
      <w:r w:rsidRPr="00E3425F">
        <w:rPr>
          <w:rFonts w:ascii="Times New Roman" w:hAnsi="Times New Roman"/>
          <w:sz w:val="28"/>
          <w:szCs w:val="28"/>
        </w:rPr>
        <w:t xml:space="preserve"> Российской Федерации от 15.05.2010г. №</w:t>
      </w:r>
      <w:r>
        <w:rPr>
          <w:rFonts w:ascii="Times New Roman" w:hAnsi="Times New Roman"/>
          <w:sz w:val="28"/>
          <w:szCs w:val="28"/>
        </w:rPr>
        <w:t xml:space="preserve"> </w:t>
      </w:r>
      <w:r w:rsidRPr="00E3425F">
        <w:rPr>
          <w:rFonts w:ascii="Times New Roman" w:hAnsi="Times New Roman"/>
          <w:sz w:val="28"/>
          <w:szCs w:val="28"/>
        </w:rPr>
        <w:t>340 «О порядке установления требований к программам в области энергосбережения и повышения энергетической эффективности организаций, осуществляющих регулируемые виды деятельности»</w:t>
      </w:r>
      <w:r w:rsidR="00BD58BF">
        <w:rPr>
          <w:rFonts w:ascii="Times New Roman" w:hAnsi="Times New Roman"/>
          <w:sz w:val="28"/>
          <w:szCs w:val="28"/>
        </w:rPr>
        <w:t>;</w:t>
      </w:r>
      <w:r w:rsidRPr="00E3425F">
        <w:rPr>
          <w:rFonts w:ascii="Times New Roman" w:hAnsi="Times New Roman"/>
          <w:sz w:val="28"/>
          <w:szCs w:val="28"/>
        </w:rPr>
        <w:t xml:space="preserve"> Основными положениями функционирования розничных рынков электрической энергии, утверждёнными постановлением Правительства Российской Федерации от 4 мая 2012 г. N 442</w:t>
      </w:r>
      <w:r w:rsidR="00BD58BF">
        <w:rPr>
          <w:rFonts w:ascii="Times New Roman" w:hAnsi="Times New Roman"/>
          <w:sz w:val="28"/>
          <w:szCs w:val="28"/>
        </w:rPr>
        <w:t>;</w:t>
      </w:r>
      <w:r w:rsidRPr="00E3425F">
        <w:rPr>
          <w:rFonts w:ascii="Times New Roman" w:hAnsi="Times New Roman"/>
          <w:sz w:val="28"/>
          <w:szCs w:val="28"/>
        </w:rPr>
        <w:t xml:space="preserve"> постановлением Правительства Российской Федерации от 31.12.2009 № 1220 «Об определении применяемых при установлении долгосрочных тарифов показателей надежности и качества поставляемых товаров и оказываемых услуг»</w:t>
      </w:r>
      <w:r w:rsidR="00BD58BF">
        <w:rPr>
          <w:rFonts w:ascii="Times New Roman" w:hAnsi="Times New Roman"/>
          <w:sz w:val="28"/>
          <w:szCs w:val="28"/>
        </w:rPr>
        <w:t>;</w:t>
      </w:r>
      <w:r w:rsidRPr="00E3425F">
        <w:rPr>
          <w:rFonts w:ascii="Times New Roman" w:hAnsi="Times New Roman"/>
          <w:sz w:val="28"/>
          <w:szCs w:val="28"/>
        </w:rPr>
        <w:t xml:space="preserve"> </w:t>
      </w:r>
      <w:r>
        <w:rPr>
          <w:rFonts w:ascii="Times New Roman" w:hAnsi="Times New Roman"/>
          <w:sz w:val="28"/>
          <w:szCs w:val="28"/>
        </w:rPr>
        <w:t>п</w:t>
      </w:r>
      <w:r w:rsidRPr="00E3425F">
        <w:rPr>
          <w:rFonts w:ascii="Times New Roman" w:hAnsi="Times New Roman"/>
          <w:bCs/>
          <w:sz w:val="28"/>
          <w:szCs w:val="28"/>
        </w:rPr>
        <w:t>остановление</w:t>
      </w:r>
      <w:r>
        <w:rPr>
          <w:rFonts w:ascii="Times New Roman" w:hAnsi="Times New Roman"/>
          <w:bCs/>
          <w:sz w:val="28"/>
          <w:szCs w:val="28"/>
        </w:rPr>
        <w:t>м</w:t>
      </w:r>
      <w:r w:rsidRPr="00E3425F">
        <w:rPr>
          <w:rFonts w:ascii="Times New Roman" w:hAnsi="Times New Roman"/>
          <w:bCs/>
          <w:sz w:val="28"/>
          <w:szCs w:val="28"/>
        </w:rPr>
        <w:t xml:space="preserve"> </w:t>
      </w:r>
      <w:r>
        <w:rPr>
          <w:rFonts w:ascii="Times New Roman" w:hAnsi="Times New Roman"/>
          <w:bCs/>
          <w:sz w:val="28"/>
          <w:szCs w:val="28"/>
        </w:rPr>
        <w:t>П</w:t>
      </w:r>
      <w:r w:rsidRPr="00E3425F">
        <w:rPr>
          <w:rFonts w:ascii="Times New Roman" w:hAnsi="Times New Roman"/>
          <w:bCs/>
          <w:sz w:val="28"/>
          <w:szCs w:val="28"/>
        </w:rPr>
        <w:t>равительства</w:t>
      </w:r>
      <w:r w:rsidRPr="00E3425F">
        <w:rPr>
          <w:rFonts w:ascii="Times New Roman" w:hAnsi="Times New Roman"/>
          <w:sz w:val="28"/>
          <w:szCs w:val="28"/>
        </w:rPr>
        <w:t xml:space="preserve"> Российской Федерации</w:t>
      </w:r>
      <w:r w:rsidRPr="00E3425F">
        <w:rPr>
          <w:rFonts w:ascii="Times New Roman" w:hAnsi="Times New Roman"/>
          <w:bCs/>
          <w:sz w:val="28"/>
          <w:szCs w:val="28"/>
        </w:rPr>
        <w:t xml:space="preserve"> от 28.02.2015 № 184 «Об отнесении владельцев объектов электросетевого хозяйства к террит</w:t>
      </w:r>
      <w:r>
        <w:rPr>
          <w:rFonts w:ascii="Times New Roman" w:hAnsi="Times New Roman"/>
          <w:bCs/>
          <w:sz w:val="28"/>
          <w:szCs w:val="28"/>
        </w:rPr>
        <w:t>ориальным сетевым организациям»</w:t>
      </w:r>
      <w:r w:rsidR="00BD58BF">
        <w:rPr>
          <w:rFonts w:ascii="Times New Roman" w:hAnsi="Times New Roman"/>
          <w:bCs/>
          <w:sz w:val="28"/>
          <w:szCs w:val="28"/>
        </w:rPr>
        <w:t>;</w:t>
      </w:r>
      <w:r w:rsidRPr="00E3425F">
        <w:rPr>
          <w:rFonts w:ascii="Times New Roman" w:hAnsi="Times New Roman"/>
          <w:sz w:val="28"/>
          <w:szCs w:val="28"/>
        </w:rPr>
        <w:t xml:space="preserve"> Методическими указаниями по расчету регулируемых тарифов и цен на электрическую (тепловую) энергию на розничном </w:t>
      </w:r>
      <w:r w:rsidRPr="00E3425F">
        <w:rPr>
          <w:rFonts w:ascii="Times New Roman" w:hAnsi="Times New Roman"/>
          <w:sz w:val="28"/>
          <w:szCs w:val="28"/>
        </w:rPr>
        <w:lastRenderedPageBreak/>
        <w:t>(потребительском) рынке, утвержденными приказом ФСТ России от 06.08. 2004 №</w:t>
      </w:r>
      <w:r>
        <w:rPr>
          <w:rFonts w:ascii="Times New Roman" w:hAnsi="Times New Roman"/>
          <w:sz w:val="28"/>
          <w:szCs w:val="28"/>
        </w:rPr>
        <w:t xml:space="preserve"> </w:t>
      </w:r>
      <w:r w:rsidRPr="00E3425F">
        <w:rPr>
          <w:rFonts w:ascii="Times New Roman" w:hAnsi="Times New Roman"/>
          <w:sz w:val="28"/>
          <w:szCs w:val="28"/>
        </w:rPr>
        <w:t>20-э/2</w:t>
      </w:r>
      <w:r w:rsidR="00BD58BF">
        <w:rPr>
          <w:rFonts w:ascii="Times New Roman" w:hAnsi="Times New Roman"/>
          <w:sz w:val="28"/>
          <w:szCs w:val="28"/>
        </w:rPr>
        <w:t>;</w:t>
      </w:r>
      <w:r w:rsidRPr="00E3425F">
        <w:rPr>
          <w:rFonts w:ascii="Times New Roman" w:hAnsi="Times New Roman"/>
          <w:sz w:val="28"/>
          <w:szCs w:val="28"/>
        </w:rPr>
        <w:t xml:space="preserve"> Методическими указаниями по расчету тарифов на услуги по передаче электрической энергии, устанавливаемых с применением метода долгосрочной индексации необходимой валовой </w:t>
      </w:r>
      <w:r>
        <w:rPr>
          <w:rFonts w:ascii="Times New Roman" w:hAnsi="Times New Roman"/>
          <w:sz w:val="28"/>
          <w:szCs w:val="28"/>
        </w:rPr>
        <w:t xml:space="preserve">выручки, утвержденными </w:t>
      </w:r>
      <w:r w:rsidRPr="00E23E10">
        <w:rPr>
          <w:rFonts w:ascii="Times New Roman" w:hAnsi="Times New Roman"/>
          <w:sz w:val="28"/>
          <w:szCs w:val="28"/>
        </w:rPr>
        <w:t>приказом ФСТ России от 17.02.2012г.N 98-э</w:t>
      </w:r>
      <w:r w:rsidR="00BD58BF">
        <w:rPr>
          <w:rFonts w:ascii="Times New Roman" w:hAnsi="Times New Roman"/>
          <w:sz w:val="28"/>
          <w:szCs w:val="28"/>
        </w:rPr>
        <w:t>;</w:t>
      </w:r>
      <w:r w:rsidRPr="00E23E10">
        <w:rPr>
          <w:rFonts w:ascii="Times New Roman" w:hAnsi="Times New Roman"/>
          <w:sz w:val="28"/>
          <w:szCs w:val="28"/>
        </w:rPr>
        <w:t xml:space="preserve"> Методическими указаниями по расчету уровня надежности и качества поставляемых товаров и оказываемых услуг для организации по управлению единой национальной (общероссийской) электрической сетью и территориальных сетевых организаций, утвержденными приказом Минэнерго России от </w:t>
      </w:r>
      <w:r w:rsidRPr="00E23E10">
        <w:rPr>
          <w:rFonts w:ascii="Times New Roman" w:hAnsi="Times New Roman"/>
          <w:color w:val="000000"/>
          <w:sz w:val="28"/>
          <w:szCs w:val="28"/>
          <w:lang w:eastAsia="ru-RU"/>
        </w:rPr>
        <w:t>29.11.2016 № 1256</w:t>
      </w:r>
      <w:r w:rsidR="00BD58BF">
        <w:rPr>
          <w:rFonts w:ascii="Times New Roman" w:hAnsi="Times New Roman"/>
          <w:color w:val="000000"/>
          <w:sz w:val="28"/>
          <w:szCs w:val="28"/>
          <w:lang w:eastAsia="ru-RU"/>
        </w:rPr>
        <w:t>;</w:t>
      </w:r>
      <w:r w:rsidRPr="00E3425F">
        <w:rPr>
          <w:rFonts w:ascii="Times New Roman" w:hAnsi="Times New Roman"/>
          <w:sz w:val="28"/>
          <w:szCs w:val="28"/>
        </w:rPr>
        <w:t xml:space="preserve"> Методическими указаниями по расчету тарифов на электрическую энергию (мощность) для населения и приравненных к нему категорий потребителей, тарифов на услуги по передаче электрической энергии, поставляемой населению и приравненным к нему категориям потребителей, утверждёнными приказом ФСТ России от 16.09.2014 № 1442-э</w:t>
      </w:r>
      <w:r w:rsidR="00BD58BF">
        <w:rPr>
          <w:rFonts w:ascii="Times New Roman" w:hAnsi="Times New Roman"/>
          <w:sz w:val="28"/>
          <w:szCs w:val="28"/>
        </w:rPr>
        <w:t>;</w:t>
      </w:r>
      <w:r w:rsidRPr="00E3425F">
        <w:rPr>
          <w:rFonts w:ascii="Times New Roman" w:hAnsi="Times New Roman"/>
          <w:sz w:val="28"/>
          <w:szCs w:val="28"/>
        </w:rPr>
        <w:t xml:space="preserve"> Методическими указаниями по расчету сбытовых надб</w:t>
      </w:r>
      <w:r>
        <w:rPr>
          <w:rFonts w:ascii="Times New Roman" w:hAnsi="Times New Roman"/>
          <w:sz w:val="28"/>
          <w:szCs w:val="28"/>
        </w:rPr>
        <w:t>авок гарантирующих поставщиков с использованием метода сравнения аналогов</w:t>
      </w:r>
      <w:r w:rsidRPr="00E3425F">
        <w:rPr>
          <w:rFonts w:ascii="Times New Roman" w:hAnsi="Times New Roman"/>
          <w:sz w:val="28"/>
          <w:szCs w:val="28"/>
        </w:rPr>
        <w:t xml:space="preserve">, утвержденными приказом Федеральной </w:t>
      </w:r>
      <w:r>
        <w:rPr>
          <w:rFonts w:ascii="Times New Roman" w:hAnsi="Times New Roman"/>
          <w:sz w:val="28"/>
          <w:szCs w:val="28"/>
        </w:rPr>
        <w:t xml:space="preserve">антимонопольной </w:t>
      </w:r>
      <w:r w:rsidRPr="00E3425F">
        <w:rPr>
          <w:rFonts w:ascii="Times New Roman" w:hAnsi="Times New Roman"/>
          <w:sz w:val="28"/>
          <w:szCs w:val="28"/>
        </w:rPr>
        <w:t xml:space="preserve">службы от </w:t>
      </w:r>
      <w:r>
        <w:rPr>
          <w:rFonts w:ascii="Times New Roman" w:hAnsi="Times New Roman"/>
          <w:sz w:val="28"/>
          <w:szCs w:val="28"/>
        </w:rPr>
        <w:t>21</w:t>
      </w:r>
      <w:r w:rsidRPr="00E3425F">
        <w:rPr>
          <w:rFonts w:ascii="Times New Roman" w:hAnsi="Times New Roman"/>
          <w:sz w:val="28"/>
          <w:szCs w:val="28"/>
        </w:rPr>
        <w:t>.1</w:t>
      </w:r>
      <w:r>
        <w:rPr>
          <w:rFonts w:ascii="Times New Roman" w:hAnsi="Times New Roman"/>
          <w:sz w:val="28"/>
          <w:szCs w:val="28"/>
        </w:rPr>
        <w:t>1</w:t>
      </w:r>
      <w:r w:rsidRPr="00E3425F">
        <w:rPr>
          <w:rFonts w:ascii="Times New Roman" w:hAnsi="Times New Roman"/>
          <w:sz w:val="28"/>
          <w:szCs w:val="28"/>
        </w:rPr>
        <w:t>.201</w:t>
      </w:r>
      <w:r>
        <w:rPr>
          <w:rFonts w:ascii="Times New Roman" w:hAnsi="Times New Roman"/>
          <w:sz w:val="28"/>
          <w:szCs w:val="28"/>
        </w:rPr>
        <w:t>7</w:t>
      </w:r>
      <w:r w:rsidRPr="00E3425F">
        <w:rPr>
          <w:rFonts w:ascii="Times New Roman" w:hAnsi="Times New Roman"/>
          <w:sz w:val="28"/>
          <w:szCs w:val="28"/>
        </w:rPr>
        <w:t xml:space="preserve"> №</w:t>
      </w:r>
      <w:r>
        <w:rPr>
          <w:rFonts w:ascii="Times New Roman" w:hAnsi="Times New Roman"/>
          <w:sz w:val="28"/>
          <w:szCs w:val="28"/>
        </w:rPr>
        <w:t xml:space="preserve"> 1554/17</w:t>
      </w:r>
      <w:r w:rsidR="00BD58BF">
        <w:rPr>
          <w:rFonts w:ascii="Times New Roman" w:hAnsi="Times New Roman"/>
          <w:sz w:val="28"/>
          <w:szCs w:val="28"/>
        </w:rPr>
        <w:t>;</w:t>
      </w:r>
      <w:r w:rsidRPr="002F7BB0">
        <w:rPr>
          <w:rFonts w:ascii="Times New Roman" w:eastAsia="Times New Roman" w:hAnsi="Times New Roman"/>
          <w:sz w:val="24"/>
          <w:szCs w:val="28"/>
          <w:lang w:eastAsia="ru-RU"/>
        </w:rPr>
        <w:t xml:space="preserve"> </w:t>
      </w:r>
      <w:r w:rsidRPr="002F7BB0">
        <w:rPr>
          <w:rFonts w:ascii="Times New Roman" w:hAnsi="Times New Roman"/>
          <w:sz w:val="28"/>
          <w:szCs w:val="28"/>
        </w:rPr>
        <w:t>Методическими указаниями по определению размера платы за технологическое присоединение к электрическим сетям, утвержденными приказом ФАС России от 29.08.2017 № 1135/17</w:t>
      </w:r>
      <w:r w:rsidR="00BD58BF">
        <w:rPr>
          <w:rFonts w:ascii="Times New Roman" w:hAnsi="Times New Roman"/>
          <w:sz w:val="28"/>
          <w:szCs w:val="28"/>
        </w:rPr>
        <w:t>;</w:t>
      </w:r>
      <w:r w:rsidRPr="00E3425F">
        <w:rPr>
          <w:rFonts w:ascii="Times New Roman" w:hAnsi="Times New Roman"/>
          <w:color w:val="000000"/>
          <w:sz w:val="28"/>
          <w:szCs w:val="28"/>
        </w:rPr>
        <w:t xml:space="preserve"> </w:t>
      </w:r>
      <w:r w:rsidRPr="00364E74">
        <w:rPr>
          <w:rFonts w:ascii="Times New Roman" w:hAnsi="Times New Roman"/>
          <w:iCs/>
          <w:sz w:val="28"/>
          <w:szCs w:val="28"/>
        </w:rPr>
        <w:t>Методическими указаниями по определению выпадающих доходов, связанных с осуществлением технологического присоединения к электрическим сетям, утвержденными приказом ФСТ России от 11.09.2014 № 215-э/1</w:t>
      </w:r>
      <w:r w:rsidR="00BD58BF">
        <w:rPr>
          <w:rFonts w:ascii="Times New Roman" w:hAnsi="Times New Roman"/>
          <w:iCs/>
          <w:sz w:val="28"/>
          <w:szCs w:val="28"/>
        </w:rPr>
        <w:t>;</w:t>
      </w:r>
      <w:r w:rsidRPr="00364E74">
        <w:rPr>
          <w:rFonts w:ascii="Times New Roman" w:hAnsi="Times New Roman"/>
          <w:sz w:val="28"/>
          <w:szCs w:val="28"/>
        </w:rPr>
        <w:t xml:space="preserve"> </w:t>
      </w:r>
      <w:r w:rsidRPr="0047578F">
        <w:rPr>
          <w:rFonts w:ascii="Times New Roman" w:hAnsi="Times New Roman"/>
          <w:sz w:val="28"/>
          <w:szCs w:val="28"/>
        </w:rPr>
        <w:t>п</w:t>
      </w:r>
      <w:r w:rsidRPr="0047578F">
        <w:rPr>
          <w:rFonts w:ascii="Times New Roman" w:hAnsi="Times New Roman"/>
          <w:bCs/>
          <w:color w:val="000000"/>
          <w:sz w:val="28"/>
          <w:szCs w:val="28"/>
        </w:rPr>
        <w:t xml:space="preserve">риказом Минэнерго России от 26.09.2017 № 887 «Об утверждении нормативов потерь электрической энергии при её передаче по электрическим сетям территориальных сетевых </w:t>
      </w:r>
      <w:r w:rsidRPr="001F3DE5">
        <w:rPr>
          <w:rFonts w:ascii="Times New Roman" w:hAnsi="Times New Roman"/>
          <w:bCs/>
          <w:color w:val="000000"/>
          <w:sz w:val="28"/>
          <w:szCs w:val="28"/>
        </w:rPr>
        <w:t>организаций»</w:t>
      </w:r>
      <w:r w:rsidR="00BD58BF">
        <w:rPr>
          <w:rFonts w:ascii="Times New Roman" w:hAnsi="Times New Roman"/>
          <w:bCs/>
          <w:color w:val="000000"/>
          <w:sz w:val="28"/>
          <w:szCs w:val="28"/>
        </w:rPr>
        <w:t>;</w:t>
      </w:r>
      <w:r w:rsidRPr="0047578F">
        <w:rPr>
          <w:rFonts w:ascii="Times New Roman" w:hAnsi="Times New Roman"/>
          <w:bCs/>
          <w:sz w:val="28"/>
          <w:szCs w:val="28"/>
        </w:rPr>
        <w:t xml:space="preserve"> Методическими указаниями по определению базового уровня операционных, подконтрольных расходов</w:t>
      </w:r>
      <w:r w:rsidRPr="00E3425F">
        <w:rPr>
          <w:rFonts w:ascii="Times New Roman" w:hAnsi="Times New Roman"/>
          <w:bCs/>
          <w:sz w:val="28"/>
          <w:szCs w:val="28"/>
        </w:rPr>
        <w:t xml:space="preserve"> территориальных сетевых организаций, необходимых для осуществления регулируемой деятельности, индекса эффективности операционных, подконтрольных расходов с применением метода сравнения </w:t>
      </w:r>
      <w:r w:rsidRPr="002E0974">
        <w:rPr>
          <w:rFonts w:ascii="Times New Roman" w:hAnsi="Times New Roman"/>
          <w:bCs/>
          <w:sz w:val="28"/>
          <w:szCs w:val="28"/>
        </w:rPr>
        <w:t>аналогов</w:t>
      </w:r>
      <w:hyperlink r:id="rId10" w:history="1">
        <w:r w:rsidRPr="00494D0A">
          <w:rPr>
            <w:rStyle w:val="af0"/>
            <w:color w:val="000000"/>
            <w:sz w:val="28"/>
            <w:szCs w:val="28"/>
            <w:u w:val="none"/>
          </w:rPr>
          <w:t>, утвержденных п</w:t>
        </w:r>
      </w:hyperlink>
      <w:r w:rsidRPr="00494D0A">
        <w:rPr>
          <w:rFonts w:ascii="Times New Roman" w:hAnsi="Times New Roman"/>
          <w:color w:val="000000"/>
          <w:sz w:val="28"/>
          <w:szCs w:val="28"/>
        </w:rPr>
        <w:t>риказом</w:t>
      </w:r>
      <w:r w:rsidRPr="00E3425F">
        <w:rPr>
          <w:rFonts w:ascii="Times New Roman" w:hAnsi="Times New Roman"/>
          <w:color w:val="000000"/>
          <w:sz w:val="28"/>
          <w:szCs w:val="28"/>
        </w:rPr>
        <w:t xml:space="preserve"> ФСТ России от 18.03.2015 N 421-э</w:t>
      </w:r>
      <w:r w:rsidR="00BD58BF">
        <w:rPr>
          <w:rFonts w:ascii="Times New Roman" w:hAnsi="Times New Roman"/>
          <w:color w:val="000000"/>
          <w:sz w:val="28"/>
          <w:szCs w:val="28"/>
        </w:rPr>
        <w:t xml:space="preserve">; </w:t>
      </w:r>
      <w:r w:rsidRPr="00E3425F">
        <w:rPr>
          <w:rFonts w:ascii="Times New Roman" w:hAnsi="Times New Roman"/>
          <w:bCs/>
        </w:rPr>
        <w:t xml:space="preserve"> </w:t>
      </w:r>
      <w:r w:rsidRPr="00E3425F">
        <w:rPr>
          <w:rFonts w:ascii="Times New Roman" w:hAnsi="Times New Roman"/>
          <w:sz w:val="28"/>
          <w:szCs w:val="28"/>
        </w:rPr>
        <w:t xml:space="preserve">другими действующими нормативными правовыми актами Российской Федерации в области государственного регулирования цен (тарифов) в электроэнергетике, </w:t>
      </w:r>
      <w:r>
        <w:rPr>
          <w:rFonts w:ascii="Times New Roman" w:hAnsi="Times New Roman"/>
          <w:sz w:val="28"/>
          <w:szCs w:val="28"/>
        </w:rPr>
        <w:t xml:space="preserve">результатами проведенных проверок (в том числе совместно с органами прокуратуры), </w:t>
      </w:r>
      <w:r w:rsidRPr="00E3425F">
        <w:rPr>
          <w:rFonts w:ascii="Times New Roman" w:hAnsi="Times New Roman"/>
          <w:sz w:val="28"/>
          <w:szCs w:val="28"/>
        </w:rPr>
        <w:t>а также результатами анализа технико-экономических и финансовых показателей организаций, осуществляющих регулируемую деятельность, в периодах, предшествующих регулируемому</w:t>
      </w:r>
      <w:r w:rsidR="00BD58BF">
        <w:rPr>
          <w:rFonts w:ascii="Times New Roman" w:hAnsi="Times New Roman"/>
          <w:sz w:val="28"/>
          <w:szCs w:val="28"/>
        </w:rPr>
        <w:t xml:space="preserve"> периоду</w:t>
      </w:r>
      <w:r>
        <w:rPr>
          <w:rFonts w:ascii="Times New Roman" w:hAnsi="Times New Roman"/>
          <w:sz w:val="28"/>
          <w:szCs w:val="28"/>
        </w:rPr>
        <w:t>.</w:t>
      </w:r>
      <w:r w:rsidRPr="00730E61">
        <w:rPr>
          <w:sz w:val="24"/>
          <w:szCs w:val="24"/>
        </w:rPr>
        <w:t xml:space="preserve"> </w:t>
      </w:r>
    </w:p>
    <w:p w:rsidR="001E7B45" w:rsidRDefault="001E7B45" w:rsidP="005D5A4D">
      <w:pPr>
        <w:spacing w:after="0" w:line="240" w:lineRule="auto"/>
        <w:ind w:firstLine="708"/>
        <w:jc w:val="both"/>
        <w:rPr>
          <w:sz w:val="28"/>
          <w:szCs w:val="28"/>
        </w:rPr>
      </w:pPr>
      <w:r w:rsidRPr="005A65CE">
        <w:rPr>
          <w:sz w:val="28"/>
          <w:szCs w:val="28"/>
        </w:rPr>
        <w:t>В соответствии со сроками рассмотрения материалов по установлению т</w:t>
      </w:r>
      <w:r>
        <w:rPr>
          <w:sz w:val="28"/>
          <w:szCs w:val="28"/>
        </w:rPr>
        <w:t xml:space="preserve">арифов в электроэнергетике на основании Регламента установления цен (тарифов) и (или) их предельных уровней, предусматривающего порядок регистрации, принятия к рассмотрению и выдачи отказов в рассмотрении заявлений об установлении цен (тарифов) и (или) их предельных уровней, </w:t>
      </w:r>
      <w:r w:rsidRPr="009C7F3E">
        <w:rPr>
          <w:sz w:val="28"/>
          <w:szCs w:val="28"/>
        </w:rPr>
        <w:br/>
      </w:r>
      <w:r>
        <w:rPr>
          <w:sz w:val="28"/>
          <w:szCs w:val="28"/>
        </w:rPr>
        <w:t>и формы решения органа исполнительной власти субъекта Российской Федерации в области государственного регулирования тарифов,</w:t>
      </w:r>
      <w:r w:rsidRPr="00F14D36">
        <w:rPr>
          <w:sz w:val="28"/>
          <w:szCs w:val="28"/>
        </w:rPr>
        <w:t xml:space="preserve"> </w:t>
      </w:r>
      <w:r>
        <w:rPr>
          <w:sz w:val="28"/>
          <w:szCs w:val="28"/>
        </w:rPr>
        <w:t>утвержденного приказом Федеральной антимонопольной службы от 19.06.2018 № 834/18, в 2019</w:t>
      </w:r>
      <w:r w:rsidRPr="005A65CE">
        <w:rPr>
          <w:sz w:val="28"/>
          <w:szCs w:val="28"/>
        </w:rPr>
        <w:t xml:space="preserve"> году </w:t>
      </w:r>
      <w:r>
        <w:rPr>
          <w:sz w:val="28"/>
          <w:szCs w:val="28"/>
        </w:rPr>
        <w:t>департаментом</w:t>
      </w:r>
      <w:r w:rsidRPr="005A65CE">
        <w:rPr>
          <w:sz w:val="28"/>
          <w:szCs w:val="28"/>
        </w:rPr>
        <w:t xml:space="preserve"> проводилась экспертиза материалов </w:t>
      </w:r>
      <w:r>
        <w:rPr>
          <w:sz w:val="28"/>
          <w:szCs w:val="28"/>
        </w:rPr>
        <w:t>по установлению (корректировке): тарифов на электрическую энергию, поставляемую населению и приравненным к нему категориям потребителей</w:t>
      </w:r>
      <w:r w:rsidR="005D5A4D">
        <w:rPr>
          <w:sz w:val="28"/>
          <w:szCs w:val="28"/>
        </w:rPr>
        <w:t>;</w:t>
      </w:r>
      <w:r>
        <w:rPr>
          <w:sz w:val="28"/>
          <w:szCs w:val="28"/>
        </w:rPr>
        <w:t xml:space="preserve"> </w:t>
      </w:r>
      <w:r w:rsidRPr="005A65CE">
        <w:rPr>
          <w:sz w:val="28"/>
          <w:szCs w:val="28"/>
        </w:rPr>
        <w:t>единых (котловых) тарифов на услуги по п</w:t>
      </w:r>
      <w:r>
        <w:rPr>
          <w:sz w:val="28"/>
          <w:szCs w:val="28"/>
        </w:rPr>
        <w:t>ередаче электрической энергии</w:t>
      </w:r>
      <w:r w:rsidR="005D5A4D">
        <w:rPr>
          <w:sz w:val="28"/>
          <w:szCs w:val="28"/>
        </w:rPr>
        <w:t>;</w:t>
      </w:r>
      <w:r>
        <w:rPr>
          <w:sz w:val="28"/>
          <w:szCs w:val="28"/>
        </w:rPr>
        <w:t xml:space="preserve"> </w:t>
      </w:r>
      <w:r w:rsidRPr="005A65CE">
        <w:rPr>
          <w:sz w:val="28"/>
          <w:szCs w:val="28"/>
        </w:rPr>
        <w:t xml:space="preserve">индивидуальных тарифов на услуги по передаче электрической энергии для взаиморасчётов между </w:t>
      </w:r>
      <w:r>
        <w:rPr>
          <w:sz w:val="28"/>
          <w:szCs w:val="28"/>
        </w:rPr>
        <w:t xml:space="preserve">территориальными </w:t>
      </w:r>
      <w:r w:rsidRPr="005A65CE">
        <w:rPr>
          <w:sz w:val="28"/>
          <w:szCs w:val="28"/>
        </w:rPr>
        <w:lastRenderedPageBreak/>
        <w:t>сетевыми организациями по Новосибирской области</w:t>
      </w:r>
      <w:r w:rsidR="005D5A4D">
        <w:rPr>
          <w:sz w:val="28"/>
          <w:szCs w:val="28"/>
        </w:rPr>
        <w:t>;</w:t>
      </w:r>
      <w:r w:rsidRPr="005A65CE">
        <w:rPr>
          <w:sz w:val="28"/>
          <w:szCs w:val="28"/>
        </w:rPr>
        <w:t xml:space="preserve"> </w:t>
      </w:r>
      <w:r>
        <w:rPr>
          <w:sz w:val="28"/>
          <w:szCs w:val="28"/>
        </w:rPr>
        <w:t xml:space="preserve">по установлению долгосрочных параметров регулирования и </w:t>
      </w:r>
      <w:r w:rsidRPr="006C3648">
        <w:rPr>
          <w:sz w:val="28"/>
          <w:szCs w:val="28"/>
        </w:rPr>
        <w:t>показателей надежности и качества</w:t>
      </w:r>
      <w:r>
        <w:t xml:space="preserve"> </w:t>
      </w:r>
      <w:r>
        <w:rPr>
          <w:sz w:val="28"/>
          <w:szCs w:val="28"/>
        </w:rPr>
        <w:t>территориальных сетевых организаций</w:t>
      </w:r>
      <w:r w:rsidR="005D5A4D">
        <w:rPr>
          <w:sz w:val="28"/>
          <w:szCs w:val="28"/>
        </w:rPr>
        <w:t>;</w:t>
      </w:r>
      <w:r>
        <w:rPr>
          <w:sz w:val="28"/>
          <w:szCs w:val="28"/>
        </w:rPr>
        <w:t xml:space="preserve"> по расчету сбытовых надбавок гарантирующего поставщика</w:t>
      </w:r>
      <w:r w:rsidR="005D5A4D">
        <w:rPr>
          <w:sz w:val="28"/>
          <w:szCs w:val="28"/>
        </w:rPr>
        <w:t>;</w:t>
      </w:r>
      <w:r>
        <w:rPr>
          <w:sz w:val="28"/>
          <w:szCs w:val="28"/>
        </w:rPr>
        <w:t xml:space="preserve"> по </w:t>
      </w:r>
      <w:r>
        <w:rPr>
          <w:rFonts w:eastAsia="Times New Roman"/>
          <w:sz w:val="28"/>
          <w:szCs w:val="28"/>
        </w:rPr>
        <w:t>установлению</w:t>
      </w:r>
      <w:r w:rsidRPr="002F7BB0">
        <w:rPr>
          <w:rFonts w:eastAsia="Times New Roman"/>
          <w:sz w:val="28"/>
          <w:szCs w:val="28"/>
        </w:rPr>
        <w:t xml:space="preserve"> платы за технологическое присоединение энергопринимающих устройств (энергетических установок) юридических и физических лиц к электрическим сетям территориальных сетевых организаций</w:t>
      </w:r>
      <w:r w:rsidR="005D5A4D">
        <w:rPr>
          <w:rFonts w:eastAsia="Times New Roman"/>
          <w:sz w:val="28"/>
          <w:szCs w:val="28"/>
        </w:rPr>
        <w:t>;</w:t>
      </w:r>
      <w:r w:rsidRPr="002F7BB0">
        <w:rPr>
          <w:rFonts w:eastAsia="Times New Roman"/>
          <w:sz w:val="28"/>
          <w:szCs w:val="28"/>
        </w:rPr>
        <w:t xml:space="preserve"> платы за технологическое присоединение по индивидуальн</w:t>
      </w:r>
      <w:r>
        <w:rPr>
          <w:rFonts w:eastAsia="Times New Roman"/>
          <w:sz w:val="28"/>
          <w:szCs w:val="28"/>
        </w:rPr>
        <w:t>ому</w:t>
      </w:r>
      <w:r w:rsidRPr="002F7BB0">
        <w:rPr>
          <w:rFonts w:eastAsia="Times New Roman"/>
          <w:sz w:val="28"/>
          <w:szCs w:val="28"/>
        </w:rPr>
        <w:t xml:space="preserve"> проект</w:t>
      </w:r>
      <w:r>
        <w:rPr>
          <w:rFonts w:eastAsia="Times New Roman"/>
          <w:sz w:val="28"/>
          <w:szCs w:val="28"/>
        </w:rPr>
        <w:t>у</w:t>
      </w:r>
      <w:r w:rsidR="005D5A4D">
        <w:rPr>
          <w:rFonts w:eastAsia="Times New Roman"/>
          <w:sz w:val="28"/>
          <w:szCs w:val="28"/>
        </w:rPr>
        <w:t>;</w:t>
      </w:r>
      <w:r>
        <w:rPr>
          <w:rFonts w:eastAsia="Times New Roman"/>
          <w:sz w:val="28"/>
          <w:szCs w:val="28"/>
        </w:rPr>
        <w:t xml:space="preserve"> </w:t>
      </w:r>
      <w:r w:rsidRPr="002F7BB0">
        <w:rPr>
          <w:rFonts w:eastAsia="Times New Roman"/>
          <w:sz w:val="28"/>
          <w:szCs w:val="28"/>
        </w:rPr>
        <w:t>плат</w:t>
      </w:r>
      <w:r>
        <w:rPr>
          <w:rFonts w:eastAsia="Times New Roman"/>
          <w:sz w:val="28"/>
          <w:szCs w:val="28"/>
        </w:rPr>
        <w:t>ы</w:t>
      </w:r>
      <w:r w:rsidRPr="002F7BB0">
        <w:rPr>
          <w:rFonts w:eastAsia="Times New Roman"/>
          <w:sz w:val="28"/>
          <w:szCs w:val="28"/>
        </w:rPr>
        <w:t xml:space="preserve"> за технологическое присоединение отдельных потребителей на уровне напряжения не ниже 35 кВ и максимальной мощности не менее 8 900 кВт и объектов по производству электрической энергии</w:t>
      </w:r>
      <w:r w:rsidR="005D5A4D">
        <w:rPr>
          <w:rFonts w:eastAsia="Times New Roman"/>
          <w:sz w:val="28"/>
          <w:szCs w:val="28"/>
        </w:rPr>
        <w:t>;</w:t>
      </w:r>
      <w:r w:rsidRPr="002F7BB0">
        <w:rPr>
          <w:rFonts w:eastAsia="Times New Roman"/>
          <w:sz w:val="28"/>
          <w:szCs w:val="28"/>
        </w:rPr>
        <w:t xml:space="preserve"> стандартизированных тарифных ставок </w:t>
      </w:r>
      <w:r>
        <w:rPr>
          <w:rFonts w:eastAsia="Times New Roman"/>
          <w:sz w:val="28"/>
          <w:szCs w:val="28"/>
        </w:rPr>
        <w:t xml:space="preserve">и ставок за единицу максимальной мощности </w:t>
      </w:r>
      <w:r w:rsidRPr="002F7BB0">
        <w:rPr>
          <w:rFonts w:eastAsia="Times New Roman"/>
          <w:sz w:val="28"/>
          <w:szCs w:val="28"/>
        </w:rPr>
        <w:t>для определения размера платы за технологическое присоединение энергопринимающих устройств юридических и физических лиц к электрическим сетям территориальных сетевых организаций</w:t>
      </w:r>
      <w:r w:rsidR="005D5A4D">
        <w:rPr>
          <w:rFonts w:eastAsia="Times New Roman"/>
          <w:sz w:val="28"/>
          <w:szCs w:val="28"/>
        </w:rPr>
        <w:t>;</w:t>
      </w:r>
      <w:r w:rsidRPr="002F7BB0">
        <w:rPr>
          <w:rFonts w:eastAsia="Times New Roman"/>
          <w:sz w:val="28"/>
          <w:szCs w:val="28"/>
        </w:rPr>
        <w:t xml:space="preserve"> формулы платы за технологическое присоединение на территории Новосибирской области.</w:t>
      </w:r>
      <w:r w:rsidRPr="00A37504">
        <w:rPr>
          <w:rFonts w:eastAsia="Times New Roman"/>
          <w:sz w:val="28"/>
          <w:szCs w:val="28"/>
        </w:rPr>
        <w:t xml:space="preserve"> </w:t>
      </w:r>
      <w:r w:rsidRPr="00C848D5">
        <w:rPr>
          <w:sz w:val="28"/>
          <w:szCs w:val="28"/>
        </w:rPr>
        <w:t>В течение 201</w:t>
      </w:r>
      <w:r>
        <w:rPr>
          <w:sz w:val="28"/>
          <w:szCs w:val="28"/>
        </w:rPr>
        <w:t>9</w:t>
      </w:r>
      <w:r w:rsidRPr="00C848D5">
        <w:rPr>
          <w:sz w:val="28"/>
          <w:szCs w:val="28"/>
        </w:rPr>
        <w:t xml:space="preserve"> года </w:t>
      </w:r>
      <w:r>
        <w:rPr>
          <w:sz w:val="28"/>
          <w:szCs w:val="28"/>
        </w:rPr>
        <w:t xml:space="preserve">отделом регулирования электроэнергетики департамента </w:t>
      </w:r>
      <w:r w:rsidRPr="005764AA">
        <w:rPr>
          <w:sz w:val="28"/>
          <w:szCs w:val="28"/>
        </w:rPr>
        <w:t xml:space="preserve">подготовлено </w:t>
      </w:r>
      <w:r>
        <w:rPr>
          <w:sz w:val="28"/>
          <w:szCs w:val="28"/>
        </w:rPr>
        <w:t>29</w:t>
      </w:r>
      <w:r w:rsidRPr="0087757D">
        <w:rPr>
          <w:sz w:val="28"/>
          <w:szCs w:val="28"/>
        </w:rPr>
        <w:t>2</w:t>
      </w:r>
      <w:r w:rsidRPr="005764AA">
        <w:rPr>
          <w:sz w:val="28"/>
          <w:szCs w:val="28"/>
        </w:rPr>
        <w:t xml:space="preserve"> </w:t>
      </w:r>
      <w:r w:rsidRPr="002B513E">
        <w:rPr>
          <w:sz w:val="28"/>
          <w:szCs w:val="28"/>
        </w:rPr>
        <w:t>экспертн</w:t>
      </w:r>
      <w:r>
        <w:rPr>
          <w:sz w:val="28"/>
          <w:szCs w:val="28"/>
        </w:rPr>
        <w:t>ых</w:t>
      </w:r>
      <w:r w:rsidRPr="002B513E">
        <w:rPr>
          <w:sz w:val="28"/>
          <w:szCs w:val="28"/>
        </w:rPr>
        <w:t xml:space="preserve"> </w:t>
      </w:r>
      <w:r w:rsidRPr="00C96662">
        <w:rPr>
          <w:sz w:val="28"/>
          <w:szCs w:val="28"/>
        </w:rPr>
        <w:t>заключения,</w:t>
      </w:r>
      <w:r w:rsidRPr="002B513E">
        <w:rPr>
          <w:sz w:val="28"/>
          <w:szCs w:val="28"/>
        </w:rPr>
        <w:t xml:space="preserve"> на основании которых </w:t>
      </w:r>
      <w:r w:rsidR="005D5A4D">
        <w:rPr>
          <w:sz w:val="28"/>
          <w:szCs w:val="28"/>
        </w:rPr>
        <w:t>П</w:t>
      </w:r>
      <w:r w:rsidRPr="002B513E">
        <w:rPr>
          <w:sz w:val="28"/>
          <w:szCs w:val="28"/>
        </w:rPr>
        <w:t>равлением</w:t>
      </w:r>
      <w:r w:rsidRPr="00C848D5">
        <w:rPr>
          <w:sz w:val="28"/>
          <w:szCs w:val="28"/>
        </w:rPr>
        <w:t xml:space="preserve"> департамента приняты решения по установлению соответствующих тарифов.</w:t>
      </w:r>
      <w:r w:rsidRPr="005A65CE">
        <w:rPr>
          <w:sz w:val="28"/>
          <w:szCs w:val="28"/>
        </w:rPr>
        <w:t xml:space="preserve"> </w:t>
      </w:r>
    </w:p>
    <w:p w:rsidR="001E7B45" w:rsidRDefault="001E7B45" w:rsidP="005D5A4D">
      <w:pPr>
        <w:pStyle w:val="ac"/>
        <w:tabs>
          <w:tab w:val="left" w:pos="9356"/>
        </w:tabs>
        <w:ind w:firstLine="720"/>
        <w:rPr>
          <w:b/>
          <w:szCs w:val="28"/>
        </w:rPr>
      </w:pPr>
    </w:p>
    <w:p w:rsidR="001E7B45" w:rsidRPr="00BD4D98" w:rsidRDefault="001E7B45" w:rsidP="005D5A4D">
      <w:pPr>
        <w:tabs>
          <w:tab w:val="left" w:pos="9356"/>
        </w:tabs>
        <w:spacing w:line="240" w:lineRule="auto"/>
        <w:ind w:left="720"/>
        <w:rPr>
          <w:rFonts w:eastAsia="Times New Roman"/>
          <w:b/>
          <w:bCs/>
          <w:sz w:val="28"/>
          <w:szCs w:val="28"/>
        </w:rPr>
      </w:pPr>
      <w:r>
        <w:rPr>
          <w:rFonts w:eastAsia="Times New Roman"/>
          <w:b/>
          <w:bCs/>
          <w:sz w:val="28"/>
          <w:szCs w:val="28"/>
        </w:rPr>
        <w:t>2.</w:t>
      </w:r>
      <w:r w:rsidRPr="00BD4D98">
        <w:rPr>
          <w:rFonts w:eastAsia="Times New Roman"/>
          <w:b/>
          <w:bCs/>
          <w:sz w:val="28"/>
          <w:szCs w:val="28"/>
        </w:rPr>
        <w:t>1.</w:t>
      </w:r>
      <w:r w:rsidR="00300B7B">
        <w:rPr>
          <w:rFonts w:eastAsia="Times New Roman"/>
          <w:b/>
          <w:bCs/>
          <w:sz w:val="28"/>
          <w:szCs w:val="28"/>
        </w:rPr>
        <w:t>2</w:t>
      </w:r>
      <w:r w:rsidR="005D5A4D">
        <w:rPr>
          <w:rFonts w:eastAsia="Times New Roman"/>
          <w:b/>
          <w:bCs/>
          <w:sz w:val="28"/>
          <w:szCs w:val="28"/>
        </w:rPr>
        <w:t>.</w:t>
      </w:r>
      <w:r w:rsidRPr="00BD4D98">
        <w:rPr>
          <w:rFonts w:eastAsia="Times New Roman"/>
          <w:b/>
          <w:bCs/>
          <w:sz w:val="28"/>
          <w:szCs w:val="28"/>
        </w:rPr>
        <w:t xml:space="preserve"> Формирование балансов электрической энергии и мощности</w:t>
      </w:r>
    </w:p>
    <w:p w:rsidR="001E7B45" w:rsidRPr="00BD4D98" w:rsidRDefault="001E7B45" w:rsidP="005D5A4D">
      <w:pPr>
        <w:tabs>
          <w:tab w:val="left" w:pos="9356"/>
        </w:tabs>
        <w:spacing w:line="240" w:lineRule="auto"/>
        <w:ind w:firstLine="720"/>
        <w:jc w:val="both"/>
        <w:rPr>
          <w:rFonts w:eastAsia="Times New Roman"/>
          <w:sz w:val="28"/>
          <w:szCs w:val="28"/>
        </w:rPr>
      </w:pPr>
      <w:r w:rsidRPr="00BD4D98">
        <w:rPr>
          <w:rFonts w:eastAsia="Times New Roman"/>
          <w:sz w:val="28"/>
          <w:szCs w:val="28"/>
        </w:rPr>
        <w:t>Работа по формированию и согласованию плановых балансов электрической энергии и мощности строилась в соответствии с приказом Федеральной службы по тарифам от 12.04.2012. № 53-э/1 «Об утверждении Порядка формирования Сводного прогнозного баланса производства и поставок электрической энергии (мощности) в рамках Единой энергетической системы России по субъектам Российской Федерации».</w:t>
      </w:r>
    </w:p>
    <w:p w:rsidR="001E7B45" w:rsidRPr="00BD4D98" w:rsidRDefault="001E7B45" w:rsidP="005451F2">
      <w:pPr>
        <w:tabs>
          <w:tab w:val="left" w:pos="9356"/>
        </w:tabs>
        <w:spacing w:after="0" w:line="240" w:lineRule="auto"/>
        <w:ind w:firstLine="700"/>
        <w:jc w:val="both"/>
        <w:rPr>
          <w:rFonts w:eastAsia="Times New Roman"/>
          <w:sz w:val="28"/>
          <w:szCs w:val="28"/>
        </w:rPr>
      </w:pPr>
      <w:r w:rsidRPr="00BD4D98">
        <w:rPr>
          <w:rFonts w:eastAsia="Times New Roman"/>
          <w:sz w:val="28"/>
          <w:szCs w:val="28"/>
        </w:rPr>
        <w:t xml:space="preserve">В течение 2019 года </w:t>
      </w:r>
      <w:r w:rsidR="005D5A4D">
        <w:rPr>
          <w:rFonts w:eastAsia="Times New Roman"/>
          <w:sz w:val="28"/>
          <w:szCs w:val="28"/>
        </w:rPr>
        <w:t>Д</w:t>
      </w:r>
      <w:r w:rsidRPr="00BD4D98">
        <w:rPr>
          <w:rFonts w:eastAsia="Times New Roman"/>
          <w:sz w:val="28"/>
          <w:szCs w:val="28"/>
        </w:rPr>
        <w:t xml:space="preserve">епартаментом совместно с технологическими службами АО «Новосибирскэнергосбыт», АО «Мосэнергосбыт», ЗАО «Система», ООО «Транснефтьэнерго», АО «СИБЭКО», ПАО «РусГидро» - «Новосибирская ГЭС», АО «СО ЕЭС» - Новосибирское РДУ, а также с территориальными сетевыми организациями  проводилась  работа по разработке и согласованию плановых месячных, квартальных и в целом на 20120 год балансов электрической энергии (мощности) по Новосибирской области. При формировании баланса электрической энергии и мощности на 2020 год были учтены объёмы передачи электрической энергии (мощности) 44 сетевых организаций. Департаментом в установленные сроки были согласованы и направлены в ФАС России предложения для утверждения сводного прогнозного баланса электрической энергии и мощности по Новосибирской области, в том числе в форматах </w:t>
      </w:r>
      <w:r w:rsidR="005451F2">
        <w:rPr>
          <w:rFonts w:eastAsia="Times New Roman"/>
          <w:sz w:val="28"/>
          <w:szCs w:val="28"/>
        </w:rPr>
        <w:t>шаблонов</w:t>
      </w:r>
      <w:r w:rsidRPr="00BD4D98">
        <w:rPr>
          <w:rFonts w:eastAsia="Times New Roman"/>
          <w:sz w:val="28"/>
          <w:szCs w:val="28"/>
        </w:rPr>
        <w:t xml:space="preserve"> ФГИС ЕИАС. </w:t>
      </w:r>
    </w:p>
    <w:p w:rsidR="001E7B45" w:rsidRPr="00BD4D98" w:rsidRDefault="001E7B45" w:rsidP="005451F2">
      <w:pPr>
        <w:tabs>
          <w:tab w:val="left" w:pos="9356"/>
        </w:tabs>
        <w:spacing w:after="0" w:line="240" w:lineRule="auto"/>
        <w:ind w:firstLine="700"/>
        <w:jc w:val="both"/>
        <w:rPr>
          <w:rFonts w:eastAsia="Times New Roman"/>
          <w:sz w:val="28"/>
          <w:szCs w:val="28"/>
        </w:rPr>
      </w:pPr>
      <w:r w:rsidRPr="00BD4D98">
        <w:rPr>
          <w:rFonts w:eastAsia="Times New Roman"/>
          <w:sz w:val="28"/>
          <w:szCs w:val="28"/>
        </w:rPr>
        <w:t xml:space="preserve">Так же </w:t>
      </w:r>
      <w:r w:rsidR="005451F2">
        <w:rPr>
          <w:rFonts w:eastAsia="Times New Roman"/>
          <w:sz w:val="28"/>
          <w:szCs w:val="28"/>
        </w:rPr>
        <w:t>Д</w:t>
      </w:r>
      <w:r w:rsidRPr="00BD4D98">
        <w:rPr>
          <w:rFonts w:eastAsia="Times New Roman"/>
          <w:sz w:val="28"/>
          <w:szCs w:val="28"/>
        </w:rPr>
        <w:t>епартаментом в сроки, установленные действующим законодательством, проводилась работа по корректировке сводного прогнозного баланса электрической энергии и мощности по Новосибирской области на 2020 год.</w:t>
      </w:r>
    </w:p>
    <w:p w:rsidR="001E7B45" w:rsidRPr="00BD4D98" w:rsidRDefault="001E7B45" w:rsidP="005451F2">
      <w:pPr>
        <w:tabs>
          <w:tab w:val="left" w:pos="9356"/>
        </w:tabs>
        <w:spacing w:after="0" w:line="240" w:lineRule="auto"/>
        <w:ind w:firstLine="700"/>
        <w:jc w:val="both"/>
        <w:rPr>
          <w:rFonts w:eastAsia="Times New Roman"/>
          <w:sz w:val="28"/>
          <w:szCs w:val="28"/>
        </w:rPr>
      </w:pPr>
      <w:r w:rsidRPr="00BD4D98">
        <w:rPr>
          <w:rFonts w:eastAsia="Times New Roman"/>
          <w:sz w:val="28"/>
          <w:szCs w:val="28"/>
        </w:rPr>
        <w:t>Сводный прогнозный баланс производства и поставок электрической энергии (мощности) в рамках Единой энергетической системы России по Новосибирской области на 2020 год утверждён приказом ФАС России от 28.11.2019 № 1567/19-ДСП (далее – утвержденный Сводный прогнозный баланс</w:t>
      </w:r>
      <w:r>
        <w:rPr>
          <w:rFonts w:eastAsia="Times New Roman"/>
          <w:sz w:val="28"/>
          <w:szCs w:val="28"/>
        </w:rPr>
        <w:t>)</w:t>
      </w:r>
      <w:r w:rsidRPr="00BD4D98">
        <w:rPr>
          <w:rFonts w:eastAsia="Times New Roman"/>
          <w:sz w:val="28"/>
          <w:szCs w:val="28"/>
        </w:rPr>
        <w:t>.</w:t>
      </w:r>
    </w:p>
    <w:p w:rsidR="001E7B45" w:rsidRPr="00BD4D98" w:rsidRDefault="001E7B45" w:rsidP="005451F2">
      <w:pPr>
        <w:spacing w:after="0" w:line="240" w:lineRule="auto"/>
        <w:ind w:firstLine="708"/>
        <w:jc w:val="both"/>
        <w:rPr>
          <w:rFonts w:eastAsia="Times New Roman"/>
          <w:sz w:val="28"/>
          <w:szCs w:val="28"/>
        </w:rPr>
      </w:pPr>
      <w:r w:rsidRPr="00BD4D98">
        <w:rPr>
          <w:rFonts w:eastAsia="Times New Roman"/>
          <w:bCs/>
          <w:sz w:val="28"/>
          <w:szCs w:val="28"/>
        </w:rPr>
        <w:lastRenderedPageBreak/>
        <w:t>Плановые объемы электропотребления на 2020 год были сформированы исходя из фактических показателей 2018 года и ожидаемых показателей 2019 года с учетом сложившихся тенденций роста и снижения объемов потребления по группам потребителей. О</w:t>
      </w:r>
      <w:r w:rsidRPr="00BD4D98">
        <w:rPr>
          <w:rFonts w:eastAsia="Times New Roman"/>
          <w:sz w:val="28"/>
          <w:szCs w:val="28"/>
        </w:rPr>
        <w:t>бъемы электропотребления тарифной группы  «Население» приняты в размере 3 765 млн. кВтч. (в том числе население от сетей  ЕНЭС – 61,87 млн. кВт.ч.).</w:t>
      </w:r>
    </w:p>
    <w:p w:rsidR="001E7B45" w:rsidRPr="00BD4D98" w:rsidRDefault="001E7B45" w:rsidP="005451F2">
      <w:pPr>
        <w:tabs>
          <w:tab w:val="left" w:pos="9356"/>
        </w:tabs>
        <w:spacing w:after="0" w:line="240" w:lineRule="auto"/>
        <w:ind w:firstLine="720"/>
        <w:jc w:val="both"/>
        <w:rPr>
          <w:rFonts w:eastAsia="Times New Roman"/>
          <w:bCs/>
          <w:sz w:val="28"/>
          <w:szCs w:val="28"/>
        </w:rPr>
      </w:pPr>
      <w:r w:rsidRPr="00BD4D98">
        <w:rPr>
          <w:rFonts w:eastAsia="Times New Roman"/>
          <w:bCs/>
          <w:sz w:val="28"/>
          <w:szCs w:val="28"/>
        </w:rPr>
        <w:t>Баланс и структура полезного отпуска электрической энергии за 2018-2020 годы, соответствующая утвержденному плановому балансу электрической энергии и фактическим показателям отчетного периода, представлены в таблицах.</w:t>
      </w:r>
    </w:p>
    <w:p w:rsidR="00300B7B" w:rsidRDefault="00300B7B" w:rsidP="005451F2">
      <w:pPr>
        <w:tabs>
          <w:tab w:val="left" w:pos="9356"/>
        </w:tabs>
        <w:spacing w:after="0" w:line="240" w:lineRule="auto"/>
        <w:ind w:firstLine="720"/>
        <w:jc w:val="center"/>
        <w:rPr>
          <w:rFonts w:eastAsia="Times New Roman"/>
          <w:bCs/>
          <w:sz w:val="28"/>
          <w:szCs w:val="28"/>
        </w:rPr>
      </w:pPr>
    </w:p>
    <w:p w:rsidR="001E7B45" w:rsidRPr="00BD4D98" w:rsidRDefault="001E7B45" w:rsidP="005451F2">
      <w:pPr>
        <w:tabs>
          <w:tab w:val="left" w:pos="9356"/>
        </w:tabs>
        <w:spacing w:after="0" w:line="240" w:lineRule="auto"/>
        <w:ind w:firstLine="720"/>
        <w:jc w:val="center"/>
        <w:rPr>
          <w:rFonts w:eastAsia="Times New Roman"/>
          <w:bCs/>
          <w:sz w:val="18"/>
          <w:szCs w:val="18"/>
        </w:rPr>
      </w:pPr>
      <w:r>
        <w:rPr>
          <w:rFonts w:eastAsia="Times New Roman"/>
          <w:bCs/>
          <w:sz w:val="28"/>
          <w:szCs w:val="28"/>
        </w:rPr>
        <w:t>Д</w:t>
      </w:r>
      <w:r w:rsidRPr="00BD4D98">
        <w:rPr>
          <w:rFonts w:eastAsia="Times New Roman"/>
          <w:bCs/>
          <w:sz w:val="28"/>
          <w:szCs w:val="28"/>
        </w:rPr>
        <w:t>инамика плановых и фактических показателей баланса электрической энергии  за 2018-2020 годы</w:t>
      </w:r>
    </w:p>
    <w:p w:rsidR="001E7B45" w:rsidRPr="005451F2" w:rsidRDefault="005451F2" w:rsidP="005451F2">
      <w:pPr>
        <w:tabs>
          <w:tab w:val="left" w:pos="9356"/>
        </w:tabs>
        <w:spacing w:after="0" w:line="240" w:lineRule="auto"/>
        <w:ind w:firstLine="720"/>
        <w:jc w:val="right"/>
        <w:rPr>
          <w:rFonts w:eastAsia="Times New Roman"/>
          <w:bCs/>
        </w:rPr>
      </w:pPr>
      <w:r w:rsidRPr="005451F2">
        <w:rPr>
          <w:rFonts w:eastAsia="Times New Roman"/>
          <w:bCs/>
        </w:rPr>
        <w:t>Таблица № 2.1</w:t>
      </w:r>
      <w:r w:rsidR="00301B24">
        <w:rPr>
          <w:rFonts w:eastAsia="Times New Roman"/>
          <w:bCs/>
        </w:rPr>
        <w:t>.1.</w:t>
      </w:r>
    </w:p>
    <w:tbl>
      <w:tblPr>
        <w:tblW w:w="9356" w:type="dxa"/>
        <w:tblInd w:w="250" w:type="dxa"/>
        <w:tblLook w:val="0000" w:firstRow="0" w:lastRow="0" w:firstColumn="0" w:lastColumn="0" w:noHBand="0" w:noVBand="0"/>
      </w:tblPr>
      <w:tblGrid>
        <w:gridCol w:w="2835"/>
        <w:gridCol w:w="1118"/>
        <w:gridCol w:w="1291"/>
        <w:gridCol w:w="1276"/>
        <w:gridCol w:w="1134"/>
        <w:gridCol w:w="992"/>
        <w:gridCol w:w="993"/>
      </w:tblGrid>
      <w:tr w:rsidR="001E7B45" w:rsidRPr="00BD4D98" w:rsidTr="00300B7B">
        <w:trPr>
          <w:trHeight w:val="375"/>
        </w:trPr>
        <w:tc>
          <w:tcPr>
            <w:tcW w:w="2835" w:type="dxa"/>
            <w:vMerge w:val="restart"/>
            <w:tcBorders>
              <w:top w:val="single" w:sz="8" w:space="0" w:color="auto"/>
              <w:left w:val="single" w:sz="8" w:space="0" w:color="auto"/>
              <w:right w:val="single" w:sz="8" w:space="0" w:color="auto"/>
            </w:tcBorders>
            <w:noWrap/>
            <w:vAlign w:val="bottom"/>
          </w:tcPr>
          <w:p w:rsidR="001E7B45" w:rsidRPr="00BD4D98" w:rsidRDefault="001E7B45" w:rsidP="005451F2">
            <w:pPr>
              <w:spacing w:after="0" w:line="240" w:lineRule="auto"/>
              <w:rPr>
                <w:rFonts w:eastAsia="Times New Roman"/>
                <w:sz w:val="20"/>
                <w:szCs w:val="20"/>
              </w:rPr>
            </w:pPr>
            <w:r w:rsidRPr="00BD4D98">
              <w:rPr>
                <w:rFonts w:eastAsia="Times New Roman"/>
                <w:sz w:val="20"/>
                <w:szCs w:val="20"/>
              </w:rPr>
              <w:t> </w:t>
            </w:r>
          </w:p>
          <w:p w:rsidR="001E7B45" w:rsidRPr="00BD4D98" w:rsidRDefault="001E7B45" w:rsidP="005451F2">
            <w:pPr>
              <w:spacing w:after="0" w:line="240" w:lineRule="auto"/>
              <w:jc w:val="center"/>
              <w:rPr>
                <w:rFonts w:eastAsia="Times New Roman"/>
                <w:sz w:val="20"/>
                <w:szCs w:val="20"/>
              </w:rPr>
            </w:pPr>
            <w:r w:rsidRPr="00BD4D98">
              <w:rPr>
                <w:rFonts w:eastAsia="Times New Roman"/>
                <w:sz w:val="20"/>
                <w:szCs w:val="20"/>
              </w:rPr>
              <w:t>Показатели</w:t>
            </w:r>
          </w:p>
        </w:tc>
        <w:tc>
          <w:tcPr>
            <w:tcW w:w="835" w:type="dxa"/>
            <w:vMerge w:val="restart"/>
            <w:tcBorders>
              <w:top w:val="single" w:sz="8" w:space="0" w:color="auto"/>
              <w:left w:val="nil"/>
              <w:right w:val="nil"/>
            </w:tcBorders>
            <w:noWrap/>
            <w:vAlign w:val="bottom"/>
          </w:tcPr>
          <w:p w:rsidR="001E7B45" w:rsidRPr="00BD4D98" w:rsidRDefault="001E7B45" w:rsidP="005451F2">
            <w:pPr>
              <w:spacing w:after="0" w:line="240" w:lineRule="auto"/>
              <w:rPr>
                <w:rFonts w:eastAsia="Times New Roman"/>
                <w:sz w:val="20"/>
                <w:szCs w:val="20"/>
              </w:rPr>
            </w:pPr>
            <w:r w:rsidRPr="00BD4D98">
              <w:rPr>
                <w:rFonts w:eastAsia="Times New Roman"/>
                <w:sz w:val="20"/>
                <w:szCs w:val="20"/>
              </w:rPr>
              <w:t> </w:t>
            </w:r>
          </w:p>
          <w:p w:rsidR="001E7B45" w:rsidRPr="00BD4D98" w:rsidRDefault="001E7B45" w:rsidP="005451F2">
            <w:pPr>
              <w:spacing w:after="0" w:line="240" w:lineRule="auto"/>
              <w:jc w:val="center"/>
              <w:rPr>
                <w:rFonts w:eastAsia="Times New Roman"/>
                <w:sz w:val="20"/>
                <w:szCs w:val="20"/>
              </w:rPr>
            </w:pPr>
            <w:r w:rsidRPr="00BD4D98">
              <w:rPr>
                <w:rFonts w:eastAsia="Times New Roman"/>
                <w:sz w:val="20"/>
                <w:szCs w:val="20"/>
              </w:rPr>
              <w:t>Ед. изм.</w:t>
            </w:r>
          </w:p>
        </w:tc>
        <w:tc>
          <w:tcPr>
            <w:tcW w:w="1291" w:type="dxa"/>
            <w:tcBorders>
              <w:top w:val="single" w:sz="8" w:space="0" w:color="auto"/>
              <w:left w:val="single" w:sz="8" w:space="0" w:color="auto"/>
              <w:bottom w:val="single" w:sz="4" w:space="0" w:color="auto"/>
              <w:right w:val="single" w:sz="8" w:space="0" w:color="auto"/>
            </w:tcBorders>
            <w:noWrap/>
            <w:vAlign w:val="bottom"/>
          </w:tcPr>
          <w:p w:rsidR="001E7B45" w:rsidRPr="00BD4D98" w:rsidRDefault="001E7B45" w:rsidP="005451F2">
            <w:pPr>
              <w:spacing w:after="0" w:line="240" w:lineRule="auto"/>
              <w:jc w:val="center"/>
              <w:rPr>
                <w:rFonts w:eastAsia="Times New Roman"/>
                <w:sz w:val="20"/>
                <w:szCs w:val="20"/>
              </w:rPr>
            </w:pPr>
            <w:r w:rsidRPr="00BD4D98">
              <w:rPr>
                <w:rFonts w:eastAsia="Times New Roman"/>
                <w:sz w:val="20"/>
                <w:szCs w:val="20"/>
              </w:rPr>
              <w:t>2018</w:t>
            </w:r>
          </w:p>
        </w:tc>
        <w:tc>
          <w:tcPr>
            <w:tcW w:w="1276" w:type="dxa"/>
            <w:tcBorders>
              <w:top w:val="single" w:sz="8" w:space="0" w:color="auto"/>
              <w:left w:val="nil"/>
              <w:bottom w:val="nil"/>
              <w:right w:val="single" w:sz="8" w:space="0" w:color="auto"/>
            </w:tcBorders>
            <w:noWrap/>
            <w:vAlign w:val="bottom"/>
          </w:tcPr>
          <w:p w:rsidR="001E7B45" w:rsidRPr="00BD4D98" w:rsidRDefault="001E7B45" w:rsidP="005451F2">
            <w:pPr>
              <w:spacing w:after="0" w:line="240" w:lineRule="auto"/>
              <w:jc w:val="center"/>
              <w:rPr>
                <w:rFonts w:eastAsia="Times New Roman"/>
                <w:sz w:val="20"/>
                <w:szCs w:val="20"/>
              </w:rPr>
            </w:pPr>
            <w:r w:rsidRPr="00BD4D98">
              <w:rPr>
                <w:rFonts w:eastAsia="Times New Roman"/>
                <w:sz w:val="20"/>
                <w:szCs w:val="20"/>
              </w:rPr>
              <w:t>2019</w:t>
            </w:r>
          </w:p>
        </w:tc>
        <w:tc>
          <w:tcPr>
            <w:tcW w:w="3119" w:type="dxa"/>
            <w:gridSpan w:val="3"/>
            <w:tcBorders>
              <w:top w:val="single" w:sz="8" w:space="0" w:color="auto"/>
              <w:left w:val="nil"/>
              <w:bottom w:val="nil"/>
              <w:right w:val="single" w:sz="8" w:space="0" w:color="auto"/>
            </w:tcBorders>
            <w:noWrap/>
            <w:vAlign w:val="bottom"/>
          </w:tcPr>
          <w:p w:rsidR="001E7B45" w:rsidRPr="00BD4D98" w:rsidRDefault="001E7B45" w:rsidP="005451F2">
            <w:pPr>
              <w:spacing w:after="0" w:line="240" w:lineRule="auto"/>
              <w:jc w:val="center"/>
              <w:rPr>
                <w:rFonts w:eastAsia="Times New Roman"/>
                <w:sz w:val="20"/>
                <w:szCs w:val="20"/>
              </w:rPr>
            </w:pPr>
            <w:r w:rsidRPr="00BD4D98">
              <w:rPr>
                <w:rFonts w:eastAsia="Times New Roman"/>
                <w:sz w:val="20"/>
                <w:szCs w:val="20"/>
              </w:rPr>
              <w:t>2020</w:t>
            </w:r>
          </w:p>
        </w:tc>
      </w:tr>
      <w:tr w:rsidR="001E7B45" w:rsidRPr="00BD4D98" w:rsidTr="00300B7B">
        <w:trPr>
          <w:trHeight w:val="390"/>
        </w:trPr>
        <w:tc>
          <w:tcPr>
            <w:tcW w:w="2835" w:type="dxa"/>
            <w:vMerge/>
            <w:tcBorders>
              <w:left w:val="single" w:sz="8" w:space="0" w:color="auto"/>
              <w:bottom w:val="single" w:sz="4" w:space="0" w:color="auto"/>
              <w:right w:val="single" w:sz="8" w:space="0" w:color="auto"/>
            </w:tcBorders>
            <w:noWrap/>
            <w:vAlign w:val="bottom"/>
          </w:tcPr>
          <w:p w:rsidR="001E7B45" w:rsidRPr="00BD4D98" w:rsidRDefault="001E7B45" w:rsidP="005451F2">
            <w:pPr>
              <w:spacing w:line="240" w:lineRule="auto"/>
              <w:jc w:val="center"/>
              <w:rPr>
                <w:rFonts w:eastAsia="Times New Roman"/>
                <w:sz w:val="20"/>
                <w:szCs w:val="20"/>
              </w:rPr>
            </w:pPr>
          </w:p>
        </w:tc>
        <w:tc>
          <w:tcPr>
            <w:tcW w:w="835" w:type="dxa"/>
            <w:vMerge/>
            <w:tcBorders>
              <w:left w:val="nil"/>
              <w:bottom w:val="single" w:sz="4" w:space="0" w:color="auto"/>
              <w:right w:val="nil"/>
            </w:tcBorders>
            <w:noWrap/>
            <w:vAlign w:val="bottom"/>
          </w:tcPr>
          <w:p w:rsidR="001E7B45" w:rsidRPr="00BD4D98" w:rsidRDefault="001E7B45" w:rsidP="005451F2">
            <w:pPr>
              <w:spacing w:line="240" w:lineRule="auto"/>
              <w:jc w:val="center"/>
              <w:rPr>
                <w:rFonts w:eastAsia="Times New Roman"/>
                <w:sz w:val="20"/>
                <w:szCs w:val="20"/>
              </w:rPr>
            </w:pPr>
          </w:p>
        </w:tc>
        <w:tc>
          <w:tcPr>
            <w:tcW w:w="1291" w:type="dxa"/>
            <w:tcBorders>
              <w:top w:val="single" w:sz="4" w:space="0" w:color="auto"/>
              <w:left w:val="single" w:sz="8" w:space="0" w:color="auto"/>
              <w:bottom w:val="single" w:sz="4" w:space="0" w:color="auto"/>
              <w:right w:val="single" w:sz="8" w:space="0" w:color="auto"/>
            </w:tcBorders>
            <w:noWrap/>
            <w:vAlign w:val="bottom"/>
          </w:tcPr>
          <w:p w:rsidR="001E7B45" w:rsidRPr="00BD4D98" w:rsidRDefault="001E7B45" w:rsidP="005451F2">
            <w:pPr>
              <w:spacing w:line="240" w:lineRule="auto"/>
              <w:jc w:val="center"/>
              <w:rPr>
                <w:rFonts w:eastAsia="Times New Roman"/>
                <w:sz w:val="20"/>
                <w:szCs w:val="20"/>
              </w:rPr>
            </w:pPr>
            <w:r w:rsidRPr="00BD4D98">
              <w:rPr>
                <w:rFonts w:eastAsia="Times New Roman"/>
                <w:sz w:val="20"/>
                <w:szCs w:val="20"/>
              </w:rPr>
              <w:t>Факт</w:t>
            </w:r>
          </w:p>
        </w:tc>
        <w:tc>
          <w:tcPr>
            <w:tcW w:w="1276" w:type="dxa"/>
            <w:tcBorders>
              <w:top w:val="single" w:sz="4" w:space="0" w:color="auto"/>
              <w:left w:val="nil"/>
              <w:bottom w:val="single" w:sz="4" w:space="0" w:color="auto"/>
              <w:right w:val="single" w:sz="8" w:space="0" w:color="auto"/>
            </w:tcBorders>
            <w:noWrap/>
            <w:vAlign w:val="bottom"/>
          </w:tcPr>
          <w:p w:rsidR="001E7B45" w:rsidRPr="00BD4D98" w:rsidRDefault="001E7B45" w:rsidP="005451F2">
            <w:pPr>
              <w:spacing w:line="240" w:lineRule="auto"/>
              <w:jc w:val="center"/>
              <w:rPr>
                <w:rFonts w:eastAsia="Times New Roman"/>
                <w:sz w:val="20"/>
                <w:szCs w:val="20"/>
              </w:rPr>
            </w:pPr>
            <w:r w:rsidRPr="00BD4D98">
              <w:rPr>
                <w:rFonts w:eastAsia="Times New Roman"/>
                <w:sz w:val="20"/>
                <w:szCs w:val="20"/>
              </w:rPr>
              <w:t>План</w:t>
            </w:r>
          </w:p>
        </w:tc>
        <w:tc>
          <w:tcPr>
            <w:tcW w:w="1134" w:type="dxa"/>
            <w:tcBorders>
              <w:top w:val="single" w:sz="4" w:space="0" w:color="auto"/>
              <w:left w:val="nil"/>
              <w:bottom w:val="single" w:sz="4" w:space="0" w:color="auto"/>
              <w:right w:val="single" w:sz="4" w:space="0" w:color="auto"/>
            </w:tcBorders>
            <w:noWrap/>
            <w:vAlign w:val="bottom"/>
          </w:tcPr>
          <w:p w:rsidR="001E7B45" w:rsidRPr="00BD4D98" w:rsidRDefault="001E7B45" w:rsidP="005451F2">
            <w:pPr>
              <w:spacing w:line="240" w:lineRule="auto"/>
              <w:jc w:val="center"/>
              <w:rPr>
                <w:rFonts w:eastAsia="Times New Roman"/>
                <w:sz w:val="20"/>
                <w:szCs w:val="20"/>
              </w:rPr>
            </w:pPr>
            <w:r w:rsidRPr="00BD4D98">
              <w:rPr>
                <w:rFonts w:eastAsia="Times New Roman"/>
                <w:sz w:val="20"/>
                <w:szCs w:val="20"/>
              </w:rPr>
              <w:t>План</w:t>
            </w:r>
          </w:p>
        </w:tc>
        <w:tc>
          <w:tcPr>
            <w:tcW w:w="1985" w:type="dxa"/>
            <w:gridSpan w:val="2"/>
            <w:tcBorders>
              <w:top w:val="single" w:sz="4" w:space="0" w:color="auto"/>
              <w:left w:val="nil"/>
              <w:bottom w:val="single" w:sz="4" w:space="0" w:color="auto"/>
              <w:right w:val="single" w:sz="8" w:space="0" w:color="auto"/>
            </w:tcBorders>
            <w:noWrap/>
            <w:vAlign w:val="bottom"/>
          </w:tcPr>
          <w:p w:rsidR="001E7B45" w:rsidRPr="00BD4D98" w:rsidRDefault="001E7B45" w:rsidP="005451F2">
            <w:pPr>
              <w:spacing w:line="240" w:lineRule="auto"/>
              <w:jc w:val="center"/>
              <w:rPr>
                <w:rFonts w:eastAsia="Times New Roman"/>
                <w:sz w:val="20"/>
                <w:szCs w:val="20"/>
              </w:rPr>
            </w:pPr>
            <w:r w:rsidRPr="00BD4D98">
              <w:rPr>
                <w:rFonts w:eastAsia="Times New Roman"/>
                <w:sz w:val="20"/>
                <w:szCs w:val="20"/>
              </w:rPr>
              <w:t>откл. от плана 2019</w:t>
            </w:r>
          </w:p>
        </w:tc>
      </w:tr>
      <w:tr w:rsidR="001E7B45" w:rsidRPr="00BD4D98" w:rsidTr="00300B7B">
        <w:trPr>
          <w:trHeight w:val="750"/>
        </w:trPr>
        <w:tc>
          <w:tcPr>
            <w:tcW w:w="2835" w:type="dxa"/>
            <w:tcBorders>
              <w:top w:val="single" w:sz="4" w:space="0" w:color="auto"/>
              <w:left w:val="single" w:sz="4" w:space="0" w:color="auto"/>
              <w:bottom w:val="single" w:sz="4" w:space="0" w:color="auto"/>
              <w:right w:val="single" w:sz="4" w:space="0" w:color="auto"/>
            </w:tcBorders>
            <w:vAlign w:val="bottom"/>
          </w:tcPr>
          <w:p w:rsidR="001E7B45" w:rsidRPr="00BD4D98" w:rsidRDefault="001E7B45" w:rsidP="005451F2">
            <w:pPr>
              <w:spacing w:line="240" w:lineRule="auto"/>
              <w:rPr>
                <w:rFonts w:eastAsia="Times New Roman"/>
                <w:sz w:val="20"/>
                <w:szCs w:val="20"/>
              </w:rPr>
            </w:pPr>
            <w:r w:rsidRPr="00BD4D98">
              <w:rPr>
                <w:rFonts w:eastAsia="Times New Roman"/>
                <w:sz w:val="20"/>
                <w:szCs w:val="20"/>
              </w:rPr>
              <w:t>Электропотребление Новосибирской области, в целом</w:t>
            </w:r>
          </w:p>
        </w:tc>
        <w:tc>
          <w:tcPr>
            <w:tcW w:w="835" w:type="dxa"/>
            <w:tcBorders>
              <w:top w:val="single" w:sz="4" w:space="0" w:color="auto"/>
              <w:left w:val="single" w:sz="4" w:space="0" w:color="auto"/>
              <w:bottom w:val="single" w:sz="4" w:space="0" w:color="auto"/>
              <w:right w:val="single" w:sz="4" w:space="0" w:color="auto"/>
            </w:tcBorders>
            <w:noWrap/>
            <w:vAlign w:val="bottom"/>
          </w:tcPr>
          <w:p w:rsidR="001E7B45" w:rsidRPr="00BD4D98" w:rsidRDefault="001E7B45" w:rsidP="005451F2">
            <w:pPr>
              <w:spacing w:line="240" w:lineRule="auto"/>
              <w:jc w:val="center"/>
              <w:rPr>
                <w:rFonts w:eastAsia="Times New Roman"/>
                <w:sz w:val="20"/>
                <w:szCs w:val="20"/>
              </w:rPr>
            </w:pPr>
            <w:r w:rsidRPr="00BD4D98">
              <w:rPr>
                <w:rFonts w:eastAsia="Times New Roman"/>
                <w:sz w:val="20"/>
                <w:szCs w:val="20"/>
              </w:rPr>
              <w:t>млн.кВт.ч.</w:t>
            </w:r>
          </w:p>
        </w:tc>
        <w:tc>
          <w:tcPr>
            <w:tcW w:w="1291" w:type="dxa"/>
            <w:tcBorders>
              <w:top w:val="single" w:sz="4" w:space="0" w:color="auto"/>
              <w:left w:val="single" w:sz="4" w:space="0" w:color="auto"/>
              <w:bottom w:val="single" w:sz="4" w:space="0" w:color="auto"/>
              <w:right w:val="single" w:sz="4" w:space="0" w:color="auto"/>
            </w:tcBorders>
            <w:noWrap/>
            <w:vAlign w:val="center"/>
          </w:tcPr>
          <w:p w:rsidR="001E7B45" w:rsidRPr="00BD4D98" w:rsidRDefault="001E7B45" w:rsidP="005451F2">
            <w:pPr>
              <w:spacing w:line="240" w:lineRule="auto"/>
              <w:jc w:val="right"/>
              <w:rPr>
                <w:color w:val="000000"/>
                <w:sz w:val="20"/>
                <w:szCs w:val="20"/>
              </w:rPr>
            </w:pPr>
            <w:r w:rsidRPr="00BD4D98">
              <w:rPr>
                <w:color w:val="000000"/>
                <w:sz w:val="20"/>
                <w:szCs w:val="20"/>
              </w:rPr>
              <w:t>16587,81</w:t>
            </w:r>
          </w:p>
        </w:tc>
        <w:tc>
          <w:tcPr>
            <w:tcW w:w="1276" w:type="dxa"/>
            <w:tcBorders>
              <w:top w:val="single" w:sz="4" w:space="0" w:color="auto"/>
              <w:left w:val="single" w:sz="4" w:space="0" w:color="auto"/>
              <w:bottom w:val="single" w:sz="4" w:space="0" w:color="auto"/>
              <w:right w:val="single" w:sz="4" w:space="0" w:color="auto"/>
            </w:tcBorders>
            <w:noWrap/>
            <w:vAlign w:val="center"/>
          </w:tcPr>
          <w:p w:rsidR="001E7B45" w:rsidRPr="00BD4D98" w:rsidRDefault="001E7B45" w:rsidP="005451F2">
            <w:pPr>
              <w:spacing w:line="240" w:lineRule="auto"/>
              <w:jc w:val="right"/>
              <w:rPr>
                <w:color w:val="000000"/>
                <w:sz w:val="20"/>
                <w:szCs w:val="20"/>
              </w:rPr>
            </w:pPr>
            <w:r w:rsidRPr="00BD4D98">
              <w:rPr>
                <w:color w:val="000000"/>
                <w:sz w:val="20"/>
                <w:szCs w:val="20"/>
              </w:rPr>
              <w:t>16377,73</w:t>
            </w:r>
          </w:p>
        </w:tc>
        <w:tc>
          <w:tcPr>
            <w:tcW w:w="1134" w:type="dxa"/>
            <w:tcBorders>
              <w:top w:val="single" w:sz="4" w:space="0" w:color="auto"/>
              <w:left w:val="single" w:sz="4" w:space="0" w:color="auto"/>
              <w:bottom w:val="single" w:sz="4" w:space="0" w:color="auto"/>
              <w:right w:val="single" w:sz="4" w:space="0" w:color="auto"/>
            </w:tcBorders>
            <w:noWrap/>
            <w:vAlign w:val="center"/>
          </w:tcPr>
          <w:p w:rsidR="001E7B45" w:rsidRPr="00BD4D98" w:rsidRDefault="001E7B45" w:rsidP="005451F2">
            <w:pPr>
              <w:spacing w:line="240" w:lineRule="auto"/>
              <w:jc w:val="right"/>
              <w:rPr>
                <w:color w:val="000000"/>
                <w:sz w:val="20"/>
                <w:szCs w:val="20"/>
              </w:rPr>
            </w:pPr>
            <w:r w:rsidRPr="00BD4D98">
              <w:rPr>
                <w:color w:val="000000"/>
                <w:sz w:val="20"/>
                <w:szCs w:val="20"/>
              </w:rPr>
              <w:t>16369,08</w:t>
            </w:r>
          </w:p>
        </w:tc>
        <w:tc>
          <w:tcPr>
            <w:tcW w:w="992" w:type="dxa"/>
            <w:tcBorders>
              <w:top w:val="single" w:sz="4" w:space="0" w:color="auto"/>
              <w:left w:val="single" w:sz="4" w:space="0" w:color="auto"/>
              <w:bottom w:val="single" w:sz="4" w:space="0" w:color="auto"/>
              <w:right w:val="single" w:sz="4" w:space="0" w:color="auto"/>
            </w:tcBorders>
            <w:noWrap/>
            <w:vAlign w:val="center"/>
          </w:tcPr>
          <w:p w:rsidR="001E7B45" w:rsidRPr="00BD4D98" w:rsidRDefault="001E7B45" w:rsidP="005451F2">
            <w:pPr>
              <w:spacing w:line="240" w:lineRule="auto"/>
              <w:jc w:val="right"/>
              <w:rPr>
                <w:rFonts w:ascii="Tahoma" w:hAnsi="Tahoma" w:cs="Tahoma"/>
                <w:sz w:val="20"/>
                <w:szCs w:val="20"/>
              </w:rPr>
            </w:pPr>
            <w:r w:rsidRPr="00BD4D98">
              <w:rPr>
                <w:rFonts w:ascii="Tahoma" w:hAnsi="Tahoma" w:cs="Tahoma"/>
                <w:sz w:val="20"/>
                <w:szCs w:val="20"/>
              </w:rPr>
              <w:t>-8,65</w:t>
            </w:r>
          </w:p>
        </w:tc>
        <w:tc>
          <w:tcPr>
            <w:tcW w:w="993" w:type="dxa"/>
            <w:tcBorders>
              <w:top w:val="single" w:sz="4" w:space="0" w:color="auto"/>
              <w:left w:val="single" w:sz="4" w:space="0" w:color="auto"/>
              <w:bottom w:val="single" w:sz="4" w:space="0" w:color="auto"/>
              <w:right w:val="single" w:sz="4" w:space="0" w:color="auto"/>
            </w:tcBorders>
            <w:noWrap/>
            <w:vAlign w:val="center"/>
          </w:tcPr>
          <w:p w:rsidR="001E7B45" w:rsidRPr="00BD4D98" w:rsidRDefault="001E7B45" w:rsidP="005451F2">
            <w:pPr>
              <w:spacing w:line="240" w:lineRule="auto"/>
              <w:jc w:val="right"/>
              <w:rPr>
                <w:rFonts w:ascii="Tahoma" w:hAnsi="Tahoma" w:cs="Tahoma"/>
                <w:sz w:val="20"/>
                <w:szCs w:val="20"/>
              </w:rPr>
            </w:pPr>
            <w:r w:rsidRPr="00BD4D98">
              <w:rPr>
                <w:rFonts w:ascii="Tahoma" w:hAnsi="Tahoma" w:cs="Tahoma"/>
                <w:sz w:val="20"/>
                <w:szCs w:val="20"/>
              </w:rPr>
              <w:t>-0,05%</w:t>
            </w:r>
          </w:p>
        </w:tc>
      </w:tr>
      <w:tr w:rsidR="001E7B45" w:rsidRPr="00BD4D98" w:rsidTr="00300B7B">
        <w:trPr>
          <w:trHeight w:val="243"/>
        </w:trPr>
        <w:tc>
          <w:tcPr>
            <w:tcW w:w="2835" w:type="dxa"/>
            <w:tcBorders>
              <w:top w:val="single" w:sz="4" w:space="0" w:color="auto"/>
              <w:left w:val="single" w:sz="4" w:space="0" w:color="auto"/>
              <w:bottom w:val="single" w:sz="4" w:space="0" w:color="auto"/>
              <w:right w:val="single" w:sz="4" w:space="0" w:color="auto"/>
            </w:tcBorders>
            <w:noWrap/>
            <w:vAlign w:val="bottom"/>
          </w:tcPr>
          <w:p w:rsidR="001E7B45" w:rsidRPr="00BD4D98" w:rsidRDefault="001E7B45" w:rsidP="005451F2">
            <w:pPr>
              <w:spacing w:line="240" w:lineRule="auto"/>
              <w:rPr>
                <w:rFonts w:eastAsia="Times New Roman"/>
                <w:sz w:val="20"/>
                <w:szCs w:val="20"/>
              </w:rPr>
            </w:pPr>
            <w:r w:rsidRPr="00BD4D98">
              <w:rPr>
                <w:rFonts w:eastAsia="Times New Roman"/>
                <w:sz w:val="20"/>
                <w:szCs w:val="20"/>
              </w:rPr>
              <w:t>Потери в сетях ФСК</w:t>
            </w:r>
          </w:p>
        </w:tc>
        <w:tc>
          <w:tcPr>
            <w:tcW w:w="835" w:type="dxa"/>
            <w:tcBorders>
              <w:top w:val="single" w:sz="4" w:space="0" w:color="auto"/>
              <w:left w:val="single" w:sz="4" w:space="0" w:color="auto"/>
              <w:bottom w:val="single" w:sz="4" w:space="0" w:color="auto"/>
              <w:right w:val="single" w:sz="4" w:space="0" w:color="auto"/>
            </w:tcBorders>
            <w:noWrap/>
            <w:vAlign w:val="bottom"/>
          </w:tcPr>
          <w:p w:rsidR="001E7B45" w:rsidRPr="00BD4D98" w:rsidRDefault="001E7B45" w:rsidP="005451F2">
            <w:pPr>
              <w:spacing w:line="240" w:lineRule="auto"/>
              <w:jc w:val="center"/>
              <w:rPr>
                <w:rFonts w:eastAsia="Times New Roman"/>
                <w:sz w:val="20"/>
                <w:szCs w:val="20"/>
              </w:rPr>
            </w:pPr>
            <w:r w:rsidRPr="00BD4D98">
              <w:rPr>
                <w:rFonts w:eastAsia="Times New Roman"/>
                <w:sz w:val="20"/>
                <w:szCs w:val="20"/>
              </w:rPr>
              <w:t>млн.кВт.ч.</w:t>
            </w:r>
          </w:p>
        </w:tc>
        <w:tc>
          <w:tcPr>
            <w:tcW w:w="1291" w:type="dxa"/>
            <w:tcBorders>
              <w:top w:val="single" w:sz="4" w:space="0" w:color="auto"/>
              <w:left w:val="single" w:sz="4" w:space="0" w:color="auto"/>
              <w:bottom w:val="single" w:sz="4" w:space="0" w:color="auto"/>
              <w:right w:val="single" w:sz="4" w:space="0" w:color="auto"/>
            </w:tcBorders>
            <w:noWrap/>
            <w:vAlign w:val="center"/>
          </w:tcPr>
          <w:p w:rsidR="001E7B45" w:rsidRPr="00BD4D98" w:rsidRDefault="001E7B45" w:rsidP="005451F2">
            <w:pPr>
              <w:spacing w:line="240" w:lineRule="auto"/>
              <w:jc w:val="right"/>
              <w:rPr>
                <w:color w:val="000000"/>
                <w:sz w:val="20"/>
                <w:szCs w:val="20"/>
              </w:rPr>
            </w:pPr>
            <w:r w:rsidRPr="00BD4D98">
              <w:rPr>
                <w:color w:val="000000"/>
                <w:sz w:val="20"/>
                <w:szCs w:val="20"/>
              </w:rPr>
              <w:t>103,13</w:t>
            </w:r>
          </w:p>
        </w:tc>
        <w:tc>
          <w:tcPr>
            <w:tcW w:w="1276" w:type="dxa"/>
            <w:tcBorders>
              <w:top w:val="single" w:sz="4" w:space="0" w:color="auto"/>
              <w:left w:val="single" w:sz="4" w:space="0" w:color="auto"/>
              <w:bottom w:val="single" w:sz="4" w:space="0" w:color="auto"/>
              <w:right w:val="single" w:sz="4" w:space="0" w:color="auto"/>
            </w:tcBorders>
            <w:noWrap/>
            <w:vAlign w:val="center"/>
          </w:tcPr>
          <w:p w:rsidR="001E7B45" w:rsidRPr="00BD4D98" w:rsidRDefault="001E7B45" w:rsidP="005451F2">
            <w:pPr>
              <w:spacing w:line="240" w:lineRule="auto"/>
              <w:jc w:val="right"/>
              <w:rPr>
                <w:color w:val="000000"/>
                <w:sz w:val="20"/>
                <w:szCs w:val="20"/>
              </w:rPr>
            </w:pPr>
            <w:r w:rsidRPr="00BD4D98">
              <w:rPr>
                <w:color w:val="000000"/>
                <w:sz w:val="20"/>
                <w:szCs w:val="20"/>
              </w:rPr>
              <w:t>244,95</w:t>
            </w:r>
          </w:p>
        </w:tc>
        <w:tc>
          <w:tcPr>
            <w:tcW w:w="1134" w:type="dxa"/>
            <w:tcBorders>
              <w:top w:val="single" w:sz="4" w:space="0" w:color="auto"/>
              <w:left w:val="single" w:sz="4" w:space="0" w:color="auto"/>
              <w:bottom w:val="single" w:sz="4" w:space="0" w:color="auto"/>
              <w:right w:val="single" w:sz="4" w:space="0" w:color="auto"/>
            </w:tcBorders>
            <w:noWrap/>
            <w:vAlign w:val="center"/>
          </w:tcPr>
          <w:p w:rsidR="001E7B45" w:rsidRPr="00BD4D98" w:rsidRDefault="001E7B45" w:rsidP="005451F2">
            <w:pPr>
              <w:spacing w:line="240" w:lineRule="auto"/>
              <w:jc w:val="right"/>
              <w:rPr>
                <w:color w:val="000000"/>
                <w:sz w:val="20"/>
                <w:szCs w:val="20"/>
              </w:rPr>
            </w:pPr>
            <w:r w:rsidRPr="00BD4D98">
              <w:rPr>
                <w:color w:val="000000"/>
                <w:sz w:val="20"/>
                <w:szCs w:val="20"/>
              </w:rPr>
              <w:t>289</w:t>
            </w:r>
          </w:p>
        </w:tc>
        <w:tc>
          <w:tcPr>
            <w:tcW w:w="992" w:type="dxa"/>
            <w:tcBorders>
              <w:top w:val="single" w:sz="4" w:space="0" w:color="auto"/>
              <w:left w:val="single" w:sz="4" w:space="0" w:color="auto"/>
              <w:bottom w:val="single" w:sz="4" w:space="0" w:color="auto"/>
              <w:right w:val="single" w:sz="4" w:space="0" w:color="auto"/>
            </w:tcBorders>
            <w:noWrap/>
            <w:vAlign w:val="center"/>
          </w:tcPr>
          <w:p w:rsidR="001E7B45" w:rsidRPr="00BD4D98" w:rsidRDefault="001E7B45" w:rsidP="005451F2">
            <w:pPr>
              <w:spacing w:line="240" w:lineRule="auto"/>
              <w:jc w:val="right"/>
              <w:rPr>
                <w:rFonts w:ascii="Tahoma" w:hAnsi="Tahoma" w:cs="Tahoma"/>
                <w:sz w:val="20"/>
                <w:szCs w:val="20"/>
              </w:rPr>
            </w:pPr>
            <w:r w:rsidRPr="00BD4D98">
              <w:rPr>
                <w:rFonts w:ascii="Tahoma" w:hAnsi="Tahoma" w:cs="Tahoma"/>
                <w:sz w:val="20"/>
                <w:szCs w:val="20"/>
              </w:rPr>
              <w:t>44,05</w:t>
            </w:r>
          </w:p>
        </w:tc>
        <w:tc>
          <w:tcPr>
            <w:tcW w:w="993" w:type="dxa"/>
            <w:tcBorders>
              <w:top w:val="single" w:sz="4" w:space="0" w:color="auto"/>
              <w:left w:val="single" w:sz="4" w:space="0" w:color="auto"/>
              <w:bottom w:val="single" w:sz="4" w:space="0" w:color="auto"/>
              <w:right w:val="single" w:sz="4" w:space="0" w:color="auto"/>
            </w:tcBorders>
            <w:noWrap/>
            <w:vAlign w:val="center"/>
          </w:tcPr>
          <w:p w:rsidR="001E7B45" w:rsidRPr="00BD4D98" w:rsidRDefault="001E7B45" w:rsidP="005451F2">
            <w:pPr>
              <w:spacing w:line="240" w:lineRule="auto"/>
              <w:jc w:val="right"/>
              <w:rPr>
                <w:rFonts w:ascii="Tahoma" w:hAnsi="Tahoma" w:cs="Tahoma"/>
                <w:sz w:val="20"/>
                <w:szCs w:val="20"/>
              </w:rPr>
            </w:pPr>
            <w:r w:rsidRPr="00BD4D98">
              <w:rPr>
                <w:rFonts w:ascii="Tahoma" w:hAnsi="Tahoma" w:cs="Tahoma"/>
                <w:sz w:val="20"/>
                <w:szCs w:val="20"/>
              </w:rPr>
              <w:t>17,98%</w:t>
            </w:r>
          </w:p>
        </w:tc>
      </w:tr>
      <w:tr w:rsidR="001E7B45" w:rsidRPr="00BD4D98" w:rsidTr="00300B7B">
        <w:trPr>
          <w:trHeight w:val="720"/>
        </w:trPr>
        <w:tc>
          <w:tcPr>
            <w:tcW w:w="2835" w:type="dxa"/>
            <w:tcBorders>
              <w:top w:val="single" w:sz="4" w:space="0" w:color="auto"/>
              <w:left w:val="single" w:sz="4" w:space="0" w:color="auto"/>
              <w:bottom w:val="single" w:sz="4" w:space="0" w:color="auto"/>
              <w:right w:val="single" w:sz="4" w:space="0" w:color="auto"/>
            </w:tcBorders>
            <w:vAlign w:val="bottom"/>
          </w:tcPr>
          <w:p w:rsidR="001E7B45" w:rsidRPr="00BD4D98" w:rsidRDefault="001E7B45" w:rsidP="005451F2">
            <w:pPr>
              <w:spacing w:line="240" w:lineRule="auto"/>
              <w:rPr>
                <w:rFonts w:eastAsia="Times New Roman"/>
                <w:sz w:val="20"/>
                <w:szCs w:val="20"/>
              </w:rPr>
            </w:pPr>
            <w:r w:rsidRPr="00BD4D98">
              <w:rPr>
                <w:rFonts w:eastAsia="Times New Roman"/>
                <w:sz w:val="20"/>
                <w:szCs w:val="20"/>
              </w:rPr>
              <w:t>Собственные и производственные нужды НГЭС</w:t>
            </w:r>
          </w:p>
        </w:tc>
        <w:tc>
          <w:tcPr>
            <w:tcW w:w="835" w:type="dxa"/>
            <w:tcBorders>
              <w:top w:val="single" w:sz="4" w:space="0" w:color="auto"/>
              <w:left w:val="single" w:sz="4" w:space="0" w:color="auto"/>
              <w:bottom w:val="single" w:sz="4" w:space="0" w:color="auto"/>
              <w:right w:val="single" w:sz="4" w:space="0" w:color="auto"/>
            </w:tcBorders>
            <w:noWrap/>
            <w:vAlign w:val="bottom"/>
          </w:tcPr>
          <w:p w:rsidR="001E7B45" w:rsidRPr="00BD4D98" w:rsidRDefault="001E7B45" w:rsidP="005451F2">
            <w:pPr>
              <w:spacing w:line="240" w:lineRule="auto"/>
              <w:jc w:val="center"/>
              <w:rPr>
                <w:rFonts w:eastAsia="Times New Roman"/>
                <w:sz w:val="20"/>
                <w:szCs w:val="20"/>
              </w:rPr>
            </w:pPr>
            <w:r w:rsidRPr="00BD4D98">
              <w:rPr>
                <w:rFonts w:eastAsia="Times New Roman"/>
                <w:sz w:val="20"/>
                <w:szCs w:val="20"/>
              </w:rPr>
              <w:t>млн.кВт.ч.</w:t>
            </w:r>
          </w:p>
        </w:tc>
        <w:tc>
          <w:tcPr>
            <w:tcW w:w="1291" w:type="dxa"/>
            <w:tcBorders>
              <w:top w:val="single" w:sz="4" w:space="0" w:color="auto"/>
              <w:left w:val="single" w:sz="4" w:space="0" w:color="auto"/>
              <w:bottom w:val="single" w:sz="4" w:space="0" w:color="auto"/>
              <w:right w:val="single" w:sz="4" w:space="0" w:color="auto"/>
            </w:tcBorders>
            <w:noWrap/>
            <w:vAlign w:val="center"/>
          </w:tcPr>
          <w:p w:rsidR="001E7B45" w:rsidRPr="00BD4D98" w:rsidRDefault="001E7B45" w:rsidP="005451F2">
            <w:pPr>
              <w:spacing w:line="240" w:lineRule="auto"/>
              <w:jc w:val="right"/>
              <w:rPr>
                <w:iCs/>
                <w:color w:val="000000"/>
                <w:sz w:val="20"/>
                <w:szCs w:val="20"/>
              </w:rPr>
            </w:pPr>
            <w:r w:rsidRPr="00BD4D98">
              <w:rPr>
                <w:iCs/>
                <w:color w:val="000000"/>
                <w:sz w:val="20"/>
                <w:szCs w:val="20"/>
              </w:rPr>
              <w:t>18,61</w:t>
            </w:r>
          </w:p>
        </w:tc>
        <w:tc>
          <w:tcPr>
            <w:tcW w:w="1276" w:type="dxa"/>
            <w:tcBorders>
              <w:top w:val="single" w:sz="4" w:space="0" w:color="auto"/>
              <w:left w:val="single" w:sz="4" w:space="0" w:color="auto"/>
              <w:bottom w:val="single" w:sz="4" w:space="0" w:color="auto"/>
              <w:right w:val="single" w:sz="4" w:space="0" w:color="auto"/>
            </w:tcBorders>
            <w:noWrap/>
            <w:vAlign w:val="center"/>
          </w:tcPr>
          <w:p w:rsidR="001E7B45" w:rsidRPr="00BD4D98" w:rsidRDefault="001E7B45" w:rsidP="005451F2">
            <w:pPr>
              <w:spacing w:line="240" w:lineRule="auto"/>
              <w:jc w:val="right"/>
              <w:rPr>
                <w:color w:val="000000"/>
                <w:sz w:val="20"/>
                <w:szCs w:val="20"/>
              </w:rPr>
            </w:pPr>
            <w:r w:rsidRPr="00BD4D98">
              <w:rPr>
                <w:color w:val="000000"/>
                <w:sz w:val="20"/>
                <w:szCs w:val="20"/>
              </w:rPr>
              <w:t>43,26</w:t>
            </w:r>
          </w:p>
        </w:tc>
        <w:tc>
          <w:tcPr>
            <w:tcW w:w="1134" w:type="dxa"/>
            <w:tcBorders>
              <w:top w:val="single" w:sz="4" w:space="0" w:color="auto"/>
              <w:left w:val="single" w:sz="4" w:space="0" w:color="auto"/>
              <w:bottom w:val="single" w:sz="4" w:space="0" w:color="auto"/>
              <w:right w:val="single" w:sz="4" w:space="0" w:color="auto"/>
            </w:tcBorders>
            <w:noWrap/>
            <w:vAlign w:val="center"/>
          </w:tcPr>
          <w:p w:rsidR="001E7B45" w:rsidRPr="00BD4D98" w:rsidRDefault="001E7B45" w:rsidP="005451F2">
            <w:pPr>
              <w:spacing w:line="240" w:lineRule="auto"/>
              <w:jc w:val="right"/>
              <w:rPr>
                <w:color w:val="000000"/>
                <w:sz w:val="20"/>
                <w:szCs w:val="20"/>
              </w:rPr>
            </w:pPr>
            <w:r w:rsidRPr="00BD4D98">
              <w:rPr>
                <w:color w:val="000000"/>
                <w:sz w:val="20"/>
                <w:szCs w:val="20"/>
              </w:rPr>
              <w:t>27,03</w:t>
            </w:r>
          </w:p>
        </w:tc>
        <w:tc>
          <w:tcPr>
            <w:tcW w:w="992" w:type="dxa"/>
            <w:tcBorders>
              <w:top w:val="single" w:sz="4" w:space="0" w:color="auto"/>
              <w:left w:val="single" w:sz="4" w:space="0" w:color="auto"/>
              <w:bottom w:val="single" w:sz="4" w:space="0" w:color="auto"/>
              <w:right w:val="single" w:sz="4" w:space="0" w:color="auto"/>
            </w:tcBorders>
            <w:noWrap/>
            <w:vAlign w:val="center"/>
          </w:tcPr>
          <w:p w:rsidR="001E7B45" w:rsidRPr="00BD4D98" w:rsidRDefault="001E7B45" w:rsidP="005451F2">
            <w:pPr>
              <w:spacing w:line="240" w:lineRule="auto"/>
              <w:jc w:val="right"/>
              <w:rPr>
                <w:rFonts w:ascii="Tahoma" w:hAnsi="Tahoma" w:cs="Tahoma"/>
                <w:sz w:val="20"/>
                <w:szCs w:val="20"/>
              </w:rPr>
            </w:pPr>
            <w:r w:rsidRPr="00BD4D98">
              <w:rPr>
                <w:rFonts w:ascii="Tahoma" w:hAnsi="Tahoma" w:cs="Tahoma"/>
                <w:sz w:val="20"/>
                <w:szCs w:val="20"/>
              </w:rPr>
              <w:t>-16,23</w:t>
            </w:r>
          </w:p>
        </w:tc>
        <w:tc>
          <w:tcPr>
            <w:tcW w:w="993" w:type="dxa"/>
            <w:tcBorders>
              <w:top w:val="single" w:sz="4" w:space="0" w:color="auto"/>
              <w:left w:val="single" w:sz="4" w:space="0" w:color="auto"/>
              <w:bottom w:val="single" w:sz="4" w:space="0" w:color="auto"/>
              <w:right w:val="single" w:sz="4" w:space="0" w:color="auto"/>
            </w:tcBorders>
            <w:noWrap/>
            <w:vAlign w:val="center"/>
          </w:tcPr>
          <w:p w:rsidR="001E7B45" w:rsidRPr="00BD4D98" w:rsidRDefault="001E7B45" w:rsidP="005451F2">
            <w:pPr>
              <w:spacing w:line="240" w:lineRule="auto"/>
              <w:jc w:val="right"/>
              <w:rPr>
                <w:rFonts w:ascii="Tahoma" w:hAnsi="Tahoma" w:cs="Tahoma"/>
                <w:sz w:val="20"/>
                <w:szCs w:val="20"/>
              </w:rPr>
            </w:pPr>
            <w:r w:rsidRPr="00BD4D98">
              <w:rPr>
                <w:rFonts w:ascii="Tahoma" w:hAnsi="Tahoma" w:cs="Tahoma"/>
                <w:sz w:val="20"/>
                <w:szCs w:val="20"/>
              </w:rPr>
              <w:t>-37,52%</w:t>
            </w:r>
          </w:p>
        </w:tc>
      </w:tr>
      <w:tr w:rsidR="001E7B45" w:rsidRPr="00BD4D98" w:rsidTr="00300B7B">
        <w:trPr>
          <w:trHeight w:val="795"/>
        </w:trPr>
        <w:tc>
          <w:tcPr>
            <w:tcW w:w="2835" w:type="dxa"/>
            <w:tcBorders>
              <w:top w:val="single" w:sz="4" w:space="0" w:color="auto"/>
              <w:left w:val="single" w:sz="4" w:space="0" w:color="auto"/>
              <w:bottom w:val="single" w:sz="4" w:space="0" w:color="auto"/>
              <w:right w:val="single" w:sz="4" w:space="0" w:color="auto"/>
            </w:tcBorders>
            <w:vAlign w:val="bottom"/>
          </w:tcPr>
          <w:p w:rsidR="001E7B45" w:rsidRPr="00BD4D98" w:rsidRDefault="001E7B45" w:rsidP="005451F2">
            <w:pPr>
              <w:spacing w:line="240" w:lineRule="auto"/>
              <w:rPr>
                <w:rFonts w:eastAsia="Times New Roman"/>
                <w:sz w:val="20"/>
                <w:szCs w:val="20"/>
              </w:rPr>
            </w:pPr>
            <w:r w:rsidRPr="00BD4D98">
              <w:rPr>
                <w:rFonts w:eastAsia="Times New Roman"/>
                <w:sz w:val="20"/>
                <w:szCs w:val="20"/>
              </w:rPr>
              <w:t>Собственные нужды, производственные нужды, хозяйственные нужды и потери АО «СИБЭКО»</w:t>
            </w:r>
          </w:p>
        </w:tc>
        <w:tc>
          <w:tcPr>
            <w:tcW w:w="835" w:type="dxa"/>
            <w:tcBorders>
              <w:top w:val="single" w:sz="4" w:space="0" w:color="auto"/>
              <w:left w:val="single" w:sz="4" w:space="0" w:color="auto"/>
              <w:bottom w:val="single" w:sz="4" w:space="0" w:color="auto"/>
              <w:right w:val="single" w:sz="4" w:space="0" w:color="auto"/>
            </w:tcBorders>
            <w:noWrap/>
            <w:vAlign w:val="bottom"/>
          </w:tcPr>
          <w:p w:rsidR="001E7B45" w:rsidRPr="00BD4D98" w:rsidRDefault="001E7B45" w:rsidP="005451F2">
            <w:pPr>
              <w:spacing w:line="240" w:lineRule="auto"/>
              <w:jc w:val="center"/>
              <w:rPr>
                <w:rFonts w:eastAsia="Times New Roman"/>
                <w:sz w:val="20"/>
                <w:szCs w:val="20"/>
              </w:rPr>
            </w:pPr>
            <w:r w:rsidRPr="00BD4D98">
              <w:rPr>
                <w:rFonts w:eastAsia="Times New Roman"/>
                <w:sz w:val="20"/>
                <w:szCs w:val="20"/>
              </w:rPr>
              <w:t>млн.кВт.ч.</w:t>
            </w:r>
          </w:p>
        </w:tc>
        <w:tc>
          <w:tcPr>
            <w:tcW w:w="1291" w:type="dxa"/>
            <w:tcBorders>
              <w:top w:val="single" w:sz="4" w:space="0" w:color="auto"/>
              <w:left w:val="single" w:sz="4" w:space="0" w:color="auto"/>
              <w:bottom w:val="single" w:sz="4" w:space="0" w:color="auto"/>
              <w:right w:val="single" w:sz="4" w:space="0" w:color="auto"/>
            </w:tcBorders>
            <w:noWrap/>
            <w:vAlign w:val="center"/>
          </w:tcPr>
          <w:p w:rsidR="001E7B45" w:rsidRPr="00BD4D98" w:rsidRDefault="001E7B45" w:rsidP="005451F2">
            <w:pPr>
              <w:spacing w:line="240" w:lineRule="auto"/>
              <w:jc w:val="right"/>
              <w:rPr>
                <w:iCs/>
                <w:color w:val="000000"/>
                <w:sz w:val="20"/>
                <w:szCs w:val="20"/>
              </w:rPr>
            </w:pPr>
            <w:r w:rsidRPr="00BD4D98">
              <w:rPr>
                <w:iCs/>
                <w:color w:val="000000"/>
                <w:sz w:val="20"/>
                <w:szCs w:val="20"/>
              </w:rPr>
              <w:t>1482,56</w:t>
            </w:r>
          </w:p>
        </w:tc>
        <w:tc>
          <w:tcPr>
            <w:tcW w:w="1276" w:type="dxa"/>
            <w:tcBorders>
              <w:top w:val="single" w:sz="4" w:space="0" w:color="auto"/>
              <w:left w:val="single" w:sz="4" w:space="0" w:color="auto"/>
              <w:bottom w:val="single" w:sz="4" w:space="0" w:color="auto"/>
              <w:right w:val="single" w:sz="4" w:space="0" w:color="auto"/>
            </w:tcBorders>
            <w:noWrap/>
            <w:vAlign w:val="center"/>
          </w:tcPr>
          <w:p w:rsidR="001E7B45" w:rsidRPr="00BD4D98" w:rsidRDefault="001E7B45" w:rsidP="005451F2">
            <w:pPr>
              <w:spacing w:line="240" w:lineRule="auto"/>
              <w:jc w:val="right"/>
              <w:rPr>
                <w:color w:val="000000"/>
                <w:sz w:val="20"/>
                <w:szCs w:val="20"/>
              </w:rPr>
            </w:pPr>
            <w:r w:rsidRPr="00BD4D98">
              <w:rPr>
                <w:color w:val="000000"/>
                <w:sz w:val="20"/>
                <w:szCs w:val="20"/>
              </w:rPr>
              <w:t>1405,02</w:t>
            </w:r>
          </w:p>
        </w:tc>
        <w:tc>
          <w:tcPr>
            <w:tcW w:w="1134" w:type="dxa"/>
            <w:tcBorders>
              <w:top w:val="single" w:sz="4" w:space="0" w:color="auto"/>
              <w:left w:val="single" w:sz="4" w:space="0" w:color="auto"/>
              <w:bottom w:val="single" w:sz="4" w:space="0" w:color="auto"/>
              <w:right w:val="single" w:sz="4" w:space="0" w:color="auto"/>
            </w:tcBorders>
            <w:noWrap/>
            <w:vAlign w:val="center"/>
          </w:tcPr>
          <w:p w:rsidR="001E7B45" w:rsidRPr="00BD4D98" w:rsidRDefault="001E7B45" w:rsidP="005451F2">
            <w:pPr>
              <w:spacing w:line="240" w:lineRule="auto"/>
              <w:jc w:val="right"/>
              <w:rPr>
                <w:color w:val="000000"/>
                <w:sz w:val="20"/>
                <w:szCs w:val="20"/>
              </w:rPr>
            </w:pPr>
            <w:r w:rsidRPr="00BD4D98">
              <w:rPr>
                <w:color w:val="000000"/>
                <w:sz w:val="20"/>
                <w:szCs w:val="20"/>
              </w:rPr>
              <w:t>1591,24</w:t>
            </w:r>
          </w:p>
        </w:tc>
        <w:tc>
          <w:tcPr>
            <w:tcW w:w="992" w:type="dxa"/>
            <w:tcBorders>
              <w:top w:val="single" w:sz="4" w:space="0" w:color="auto"/>
              <w:left w:val="single" w:sz="4" w:space="0" w:color="auto"/>
              <w:bottom w:val="single" w:sz="4" w:space="0" w:color="auto"/>
              <w:right w:val="single" w:sz="4" w:space="0" w:color="auto"/>
            </w:tcBorders>
            <w:noWrap/>
            <w:vAlign w:val="center"/>
          </w:tcPr>
          <w:p w:rsidR="001E7B45" w:rsidRPr="00BD4D98" w:rsidRDefault="001E7B45" w:rsidP="005451F2">
            <w:pPr>
              <w:spacing w:line="240" w:lineRule="auto"/>
              <w:jc w:val="right"/>
              <w:rPr>
                <w:rFonts w:ascii="Tahoma" w:hAnsi="Tahoma" w:cs="Tahoma"/>
                <w:sz w:val="20"/>
                <w:szCs w:val="20"/>
              </w:rPr>
            </w:pPr>
            <w:r w:rsidRPr="00BD4D98">
              <w:rPr>
                <w:rFonts w:ascii="Tahoma" w:hAnsi="Tahoma" w:cs="Tahoma"/>
                <w:sz w:val="20"/>
                <w:szCs w:val="20"/>
              </w:rPr>
              <w:t>186,22</w:t>
            </w:r>
          </w:p>
        </w:tc>
        <w:tc>
          <w:tcPr>
            <w:tcW w:w="993" w:type="dxa"/>
            <w:tcBorders>
              <w:top w:val="single" w:sz="4" w:space="0" w:color="auto"/>
              <w:left w:val="single" w:sz="4" w:space="0" w:color="auto"/>
              <w:bottom w:val="single" w:sz="4" w:space="0" w:color="auto"/>
              <w:right w:val="single" w:sz="4" w:space="0" w:color="auto"/>
            </w:tcBorders>
            <w:noWrap/>
            <w:vAlign w:val="center"/>
          </w:tcPr>
          <w:p w:rsidR="001E7B45" w:rsidRPr="00BD4D98" w:rsidRDefault="001E7B45" w:rsidP="005451F2">
            <w:pPr>
              <w:spacing w:line="240" w:lineRule="auto"/>
              <w:jc w:val="right"/>
              <w:rPr>
                <w:rFonts w:ascii="Tahoma" w:hAnsi="Tahoma" w:cs="Tahoma"/>
                <w:sz w:val="20"/>
                <w:szCs w:val="20"/>
              </w:rPr>
            </w:pPr>
            <w:r w:rsidRPr="00BD4D98">
              <w:rPr>
                <w:rFonts w:ascii="Tahoma" w:hAnsi="Tahoma" w:cs="Tahoma"/>
                <w:sz w:val="20"/>
                <w:szCs w:val="20"/>
              </w:rPr>
              <w:t>13,25%</w:t>
            </w:r>
          </w:p>
        </w:tc>
      </w:tr>
      <w:tr w:rsidR="001E7B45" w:rsidRPr="00BD4D98" w:rsidTr="00300B7B">
        <w:trPr>
          <w:trHeight w:val="463"/>
        </w:trPr>
        <w:tc>
          <w:tcPr>
            <w:tcW w:w="2835" w:type="dxa"/>
            <w:tcBorders>
              <w:top w:val="single" w:sz="4" w:space="0" w:color="auto"/>
              <w:left w:val="single" w:sz="4" w:space="0" w:color="auto"/>
              <w:bottom w:val="single" w:sz="4" w:space="0" w:color="auto"/>
              <w:right w:val="single" w:sz="4" w:space="0" w:color="auto"/>
            </w:tcBorders>
            <w:vAlign w:val="bottom"/>
          </w:tcPr>
          <w:p w:rsidR="001E7B45" w:rsidRPr="00BD4D98" w:rsidRDefault="001E7B45" w:rsidP="005451F2">
            <w:pPr>
              <w:spacing w:line="240" w:lineRule="auto"/>
              <w:rPr>
                <w:rFonts w:eastAsia="Times New Roman"/>
                <w:sz w:val="20"/>
                <w:szCs w:val="20"/>
              </w:rPr>
            </w:pPr>
            <w:r w:rsidRPr="00BD4D98">
              <w:rPr>
                <w:rFonts w:eastAsia="Times New Roman"/>
                <w:sz w:val="20"/>
                <w:szCs w:val="20"/>
              </w:rPr>
              <w:t>Покупка с оптового рынка, всего</w:t>
            </w:r>
          </w:p>
        </w:tc>
        <w:tc>
          <w:tcPr>
            <w:tcW w:w="835" w:type="dxa"/>
            <w:tcBorders>
              <w:top w:val="single" w:sz="4" w:space="0" w:color="auto"/>
              <w:left w:val="single" w:sz="4" w:space="0" w:color="auto"/>
              <w:bottom w:val="single" w:sz="4" w:space="0" w:color="auto"/>
              <w:right w:val="single" w:sz="4" w:space="0" w:color="auto"/>
            </w:tcBorders>
            <w:noWrap/>
            <w:vAlign w:val="bottom"/>
          </w:tcPr>
          <w:p w:rsidR="001E7B45" w:rsidRPr="00BD4D98" w:rsidRDefault="001E7B45" w:rsidP="005451F2">
            <w:pPr>
              <w:spacing w:line="240" w:lineRule="auto"/>
              <w:jc w:val="center"/>
              <w:rPr>
                <w:rFonts w:eastAsia="Times New Roman"/>
                <w:sz w:val="20"/>
                <w:szCs w:val="20"/>
              </w:rPr>
            </w:pPr>
            <w:r w:rsidRPr="00BD4D98">
              <w:rPr>
                <w:rFonts w:eastAsia="Times New Roman"/>
                <w:sz w:val="20"/>
                <w:szCs w:val="20"/>
              </w:rPr>
              <w:t>млн.кВт.ч.</w:t>
            </w:r>
          </w:p>
        </w:tc>
        <w:tc>
          <w:tcPr>
            <w:tcW w:w="1291" w:type="dxa"/>
            <w:tcBorders>
              <w:top w:val="single" w:sz="4" w:space="0" w:color="auto"/>
              <w:left w:val="single" w:sz="4" w:space="0" w:color="auto"/>
              <w:bottom w:val="single" w:sz="4" w:space="0" w:color="auto"/>
              <w:right w:val="single" w:sz="4" w:space="0" w:color="auto"/>
            </w:tcBorders>
            <w:noWrap/>
            <w:vAlign w:val="center"/>
          </w:tcPr>
          <w:p w:rsidR="001E7B45" w:rsidRPr="00BD4D98" w:rsidRDefault="001E7B45" w:rsidP="005451F2">
            <w:pPr>
              <w:spacing w:line="240" w:lineRule="auto"/>
              <w:jc w:val="right"/>
              <w:rPr>
                <w:color w:val="000000"/>
                <w:sz w:val="20"/>
                <w:szCs w:val="20"/>
              </w:rPr>
            </w:pPr>
            <w:r w:rsidRPr="00BD4D98">
              <w:rPr>
                <w:color w:val="000000"/>
                <w:sz w:val="20"/>
                <w:szCs w:val="20"/>
              </w:rPr>
              <w:t>14983,51</w:t>
            </w:r>
          </w:p>
        </w:tc>
        <w:tc>
          <w:tcPr>
            <w:tcW w:w="1276" w:type="dxa"/>
            <w:tcBorders>
              <w:top w:val="single" w:sz="4" w:space="0" w:color="auto"/>
              <w:left w:val="single" w:sz="4" w:space="0" w:color="auto"/>
              <w:bottom w:val="single" w:sz="4" w:space="0" w:color="auto"/>
              <w:right w:val="single" w:sz="4" w:space="0" w:color="auto"/>
            </w:tcBorders>
            <w:noWrap/>
            <w:vAlign w:val="center"/>
          </w:tcPr>
          <w:p w:rsidR="001E7B45" w:rsidRPr="00BD4D98" w:rsidRDefault="001E7B45" w:rsidP="005451F2">
            <w:pPr>
              <w:spacing w:line="240" w:lineRule="auto"/>
              <w:jc w:val="right"/>
              <w:rPr>
                <w:color w:val="000000"/>
                <w:sz w:val="20"/>
                <w:szCs w:val="20"/>
              </w:rPr>
            </w:pPr>
            <w:r w:rsidRPr="00BD4D98">
              <w:rPr>
                <w:color w:val="000000"/>
                <w:sz w:val="20"/>
                <w:szCs w:val="20"/>
              </w:rPr>
              <w:t>14684,50</w:t>
            </w:r>
          </w:p>
        </w:tc>
        <w:tc>
          <w:tcPr>
            <w:tcW w:w="1134" w:type="dxa"/>
            <w:tcBorders>
              <w:top w:val="single" w:sz="4" w:space="0" w:color="auto"/>
              <w:left w:val="single" w:sz="4" w:space="0" w:color="auto"/>
              <w:bottom w:val="single" w:sz="4" w:space="0" w:color="auto"/>
              <w:right w:val="single" w:sz="4" w:space="0" w:color="auto"/>
            </w:tcBorders>
            <w:noWrap/>
            <w:vAlign w:val="center"/>
          </w:tcPr>
          <w:p w:rsidR="001E7B45" w:rsidRPr="00BD4D98" w:rsidRDefault="001E7B45" w:rsidP="005451F2">
            <w:pPr>
              <w:spacing w:line="240" w:lineRule="auto"/>
              <w:jc w:val="right"/>
              <w:rPr>
                <w:color w:val="000000"/>
                <w:sz w:val="20"/>
                <w:szCs w:val="20"/>
              </w:rPr>
            </w:pPr>
            <w:r w:rsidRPr="00BD4D98">
              <w:rPr>
                <w:color w:val="000000"/>
                <w:sz w:val="20"/>
                <w:szCs w:val="20"/>
              </w:rPr>
              <w:t>14461,80</w:t>
            </w:r>
          </w:p>
        </w:tc>
        <w:tc>
          <w:tcPr>
            <w:tcW w:w="992" w:type="dxa"/>
            <w:tcBorders>
              <w:top w:val="single" w:sz="4" w:space="0" w:color="auto"/>
              <w:left w:val="single" w:sz="4" w:space="0" w:color="auto"/>
              <w:bottom w:val="single" w:sz="4" w:space="0" w:color="auto"/>
              <w:right w:val="single" w:sz="4" w:space="0" w:color="auto"/>
            </w:tcBorders>
            <w:noWrap/>
            <w:vAlign w:val="center"/>
          </w:tcPr>
          <w:p w:rsidR="001E7B45" w:rsidRPr="00BD4D98" w:rsidRDefault="001E7B45" w:rsidP="005451F2">
            <w:pPr>
              <w:spacing w:line="240" w:lineRule="auto"/>
              <w:jc w:val="right"/>
              <w:rPr>
                <w:rFonts w:ascii="Tahoma" w:hAnsi="Tahoma" w:cs="Tahoma"/>
                <w:sz w:val="20"/>
                <w:szCs w:val="20"/>
              </w:rPr>
            </w:pPr>
            <w:r w:rsidRPr="00BD4D98">
              <w:rPr>
                <w:rFonts w:ascii="Tahoma" w:hAnsi="Tahoma" w:cs="Tahoma"/>
                <w:sz w:val="20"/>
                <w:szCs w:val="20"/>
              </w:rPr>
              <w:t>-222,7</w:t>
            </w:r>
          </w:p>
        </w:tc>
        <w:tc>
          <w:tcPr>
            <w:tcW w:w="993" w:type="dxa"/>
            <w:tcBorders>
              <w:top w:val="single" w:sz="4" w:space="0" w:color="auto"/>
              <w:left w:val="single" w:sz="4" w:space="0" w:color="auto"/>
              <w:bottom w:val="single" w:sz="4" w:space="0" w:color="auto"/>
              <w:right w:val="single" w:sz="4" w:space="0" w:color="auto"/>
            </w:tcBorders>
            <w:noWrap/>
            <w:vAlign w:val="center"/>
          </w:tcPr>
          <w:p w:rsidR="001E7B45" w:rsidRPr="00BD4D98" w:rsidRDefault="001E7B45" w:rsidP="005451F2">
            <w:pPr>
              <w:spacing w:line="240" w:lineRule="auto"/>
              <w:jc w:val="right"/>
              <w:rPr>
                <w:rFonts w:ascii="Tahoma" w:hAnsi="Tahoma" w:cs="Tahoma"/>
                <w:sz w:val="20"/>
                <w:szCs w:val="20"/>
              </w:rPr>
            </w:pPr>
            <w:r w:rsidRPr="00BD4D98">
              <w:rPr>
                <w:rFonts w:ascii="Tahoma" w:hAnsi="Tahoma" w:cs="Tahoma"/>
                <w:sz w:val="20"/>
                <w:szCs w:val="20"/>
              </w:rPr>
              <w:t>-1,52%</w:t>
            </w:r>
          </w:p>
        </w:tc>
      </w:tr>
      <w:tr w:rsidR="001E7B45" w:rsidRPr="00BD4D98" w:rsidTr="00300B7B">
        <w:trPr>
          <w:trHeight w:val="129"/>
        </w:trPr>
        <w:tc>
          <w:tcPr>
            <w:tcW w:w="2835" w:type="dxa"/>
            <w:tcBorders>
              <w:top w:val="single" w:sz="4" w:space="0" w:color="auto"/>
              <w:left w:val="single" w:sz="4" w:space="0" w:color="auto"/>
              <w:bottom w:val="single" w:sz="4" w:space="0" w:color="auto"/>
              <w:right w:val="single" w:sz="4" w:space="0" w:color="auto"/>
            </w:tcBorders>
            <w:vAlign w:val="bottom"/>
          </w:tcPr>
          <w:p w:rsidR="001E7B45" w:rsidRPr="00BD4D98" w:rsidRDefault="001E7B45" w:rsidP="005451F2">
            <w:pPr>
              <w:spacing w:line="240" w:lineRule="auto"/>
              <w:rPr>
                <w:rFonts w:eastAsia="Times New Roman"/>
                <w:sz w:val="20"/>
                <w:szCs w:val="20"/>
              </w:rPr>
            </w:pPr>
            <w:r w:rsidRPr="00BD4D98">
              <w:rPr>
                <w:rFonts w:eastAsia="Times New Roman"/>
                <w:sz w:val="20"/>
                <w:szCs w:val="20"/>
              </w:rPr>
              <w:t xml:space="preserve">   в т.ч.</w:t>
            </w:r>
          </w:p>
        </w:tc>
        <w:tc>
          <w:tcPr>
            <w:tcW w:w="835" w:type="dxa"/>
            <w:tcBorders>
              <w:top w:val="single" w:sz="4" w:space="0" w:color="auto"/>
              <w:left w:val="single" w:sz="4" w:space="0" w:color="auto"/>
              <w:bottom w:val="single" w:sz="4" w:space="0" w:color="auto"/>
              <w:right w:val="single" w:sz="4" w:space="0" w:color="auto"/>
            </w:tcBorders>
            <w:noWrap/>
            <w:vAlign w:val="bottom"/>
          </w:tcPr>
          <w:p w:rsidR="001E7B45" w:rsidRPr="00BD4D98" w:rsidRDefault="001E7B45" w:rsidP="005451F2">
            <w:pPr>
              <w:spacing w:line="240" w:lineRule="auto"/>
              <w:jc w:val="center"/>
              <w:rPr>
                <w:rFonts w:eastAsia="Times New Roman"/>
                <w:sz w:val="20"/>
                <w:szCs w:val="20"/>
              </w:rPr>
            </w:pPr>
          </w:p>
        </w:tc>
        <w:tc>
          <w:tcPr>
            <w:tcW w:w="1291" w:type="dxa"/>
            <w:tcBorders>
              <w:top w:val="single" w:sz="4" w:space="0" w:color="auto"/>
              <w:left w:val="single" w:sz="4" w:space="0" w:color="auto"/>
              <w:bottom w:val="single" w:sz="4" w:space="0" w:color="auto"/>
              <w:right w:val="single" w:sz="4" w:space="0" w:color="auto"/>
            </w:tcBorders>
            <w:noWrap/>
            <w:vAlign w:val="center"/>
          </w:tcPr>
          <w:p w:rsidR="001E7B45" w:rsidRPr="00BD4D98" w:rsidRDefault="001E7B45" w:rsidP="005451F2">
            <w:pPr>
              <w:spacing w:line="240" w:lineRule="auto"/>
              <w:jc w:val="right"/>
              <w:rPr>
                <w:color w:val="000000"/>
                <w:sz w:val="20"/>
                <w:szCs w:val="20"/>
              </w:rPr>
            </w:pPr>
            <w:r w:rsidRPr="00BD4D98">
              <w:rPr>
                <w:color w:val="000000"/>
                <w:sz w:val="20"/>
                <w:szCs w:val="20"/>
              </w:rPr>
              <w:t> </w:t>
            </w:r>
          </w:p>
        </w:tc>
        <w:tc>
          <w:tcPr>
            <w:tcW w:w="1276" w:type="dxa"/>
            <w:tcBorders>
              <w:top w:val="single" w:sz="4" w:space="0" w:color="auto"/>
              <w:left w:val="single" w:sz="4" w:space="0" w:color="auto"/>
              <w:bottom w:val="single" w:sz="4" w:space="0" w:color="auto"/>
              <w:right w:val="single" w:sz="4" w:space="0" w:color="auto"/>
            </w:tcBorders>
            <w:noWrap/>
            <w:vAlign w:val="center"/>
          </w:tcPr>
          <w:p w:rsidR="001E7B45" w:rsidRPr="00BD4D98" w:rsidRDefault="001E7B45" w:rsidP="005451F2">
            <w:pPr>
              <w:spacing w:line="240" w:lineRule="auto"/>
              <w:jc w:val="right"/>
              <w:rPr>
                <w:color w:val="000000"/>
                <w:sz w:val="20"/>
                <w:szCs w:val="20"/>
              </w:rPr>
            </w:pPr>
            <w:r w:rsidRPr="00BD4D98">
              <w:rPr>
                <w:color w:val="000000"/>
                <w:sz w:val="20"/>
                <w:szCs w:val="20"/>
              </w:rPr>
              <w:t> </w:t>
            </w:r>
          </w:p>
        </w:tc>
        <w:tc>
          <w:tcPr>
            <w:tcW w:w="1134" w:type="dxa"/>
            <w:tcBorders>
              <w:top w:val="single" w:sz="4" w:space="0" w:color="auto"/>
              <w:left w:val="single" w:sz="4" w:space="0" w:color="auto"/>
              <w:bottom w:val="single" w:sz="4" w:space="0" w:color="auto"/>
              <w:right w:val="single" w:sz="4" w:space="0" w:color="auto"/>
            </w:tcBorders>
            <w:noWrap/>
            <w:vAlign w:val="center"/>
          </w:tcPr>
          <w:p w:rsidR="001E7B45" w:rsidRPr="00BD4D98" w:rsidRDefault="001E7B45" w:rsidP="005451F2">
            <w:pPr>
              <w:spacing w:line="240" w:lineRule="auto"/>
              <w:jc w:val="right"/>
              <w:rPr>
                <w:color w:val="000000"/>
                <w:sz w:val="20"/>
                <w:szCs w:val="20"/>
              </w:rPr>
            </w:pPr>
            <w:r w:rsidRPr="00BD4D98">
              <w:rPr>
                <w:color w:val="000000"/>
                <w:sz w:val="20"/>
                <w:szCs w:val="20"/>
              </w:rPr>
              <w:t> </w:t>
            </w:r>
          </w:p>
        </w:tc>
        <w:tc>
          <w:tcPr>
            <w:tcW w:w="992" w:type="dxa"/>
            <w:tcBorders>
              <w:top w:val="single" w:sz="4" w:space="0" w:color="auto"/>
              <w:left w:val="single" w:sz="4" w:space="0" w:color="auto"/>
              <w:bottom w:val="single" w:sz="4" w:space="0" w:color="auto"/>
              <w:right w:val="single" w:sz="4" w:space="0" w:color="auto"/>
            </w:tcBorders>
            <w:noWrap/>
            <w:vAlign w:val="center"/>
          </w:tcPr>
          <w:p w:rsidR="001E7B45" w:rsidRPr="00BD4D98" w:rsidRDefault="001E7B45" w:rsidP="005451F2">
            <w:pPr>
              <w:spacing w:line="240" w:lineRule="auto"/>
              <w:jc w:val="right"/>
              <w:rPr>
                <w:rFonts w:ascii="Tahoma" w:hAnsi="Tahoma" w:cs="Tahoma"/>
                <w:sz w:val="20"/>
                <w:szCs w:val="20"/>
              </w:rPr>
            </w:pPr>
          </w:p>
        </w:tc>
        <w:tc>
          <w:tcPr>
            <w:tcW w:w="993" w:type="dxa"/>
            <w:tcBorders>
              <w:top w:val="single" w:sz="4" w:space="0" w:color="auto"/>
              <w:left w:val="single" w:sz="4" w:space="0" w:color="auto"/>
              <w:bottom w:val="single" w:sz="4" w:space="0" w:color="auto"/>
              <w:right w:val="single" w:sz="4" w:space="0" w:color="auto"/>
            </w:tcBorders>
            <w:noWrap/>
            <w:vAlign w:val="center"/>
          </w:tcPr>
          <w:p w:rsidR="001E7B45" w:rsidRPr="00BD4D98" w:rsidRDefault="001E7B45" w:rsidP="005451F2">
            <w:pPr>
              <w:spacing w:line="240" w:lineRule="auto"/>
              <w:jc w:val="right"/>
              <w:rPr>
                <w:rFonts w:ascii="Tahoma" w:hAnsi="Tahoma" w:cs="Tahoma"/>
                <w:sz w:val="20"/>
                <w:szCs w:val="20"/>
              </w:rPr>
            </w:pPr>
          </w:p>
        </w:tc>
      </w:tr>
      <w:tr w:rsidR="001E7B45" w:rsidRPr="00BD4D98" w:rsidTr="00300B7B">
        <w:trPr>
          <w:trHeight w:val="540"/>
        </w:trPr>
        <w:tc>
          <w:tcPr>
            <w:tcW w:w="2835" w:type="dxa"/>
            <w:tcBorders>
              <w:top w:val="single" w:sz="4" w:space="0" w:color="auto"/>
              <w:left w:val="single" w:sz="4" w:space="0" w:color="auto"/>
              <w:bottom w:val="single" w:sz="4" w:space="0" w:color="auto"/>
              <w:right w:val="single" w:sz="4" w:space="0" w:color="auto"/>
            </w:tcBorders>
            <w:vAlign w:val="bottom"/>
          </w:tcPr>
          <w:p w:rsidR="001E7B45" w:rsidRPr="00BD4D98" w:rsidRDefault="001E7B45" w:rsidP="005451F2">
            <w:pPr>
              <w:spacing w:line="240" w:lineRule="auto"/>
              <w:rPr>
                <w:rFonts w:eastAsia="Times New Roman"/>
                <w:sz w:val="20"/>
                <w:szCs w:val="20"/>
              </w:rPr>
            </w:pPr>
            <w:r w:rsidRPr="00BD4D98">
              <w:rPr>
                <w:rFonts w:eastAsia="Times New Roman"/>
                <w:sz w:val="20"/>
                <w:szCs w:val="20"/>
              </w:rPr>
              <w:t xml:space="preserve">     АО «Новосибирск-</w:t>
            </w:r>
          </w:p>
          <w:p w:rsidR="001E7B45" w:rsidRPr="00BD4D98" w:rsidRDefault="001E7B45" w:rsidP="005451F2">
            <w:pPr>
              <w:spacing w:line="240" w:lineRule="auto"/>
              <w:rPr>
                <w:rFonts w:eastAsia="Times New Roman"/>
                <w:sz w:val="20"/>
                <w:szCs w:val="20"/>
              </w:rPr>
            </w:pPr>
            <w:r w:rsidRPr="00BD4D98">
              <w:rPr>
                <w:rFonts w:eastAsia="Times New Roman"/>
                <w:sz w:val="20"/>
                <w:szCs w:val="20"/>
              </w:rPr>
              <w:t xml:space="preserve">     энергосбыт» </w:t>
            </w:r>
          </w:p>
        </w:tc>
        <w:tc>
          <w:tcPr>
            <w:tcW w:w="835" w:type="dxa"/>
            <w:tcBorders>
              <w:top w:val="single" w:sz="4" w:space="0" w:color="auto"/>
              <w:left w:val="single" w:sz="4" w:space="0" w:color="auto"/>
              <w:bottom w:val="single" w:sz="4" w:space="0" w:color="auto"/>
              <w:right w:val="single" w:sz="4" w:space="0" w:color="auto"/>
            </w:tcBorders>
            <w:noWrap/>
            <w:vAlign w:val="bottom"/>
          </w:tcPr>
          <w:p w:rsidR="001E7B45" w:rsidRPr="00BD4D98" w:rsidRDefault="001E7B45" w:rsidP="005451F2">
            <w:pPr>
              <w:spacing w:line="240" w:lineRule="auto"/>
              <w:jc w:val="center"/>
              <w:rPr>
                <w:rFonts w:eastAsia="Times New Roman"/>
                <w:sz w:val="20"/>
                <w:szCs w:val="20"/>
              </w:rPr>
            </w:pPr>
            <w:r w:rsidRPr="00BD4D98">
              <w:rPr>
                <w:rFonts w:eastAsia="Times New Roman"/>
                <w:sz w:val="20"/>
                <w:szCs w:val="20"/>
              </w:rPr>
              <w:t>млн.кВт.ч.</w:t>
            </w:r>
          </w:p>
        </w:tc>
        <w:tc>
          <w:tcPr>
            <w:tcW w:w="1291" w:type="dxa"/>
            <w:tcBorders>
              <w:top w:val="single" w:sz="4" w:space="0" w:color="auto"/>
              <w:left w:val="single" w:sz="4" w:space="0" w:color="auto"/>
              <w:bottom w:val="single" w:sz="4" w:space="0" w:color="auto"/>
              <w:right w:val="single" w:sz="4" w:space="0" w:color="auto"/>
            </w:tcBorders>
            <w:noWrap/>
            <w:vAlign w:val="center"/>
          </w:tcPr>
          <w:p w:rsidR="001E7B45" w:rsidRPr="00BD4D98" w:rsidRDefault="001E7B45" w:rsidP="005451F2">
            <w:pPr>
              <w:spacing w:line="240" w:lineRule="auto"/>
              <w:jc w:val="right"/>
              <w:rPr>
                <w:color w:val="000000"/>
                <w:sz w:val="20"/>
                <w:szCs w:val="20"/>
              </w:rPr>
            </w:pPr>
            <w:r w:rsidRPr="00BD4D98">
              <w:rPr>
                <w:color w:val="000000"/>
                <w:sz w:val="20"/>
                <w:szCs w:val="20"/>
              </w:rPr>
              <w:t>14819,85</w:t>
            </w:r>
          </w:p>
        </w:tc>
        <w:tc>
          <w:tcPr>
            <w:tcW w:w="1276" w:type="dxa"/>
            <w:tcBorders>
              <w:top w:val="single" w:sz="4" w:space="0" w:color="auto"/>
              <w:left w:val="single" w:sz="4" w:space="0" w:color="auto"/>
              <w:bottom w:val="single" w:sz="4" w:space="0" w:color="auto"/>
              <w:right w:val="single" w:sz="4" w:space="0" w:color="auto"/>
            </w:tcBorders>
            <w:noWrap/>
            <w:vAlign w:val="center"/>
          </w:tcPr>
          <w:p w:rsidR="001E7B45" w:rsidRPr="00BD4D98" w:rsidRDefault="001E7B45" w:rsidP="005451F2">
            <w:pPr>
              <w:spacing w:line="240" w:lineRule="auto"/>
              <w:jc w:val="right"/>
              <w:rPr>
                <w:color w:val="000000"/>
                <w:sz w:val="20"/>
                <w:szCs w:val="20"/>
              </w:rPr>
            </w:pPr>
            <w:r w:rsidRPr="00BD4D98">
              <w:rPr>
                <w:color w:val="000000"/>
                <w:sz w:val="20"/>
                <w:szCs w:val="20"/>
              </w:rPr>
              <w:t>14502,39</w:t>
            </w:r>
          </w:p>
        </w:tc>
        <w:tc>
          <w:tcPr>
            <w:tcW w:w="1134" w:type="dxa"/>
            <w:tcBorders>
              <w:top w:val="single" w:sz="4" w:space="0" w:color="auto"/>
              <w:left w:val="single" w:sz="4" w:space="0" w:color="auto"/>
              <w:bottom w:val="single" w:sz="4" w:space="0" w:color="auto"/>
              <w:right w:val="single" w:sz="4" w:space="0" w:color="auto"/>
            </w:tcBorders>
            <w:noWrap/>
            <w:vAlign w:val="center"/>
          </w:tcPr>
          <w:p w:rsidR="001E7B45" w:rsidRPr="00BD4D98" w:rsidRDefault="001E7B45" w:rsidP="005451F2">
            <w:pPr>
              <w:spacing w:line="240" w:lineRule="auto"/>
              <w:jc w:val="right"/>
              <w:rPr>
                <w:color w:val="000000"/>
                <w:sz w:val="20"/>
                <w:szCs w:val="20"/>
              </w:rPr>
            </w:pPr>
            <w:r w:rsidRPr="00BD4D98">
              <w:rPr>
                <w:color w:val="000000"/>
                <w:sz w:val="20"/>
                <w:szCs w:val="20"/>
              </w:rPr>
              <w:t>14294,28</w:t>
            </w:r>
          </w:p>
        </w:tc>
        <w:tc>
          <w:tcPr>
            <w:tcW w:w="992" w:type="dxa"/>
            <w:tcBorders>
              <w:top w:val="single" w:sz="4" w:space="0" w:color="auto"/>
              <w:left w:val="single" w:sz="4" w:space="0" w:color="auto"/>
              <w:bottom w:val="single" w:sz="4" w:space="0" w:color="auto"/>
              <w:right w:val="single" w:sz="4" w:space="0" w:color="auto"/>
            </w:tcBorders>
            <w:noWrap/>
            <w:vAlign w:val="center"/>
          </w:tcPr>
          <w:p w:rsidR="001E7B45" w:rsidRPr="00BD4D98" w:rsidRDefault="001E7B45" w:rsidP="005451F2">
            <w:pPr>
              <w:spacing w:line="240" w:lineRule="auto"/>
              <w:jc w:val="right"/>
              <w:rPr>
                <w:rFonts w:ascii="Tahoma" w:hAnsi="Tahoma" w:cs="Tahoma"/>
                <w:sz w:val="20"/>
                <w:szCs w:val="20"/>
              </w:rPr>
            </w:pPr>
            <w:r w:rsidRPr="00BD4D98">
              <w:rPr>
                <w:rFonts w:ascii="Tahoma" w:hAnsi="Tahoma" w:cs="Tahoma"/>
                <w:sz w:val="20"/>
                <w:szCs w:val="20"/>
              </w:rPr>
              <w:t>-208,11</w:t>
            </w:r>
          </w:p>
        </w:tc>
        <w:tc>
          <w:tcPr>
            <w:tcW w:w="993" w:type="dxa"/>
            <w:tcBorders>
              <w:top w:val="single" w:sz="4" w:space="0" w:color="auto"/>
              <w:left w:val="single" w:sz="4" w:space="0" w:color="auto"/>
              <w:bottom w:val="single" w:sz="4" w:space="0" w:color="auto"/>
              <w:right w:val="single" w:sz="4" w:space="0" w:color="auto"/>
            </w:tcBorders>
            <w:noWrap/>
            <w:vAlign w:val="center"/>
          </w:tcPr>
          <w:p w:rsidR="001E7B45" w:rsidRPr="00BD4D98" w:rsidRDefault="001E7B45" w:rsidP="005451F2">
            <w:pPr>
              <w:spacing w:line="240" w:lineRule="auto"/>
              <w:jc w:val="right"/>
              <w:rPr>
                <w:rFonts w:ascii="Tahoma" w:hAnsi="Tahoma" w:cs="Tahoma"/>
                <w:sz w:val="20"/>
                <w:szCs w:val="20"/>
              </w:rPr>
            </w:pPr>
            <w:r w:rsidRPr="00BD4D98">
              <w:rPr>
                <w:rFonts w:ascii="Tahoma" w:hAnsi="Tahoma" w:cs="Tahoma"/>
                <w:sz w:val="20"/>
                <w:szCs w:val="20"/>
              </w:rPr>
              <w:t>-1,44%</w:t>
            </w:r>
          </w:p>
        </w:tc>
      </w:tr>
      <w:tr w:rsidR="001E7B45" w:rsidRPr="00BD4D98" w:rsidTr="00300B7B">
        <w:trPr>
          <w:trHeight w:val="265"/>
        </w:trPr>
        <w:tc>
          <w:tcPr>
            <w:tcW w:w="2835" w:type="dxa"/>
            <w:tcBorders>
              <w:top w:val="nil"/>
              <w:left w:val="single" w:sz="8" w:space="0" w:color="auto"/>
              <w:bottom w:val="single" w:sz="8" w:space="0" w:color="auto"/>
              <w:right w:val="nil"/>
            </w:tcBorders>
            <w:vAlign w:val="bottom"/>
          </w:tcPr>
          <w:p w:rsidR="001E7B45" w:rsidRPr="00BD4D98" w:rsidRDefault="001E7B45" w:rsidP="005451F2">
            <w:pPr>
              <w:spacing w:line="240" w:lineRule="auto"/>
              <w:rPr>
                <w:rFonts w:eastAsia="Times New Roman"/>
                <w:i/>
                <w:sz w:val="18"/>
                <w:szCs w:val="18"/>
                <w:highlight w:val="yellow"/>
              </w:rPr>
            </w:pPr>
            <w:r w:rsidRPr="00BD4D98">
              <w:rPr>
                <w:rFonts w:eastAsia="Times New Roman"/>
                <w:sz w:val="20"/>
                <w:szCs w:val="20"/>
              </w:rPr>
              <w:t xml:space="preserve">     АО «Мосэнергосбыт»</w:t>
            </w:r>
          </w:p>
        </w:tc>
        <w:tc>
          <w:tcPr>
            <w:tcW w:w="835" w:type="dxa"/>
            <w:tcBorders>
              <w:top w:val="nil"/>
              <w:left w:val="single" w:sz="8" w:space="0" w:color="auto"/>
              <w:bottom w:val="single" w:sz="8" w:space="0" w:color="auto"/>
              <w:right w:val="single" w:sz="8" w:space="0" w:color="auto"/>
            </w:tcBorders>
            <w:noWrap/>
            <w:vAlign w:val="bottom"/>
          </w:tcPr>
          <w:p w:rsidR="001E7B45" w:rsidRPr="00BD4D98" w:rsidRDefault="001E7B45" w:rsidP="005451F2">
            <w:pPr>
              <w:spacing w:line="240" w:lineRule="auto"/>
              <w:jc w:val="center"/>
              <w:rPr>
                <w:rFonts w:eastAsia="Times New Roman"/>
                <w:sz w:val="20"/>
                <w:szCs w:val="20"/>
              </w:rPr>
            </w:pPr>
            <w:r w:rsidRPr="00BD4D98">
              <w:rPr>
                <w:rFonts w:eastAsia="Times New Roman"/>
                <w:sz w:val="20"/>
                <w:szCs w:val="20"/>
              </w:rPr>
              <w:t>млн.кВт.ч.</w:t>
            </w:r>
          </w:p>
        </w:tc>
        <w:tc>
          <w:tcPr>
            <w:tcW w:w="1291" w:type="dxa"/>
            <w:tcBorders>
              <w:top w:val="nil"/>
              <w:left w:val="nil"/>
              <w:bottom w:val="single" w:sz="8" w:space="0" w:color="auto"/>
              <w:right w:val="single" w:sz="8" w:space="0" w:color="auto"/>
            </w:tcBorders>
            <w:noWrap/>
            <w:vAlign w:val="center"/>
          </w:tcPr>
          <w:p w:rsidR="001E7B45" w:rsidRPr="00BD4D98" w:rsidRDefault="001E7B45" w:rsidP="005451F2">
            <w:pPr>
              <w:spacing w:line="240" w:lineRule="auto"/>
              <w:jc w:val="right"/>
              <w:rPr>
                <w:color w:val="000000"/>
                <w:sz w:val="20"/>
                <w:szCs w:val="20"/>
              </w:rPr>
            </w:pPr>
            <w:r w:rsidRPr="00BD4D98">
              <w:rPr>
                <w:color w:val="000000"/>
                <w:sz w:val="20"/>
                <w:szCs w:val="20"/>
              </w:rPr>
              <w:t>8,75</w:t>
            </w:r>
          </w:p>
        </w:tc>
        <w:tc>
          <w:tcPr>
            <w:tcW w:w="1276" w:type="dxa"/>
            <w:tcBorders>
              <w:top w:val="nil"/>
              <w:left w:val="nil"/>
              <w:bottom w:val="single" w:sz="8" w:space="0" w:color="auto"/>
              <w:right w:val="single" w:sz="8" w:space="0" w:color="auto"/>
            </w:tcBorders>
            <w:noWrap/>
            <w:vAlign w:val="center"/>
          </w:tcPr>
          <w:p w:rsidR="001E7B45" w:rsidRPr="00BD4D98" w:rsidRDefault="001E7B45" w:rsidP="005451F2">
            <w:pPr>
              <w:spacing w:line="240" w:lineRule="auto"/>
              <w:jc w:val="right"/>
              <w:rPr>
                <w:color w:val="000000"/>
                <w:sz w:val="20"/>
                <w:szCs w:val="20"/>
              </w:rPr>
            </w:pPr>
            <w:r w:rsidRPr="00BD4D98">
              <w:rPr>
                <w:color w:val="000000"/>
                <w:sz w:val="20"/>
                <w:szCs w:val="20"/>
              </w:rPr>
              <w:t>9,49</w:t>
            </w:r>
          </w:p>
        </w:tc>
        <w:tc>
          <w:tcPr>
            <w:tcW w:w="1134" w:type="dxa"/>
            <w:tcBorders>
              <w:top w:val="nil"/>
              <w:left w:val="nil"/>
              <w:bottom w:val="single" w:sz="8" w:space="0" w:color="auto"/>
              <w:right w:val="nil"/>
            </w:tcBorders>
            <w:noWrap/>
            <w:vAlign w:val="center"/>
          </w:tcPr>
          <w:p w:rsidR="001E7B45" w:rsidRPr="00BD4D98" w:rsidRDefault="001E7B45" w:rsidP="005451F2">
            <w:pPr>
              <w:spacing w:line="240" w:lineRule="auto"/>
              <w:jc w:val="right"/>
              <w:rPr>
                <w:color w:val="000000"/>
                <w:sz w:val="20"/>
                <w:szCs w:val="20"/>
              </w:rPr>
            </w:pPr>
            <w:r w:rsidRPr="00BD4D98">
              <w:rPr>
                <w:color w:val="000000"/>
                <w:sz w:val="20"/>
                <w:szCs w:val="20"/>
              </w:rPr>
              <w:t>8,75</w:t>
            </w:r>
          </w:p>
        </w:tc>
        <w:tc>
          <w:tcPr>
            <w:tcW w:w="992" w:type="dxa"/>
            <w:tcBorders>
              <w:top w:val="nil"/>
              <w:left w:val="single" w:sz="4" w:space="0" w:color="auto"/>
              <w:bottom w:val="single" w:sz="8" w:space="0" w:color="auto"/>
              <w:right w:val="single" w:sz="4" w:space="0" w:color="auto"/>
            </w:tcBorders>
            <w:noWrap/>
            <w:vAlign w:val="center"/>
          </w:tcPr>
          <w:p w:rsidR="001E7B45" w:rsidRPr="00BD4D98" w:rsidRDefault="001E7B45" w:rsidP="005451F2">
            <w:pPr>
              <w:spacing w:line="240" w:lineRule="auto"/>
              <w:jc w:val="right"/>
              <w:rPr>
                <w:rFonts w:ascii="Tahoma" w:hAnsi="Tahoma" w:cs="Tahoma"/>
                <w:sz w:val="20"/>
                <w:szCs w:val="20"/>
              </w:rPr>
            </w:pPr>
            <w:r w:rsidRPr="00BD4D98">
              <w:rPr>
                <w:rFonts w:ascii="Tahoma" w:hAnsi="Tahoma" w:cs="Tahoma"/>
                <w:sz w:val="20"/>
                <w:szCs w:val="20"/>
              </w:rPr>
              <w:t>-0,74</w:t>
            </w:r>
          </w:p>
        </w:tc>
        <w:tc>
          <w:tcPr>
            <w:tcW w:w="993" w:type="dxa"/>
            <w:tcBorders>
              <w:top w:val="nil"/>
              <w:left w:val="nil"/>
              <w:bottom w:val="single" w:sz="8" w:space="0" w:color="auto"/>
              <w:right w:val="single" w:sz="8" w:space="0" w:color="auto"/>
            </w:tcBorders>
            <w:noWrap/>
            <w:vAlign w:val="center"/>
          </w:tcPr>
          <w:p w:rsidR="001E7B45" w:rsidRPr="00BD4D98" w:rsidRDefault="001E7B45" w:rsidP="005451F2">
            <w:pPr>
              <w:spacing w:line="240" w:lineRule="auto"/>
              <w:jc w:val="right"/>
              <w:rPr>
                <w:rFonts w:ascii="Tahoma" w:hAnsi="Tahoma" w:cs="Tahoma"/>
                <w:sz w:val="20"/>
                <w:szCs w:val="20"/>
              </w:rPr>
            </w:pPr>
            <w:r w:rsidRPr="00BD4D98">
              <w:rPr>
                <w:rFonts w:ascii="Tahoma" w:hAnsi="Tahoma" w:cs="Tahoma"/>
                <w:sz w:val="20"/>
                <w:szCs w:val="20"/>
              </w:rPr>
              <w:t>-7,80%</w:t>
            </w:r>
          </w:p>
        </w:tc>
      </w:tr>
      <w:tr w:rsidR="001E7B45" w:rsidRPr="00BD4D98" w:rsidTr="00300B7B">
        <w:trPr>
          <w:trHeight w:val="271"/>
        </w:trPr>
        <w:tc>
          <w:tcPr>
            <w:tcW w:w="2835" w:type="dxa"/>
            <w:tcBorders>
              <w:top w:val="nil"/>
              <w:left w:val="single" w:sz="8" w:space="0" w:color="auto"/>
              <w:bottom w:val="single" w:sz="8" w:space="0" w:color="auto"/>
              <w:right w:val="nil"/>
            </w:tcBorders>
            <w:vAlign w:val="bottom"/>
          </w:tcPr>
          <w:p w:rsidR="001E7B45" w:rsidRPr="00BD4D98" w:rsidRDefault="001E7B45" w:rsidP="005451F2">
            <w:pPr>
              <w:spacing w:line="240" w:lineRule="auto"/>
              <w:rPr>
                <w:rFonts w:eastAsia="Times New Roman"/>
                <w:sz w:val="20"/>
                <w:szCs w:val="20"/>
              </w:rPr>
            </w:pPr>
            <w:r w:rsidRPr="00BD4D98">
              <w:rPr>
                <w:rFonts w:eastAsia="Times New Roman"/>
                <w:sz w:val="20"/>
                <w:szCs w:val="20"/>
              </w:rPr>
              <w:t xml:space="preserve">     ООО Транснефтьэнерго»</w:t>
            </w:r>
          </w:p>
        </w:tc>
        <w:tc>
          <w:tcPr>
            <w:tcW w:w="835" w:type="dxa"/>
            <w:tcBorders>
              <w:top w:val="nil"/>
              <w:left w:val="single" w:sz="8" w:space="0" w:color="auto"/>
              <w:bottom w:val="single" w:sz="8" w:space="0" w:color="auto"/>
              <w:right w:val="single" w:sz="8" w:space="0" w:color="auto"/>
            </w:tcBorders>
            <w:noWrap/>
            <w:vAlign w:val="bottom"/>
          </w:tcPr>
          <w:p w:rsidR="001E7B45" w:rsidRPr="00BD4D98" w:rsidRDefault="001E7B45" w:rsidP="005451F2">
            <w:pPr>
              <w:spacing w:line="240" w:lineRule="auto"/>
              <w:jc w:val="center"/>
              <w:rPr>
                <w:rFonts w:eastAsia="Times New Roman"/>
                <w:sz w:val="20"/>
                <w:szCs w:val="20"/>
              </w:rPr>
            </w:pPr>
            <w:r w:rsidRPr="00BD4D98">
              <w:rPr>
                <w:rFonts w:eastAsia="Times New Roman"/>
                <w:sz w:val="20"/>
                <w:szCs w:val="20"/>
              </w:rPr>
              <w:t>млн.кВт.ч.</w:t>
            </w:r>
          </w:p>
        </w:tc>
        <w:tc>
          <w:tcPr>
            <w:tcW w:w="1291" w:type="dxa"/>
            <w:tcBorders>
              <w:top w:val="nil"/>
              <w:left w:val="nil"/>
              <w:bottom w:val="single" w:sz="8" w:space="0" w:color="auto"/>
              <w:right w:val="single" w:sz="8" w:space="0" w:color="auto"/>
            </w:tcBorders>
            <w:noWrap/>
            <w:vAlign w:val="center"/>
          </w:tcPr>
          <w:p w:rsidR="001E7B45" w:rsidRPr="00BD4D98" w:rsidRDefault="001E7B45" w:rsidP="005451F2">
            <w:pPr>
              <w:spacing w:line="240" w:lineRule="auto"/>
              <w:jc w:val="right"/>
              <w:rPr>
                <w:color w:val="000000"/>
                <w:sz w:val="20"/>
                <w:szCs w:val="20"/>
              </w:rPr>
            </w:pPr>
            <w:r w:rsidRPr="00BD4D98">
              <w:rPr>
                <w:color w:val="000000"/>
                <w:sz w:val="20"/>
                <w:szCs w:val="20"/>
              </w:rPr>
              <w:t>11,67</w:t>
            </w:r>
          </w:p>
        </w:tc>
        <w:tc>
          <w:tcPr>
            <w:tcW w:w="1276" w:type="dxa"/>
            <w:tcBorders>
              <w:top w:val="nil"/>
              <w:left w:val="nil"/>
              <w:bottom w:val="single" w:sz="8" w:space="0" w:color="auto"/>
              <w:right w:val="single" w:sz="8" w:space="0" w:color="auto"/>
            </w:tcBorders>
            <w:noWrap/>
            <w:vAlign w:val="center"/>
          </w:tcPr>
          <w:p w:rsidR="001E7B45" w:rsidRPr="00BD4D98" w:rsidRDefault="001E7B45" w:rsidP="005451F2">
            <w:pPr>
              <w:spacing w:line="240" w:lineRule="auto"/>
              <w:jc w:val="right"/>
              <w:rPr>
                <w:color w:val="000000"/>
                <w:sz w:val="20"/>
                <w:szCs w:val="20"/>
              </w:rPr>
            </w:pPr>
            <w:r w:rsidRPr="00BD4D98">
              <w:rPr>
                <w:color w:val="000000"/>
                <w:sz w:val="20"/>
                <w:szCs w:val="20"/>
              </w:rPr>
              <w:t>11,33</w:t>
            </w:r>
          </w:p>
        </w:tc>
        <w:tc>
          <w:tcPr>
            <w:tcW w:w="1134" w:type="dxa"/>
            <w:tcBorders>
              <w:top w:val="nil"/>
              <w:left w:val="nil"/>
              <w:bottom w:val="single" w:sz="8" w:space="0" w:color="auto"/>
              <w:right w:val="nil"/>
            </w:tcBorders>
            <w:noWrap/>
            <w:vAlign w:val="center"/>
          </w:tcPr>
          <w:p w:rsidR="001E7B45" w:rsidRPr="00BD4D98" w:rsidRDefault="001E7B45" w:rsidP="005451F2">
            <w:pPr>
              <w:spacing w:line="240" w:lineRule="auto"/>
              <w:jc w:val="right"/>
              <w:rPr>
                <w:color w:val="000000"/>
                <w:sz w:val="20"/>
                <w:szCs w:val="20"/>
              </w:rPr>
            </w:pPr>
            <w:r w:rsidRPr="00BD4D98">
              <w:rPr>
                <w:color w:val="000000"/>
                <w:sz w:val="20"/>
                <w:szCs w:val="20"/>
              </w:rPr>
              <w:t>12,46</w:t>
            </w:r>
          </w:p>
        </w:tc>
        <w:tc>
          <w:tcPr>
            <w:tcW w:w="992" w:type="dxa"/>
            <w:tcBorders>
              <w:top w:val="nil"/>
              <w:left w:val="single" w:sz="4" w:space="0" w:color="auto"/>
              <w:bottom w:val="single" w:sz="8" w:space="0" w:color="auto"/>
              <w:right w:val="single" w:sz="4" w:space="0" w:color="auto"/>
            </w:tcBorders>
            <w:noWrap/>
            <w:vAlign w:val="center"/>
          </w:tcPr>
          <w:p w:rsidR="001E7B45" w:rsidRPr="00BD4D98" w:rsidRDefault="001E7B45" w:rsidP="005451F2">
            <w:pPr>
              <w:spacing w:line="240" w:lineRule="auto"/>
              <w:jc w:val="right"/>
              <w:rPr>
                <w:rFonts w:ascii="Tahoma" w:hAnsi="Tahoma" w:cs="Tahoma"/>
                <w:sz w:val="20"/>
                <w:szCs w:val="20"/>
              </w:rPr>
            </w:pPr>
            <w:r w:rsidRPr="00BD4D98">
              <w:rPr>
                <w:rFonts w:ascii="Tahoma" w:hAnsi="Tahoma" w:cs="Tahoma"/>
                <w:sz w:val="20"/>
                <w:szCs w:val="20"/>
              </w:rPr>
              <w:t>1,13</w:t>
            </w:r>
          </w:p>
        </w:tc>
        <w:tc>
          <w:tcPr>
            <w:tcW w:w="993" w:type="dxa"/>
            <w:tcBorders>
              <w:top w:val="nil"/>
              <w:left w:val="nil"/>
              <w:bottom w:val="single" w:sz="8" w:space="0" w:color="auto"/>
              <w:right w:val="single" w:sz="8" w:space="0" w:color="auto"/>
            </w:tcBorders>
            <w:noWrap/>
            <w:vAlign w:val="center"/>
          </w:tcPr>
          <w:p w:rsidR="001E7B45" w:rsidRPr="00BD4D98" w:rsidRDefault="001E7B45" w:rsidP="005451F2">
            <w:pPr>
              <w:spacing w:line="240" w:lineRule="auto"/>
              <w:jc w:val="right"/>
              <w:rPr>
                <w:rFonts w:ascii="Tahoma" w:hAnsi="Tahoma" w:cs="Tahoma"/>
                <w:sz w:val="20"/>
                <w:szCs w:val="20"/>
              </w:rPr>
            </w:pPr>
            <w:r w:rsidRPr="00BD4D98">
              <w:rPr>
                <w:rFonts w:ascii="Tahoma" w:hAnsi="Tahoma" w:cs="Tahoma"/>
                <w:sz w:val="20"/>
                <w:szCs w:val="20"/>
              </w:rPr>
              <w:t>9,97%</w:t>
            </w:r>
          </w:p>
        </w:tc>
      </w:tr>
      <w:tr w:rsidR="001E7B45" w:rsidRPr="00BD4D98" w:rsidTr="00300B7B">
        <w:trPr>
          <w:trHeight w:val="271"/>
        </w:trPr>
        <w:tc>
          <w:tcPr>
            <w:tcW w:w="2835" w:type="dxa"/>
            <w:tcBorders>
              <w:top w:val="nil"/>
              <w:left w:val="single" w:sz="8" w:space="0" w:color="auto"/>
              <w:bottom w:val="single" w:sz="8" w:space="0" w:color="auto"/>
              <w:right w:val="nil"/>
            </w:tcBorders>
            <w:vAlign w:val="bottom"/>
          </w:tcPr>
          <w:p w:rsidR="001E7B45" w:rsidRPr="00BD4D98" w:rsidRDefault="001E7B45" w:rsidP="005451F2">
            <w:pPr>
              <w:spacing w:line="240" w:lineRule="auto"/>
              <w:rPr>
                <w:rFonts w:eastAsia="Times New Roman"/>
                <w:sz w:val="20"/>
                <w:szCs w:val="20"/>
              </w:rPr>
            </w:pPr>
            <w:r w:rsidRPr="00BD4D98">
              <w:rPr>
                <w:rFonts w:eastAsia="Times New Roman"/>
                <w:sz w:val="20"/>
                <w:szCs w:val="20"/>
              </w:rPr>
              <w:t xml:space="preserve">     ЗАО «Система»</w:t>
            </w:r>
          </w:p>
        </w:tc>
        <w:tc>
          <w:tcPr>
            <w:tcW w:w="835" w:type="dxa"/>
            <w:tcBorders>
              <w:top w:val="nil"/>
              <w:left w:val="single" w:sz="8" w:space="0" w:color="auto"/>
              <w:bottom w:val="single" w:sz="8" w:space="0" w:color="auto"/>
              <w:right w:val="single" w:sz="8" w:space="0" w:color="auto"/>
            </w:tcBorders>
            <w:noWrap/>
            <w:vAlign w:val="bottom"/>
          </w:tcPr>
          <w:p w:rsidR="001E7B45" w:rsidRPr="00BD4D98" w:rsidRDefault="001E7B45" w:rsidP="005451F2">
            <w:pPr>
              <w:spacing w:line="240" w:lineRule="auto"/>
              <w:jc w:val="center"/>
              <w:rPr>
                <w:rFonts w:eastAsia="Times New Roman"/>
                <w:sz w:val="20"/>
                <w:szCs w:val="20"/>
              </w:rPr>
            </w:pPr>
            <w:r w:rsidRPr="00BD4D98">
              <w:rPr>
                <w:rFonts w:eastAsia="Times New Roman"/>
                <w:sz w:val="20"/>
                <w:szCs w:val="20"/>
              </w:rPr>
              <w:t>млн.кВт.ч.</w:t>
            </w:r>
          </w:p>
        </w:tc>
        <w:tc>
          <w:tcPr>
            <w:tcW w:w="1291" w:type="dxa"/>
            <w:tcBorders>
              <w:top w:val="nil"/>
              <w:left w:val="nil"/>
              <w:bottom w:val="single" w:sz="8" w:space="0" w:color="auto"/>
              <w:right w:val="single" w:sz="8" w:space="0" w:color="auto"/>
            </w:tcBorders>
            <w:noWrap/>
            <w:vAlign w:val="center"/>
          </w:tcPr>
          <w:p w:rsidR="001E7B45" w:rsidRPr="00BD4D98" w:rsidRDefault="001E7B45" w:rsidP="005451F2">
            <w:pPr>
              <w:spacing w:line="240" w:lineRule="auto"/>
              <w:jc w:val="right"/>
              <w:rPr>
                <w:color w:val="000000"/>
                <w:sz w:val="20"/>
                <w:szCs w:val="20"/>
              </w:rPr>
            </w:pPr>
            <w:r w:rsidRPr="00BD4D98">
              <w:rPr>
                <w:color w:val="000000"/>
                <w:sz w:val="20"/>
                <w:szCs w:val="20"/>
              </w:rPr>
              <w:t>143,24</w:t>
            </w:r>
          </w:p>
        </w:tc>
        <w:tc>
          <w:tcPr>
            <w:tcW w:w="1276" w:type="dxa"/>
            <w:tcBorders>
              <w:top w:val="nil"/>
              <w:left w:val="nil"/>
              <w:bottom w:val="single" w:sz="8" w:space="0" w:color="auto"/>
              <w:right w:val="single" w:sz="8" w:space="0" w:color="auto"/>
            </w:tcBorders>
            <w:noWrap/>
            <w:vAlign w:val="center"/>
          </w:tcPr>
          <w:p w:rsidR="001E7B45" w:rsidRPr="00BD4D98" w:rsidRDefault="001E7B45" w:rsidP="005451F2">
            <w:pPr>
              <w:spacing w:line="240" w:lineRule="auto"/>
              <w:jc w:val="right"/>
              <w:rPr>
                <w:color w:val="000000"/>
                <w:sz w:val="20"/>
                <w:szCs w:val="20"/>
              </w:rPr>
            </w:pPr>
            <w:r w:rsidRPr="00BD4D98">
              <w:rPr>
                <w:color w:val="000000"/>
                <w:sz w:val="20"/>
                <w:szCs w:val="20"/>
              </w:rPr>
              <w:t>161,30</w:t>
            </w:r>
          </w:p>
        </w:tc>
        <w:tc>
          <w:tcPr>
            <w:tcW w:w="1134" w:type="dxa"/>
            <w:tcBorders>
              <w:top w:val="nil"/>
              <w:left w:val="nil"/>
              <w:bottom w:val="single" w:sz="8" w:space="0" w:color="auto"/>
              <w:right w:val="nil"/>
            </w:tcBorders>
            <w:noWrap/>
            <w:vAlign w:val="center"/>
          </w:tcPr>
          <w:p w:rsidR="001E7B45" w:rsidRPr="00BD4D98" w:rsidRDefault="001E7B45" w:rsidP="005451F2">
            <w:pPr>
              <w:spacing w:line="240" w:lineRule="auto"/>
              <w:jc w:val="right"/>
              <w:rPr>
                <w:color w:val="000000"/>
                <w:sz w:val="20"/>
                <w:szCs w:val="20"/>
              </w:rPr>
            </w:pPr>
            <w:r w:rsidRPr="00BD4D98">
              <w:rPr>
                <w:color w:val="000000"/>
                <w:sz w:val="20"/>
                <w:szCs w:val="20"/>
              </w:rPr>
              <w:t>146,31</w:t>
            </w:r>
          </w:p>
        </w:tc>
        <w:tc>
          <w:tcPr>
            <w:tcW w:w="992" w:type="dxa"/>
            <w:tcBorders>
              <w:top w:val="nil"/>
              <w:left w:val="single" w:sz="4" w:space="0" w:color="auto"/>
              <w:bottom w:val="single" w:sz="8" w:space="0" w:color="auto"/>
              <w:right w:val="single" w:sz="4" w:space="0" w:color="auto"/>
            </w:tcBorders>
            <w:noWrap/>
            <w:vAlign w:val="center"/>
          </w:tcPr>
          <w:p w:rsidR="001E7B45" w:rsidRPr="00BD4D98" w:rsidRDefault="001E7B45" w:rsidP="005451F2">
            <w:pPr>
              <w:spacing w:line="240" w:lineRule="auto"/>
              <w:jc w:val="right"/>
              <w:rPr>
                <w:rFonts w:ascii="Tahoma" w:hAnsi="Tahoma" w:cs="Tahoma"/>
                <w:sz w:val="20"/>
                <w:szCs w:val="20"/>
              </w:rPr>
            </w:pPr>
            <w:r w:rsidRPr="00BD4D98">
              <w:rPr>
                <w:rFonts w:ascii="Tahoma" w:hAnsi="Tahoma" w:cs="Tahoma"/>
                <w:sz w:val="20"/>
                <w:szCs w:val="20"/>
              </w:rPr>
              <w:t>-14,99</w:t>
            </w:r>
          </w:p>
        </w:tc>
        <w:tc>
          <w:tcPr>
            <w:tcW w:w="993" w:type="dxa"/>
            <w:tcBorders>
              <w:top w:val="nil"/>
              <w:left w:val="nil"/>
              <w:bottom w:val="single" w:sz="8" w:space="0" w:color="auto"/>
              <w:right w:val="single" w:sz="8" w:space="0" w:color="auto"/>
            </w:tcBorders>
            <w:noWrap/>
            <w:vAlign w:val="center"/>
          </w:tcPr>
          <w:p w:rsidR="001E7B45" w:rsidRPr="00BD4D98" w:rsidRDefault="001E7B45" w:rsidP="005451F2">
            <w:pPr>
              <w:spacing w:line="240" w:lineRule="auto"/>
              <w:jc w:val="right"/>
              <w:rPr>
                <w:rFonts w:ascii="Tahoma" w:hAnsi="Tahoma" w:cs="Tahoma"/>
                <w:sz w:val="20"/>
                <w:szCs w:val="20"/>
              </w:rPr>
            </w:pPr>
            <w:r w:rsidRPr="00BD4D98">
              <w:rPr>
                <w:rFonts w:ascii="Tahoma" w:hAnsi="Tahoma" w:cs="Tahoma"/>
                <w:sz w:val="20"/>
                <w:szCs w:val="20"/>
              </w:rPr>
              <w:t>-9,29%</w:t>
            </w:r>
          </w:p>
        </w:tc>
      </w:tr>
    </w:tbl>
    <w:p w:rsidR="001E7B45" w:rsidRPr="00BD4D98" w:rsidRDefault="001E7B45" w:rsidP="005D5A4D">
      <w:pPr>
        <w:tabs>
          <w:tab w:val="left" w:pos="9356"/>
        </w:tabs>
        <w:spacing w:line="240" w:lineRule="auto"/>
        <w:jc w:val="center"/>
        <w:rPr>
          <w:rFonts w:eastAsia="Times New Roman"/>
          <w:sz w:val="16"/>
          <w:szCs w:val="16"/>
        </w:rPr>
      </w:pPr>
    </w:p>
    <w:p w:rsidR="001E7B45" w:rsidRPr="00BD4D98" w:rsidRDefault="001E7B45" w:rsidP="005D5A4D">
      <w:pPr>
        <w:tabs>
          <w:tab w:val="left" w:pos="9356"/>
        </w:tabs>
        <w:spacing w:line="240" w:lineRule="auto"/>
        <w:jc w:val="center"/>
        <w:rPr>
          <w:rFonts w:eastAsia="Times New Roman"/>
          <w:sz w:val="28"/>
          <w:szCs w:val="28"/>
        </w:rPr>
      </w:pPr>
      <w:r w:rsidRPr="00BD4D98">
        <w:rPr>
          <w:rFonts w:eastAsia="Times New Roman"/>
          <w:sz w:val="28"/>
          <w:szCs w:val="28"/>
        </w:rPr>
        <w:t>Динамика плановых и фактических показателей структуры полезного отпуска электрической энергии за 2018-2019 годы по отдельным категориям потребителей АО «Новосибирскэнергосбыт»</w:t>
      </w:r>
    </w:p>
    <w:p w:rsidR="001E7B45" w:rsidRPr="005451F2" w:rsidRDefault="005451F2" w:rsidP="005451F2">
      <w:pPr>
        <w:spacing w:line="240" w:lineRule="auto"/>
        <w:jc w:val="right"/>
        <w:rPr>
          <w:rFonts w:ascii="Times New Roman CYR" w:eastAsia="Times New Roman" w:hAnsi="Times New Roman CYR" w:cs="Times New Roman CYR"/>
          <w:bCs/>
        </w:rPr>
      </w:pPr>
      <w:r w:rsidRPr="005451F2">
        <w:rPr>
          <w:rFonts w:ascii="Times New Roman CYR" w:eastAsia="Times New Roman" w:hAnsi="Times New Roman CYR" w:cs="Times New Roman CYR"/>
          <w:bCs/>
        </w:rPr>
        <w:t>Таблица №2.</w:t>
      </w:r>
      <w:r w:rsidR="00301B24">
        <w:rPr>
          <w:rFonts w:ascii="Times New Roman CYR" w:eastAsia="Times New Roman" w:hAnsi="Times New Roman CYR" w:cs="Times New Roman CYR"/>
          <w:bCs/>
        </w:rPr>
        <w:t>1.</w:t>
      </w:r>
      <w:r w:rsidRPr="005451F2">
        <w:rPr>
          <w:rFonts w:ascii="Times New Roman CYR" w:eastAsia="Times New Roman" w:hAnsi="Times New Roman CYR" w:cs="Times New Roman CYR"/>
          <w:bCs/>
        </w:rPr>
        <w:t>2.</w:t>
      </w:r>
    </w:p>
    <w:tbl>
      <w:tblPr>
        <w:tblW w:w="9321" w:type="dxa"/>
        <w:tblInd w:w="250" w:type="dxa"/>
        <w:tblLook w:val="04A0" w:firstRow="1" w:lastRow="0" w:firstColumn="1" w:lastColumn="0" w:noHBand="0" w:noVBand="1"/>
      </w:tblPr>
      <w:tblGrid>
        <w:gridCol w:w="2833"/>
        <w:gridCol w:w="1136"/>
        <w:gridCol w:w="1134"/>
        <w:gridCol w:w="1134"/>
        <w:gridCol w:w="1134"/>
        <w:gridCol w:w="1029"/>
        <w:gridCol w:w="921"/>
      </w:tblGrid>
      <w:tr w:rsidR="001E7B45" w:rsidRPr="00BD4D98" w:rsidTr="00300B7B">
        <w:trPr>
          <w:trHeight w:val="315"/>
        </w:trPr>
        <w:tc>
          <w:tcPr>
            <w:tcW w:w="2833" w:type="dxa"/>
            <w:tcBorders>
              <w:top w:val="single" w:sz="8" w:space="0" w:color="auto"/>
              <w:left w:val="single" w:sz="8" w:space="0" w:color="auto"/>
              <w:bottom w:val="nil"/>
              <w:right w:val="single" w:sz="8" w:space="0" w:color="auto"/>
            </w:tcBorders>
            <w:shd w:val="clear" w:color="auto" w:fill="auto"/>
            <w:noWrap/>
            <w:vAlign w:val="center"/>
            <w:hideMark/>
          </w:tcPr>
          <w:p w:rsidR="001E7B45" w:rsidRPr="00BD4D98" w:rsidRDefault="001E7B45" w:rsidP="005451F2">
            <w:pPr>
              <w:spacing w:after="0" w:line="240" w:lineRule="auto"/>
              <w:jc w:val="center"/>
              <w:rPr>
                <w:rFonts w:eastAsia="Times New Roman"/>
                <w:color w:val="000000"/>
                <w:sz w:val="20"/>
                <w:szCs w:val="20"/>
              </w:rPr>
            </w:pPr>
            <w:r w:rsidRPr="00BD4D98">
              <w:rPr>
                <w:rFonts w:eastAsia="Times New Roman"/>
                <w:color w:val="000000"/>
                <w:sz w:val="20"/>
                <w:szCs w:val="20"/>
              </w:rPr>
              <w:t> </w:t>
            </w:r>
          </w:p>
        </w:tc>
        <w:tc>
          <w:tcPr>
            <w:tcW w:w="1136" w:type="dxa"/>
            <w:tcBorders>
              <w:top w:val="single" w:sz="8" w:space="0" w:color="auto"/>
              <w:left w:val="nil"/>
              <w:bottom w:val="nil"/>
              <w:right w:val="single" w:sz="8" w:space="0" w:color="auto"/>
            </w:tcBorders>
            <w:shd w:val="clear" w:color="auto" w:fill="auto"/>
            <w:noWrap/>
            <w:vAlign w:val="center"/>
            <w:hideMark/>
          </w:tcPr>
          <w:p w:rsidR="001E7B45" w:rsidRPr="00BD4D98" w:rsidRDefault="001E7B45" w:rsidP="005451F2">
            <w:pPr>
              <w:spacing w:after="0" w:line="240" w:lineRule="auto"/>
              <w:jc w:val="center"/>
              <w:rPr>
                <w:rFonts w:eastAsia="Times New Roman"/>
                <w:color w:val="000000"/>
                <w:sz w:val="20"/>
                <w:szCs w:val="20"/>
              </w:rPr>
            </w:pPr>
            <w:r w:rsidRPr="00BD4D98">
              <w:rPr>
                <w:rFonts w:eastAsia="Times New Roman"/>
                <w:color w:val="000000"/>
                <w:sz w:val="20"/>
                <w:szCs w:val="20"/>
              </w:rPr>
              <w:t> </w:t>
            </w:r>
          </w:p>
        </w:tc>
        <w:tc>
          <w:tcPr>
            <w:tcW w:w="1134" w:type="dxa"/>
            <w:tcBorders>
              <w:top w:val="single" w:sz="8" w:space="0" w:color="auto"/>
              <w:left w:val="nil"/>
              <w:bottom w:val="single" w:sz="8" w:space="0" w:color="auto"/>
              <w:right w:val="single" w:sz="8" w:space="0" w:color="auto"/>
            </w:tcBorders>
            <w:shd w:val="clear" w:color="auto" w:fill="auto"/>
            <w:noWrap/>
            <w:vAlign w:val="center"/>
            <w:hideMark/>
          </w:tcPr>
          <w:p w:rsidR="001E7B45" w:rsidRPr="00BD4D98" w:rsidRDefault="001E7B45" w:rsidP="005451F2">
            <w:pPr>
              <w:spacing w:after="0" w:line="240" w:lineRule="auto"/>
              <w:jc w:val="center"/>
              <w:rPr>
                <w:rFonts w:eastAsia="Times New Roman"/>
                <w:color w:val="000000"/>
                <w:sz w:val="20"/>
                <w:szCs w:val="20"/>
              </w:rPr>
            </w:pPr>
            <w:r w:rsidRPr="00BD4D98">
              <w:rPr>
                <w:rFonts w:eastAsia="Times New Roman"/>
                <w:color w:val="000000"/>
                <w:sz w:val="20"/>
                <w:szCs w:val="20"/>
              </w:rPr>
              <w:t>2018</w:t>
            </w:r>
          </w:p>
        </w:tc>
        <w:tc>
          <w:tcPr>
            <w:tcW w:w="2268" w:type="dxa"/>
            <w:gridSpan w:val="2"/>
            <w:tcBorders>
              <w:top w:val="single" w:sz="8" w:space="0" w:color="auto"/>
              <w:left w:val="nil"/>
              <w:bottom w:val="single" w:sz="8" w:space="0" w:color="auto"/>
              <w:right w:val="single" w:sz="8" w:space="0" w:color="000000"/>
            </w:tcBorders>
            <w:shd w:val="clear" w:color="auto" w:fill="auto"/>
            <w:noWrap/>
            <w:vAlign w:val="center"/>
            <w:hideMark/>
          </w:tcPr>
          <w:p w:rsidR="001E7B45" w:rsidRPr="00BD4D98" w:rsidRDefault="001E7B45" w:rsidP="005451F2">
            <w:pPr>
              <w:spacing w:after="0" w:line="240" w:lineRule="auto"/>
              <w:jc w:val="center"/>
              <w:rPr>
                <w:rFonts w:eastAsia="Times New Roman"/>
                <w:color w:val="000000"/>
                <w:sz w:val="20"/>
                <w:szCs w:val="20"/>
              </w:rPr>
            </w:pPr>
            <w:r w:rsidRPr="00BD4D98">
              <w:rPr>
                <w:rFonts w:eastAsia="Times New Roman"/>
                <w:color w:val="000000"/>
                <w:sz w:val="20"/>
                <w:szCs w:val="20"/>
              </w:rPr>
              <w:t>2019</w:t>
            </w:r>
          </w:p>
        </w:tc>
        <w:tc>
          <w:tcPr>
            <w:tcW w:w="1950" w:type="dxa"/>
            <w:gridSpan w:val="2"/>
            <w:vMerge w:val="restart"/>
            <w:tcBorders>
              <w:top w:val="single" w:sz="8" w:space="0" w:color="auto"/>
              <w:left w:val="single" w:sz="8" w:space="0" w:color="auto"/>
              <w:bottom w:val="single" w:sz="8" w:space="0" w:color="000000"/>
              <w:right w:val="single" w:sz="8" w:space="0" w:color="000000"/>
            </w:tcBorders>
            <w:shd w:val="clear" w:color="auto" w:fill="auto"/>
            <w:vAlign w:val="center"/>
            <w:hideMark/>
          </w:tcPr>
          <w:p w:rsidR="001E7B45" w:rsidRPr="00BD4D98" w:rsidRDefault="001E7B45" w:rsidP="005451F2">
            <w:pPr>
              <w:spacing w:after="0" w:line="240" w:lineRule="auto"/>
              <w:jc w:val="center"/>
              <w:rPr>
                <w:rFonts w:eastAsia="Times New Roman"/>
                <w:color w:val="000000"/>
                <w:sz w:val="20"/>
                <w:szCs w:val="20"/>
              </w:rPr>
            </w:pPr>
            <w:r w:rsidRPr="00BD4D98">
              <w:rPr>
                <w:rFonts w:eastAsia="Times New Roman"/>
                <w:color w:val="000000"/>
                <w:sz w:val="20"/>
                <w:szCs w:val="20"/>
              </w:rPr>
              <w:t>Отклонение факта 2018 от плана 2018</w:t>
            </w:r>
          </w:p>
        </w:tc>
      </w:tr>
      <w:tr w:rsidR="001E7B45" w:rsidRPr="00BD4D98" w:rsidTr="00300B7B">
        <w:trPr>
          <w:trHeight w:val="315"/>
        </w:trPr>
        <w:tc>
          <w:tcPr>
            <w:tcW w:w="2833" w:type="dxa"/>
            <w:tcBorders>
              <w:top w:val="nil"/>
              <w:left w:val="single" w:sz="8" w:space="0" w:color="auto"/>
              <w:bottom w:val="single" w:sz="8" w:space="0" w:color="auto"/>
              <w:right w:val="single" w:sz="8" w:space="0" w:color="auto"/>
            </w:tcBorders>
            <w:shd w:val="clear" w:color="auto" w:fill="auto"/>
            <w:noWrap/>
            <w:vAlign w:val="center"/>
            <w:hideMark/>
          </w:tcPr>
          <w:p w:rsidR="001E7B45" w:rsidRPr="00BD4D98" w:rsidRDefault="001E7B45" w:rsidP="005451F2">
            <w:pPr>
              <w:spacing w:after="0" w:line="240" w:lineRule="auto"/>
              <w:jc w:val="center"/>
              <w:rPr>
                <w:rFonts w:eastAsia="Times New Roman"/>
                <w:color w:val="000000"/>
                <w:sz w:val="20"/>
                <w:szCs w:val="20"/>
              </w:rPr>
            </w:pPr>
            <w:r w:rsidRPr="00BD4D98">
              <w:rPr>
                <w:rFonts w:eastAsia="Times New Roman"/>
                <w:color w:val="000000"/>
                <w:sz w:val="20"/>
                <w:szCs w:val="20"/>
              </w:rPr>
              <w:t>Показатели</w:t>
            </w:r>
          </w:p>
        </w:tc>
        <w:tc>
          <w:tcPr>
            <w:tcW w:w="1136" w:type="dxa"/>
            <w:tcBorders>
              <w:top w:val="nil"/>
              <w:left w:val="nil"/>
              <w:bottom w:val="single" w:sz="8" w:space="0" w:color="auto"/>
              <w:right w:val="single" w:sz="8" w:space="0" w:color="auto"/>
            </w:tcBorders>
            <w:shd w:val="clear" w:color="auto" w:fill="auto"/>
            <w:noWrap/>
            <w:vAlign w:val="center"/>
            <w:hideMark/>
          </w:tcPr>
          <w:p w:rsidR="001E7B45" w:rsidRPr="00BD4D98" w:rsidRDefault="001E7B45" w:rsidP="005451F2">
            <w:pPr>
              <w:spacing w:after="0" w:line="240" w:lineRule="auto"/>
              <w:jc w:val="center"/>
              <w:rPr>
                <w:rFonts w:eastAsia="Times New Roman"/>
                <w:color w:val="000000"/>
                <w:sz w:val="20"/>
                <w:szCs w:val="20"/>
              </w:rPr>
            </w:pPr>
            <w:r w:rsidRPr="00BD4D98">
              <w:rPr>
                <w:rFonts w:eastAsia="Times New Roman"/>
                <w:color w:val="000000"/>
                <w:sz w:val="20"/>
                <w:szCs w:val="20"/>
              </w:rPr>
              <w:t>Ед. изм.</w:t>
            </w:r>
          </w:p>
        </w:tc>
        <w:tc>
          <w:tcPr>
            <w:tcW w:w="1134" w:type="dxa"/>
            <w:tcBorders>
              <w:top w:val="nil"/>
              <w:left w:val="nil"/>
              <w:bottom w:val="single" w:sz="8" w:space="0" w:color="auto"/>
              <w:right w:val="single" w:sz="8" w:space="0" w:color="auto"/>
            </w:tcBorders>
            <w:shd w:val="clear" w:color="auto" w:fill="auto"/>
            <w:noWrap/>
            <w:vAlign w:val="center"/>
            <w:hideMark/>
          </w:tcPr>
          <w:p w:rsidR="001E7B45" w:rsidRPr="00BD4D98" w:rsidRDefault="001E7B45" w:rsidP="005451F2">
            <w:pPr>
              <w:spacing w:after="0" w:line="240" w:lineRule="auto"/>
              <w:jc w:val="center"/>
              <w:rPr>
                <w:rFonts w:eastAsia="Times New Roman"/>
                <w:color w:val="000000"/>
                <w:sz w:val="20"/>
                <w:szCs w:val="20"/>
              </w:rPr>
            </w:pPr>
            <w:r w:rsidRPr="00BD4D98">
              <w:rPr>
                <w:rFonts w:eastAsia="Times New Roman"/>
                <w:color w:val="000000"/>
                <w:sz w:val="20"/>
                <w:szCs w:val="20"/>
              </w:rPr>
              <w:t>Факт</w:t>
            </w:r>
          </w:p>
        </w:tc>
        <w:tc>
          <w:tcPr>
            <w:tcW w:w="1134" w:type="dxa"/>
            <w:tcBorders>
              <w:top w:val="nil"/>
              <w:left w:val="nil"/>
              <w:bottom w:val="single" w:sz="8" w:space="0" w:color="auto"/>
              <w:right w:val="single" w:sz="8" w:space="0" w:color="auto"/>
            </w:tcBorders>
            <w:shd w:val="clear" w:color="auto" w:fill="auto"/>
            <w:noWrap/>
            <w:vAlign w:val="center"/>
            <w:hideMark/>
          </w:tcPr>
          <w:p w:rsidR="001E7B45" w:rsidRPr="00BD4D98" w:rsidRDefault="001E7B45" w:rsidP="005451F2">
            <w:pPr>
              <w:spacing w:after="0" w:line="240" w:lineRule="auto"/>
              <w:jc w:val="center"/>
              <w:rPr>
                <w:rFonts w:eastAsia="Times New Roman"/>
                <w:color w:val="000000"/>
                <w:sz w:val="20"/>
                <w:szCs w:val="20"/>
              </w:rPr>
            </w:pPr>
            <w:r w:rsidRPr="00BD4D98">
              <w:rPr>
                <w:rFonts w:eastAsia="Times New Roman"/>
                <w:color w:val="000000"/>
                <w:sz w:val="20"/>
                <w:szCs w:val="20"/>
              </w:rPr>
              <w:t>План</w:t>
            </w:r>
          </w:p>
        </w:tc>
        <w:tc>
          <w:tcPr>
            <w:tcW w:w="1134" w:type="dxa"/>
            <w:tcBorders>
              <w:top w:val="nil"/>
              <w:left w:val="nil"/>
              <w:bottom w:val="single" w:sz="8" w:space="0" w:color="auto"/>
              <w:right w:val="single" w:sz="8" w:space="0" w:color="auto"/>
            </w:tcBorders>
            <w:shd w:val="clear" w:color="auto" w:fill="auto"/>
            <w:noWrap/>
            <w:vAlign w:val="center"/>
            <w:hideMark/>
          </w:tcPr>
          <w:p w:rsidR="001E7B45" w:rsidRPr="00BD4D98" w:rsidRDefault="001E7B45" w:rsidP="005451F2">
            <w:pPr>
              <w:spacing w:after="0" w:line="240" w:lineRule="auto"/>
              <w:jc w:val="center"/>
              <w:rPr>
                <w:rFonts w:eastAsia="Times New Roman"/>
                <w:color w:val="000000"/>
                <w:sz w:val="20"/>
                <w:szCs w:val="20"/>
              </w:rPr>
            </w:pPr>
            <w:r w:rsidRPr="00BD4D98">
              <w:rPr>
                <w:rFonts w:eastAsia="Times New Roman"/>
                <w:color w:val="000000"/>
                <w:sz w:val="20"/>
                <w:szCs w:val="20"/>
              </w:rPr>
              <w:t>Факт</w:t>
            </w:r>
          </w:p>
        </w:tc>
        <w:tc>
          <w:tcPr>
            <w:tcW w:w="1950" w:type="dxa"/>
            <w:gridSpan w:val="2"/>
            <w:vMerge/>
            <w:tcBorders>
              <w:top w:val="nil"/>
              <w:left w:val="nil"/>
              <w:bottom w:val="single" w:sz="8" w:space="0" w:color="auto"/>
              <w:right w:val="single" w:sz="8" w:space="0" w:color="auto"/>
            </w:tcBorders>
            <w:vAlign w:val="center"/>
            <w:hideMark/>
          </w:tcPr>
          <w:p w:rsidR="001E7B45" w:rsidRPr="00BD4D98" w:rsidRDefault="001E7B45" w:rsidP="005451F2">
            <w:pPr>
              <w:spacing w:after="0" w:line="240" w:lineRule="auto"/>
              <w:rPr>
                <w:rFonts w:eastAsia="Times New Roman"/>
                <w:color w:val="000000"/>
                <w:sz w:val="20"/>
                <w:szCs w:val="20"/>
              </w:rPr>
            </w:pPr>
          </w:p>
        </w:tc>
      </w:tr>
      <w:tr w:rsidR="001E7B45" w:rsidRPr="00BD4D98" w:rsidTr="00300B7B">
        <w:trPr>
          <w:trHeight w:val="315"/>
        </w:trPr>
        <w:tc>
          <w:tcPr>
            <w:tcW w:w="2833" w:type="dxa"/>
            <w:tcBorders>
              <w:top w:val="nil"/>
              <w:left w:val="single" w:sz="8" w:space="0" w:color="auto"/>
              <w:bottom w:val="single" w:sz="8" w:space="0" w:color="auto"/>
              <w:right w:val="single" w:sz="8" w:space="0" w:color="auto"/>
            </w:tcBorders>
            <w:shd w:val="clear" w:color="auto" w:fill="auto"/>
            <w:noWrap/>
            <w:vAlign w:val="center"/>
            <w:hideMark/>
          </w:tcPr>
          <w:p w:rsidR="001E7B45" w:rsidRPr="00BD4D98" w:rsidRDefault="001E7B45" w:rsidP="005451F2">
            <w:pPr>
              <w:spacing w:after="0" w:line="240" w:lineRule="auto"/>
              <w:rPr>
                <w:rFonts w:eastAsia="Times New Roman"/>
                <w:color w:val="000000"/>
                <w:sz w:val="20"/>
                <w:szCs w:val="20"/>
              </w:rPr>
            </w:pPr>
            <w:r w:rsidRPr="00BD4D98">
              <w:rPr>
                <w:rFonts w:eastAsia="Times New Roman"/>
                <w:color w:val="000000"/>
                <w:sz w:val="20"/>
                <w:szCs w:val="20"/>
              </w:rPr>
              <w:t>1. Пром 750кВА и выше</w:t>
            </w:r>
          </w:p>
        </w:tc>
        <w:tc>
          <w:tcPr>
            <w:tcW w:w="1136" w:type="dxa"/>
            <w:tcBorders>
              <w:top w:val="nil"/>
              <w:left w:val="nil"/>
              <w:bottom w:val="single" w:sz="8" w:space="0" w:color="auto"/>
              <w:right w:val="single" w:sz="8" w:space="0" w:color="auto"/>
            </w:tcBorders>
            <w:shd w:val="clear" w:color="auto" w:fill="auto"/>
            <w:noWrap/>
            <w:vAlign w:val="center"/>
            <w:hideMark/>
          </w:tcPr>
          <w:p w:rsidR="001E7B45" w:rsidRPr="00BD4D98" w:rsidRDefault="001E7B45" w:rsidP="005451F2">
            <w:pPr>
              <w:spacing w:after="0" w:line="240" w:lineRule="auto"/>
              <w:rPr>
                <w:rFonts w:eastAsia="Times New Roman"/>
                <w:color w:val="000000"/>
                <w:sz w:val="20"/>
                <w:szCs w:val="20"/>
              </w:rPr>
            </w:pPr>
            <w:r w:rsidRPr="00BD4D98">
              <w:rPr>
                <w:rFonts w:eastAsia="Times New Roman"/>
                <w:color w:val="000000"/>
                <w:sz w:val="20"/>
                <w:szCs w:val="20"/>
              </w:rPr>
              <w:t>млн.кВт.ч.</w:t>
            </w:r>
          </w:p>
        </w:tc>
        <w:tc>
          <w:tcPr>
            <w:tcW w:w="1134" w:type="dxa"/>
            <w:tcBorders>
              <w:top w:val="nil"/>
              <w:left w:val="nil"/>
              <w:bottom w:val="single" w:sz="8" w:space="0" w:color="auto"/>
              <w:right w:val="single" w:sz="8" w:space="0" w:color="auto"/>
            </w:tcBorders>
            <w:shd w:val="clear" w:color="auto" w:fill="auto"/>
            <w:noWrap/>
            <w:vAlign w:val="center"/>
          </w:tcPr>
          <w:p w:rsidR="001E7B45" w:rsidRPr="00BD4D98" w:rsidRDefault="001E7B45" w:rsidP="005451F2">
            <w:pPr>
              <w:spacing w:after="0" w:line="240" w:lineRule="auto"/>
              <w:jc w:val="right"/>
              <w:rPr>
                <w:color w:val="000000"/>
                <w:sz w:val="20"/>
                <w:szCs w:val="20"/>
              </w:rPr>
            </w:pPr>
            <w:r w:rsidRPr="00BD4D98">
              <w:rPr>
                <w:color w:val="000000"/>
                <w:sz w:val="20"/>
                <w:szCs w:val="20"/>
              </w:rPr>
              <w:t>2799,027</w:t>
            </w:r>
          </w:p>
        </w:tc>
        <w:tc>
          <w:tcPr>
            <w:tcW w:w="1134" w:type="dxa"/>
            <w:tcBorders>
              <w:top w:val="nil"/>
              <w:left w:val="nil"/>
              <w:bottom w:val="single" w:sz="8" w:space="0" w:color="auto"/>
              <w:right w:val="single" w:sz="8" w:space="0" w:color="auto"/>
            </w:tcBorders>
            <w:shd w:val="clear" w:color="auto" w:fill="auto"/>
            <w:noWrap/>
            <w:vAlign w:val="center"/>
            <w:hideMark/>
          </w:tcPr>
          <w:p w:rsidR="001E7B45" w:rsidRPr="00BD4D98" w:rsidRDefault="001E7B45" w:rsidP="005451F2">
            <w:pPr>
              <w:spacing w:after="0" w:line="240" w:lineRule="auto"/>
              <w:jc w:val="right"/>
              <w:rPr>
                <w:color w:val="000000"/>
                <w:sz w:val="20"/>
                <w:szCs w:val="20"/>
              </w:rPr>
            </w:pPr>
            <w:r w:rsidRPr="00BD4D98">
              <w:rPr>
                <w:color w:val="000000"/>
                <w:sz w:val="20"/>
                <w:szCs w:val="20"/>
              </w:rPr>
              <w:t>2 692,996</w:t>
            </w:r>
          </w:p>
        </w:tc>
        <w:tc>
          <w:tcPr>
            <w:tcW w:w="1134" w:type="dxa"/>
            <w:tcBorders>
              <w:top w:val="nil"/>
              <w:left w:val="nil"/>
              <w:bottom w:val="single" w:sz="8" w:space="0" w:color="auto"/>
              <w:right w:val="single" w:sz="8" w:space="0" w:color="auto"/>
            </w:tcBorders>
            <w:shd w:val="clear" w:color="auto" w:fill="auto"/>
            <w:noWrap/>
            <w:vAlign w:val="center"/>
            <w:hideMark/>
          </w:tcPr>
          <w:p w:rsidR="001E7B45" w:rsidRPr="00BD4D98" w:rsidRDefault="001E7B45" w:rsidP="005451F2">
            <w:pPr>
              <w:spacing w:after="0" w:line="240" w:lineRule="auto"/>
              <w:jc w:val="right"/>
              <w:rPr>
                <w:color w:val="000000"/>
                <w:sz w:val="20"/>
                <w:szCs w:val="20"/>
              </w:rPr>
            </w:pPr>
            <w:r w:rsidRPr="00BD4D98">
              <w:rPr>
                <w:color w:val="000000"/>
                <w:sz w:val="20"/>
                <w:szCs w:val="20"/>
              </w:rPr>
              <w:t>2 803,894</w:t>
            </w:r>
          </w:p>
        </w:tc>
        <w:tc>
          <w:tcPr>
            <w:tcW w:w="1029" w:type="dxa"/>
            <w:tcBorders>
              <w:top w:val="nil"/>
              <w:left w:val="nil"/>
              <w:bottom w:val="single" w:sz="8" w:space="0" w:color="auto"/>
              <w:right w:val="single" w:sz="8" w:space="0" w:color="auto"/>
            </w:tcBorders>
            <w:shd w:val="clear" w:color="auto" w:fill="auto"/>
            <w:noWrap/>
            <w:vAlign w:val="center"/>
            <w:hideMark/>
          </w:tcPr>
          <w:p w:rsidR="001E7B45" w:rsidRPr="00BD4D98" w:rsidRDefault="001E7B45" w:rsidP="005451F2">
            <w:pPr>
              <w:spacing w:after="0" w:line="240" w:lineRule="auto"/>
              <w:jc w:val="right"/>
              <w:rPr>
                <w:color w:val="000000"/>
                <w:sz w:val="20"/>
                <w:szCs w:val="20"/>
              </w:rPr>
            </w:pPr>
            <w:r w:rsidRPr="00BD4D98">
              <w:rPr>
                <w:color w:val="000000"/>
                <w:sz w:val="20"/>
                <w:szCs w:val="20"/>
              </w:rPr>
              <w:br/>
              <w:t>110,897</w:t>
            </w:r>
          </w:p>
          <w:p w:rsidR="001E7B45" w:rsidRPr="00BD4D98" w:rsidRDefault="001E7B45" w:rsidP="005451F2">
            <w:pPr>
              <w:spacing w:after="0" w:line="240" w:lineRule="auto"/>
              <w:jc w:val="right"/>
              <w:rPr>
                <w:color w:val="000000"/>
                <w:sz w:val="20"/>
                <w:szCs w:val="20"/>
              </w:rPr>
            </w:pPr>
          </w:p>
        </w:tc>
        <w:tc>
          <w:tcPr>
            <w:tcW w:w="921" w:type="dxa"/>
            <w:tcBorders>
              <w:top w:val="nil"/>
              <w:left w:val="nil"/>
              <w:bottom w:val="single" w:sz="8" w:space="0" w:color="auto"/>
              <w:right w:val="single" w:sz="8" w:space="0" w:color="auto"/>
            </w:tcBorders>
            <w:shd w:val="clear" w:color="auto" w:fill="auto"/>
            <w:noWrap/>
            <w:vAlign w:val="center"/>
            <w:hideMark/>
          </w:tcPr>
          <w:p w:rsidR="001E7B45" w:rsidRPr="00BD4D98" w:rsidRDefault="001E7B45" w:rsidP="005451F2">
            <w:pPr>
              <w:spacing w:after="0" w:line="240" w:lineRule="auto"/>
              <w:jc w:val="right"/>
              <w:rPr>
                <w:i/>
                <w:iCs/>
                <w:color w:val="000000"/>
                <w:sz w:val="20"/>
                <w:szCs w:val="20"/>
              </w:rPr>
            </w:pPr>
            <w:r w:rsidRPr="00BD4D98">
              <w:rPr>
                <w:i/>
                <w:iCs/>
                <w:color w:val="000000"/>
                <w:sz w:val="20"/>
                <w:szCs w:val="20"/>
              </w:rPr>
              <w:t>4,1%</w:t>
            </w:r>
          </w:p>
        </w:tc>
      </w:tr>
      <w:tr w:rsidR="001E7B45" w:rsidRPr="00BD4D98" w:rsidTr="00300B7B">
        <w:trPr>
          <w:trHeight w:val="315"/>
        </w:trPr>
        <w:tc>
          <w:tcPr>
            <w:tcW w:w="2833" w:type="dxa"/>
            <w:tcBorders>
              <w:top w:val="nil"/>
              <w:left w:val="single" w:sz="8" w:space="0" w:color="auto"/>
              <w:bottom w:val="single" w:sz="8" w:space="0" w:color="auto"/>
              <w:right w:val="single" w:sz="8" w:space="0" w:color="auto"/>
            </w:tcBorders>
            <w:shd w:val="clear" w:color="auto" w:fill="auto"/>
            <w:noWrap/>
            <w:vAlign w:val="center"/>
            <w:hideMark/>
          </w:tcPr>
          <w:p w:rsidR="001E7B45" w:rsidRPr="00BD4D98" w:rsidRDefault="001E7B45" w:rsidP="005451F2">
            <w:pPr>
              <w:spacing w:after="0" w:line="240" w:lineRule="auto"/>
              <w:rPr>
                <w:rFonts w:eastAsia="Times New Roman"/>
                <w:color w:val="000000"/>
                <w:sz w:val="20"/>
                <w:szCs w:val="20"/>
              </w:rPr>
            </w:pPr>
            <w:r w:rsidRPr="00BD4D98">
              <w:rPr>
                <w:rFonts w:eastAsia="Times New Roman"/>
                <w:color w:val="000000"/>
                <w:sz w:val="20"/>
                <w:szCs w:val="20"/>
              </w:rPr>
              <w:t>2. Пром. до 750 кВА</w:t>
            </w:r>
          </w:p>
        </w:tc>
        <w:tc>
          <w:tcPr>
            <w:tcW w:w="1136" w:type="dxa"/>
            <w:tcBorders>
              <w:top w:val="nil"/>
              <w:left w:val="nil"/>
              <w:bottom w:val="single" w:sz="8" w:space="0" w:color="auto"/>
              <w:right w:val="single" w:sz="8" w:space="0" w:color="auto"/>
            </w:tcBorders>
            <w:shd w:val="clear" w:color="auto" w:fill="auto"/>
            <w:noWrap/>
            <w:vAlign w:val="center"/>
            <w:hideMark/>
          </w:tcPr>
          <w:p w:rsidR="001E7B45" w:rsidRPr="00BD4D98" w:rsidRDefault="001E7B45" w:rsidP="005451F2">
            <w:pPr>
              <w:spacing w:after="0" w:line="240" w:lineRule="auto"/>
              <w:rPr>
                <w:rFonts w:eastAsia="Times New Roman"/>
                <w:color w:val="000000"/>
                <w:sz w:val="20"/>
                <w:szCs w:val="20"/>
              </w:rPr>
            </w:pPr>
            <w:r w:rsidRPr="00BD4D98">
              <w:rPr>
                <w:rFonts w:eastAsia="Times New Roman"/>
                <w:color w:val="000000"/>
                <w:sz w:val="20"/>
                <w:szCs w:val="20"/>
              </w:rPr>
              <w:t>млн.кВт.ч.</w:t>
            </w:r>
          </w:p>
        </w:tc>
        <w:tc>
          <w:tcPr>
            <w:tcW w:w="1134" w:type="dxa"/>
            <w:tcBorders>
              <w:top w:val="nil"/>
              <w:left w:val="nil"/>
              <w:bottom w:val="single" w:sz="8" w:space="0" w:color="auto"/>
              <w:right w:val="single" w:sz="8" w:space="0" w:color="auto"/>
            </w:tcBorders>
            <w:shd w:val="clear" w:color="auto" w:fill="auto"/>
            <w:noWrap/>
            <w:vAlign w:val="center"/>
          </w:tcPr>
          <w:p w:rsidR="001E7B45" w:rsidRPr="00BD4D98" w:rsidRDefault="001E7B45" w:rsidP="005451F2">
            <w:pPr>
              <w:spacing w:after="0" w:line="240" w:lineRule="auto"/>
              <w:jc w:val="right"/>
              <w:rPr>
                <w:color w:val="000000"/>
                <w:sz w:val="20"/>
                <w:szCs w:val="20"/>
              </w:rPr>
            </w:pPr>
            <w:r w:rsidRPr="00BD4D98">
              <w:rPr>
                <w:color w:val="000000"/>
                <w:sz w:val="20"/>
                <w:szCs w:val="20"/>
              </w:rPr>
              <w:t>838,064</w:t>
            </w:r>
          </w:p>
        </w:tc>
        <w:tc>
          <w:tcPr>
            <w:tcW w:w="1134" w:type="dxa"/>
            <w:tcBorders>
              <w:top w:val="nil"/>
              <w:left w:val="nil"/>
              <w:bottom w:val="single" w:sz="8" w:space="0" w:color="auto"/>
              <w:right w:val="single" w:sz="8" w:space="0" w:color="auto"/>
            </w:tcBorders>
            <w:shd w:val="clear" w:color="auto" w:fill="auto"/>
            <w:noWrap/>
            <w:vAlign w:val="center"/>
            <w:hideMark/>
          </w:tcPr>
          <w:p w:rsidR="001E7B45" w:rsidRPr="00BD4D98" w:rsidRDefault="001E7B45" w:rsidP="005451F2">
            <w:pPr>
              <w:spacing w:after="0" w:line="240" w:lineRule="auto"/>
              <w:jc w:val="right"/>
              <w:rPr>
                <w:color w:val="000000"/>
                <w:sz w:val="20"/>
                <w:szCs w:val="20"/>
              </w:rPr>
            </w:pPr>
            <w:r w:rsidRPr="00BD4D98">
              <w:rPr>
                <w:color w:val="000000"/>
                <w:sz w:val="20"/>
                <w:szCs w:val="20"/>
              </w:rPr>
              <w:t>861,369</w:t>
            </w:r>
          </w:p>
        </w:tc>
        <w:tc>
          <w:tcPr>
            <w:tcW w:w="1134" w:type="dxa"/>
            <w:tcBorders>
              <w:top w:val="nil"/>
              <w:left w:val="nil"/>
              <w:bottom w:val="single" w:sz="8" w:space="0" w:color="auto"/>
              <w:right w:val="single" w:sz="8" w:space="0" w:color="auto"/>
            </w:tcBorders>
            <w:shd w:val="clear" w:color="auto" w:fill="auto"/>
            <w:noWrap/>
            <w:vAlign w:val="center"/>
            <w:hideMark/>
          </w:tcPr>
          <w:p w:rsidR="001E7B45" w:rsidRPr="00BD4D98" w:rsidRDefault="001E7B45" w:rsidP="005451F2">
            <w:pPr>
              <w:spacing w:after="0" w:line="240" w:lineRule="auto"/>
              <w:jc w:val="right"/>
              <w:rPr>
                <w:color w:val="000000"/>
                <w:sz w:val="20"/>
                <w:szCs w:val="20"/>
              </w:rPr>
            </w:pPr>
            <w:r w:rsidRPr="00BD4D98">
              <w:rPr>
                <w:color w:val="000000"/>
                <w:sz w:val="20"/>
                <w:szCs w:val="20"/>
              </w:rPr>
              <w:t>794,147</w:t>
            </w:r>
          </w:p>
        </w:tc>
        <w:tc>
          <w:tcPr>
            <w:tcW w:w="1029" w:type="dxa"/>
            <w:tcBorders>
              <w:top w:val="nil"/>
              <w:left w:val="nil"/>
              <w:bottom w:val="single" w:sz="8" w:space="0" w:color="auto"/>
              <w:right w:val="single" w:sz="8" w:space="0" w:color="auto"/>
            </w:tcBorders>
            <w:shd w:val="clear" w:color="auto" w:fill="auto"/>
            <w:noWrap/>
            <w:vAlign w:val="center"/>
            <w:hideMark/>
          </w:tcPr>
          <w:p w:rsidR="001E7B45" w:rsidRPr="00BD4D98" w:rsidRDefault="001E7B45" w:rsidP="005451F2">
            <w:pPr>
              <w:spacing w:after="0" w:line="240" w:lineRule="auto"/>
              <w:jc w:val="right"/>
              <w:rPr>
                <w:color w:val="000000"/>
                <w:sz w:val="20"/>
                <w:szCs w:val="20"/>
              </w:rPr>
            </w:pPr>
            <w:r w:rsidRPr="00BD4D98">
              <w:rPr>
                <w:color w:val="000000"/>
                <w:sz w:val="20"/>
                <w:szCs w:val="20"/>
              </w:rPr>
              <w:t>-67,222</w:t>
            </w:r>
          </w:p>
        </w:tc>
        <w:tc>
          <w:tcPr>
            <w:tcW w:w="921" w:type="dxa"/>
            <w:tcBorders>
              <w:top w:val="nil"/>
              <w:left w:val="nil"/>
              <w:bottom w:val="single" w:sz="8" w:space="0" w:color="auto"/>
              <w:right w:val="single" w:sz="8" w:space="0" w:color="auto"/>
            </w:tcBorders>
            <w:shd w:val="clear" w:color="auto" w:fill="auto"/>
            <w:noWrap/>
            <w:vAlign w:val="center"/>
            <w:hideMark/>
          </w:tcPr>
          <w:p w:rsidR="001E7B45" w:rsidRPr="00BD4D98" w:rsidRDefault="001E7B45" w:rsidP="005451F2">
            <w:pPr>
              <w:spacing w:after="0" w:line="240" w:lineRule="auto"/>
              <w:jc w:val="right"/>
              <w:rPr>
                <w:i/>
                <w:iCs/>
                <w:color w:val="000000"/>
                <w:sz w:val="20"/>
                <w:szCs w:val="20"/>
              </w:rPr>
            </w:pPr>
            <w:r w:rsidRPr="00BD4D98">
              <w:rPr>
                <w:i/>
                <w:iCs/>
                <w:color w:val="000000"/>
                <w:sz w:val="20"/>
                <w:szCs w:val="20"/>
              </w:rPr>
              <w:t>-7,8%</w:t>
            </w:r>
          </w:p>
        </w:tc>
      </w:tr>
      <w:tr w:rsidR="001E7B45" w:rsidRPr="00BD4D98" w:rsidTr="00300B7B">
        <w:trPr>
          <w:trHeight w:val="315"/>
        </w:trPr>
        <w:tc>
          <w:tcPr>
            <w:tcW w:w="2833" w:type="dxa"/>
            <w:tcBorders>
              <w:top w:val="nil"/>
              <w:left w:val="single" w:sz="8" w:space="0" w:color="auto"/>
              <w:bottom w:val="single" w:sz="4" w:space="0" w:color="auto"/>
              <w:right w:val="single" w:sz="8" w:space="0" w:color="auto"/>
            </w:tcBorders>
            <w:shd w:val="clear" w:color="auto" w:fill="auto"/>
            <w:noWrap/>
            <w:vAlign w:val="center"/>
            <w:hideMark/>
          </w:tcPr>
          <w:p w:rsidR="001E7B45" w:rsidRPr="00BD4D98" w:rsidRDefault="001E7B45" w:rsidP="005451F2">
            <w:pPr>
              <w:spacing w:after="0" w:line="240" w:lineRule="auto"/>
              <w:rPr>
                <w:rFonts w:eastAsia="Times New Roman"/>
                <w:color w:val="000000"/>
                <w:sz w:val="20"/>
                <w:szCs w:val="20"/>
              </w:rPr>
            </w:pPr>
            <w:r w:rsidRPr="00BD4D98">
              <w:rPr>
                <w:rFonts w:eastAsia="Times New Roman"/>
                <w:color w:val="000000"/>
                <w:sz w:val="20"/>
                <w:szCs w:val="20"/>
              </w:rPr>
              <w:t>3. Ж/д транспорт</w:t>
            </w:r>
          </w:p>
        </w:tc>
        <w:tc>
          <w:tcPr>
            <w:tcW w:w="1136" w:type="dxa"/>
            <w:tcBorders>
              <w:top w:val="nil"/>
              <w:left w:val="nil"/>
              <w:bottom w:val="single" w:sz="4" w:space="0" w:color="auto"/>
              <w:right w:val="single" w:sz="8" w:space="0" w:color="auto"/>
            </w:tcBorders>
            <w:shd w:val="clear" w:color="auto" w:fill="auto"/>
            <w:noWrap/>
            <w:vAlign w:val="center"/>
            <w:hideMark/>
          </w:tcPr>
          <w:p w:rsidR="001E7B45" w:rsidRPr="00BD4D98" w:rsidRDefault="001E7B45" w:rsidP="005451F2">
            <w:pPr>
              <w:spacing w:after="0" w:line="240" w:lineRule="auto"/>
              <w:rPr>
                <w:rFonts w:eastAsia="Times New Roman"/>
                <w:color w:val="000000"/>
                <w:sz w:val="20"/>
                <w:szCs w:val="20"/>
              </w:rPr>
            </w:pPr>
            <w:r w:rsidRPr="00BD4D98">
              <w:rPr>
                <w:rFonts w:eastAsia="Times New Roman"/>
                <w:color w:val="000000"/>
                <w:sz w:val="20"/>
                <w:szCs w:val="20"/>
              </w:rPr>
              <w:t>млн.кВт.ч.</w:t>
            </w:r>
          </w:p>
        </w:tc>
        <w:tc>
          <w:tcPr>
            <w:tcW w:w="1134" w:type="dxa"/>
            <w:tcBorders>
              <w:top w:val="nil"/>
              <w:left w:val="nil"/>
              <w:bottom w:val="single" w:sz="4" w:space="0" w:color="auto"/>
              <w:right w:val="single" w:sz="8" w:space="0" w:color="auto"/>
            </w:tcBorders>
            <w:shd w:val="clear" w:color="auto" w:fill="auto"/>
            <w:noWrap/>
            <w:vAlign w:val="center"/>
          </w:tcPr>
          <w:p w:rsidR="001E7B45" w:rsidRPr="00BD4D98" w:rsidRDefault="001E7B45" w:rsidP="005451F2">
            <w:pPr>
              <w:spacing w:after="0" w:line="240" w:lineRule="auto"/>
              <w:jc w:val="right"/>
              <w:rPr>
                <w:color w:val="000000"/>
                <w:sz w:val="20"/>
                <w:szCs w:val="20"/>
              </w:rPr>
            </w:pPr>
            <w:r w:rsidRPr="00BD4D98">
              <w:rPr>
                <w:color w:val="000000"/>
                <w:sz w:val="20"/>
                <w:szCs w:val="20"/>
              </w:rPr>
              <w:t>1741,909</w:t>
            </w:r>
          </w:p>
        </w:tc>
        <w:tc>
          <w:tcPr>
            <w:tcW w:w="1134" w:type="dxa"/>
            <w:tcBorders>
              <w:top w:val="nil"/>
              <w:left w:val="nil"/>
              <w:bottom w:val="single" w:sz="4" w:space="0" w:color="auto"/>
              <w:right w:val="single" w:sz="8" w:space="0" w:color="auto"/>
            </w:tcBorders>
            <w:shd w:val="clear" w:color="auto" w:fill="auto"/>
            <w:noWrap/>
            <w:vAlign w:val="center"/>
            <w:hideMark/>
          </w:tcPr>
          <w:p w:rsidR="001E7B45" w:rsidRPr="00BD4D98" w:rsidRDefault="001E7B45" w:rsidP="005451F2">
            <w:pPr>
              <w:spacing w:after="0" w:line="240" w:lineRule="auto"/>
              <w:jc w:val="right"/>
              <w:rPr>
                <w:color w:val="000000"/>
                <w:sz w:val="20"/>
                <w:szCs w:val="20"/>
              </w:rPr>
            </w:pPr>
            <w:r w:rsidRPr="00BD4D98">
              <w:rPr>
                <w:color w:val="000000"/>
                <w:sz w:val="20"/>
                <w:szCs w:val="20"/>
              </w:rPr>
              <w:t>1 687,861</w:t>
            </w:r>
          </w:p>
        </w:tc>
        <w:tc>
          <w:tcPr>
            <w:tcW w:w="1134" w:type="dxa"/>
            <w:tcBorders>
              <w:top w:val="nil"/>
              <w:left w:val="nil"/>
              <w:bottom w:val="single" w:sz="4" w:space="0" w:color="auto"/>
              <w:right w:val="single" w:sz="8" w:space="0" w:color="auto"/>
            </w:tcBorders>
            <w:shd w:val="clear" w:color="auto" w:fill="auto"/>
            <w:noWrap/>
            <w:vAlign w:val="center"/>
            <w:hideMark/>
          </w:tcPr>
          <w:p w:rsidR="001E7B45" w:rsidRPr="00BD4D98" w:rsidRDefault="001E7B45" w:rsidP="005451F2">
            <w:pPr>
              <w:spacing w:after="0" w:line="240" w:lineRule="auto"/>
              <w:jc w:val="right"/>
              <w:rPr>
                <w:color w:val="000000"/>
                <w:sz w:val="20"/>
                <w:szCs w:val="20"/>
              </w:rPr>
            </w:pPr>
            <w:r w:rsidRPr="00BD4D98">
              <w:rPr>
                <w:color w:val="000000"/>
                <w:sz w:val="20"/>
                <w:szCs w:val="20"/>
              </w:rPr>
              <w:t>1 742,332</w:t>
            </w:r>
          </w:p>
        </w:tc>
        <w:tc>
          <w:tcPr>
            <w:tcW w:w="1029" w:type="dxa"/>
            <w:tcBorders>
              <w:top w:val="nil"/>
              <w:left w:val="nil"/>
              <w:bottom w:val="single" w:sz="4" w:space="0" w:color="auto"/>
              <w:right w:val="single" w:sz="8" w:space="0" w:color="auto"/>
            </w:tcBorders>
            <w:shd w:val="clear" w:color="auto" w:fill="auto"/>
            <w:noWrap/>
            <w:vAlign w:val="center"/>
            <w:hideMark/>
          </w:tcPr>
          <w:p w:rsidR="001E7B45" w:rsidRPr="00BD4D98" w:rsidRDefault="001E7B45" w:rsidP="005451F2">
            <w:pPr>
              <w:spacing w:after="0" w:line="240" w:lineRule="auto"/>
              <w:jc w:val="right"/>
              <w:rPr>
                <w:color w:val="000000"/>
                <w:sz w:val="20"/>
                <w:szCs w:val="20"/>
              </w:rPr>
            </w:pPr>
            <w:r w:rsidRPr="00BD4D98">
              <w:rPr>
                <w:color w:val="000000"/>
                <w:sz w:val="20"/>
                <w:szCs w:val="20"/>
              </w:rPr>
              <w:t>54,472</w:t>
            </w:r>
          </w:p>
        </w:tc>
        <w:tc>
          <w:tcPr>
            <w:tcW w:w="921" w:type="dxa"/>
            <w:tcBorders>
              <w:top w:val="nil"/>
              <w:left w:val="nil"/>
              <w:bottom w:val="single" w:sz="4" w:space="0" w:color="auto"/>
              <w:right w:val="single" w:sz="8" w:space="0" w:color="auto"/>
            </w:tcBorders>
            <w:shd w:val="clear" w:color="auto" w:fill="auto"/>
            <w:noWrap/>
            <w:vAlign w:val="center"/>
            <w:hideMark/>
          </w:tcPr>
          <w:p w:rsidR="001E7B45" w:rsidRPr="00BD4D98" w:rsidRDefault="001E7B45" w:rsidP="005451F2">
            <w:pPr>
              <w:spacing w:after="0" w:line="240" w:lineRule="auto"/>
              <w:jc w:val="right"/>
              <w:rPr>
                <w:i/>
                <w:iCs/>
                <w:color w:val="000000"/>
                <w:sz w:val="20"/>
                <w:szCs w:val="20"/>
              </w:rPr>
            </w:pPr>
            <w:r w:rsidRPr="00BD4D98">
              <w:rPr>
                <w:i/>
                <w:iCs/>
                <w:color w:val="000000"/>
                <w:sz w:val="20"/>
                <w:szCs w:val="20"/>
              </w:rPr>
              <w:t>3,2%</w:t>
            </w:r>
          </w:p>
        </w:tc>
      </w:tr>
      <w:tr w:rsidR="001E7B45" w:rsidRPr="00BD4D98" w:rsidTr="00B726B9">
        <w:trPr>
          <w:trHeight w:val="315"/>
        </w:trPr>
        <w:tc>
          <w:tcPr>
            <w:tcW w:w="2833" w:type="dxa"/>
            <w:tcBorders>
              <w:top w:val="single" w:sz="4" w:space="0" w:color="auto"/>
              <w:left w:val="single" w:sz="8" w:space="0" w:color="auto"/>
              <w:bottom w:val="single" w:sz="4" w:space="0" w:color="auto"/>
              <w:right w:val="single" w:sz="8" w:space="0" w:color="auto"/>
            </w:tcBorders>
            <w:shd w:val="clear" w:color="auto" w:fill="auto"/>
            <w:noWrap/>
            <w:vAlign w:val="center"/>
            <w:hideMark/>
          </w:tcPr>
          <w:p w:rsidR="001E7B45" w:rsidRPr="00BD4D98" w:rsidRDefault="001E7B45" w:rsidP="005451F2">
            <w:pPr>
              <w:spacing w:after="0" w:line="240" w:lineRule="auto"/>
              <w:rPr>
                <w:rFonts w:eastAsia="Times New Roman"/>
                <w:color w:val="000000"/>
                <w:sz w:val="20"/>
                <w:szCs w:val="20"/>
              </w:rPr>
            </w:pPr>
            <w:r w:rsidRPr="00BD4D98">
              <w:rPr>
                <w:rFonts w:eastAsia="Times New Roman"/>
                <w:color w:val="000000"/>
                <w:sz w:val="20"/>
                <w:szCs w:val="20"/>
              </w:rPr>
              <w:t>4. Городской транспорт</w:t>
            </w:r>
          </w:p>
        </w:tc>
        <w:tc>
          <w:tcPr>
            <w:tcW w:w="1136" w:type="dxa"/>
            <w:tcBorders>
              <w:top w:val="single" w:sz="4" w:space="0" w:color="auto"/>
              <w:left w:val="nil"/>
              <w:bottom w:val="single" w:sz="4" w:space="0" w:color="auto"/>
              <w:right w:val="single" w:sz="8" w:space="0" w:color="auto"/>
            </w:tcBorders>
            <w:shd w:val="clear" w:color="auto" w:fill="auto"/>
            <w:noWrap/>
            <w:vAlign w:val="center"/>
            <w:hideMark/>
          </w:tcPr>
          <w:p w:rsidR="001E7B45" w:rsidRPr="00BD4D98" w:rsidRDefault="001E7B45" w:rsidP="005451F2">
            <w:pPr>
              <w:spacing w:after="0" w:line="240" w:lineRule="auto"/>
              <w:rPr>
                <w:rFonts w:eastAsia="Times New Roman"/>
                <w:color w:val="000000"/>
                <w:sz w:val="20"/>
                <w:szCs w:val="20"/>
              </w:rPr>
            </w:pPr>
            <w:r w:rsidRPr="00BD4D98">
              <w:rPr>
                <w:rFonts w:eastAsia="Times New Roman"/>
                <w:color w:val="000000"/>
                <w:sz w:val="20"/>
                <w:szCs w:val="20"/>
              </w:rPr>
              <w:t>млн.кВт.ч.</w:t>
            </w:r>
          </w:p>
        </w:tc>
        <w:tc>
          <w:tcPr>
            <w:tcW w:w="1134" w:type="dxa"/>
            <w:tcBorders>
              <w:top w:val="single" w:sz="4" w:space="0" w:color="auto"/>
              <w:left w:val="nil"/>
              <w:bottom w:val="single" w:sz="4" w:space="0" w:color="auto"/>
              <w:right w:val="single" w:sz="8" w:space="0" w:color="auto"/>
            </w:tcBorders>
            <w:shd w:val="clear" w:color="auto" w:fill="auto"/>
            <w:noWrap/>
            <w:vAlign w:val="center"/>
          </w:tcPr>
          <w:p w:rsidR="001E7B45" w:rsidRPr="00BD4D98" w:rsidRDefault="001E7B45" w:rsidP="005451F2">
            <w:pPr>
              <w:spacing w:after="0" w:line="240" w:lineRule="auto"/>
              <w:jc w:val="right"/>
              <w:rPr>
                <w:color w:val="000000"/>
                <w:sz w:val="20"/>
                <w:szCs w:val="20"/>
              </w:rPr>
            </w:pPr>
            <w:r w:rsidRPr="00BD4D98">
              <w:rPr>
                <w:color w:val="000000"/>
                <w:sz w:val="20"/>
                <w:szCs w:val="20"/>
              </w:rPr>
              <w:t>88,214</w:t>
            </w:r>
          </w:p>
        </w:tc>
        <w:tc>
          <w:tcPr>
            <w:tcW w:w="1134" w:type="dxa"/>
            <w:tcBorders>
              <w:top w:val="single" w:sz="4" w:space="0" w:color="auto"/>
              <w:left w:val="nil"/>
              <w:bottom w:val="single" w:sz="4" w:space="0" w:color="auto"/>
              <w:right w:val="single" w:sz="8" w:space="0" w:color="auto"/>
            </w:tcBorders>
            <w:shd w:val="clear" w:color="auto" w:fill="auto"/>
            <w:noWrap/>
            <w:vAlign w:val="center"/>
            <w:hideMark/>
          </w:tcPr>
          <w:p w:rsidR="001E7B45" w:rsidRPr="00BD4D98" w:rsidRDefault="001E7B45" w:rsidP="005451F2">
            <w:pPr>
              <w:spacing w:after="0" w:line="240" w:lineRule="auto"/>
              <w:jc w:val="right"/>
              <w:rPr>
                <w:color w:val="000000"/>
                <w:sz w:val="20"/>
                <w:szCs w:val="20"/>
              </w:rPr>
            </w:pPr>
            <w:r w:rsidRPr="00BD4D98">
              <w:rPr>
                <w:color w:val="000000"/>
                <w:sz w:val="20"/>
                <w:szCs w:val="20"/>
              </w:rPr>
              <w:t>87,605</w:t>
            </w:r>
          </w:p>
        </w:tc>
        <w:tc>
          <w:tcPr>
            <w:tcW w:w="1134" w:type="dxa"/>
            <w:tcBorders>
              <w:top w:val="single" w:sz="4" w:space="0" w:color="auto"/>
              <w:left w:val="nil"/>
              <w:bottom w:val="single" w:sz="4" w:space="0" w:color="auto"/>
              <w:right w:val="single" w:sz="8" w:space="0" w:color="auto"/>
            </w:tcBorders>
            <w:shd w:val="clear" w:color="auto" w:fill="auto"/>
            <w:noWrap/>
            <w:vAlign w:val="center"/>
            <w:hideMark/>
          </w:tcPr>
          <w:p w:rsidR="001E7B45" w:rsidRPr="00BD4D98" w:rsidRDefault="001E7B45" w:rsidP="005451F2">
            <w:pPr>
              <w:spacing w:after="0" w:line="240" w:lineRule="auto"/>
              <w:jc w:val="right"/>
              <w:rPr>
                <w:color w:val="000000"/>
                <w:sz w:val="20"/>
                <w:szCs w:val="20"/>
              </w:rPr>
            </w:pPr>
            <w:r w:rsidRPr="00BD4D98">
              <w:rPr>
                <w:color w:val="000000"/>
                <w:sz w:val="20"/>
                <w:szCs w:val="20"/>
              </w:rPr>
              <w:t>79,698</w:t>
            </w:r>
          </w:p>
        </w:tc>
        <w:tc>
          <w:tcPr>
            <w:tcW w:w="1029" w:type="dxa"/>
            <w:tcBorders>
              <w:top w:val="single" w:sz="4" w:space="0" w:color="auto"/>
              <w:left w:val="nil"/>
              <w:bottom w:val="single" w:sz="4" w:space="0" w:color="auto"/>
              <w:right w:val="single" w:sz="8" w:space="0" w:color="auto"/>
            </w:tcBorders>
            <w:shd w:val="clear" w:color="auto" w:fill="auto"/>
            <w:noWrap/>
            <w:vAlign w:val="center"/>
            <w:hideMark/>
          </w:tcPr>
          <w:p w:rsidR="001E7B45" w:rsidRPr="00BD4D98" w:rsidRDefault="001E7B45" w:rsidP="005451F2">
            <w:pPr>
              <w:spacing w:after="0" w:line="240" w:lineRule="auto"/>
              <w:jc w:val="right"/>
              <w:rPr>
                <w:color w:val="000000"/>
                <w:sz w:val="20"/>
                <w:szCs w:val="20"/>
              </w:rPr>
            </w:pPr>
            <w:r w:rsidRPr="00BD4D98">
              <w:rPr>
                <w:color w:val="000000"/>
                <w:sz w:val="20"/>
                <w:szCs w:val="20"/>
              </w:rPr>
              <w:t>-7,908</w:t>
            </w:r>
          </w:p>
        </w:tc>
        <w:tc>
          <w:tcPr>
            <w:tcW w:w="921" w:type="dxa"/>
            <w:tcBorders>
              <w:top w:val="single" w:sz="4" w:space="0" w:color="auto"/>
              <w:left w:val="nil"/>
              <w:bottom w:val="single" w:sz="4" w:space="0" w:color="auto"/>
              <w:right w:val="single" w:sz="8" w:space="0" w:color="auto"/>
            </w:tcBorders>
            <w:shd w:val="clear" w:color="auto" w:fill="auto"/>
            <w:noWrap/>
            <w:vAlign w:val="center"/>
            <w:hideMark/>
          </w:tcPr>
          <w:p w:rsidR="001E7B45" w:rsidRPr="00BD4D98" w:rsidRDefault="001E7B45" w:rsidP="005451F2">
            <w:pPr>
              <w:spacing w:after="0" w:line="240" w:lineRule="auto"/>
              <w:jc w:val="right"/>
              <w:rPr>
                <w:i/>
                <w:iCs/>
                <w:color w:val="000000"/>
                <w:sz w:val="20"/>
                <w:szCs w:val="20"/>
              </w:rPr>
            </w:pPr>
            <w:r w:rsidRPr="00BD4D98">
              <w:rPr>
                <w:i/>
                <w:iCs/>
                <w:color w:val="000000"/>
                <w:sz w:val="20"/>
                <w:szCs w:val="20"/>
              </w:rPr>
              <w:t>-9,0%</w:t>
            </w:r>
          </w:p>
        </w:tc>
      </w:tr>
      <w:tr w:rsidR="001E7B45" w:rsidRPr="00BD4D98" w:rsidTr="00B726B9">
        <w:trPr>
          <w:trHeight w:val="315"/>
        </w:trPr>
        <w:tc>
          <w:tcPr>
            <w:tcW w:w="2833" w:type="dxa"/>
            <w:tcBorders>
              <w:top w:val="single" w:sz="4" w:space="0" w:color="auto"/>
              <w:left w:val="single" w:sz="8" w:space="0" w:color="auto"/>
              <w:bottom w:val="single" w:sz="8" w:space="0" w:color="auto"/>
              <w:right w:val="single" w:sz="8" w:space="0" w:color="auto"/>
            </w:tcBorders>
            <w:shd w:val="clear" w:color="auto" w:fill="auto"/>
            <w:noWrap/>
            <w:vAlign w:val="center"/>
            <w:hideMark/>
          </w:tcPr>
          <w:p w:rsidR="001E7B45" w:rsidRPr="00BD4D98" w:rsidRDefault="001E7B45" w:rsidP="005451F2">
            <w:pPr>
              <w:spacing w:after="0" w:line="240" w:lineRule="auto"/>
              <w:rPr>
                <w:rFonts w:eastAsia="Times New Roman"/>
                <w:color w:val="000000"/>
                <w:sz w:val="20"/>
                <w:szCs w:val="20"/>
              </w:rPr>
            </w:pPr>
            <w:r w:rsidRPr="00BD4D98">
              <w:rPr>
                <w:rFonts w:eastAsia="Times New Roman"/>
                <w:color w:val="000000"/>
                <w:sz w:val="20"/>
                <w:szCs w:val="20"/>
              </w:rPr>
              <w:lastRenderedPageBreak/>
              <w:t>5. Непром. потребители</w:t>
            </w:r>
          </w:p>
        </w:tc>
        <w:tc>
          <w:tcPr>
            <w:tcW w:w="1136" w:type="dxa"/>
            <w:tcBorders>
              <w:top w:val="single" w:sz="4" w:space="0" w:color="auto"/>
              <w:left w:val="nil"/>
              <w:bottom w:val="single" w:sz="8" w:space="0" w:color="auto"/>
              <w:right w:val="single" w:sz="8" w:space="0" w:color="auto"/>
            </w:tcBorders>
            <w:shd w:val="clear" w:color="auto" w:fill="auto"/>
            <w:noWrap/>
            <w:vAlign w:val="center"/>
            <w:hideMark/>
          </w:tcPr>
          <w:p w:rsidR="001E7B45" w:rsidRPr="00BD4D98" w:rsidRDefault="001E7B45" w:rsidP="005451F2">
            <w:pPr>
              <w:spacing w:after="0" w:line="240" w:lineRule="auto"/>
              <w:rPr>
                <w:rFonts w:eastAsia="Times New Roman"/>
                <w:color w:val="000000"/>
                <w:sz w:val="20"/>
                <w:szCs w:val="20"/>
              </w:rPr>
            </w:pPr>
            <w:r w:rsidRPr="00BD4D98">
              <w:rPr>
                <w:rFonts w:eastAsia="Times New Roman"/>
                <w:color w:val="000000"/>
                <w:sz w:val="20"/>
                <w:szCs w:val="20"/>
              </w:rPr>
              <w:t>млн.кВт.ч.</w:t>
            </w:r>
          </w:p>
        </w:tc>
        <w:tc>
          <w:tcPr>
            <w:tcW w:w="1134" w:type="dxa"/>
            <w:tcBorders>
              <w:top w:val="single" w:sz="4" w:space="0" w:color="auto"/>
              <w:left w:val="nil"/>
              <w:bottom w:val="single" w:sz="8" w:space="0" w:color="auto"/>
              <w:right w:val="single" w:sz="8" w:space="0" w:color="auto"/>
            </w:tcBorders>
            <w:shd w:val="clear" w:color="auto" w:fill="auto"/>
            <w:noWrap/>
            <w:vAlign w:val="center"/>
          </w:tcPr>
          <w:p w:rsidR="001E7B45" w:rsidRPr="00BD4D98" w:rsidRDefault="001E7B45" w:rsidP="005451F2">
            <w:pPr>
              <w:spacing w:after="0" w:line="240" w:lineRule="auto"/>
              <w:jc w:val="right"/>
              <w:rPr>
                <w:color w:val="000000"/>
                <w:sz w:val="20"/>
                <w:szCs w:val="20"/>
              </w:rPr>
            </w:pPr>
            <w:r w:rsidRPr="00BD4D98">
              <w:rPr>
                <w:color w:val="000000"/>
                <w:sz w:val="20"/>
                <w:szCs w:val="20"/>
              </w:rPr>
              <w:t>2951,684</w:t>
            </w:r>
          </w:p>
        </w:tc>
        <w:tc>
          <w:tcPr>
            <w:tcW w:w="1134" w:type="dxa"/>
            <w:tcBorders>
              <w:top w:val="single" w:sz="4" w:space="0" w:color="auto"/>
              <w:left w:val="nil"/>
              <w:bottom w:val="single" w:sz="8" w:space="0" w:color="auto"/>
              <w:right w:val="single" w:sz="8" w:space="0" w:color="auto"/>
            </w:tcBorders>
            <w:shd w:val="clear" w:color="auto" w:fill="auto"/>
            <w:noWrap/>
            <w:vAlign w:val="center"/>
            <w:hideMark/>
          </w:tcPr>
          <w:p w:rsidR="001E7B45" w:rsidRPr="00BD4D98" w:rsidRDefault="001E7B45" w:rsidP="005451F2">
            <w:pPr>
              <w:spacing w:after="0" w:line="240" w:lineRule="auto"/>
              <w:jc w:val="right"/>
              <w:rPr>
                <w:color w:val="000000"/>
                <w:sz w:val="20"/>
                <w:szCs w:val="20"/>
              </w:rPr>
            </w:pPr>
            <w:r w:rsidRPr="00BD4D98">
              <w:rPr>
                <w:color w:val="000000"/>
                <w:sz w:val="20"/>
                <w:szCs w:val="20"/>
              </w:rPr>
              <w:t>2 833,105</w:t>
            </w:r>
          </w:p>
        </w:tc>
        <w:tc>
          <w:tcPr>
            <w:tcW w:w="1134" w:type="dxa"/>
            <w:tcBorders>
              <w:top w:val="single" w:sz="4" w:space="0" w:color="auto"/>
              <w:left w:val="nil"/>
              <w:bottom w:val="single" w:sz="8" w:space="0" w:color="auto"/>
              <w:right w:val="single" w:sz="8" w:space="0" w:color="auto"/>
            </w:tcBorders>
            <w:shd w:val="clear" w:color="auto" w:fill="auto"/>
            <w:noWrap/>
            <w:vAlign w:val="center"/>
            <w:hideMark/>
          </w:tcPr>
          <w:p w:rsidR="001E7B45" w:rsidRPr="00BD4D98" w:rsidRDefault="001E7B45" w:rsidP="005451F2">
            <w:pPr>
              <w:spacing w:after="0" w:line="240" w:lineRule="auto"/>
              <w:jc w:val="right"/>
              <w:rPr>
                <w:color w:val="000000"/>
                <w:sz w:val="20"/>
                <w:szCs w:val="20"/>
              </w:rPr>
            </w:pPr>
            <w:r w:rsidRPr="00BD4D98">
              <w:rPr>
                <w:color w:val="000000"/>
                <w:sz w:val="20"/>
                <w:szCs w:val="20"/>
              </w:rPr>
              <w:t>3 029,421</w:t>
            </w:r>
          </w:p>
        </w:tc>
        <w:tc>
          <w:tcPr>
            <w:tcW w:w="1029" w:type="dxa"/>
            <w:tcBorders>
              <w:top w:val="single" w:sz="4" w:space="0" w:color="auto"/>
              <w:left w:val="nil"/>
              <w:bottom w:val="single" w:sz="8" w:space="0" w:color="auto"/>
              <w:right w:val="single" w:sz="8" w:space="0" w:color="auto"/>
            </w:tcBorders>
            <w:shd w:val="clear" w:color="auto" w:fill="auto"/>
            <w:noWrap/>
            <w:vAlign w:val="center"/>
            <w:hideMark/>
          </w:tcPr>
          <w:p w:rsidR="001E7B45" w:rsidRPr="00BD4D98" w:rsidRDefault="001E7B45" w:rsidP="005451F2">
            <w:pPr>
              <w:spacing w:after="0" w:line="240" w:lineRule="auto"/>
              <w:jc w:val="right"/>
              <w:rPr>
                <w:color w:val="000000"/>
                <w:sz w:val="20"/>
                <w:szCs w:val="20"/>
              </w:rPr>
            </w:pPr>
            <w:r w:rsidRPr="00BD4D98">
              <w:rPr>
                <w:color w:val="000000"/>
                <w:sz w:val="20"/>
                <w:szCs w:val="20"/>
              </w:rPr>
              <w:t>196,315</w:t>
            </w:r>
          </w:p>
        </w:tc>
        <w:tc>
          <w:tcPr>
            <w:tcW w:w="921" w:type="dxa"/>
            <w:tcBorders>
              <w:top w:val="single" w:sz="4" w:space="0" w:color="auto"/>
              <w:left w:val="nil"/>
              <w:bottom w:val="single" w:sz="8" w:space="0" w:color="auto"/>
              <w:right w:val="single" w:sz="8" w:space="0" w:color="auto"/>
            </w:tcBorders>
            <w:shd w:val="clear" w:color="auto" w:fill="auto"/>
            <w:noWrap/>
            <w:vAlign w:val="center"/>
            <w:hideMark/>
          </w:tcPr>
          <w:p w:rsidR="001E7B45" w:rsidRPr="00BD4D98" w:rsidRDefault="001E7B45" w:rsidP="005451F2">
            <w:pPr>
              <w:spacing w:after="0" w:line="240" w:lineRule="auto"/>
              <w:jc w:val="right"/>
              <w:rPr>
                <w:i/>
                <w:iCs/>
                <w:color w:val="000000"/>
                <w:sz w:val="20"/>
                <w:szCs w:val="20"/>
              </w:rPr>
            </w:pPr>
            <w:r w:rsidRPr="00BD4D98">
              <w:rPr>
                <w:i/>
                <w:iCs/>
                <w:color w:val="000000"/>
                <w:sz w:val="20"/>
                <w:szCs w:val="20"/>
              </w:rPr>
              <w:t>6,9%</w:t>
            </w:r>
          </w:p>
        </w:tc>
      </w:tr>
      <w:tr w:rsidR="001E7B45" w:rsidRPr="00BD4D98" w:rsidTr="00300B7B">
        <w:trPr>
          <w:trHeight w:val="315"/>
        </w:trPr>
        <w:tc>
          <w:tcPr>
            <w:tcW w:w="2833" w:type="dxa"/>
            <w:tcBorders>
              <w:top w:val="nil"/>
              <w:left w:val="single" w:sz="8" w:space="0" w:color="auto"/>
              <w:bottom w:val="single" w:sz="8" w:space="0" w:color="auto"/>
              <w:right w:val="single" w:sz="8" w:space="0" w:color="auto"/>
            </w:tcBorders>
            <w:shd w:val="clear" w:color="auto" w:fill="auto"/>
            <w:noWrap/>
            <w:vAlign w:val="center"/>
            <w:hideMark/>
          </w:tcPr>
          <w:p w:rsidR="001E7B45" w:rsidRPr="00BD4D98" w:rsidRDefault="001E7B45" w:rsidP="005451F2">
            <w:pPr>
              <w:spacing w:after="0" w:line="240" w:lineRule="auto"/>
              <w:rPr>
                <w:rFonts w:eastAsia="Times New Roman"/>
                <w:color w:val="000000"/>
                <w:sz w:val="20"/>
                <w:szCs w:val="20"/>
              </w:rPr>
            </w:pPr>
            <w:r w:rsidRPr="00BD4D98">
              <w:rPr>
                <w:rFonts w:eastAsia="Times New Roman"/>
                <w:color w:val="000000"/>
                <w:sz w:val="20"/>
                <w:szCs w:val="20"/>
              </w:rPr>
              <w:t>6. Сельхоз потребители</w:t>
            </w:r>
          </w:p>
        </w:tc>
        <w:tc>
          <w:tcPr>
            <w:tcW w:w="1136" w:type="dxa"/>
            <w:tcBorders>
              <w:top w:val="nil"/>
              <w:left w:val="nil"/>
              <w:bottom w:val="single" w:sz="8" w:space="0" w:color="auto"/>
              <w:right w:val="single" w:sz="8" w:space="0" w:color="auto"/>
            </w:tcBorders>
            <w:shd w:val="clear" w:color="auto" w:fill="auto"/>
            <w:noWrap/>
            <w:vAlign w:val="center"/>
            <w:hideMark/>
          </w:tcPr>
          <w:p w:rsidR="001E7B45" w:rsidRPr="00BD4D98" w:rsidRDefault="001E7B45" w:rsidP="005451F2">
            <w:pPr>
              <w:spacing w:after="0" w:line="240" w:lineRule="auto"/>
              <w:rPr>
                <w:rFonts w:eastAsia="Times New Roman"/>
                <w:color w:val="000000"/>
                <w:sz w:val="20"/>
                <w:szCs w:val="20"/>
              </w:rPr>
            </w:pPr>
            <w:r w:rsidRPr="00BD4D98">
              <w:rPr>
                <w:rFonts w:eastAsia="Times New Roman"/>
                <w:color w:val="000000"/>
                <w:sz w:val="20"/>
                <w:szCs w:val="20"/>
              </w:rPr>
              <w:t>млн.кВт.ч.</w:t>
            </w:r>
          </w:p>
        </w:tc>
        <w:tc>
          <w:tcPr>
            <w:tcW w:w="1134" w:type="dxa"/>
            <w:tcBorders>
              <w:top w:val="nil"/>
              <w:left w:val="nil"/>
              <w:bottom w:val="single" w:sz="8" w:space="0" w:color="auto"/>
              <w:right w:val="single" w:sz="8" w:space="0" w:color="auto"/>
            </w:tcBorders>
            <w:shd w:val="clear" w:color="auto" w:fill="auto"/>
            <w:noWrap/>
            <w:vAlign w:val="center"/>
          </w:tcPr>
          <w:p w:rsidR="001E7B45" w:rsidRPr="00BD4D98" w:rsidRDefault="001E7B45" w:rsidP="005451F2">
            <w:pPr>
              <w:spacing w:after="0" w:line="240" w:lineRule="auto"/>
              <w:jc w:val="right"/>
              <w:rPr>
                <w:color w:val="000000"/>
                <w:sz w:val="20"/>
                <w:szCs w:val="20"/>
              </w:rPr>
            </w:pPr>
            <w:r w:rsidRPr="00BD4D98">
              <w:rPr>
                <w:color w:val="000000"/>
                <w:sz w:val="20"/>
                <w:szCs w:val="20"/>
              </w:rPr>
              <w:t>381,308</w:t>
            </w:r>
          </w:p>
        </w:tc>
        <w:tc>
          <w:tcPr>
            <w:tcW w:w="1134" w:type="dxa"/>
            <w:tcBorders>
              <w:top w:val="nil"/>
              <w:left w:val="nil"/>
              <w:bottom w:val="single" w:sz="8" w:space="0" w:color="auto"/>
              <w:right w:val="single" w:sz="8" w:space="0" w:color="auto"/>
            </w:tcBorders>
            <w:shd w:val="clear" w:color="auto" w:fill="auto"/>
            <w:noWrap/>
            <w:vAlign w:val="center"/>
            <w:hideMark/>
          </w:tcPr>
          <w:p w:rsidR="001E7B45" w:rsidRPr="00BD4D98" w:rsidRDefault="001E7B45" w:rsidP="005451F2">
            <w:pPr>
              <w:spacing w:after="0" w:line="240" w:lineRule="auto"/>
              <w:jc w:val="right"/>
              <w:rPr>
                <w:color w:val="000000"/>
                <w:sz w:val="20"/>
                <w:szCs w:val="20"/>
              </w:rPr>
            </w:pPr>
            <w:r w:rsidRPr="00BD4D98">
              <w:rPr>
                <w:color w:val="000000"/>
                <w:sz w:val="20"/>
                <w:szCs w:val="20"/>
              </w:rPr>
              <w:t>384,919</w:t>
            </w:r>
          </w:p>
        </w:tc>
        <w:tc>
          <w:tcPr>
            <w:tcW w:w="1134" w:type="dxa"/>
            <w:tcBorders>
              <w:top w:val="nil"/>
              <w:left w:val="nil"/>
              <w:bottom w:val="single" w:sz="8" w:space="0" w:color="auto"/>
              <w:right w:val="single" w:sz="8" w:space="0" w:color="auto"/>
            </w:tcBorders>
            <w:shd w:val="clear" w:color="auto" w:fill="auto"/>
            <w:noWrap/>
            <w:vAlign w:val="center"/>
            <w:hideMark/>
          </w:tcPr>
          <w:p w:rsidR="001E7B45" w:rsidRPr="00BD4D98" w:rsidRDefault="001E7B45" w:rsidP="005451F2">
            <w:pPr>
              <w:spacing w:after="0" w:line="240" w:lineRule="auto"/>
              <w:jc w:val="right"/>
              <w:rPr>
                <w:color w:val="000000"/>
                <w:sz w:val="20"/>
                <w:szCs w:val="20"/>
              </w:rPr>
            </w:pPr>
            <w:r w:rsidRPr="00BD4D98">
              <w:rPr>
                <w:color w:val="000000"/>
                <w:sz w:val="20"/>
                <w:szCs w:val="20"/>
              </w:rPr>
              <w:t>368,682</w:t>
            </w:r>
          </w:p>
        </w:tc>
        <w:tc>
          <w:tcPr>
            <w:tcW w:w="1029" w:type="dxa"/>
            <w:tcBorders>
              <w:top w:val="nil"/>
              <w:left w:val="nil"/>
              <w:bottom w:val="single" w:sz="8" w:space="0" w:color="auto"/>
              <w:right w:val="single" w:sz="8" w:space="0" w:color="auto"/>
            </w:tcBorders>
            <w:shd w:val="clear" w:color="auto" w:fill="auto"/>
            <w:noWrap/>
            <w:vAlign w:val="center"/>
            <w:hideMark/>
          </w:tcPr>
          <w:p w:rsidR="001E7B45" w:rsidRPr="00BD4D98" w:rsidRDefault="001E7B45" w:rsidP="005451F2">
            <w:pPr>
              <w:spacing w:after="0" w:line="240" w:lineRule="auto"/>
              <w:jc w:val="right"/>
              <w:rPr>
                <w:color w:val="000000"/>
                <w:sz w:val="20"/>
                <w:szCs w:val="20"/>
              </w:rPr>
            </w:pPr>
            <w:r w:rsidRPr="00BD4D98">
              <w:rPr>
                <w:color w:val="000000"/>
                <w:sz w:val="20"/>
                <w:szCs w:val="20"/>
              </w:rPr>
              <w:t>-16,237</w:t>
            </w:r>
          </w:p>
        </w:tc>
        <w:tc>
          <w:tcPr>
            <w:tcW w:w="921" w:type="dxa"/>
            <w:tcBorders>
              <w:top w:val="nil"/>
              <w:left w:val="nil"/>
              <w:bottom w:val="single" w:sz="8" w:space="0" w:color="auto"/>
              <w:right w:val="single" w:sz="8" w:space="0" w:color="auto"/>
            </w:tcBorders>
            <w:shd w:val="clear" w:color="auto" w:fill="auto"/>
            <w:noWrap/>
            <w:vAlign w:val="center"/>
            <w:hideMark/>
          </w:tcPr>
          <w:p w:rsidR="001E7B45" w:rsidRPr="00BD4D98" w:rsidRDefault="001E7B45" w:rsidP="005451F2">
            <w:pPr>
              <w:spacing w:after="0" w:line="240" w:lineRule="auto"/>
              <w:jc w:val="right"/>
              <w:rPr>
                <w:i/>
                <w:iCs/>
                <w:color w:val="000000"/>
                <w:sz w:val="20"/>
                <w:szCs w:val="20"/>
              </w:rPr>
            </w:pPr>
            <w:r w:rsidRPr="00BD4D98">
              <w:rPr>
                <w:i/>
                <w:iCs/>
                <w:color w:val="000000"/>
                <w:sz w:val="20"/>
                <w:szCs w:val="20"/>
              </w:rPr>
              <w:t>-4,2%</w:t>
            </w:r>
          </w:p>
        </w:tc>
      </w:tr>
      <w:tr w:rsidR="001E7B45" w:rsidRPr="00BD4D98" w:rsidTr="00300B7B">
        <w:trPr>
          <w:trHeight w:val="315"/>
        </w:trPr>
        <w:tc>
          <w:tcPr>
            <w:tcW w:w="2833" w:type="dxa"/>
            <w:tcBorders>
              <w:top w:val="nil"/>
              <w:left w:val="single" w:sz="8" w:space="0" w:color="auto"/>
              <w:bottom w:val="single" w:sz="8" w:space="0" w:color="auto"/>
              <w:right w:val="single" w:sz="8" w:space="0" w:color="auto"/>
            </w:tcBorders>
            <w:shd w:val="clear" w:color="auto" w:fill="auto"/>
            <w:noWrap/>
            <w:vAlign w:val="center"/>
            <w:hideMark/>
          </w:tcPr>
          <w:p w:rsidR="001E7B45" w:rsidRPr="00BD4D98" w:rsidRDefault="001E7B45" w:rsidP="005451F2">
            <w:pPr>
              <w:spacing w:after="0" w:line="240" w:lineRule="auto"/>
              <w:rPr>
                <w:rFonts w:eastAsia="Times New Roman"/>
                <w:color w:val="000000"/>
                <w:sz w:val="20"/>
                <w:szCs w:val="20"/>
              </w:rPr>
            </w:pPr>
            <w:r w:rsidRPr="00BD4D98">
              <w:rPr>
                <w:rFonts w:eastAsia="Times New Roman"/>
                <w:color w:val="000000"/>
                <w:sz w:val="20"/>
                <w:szCs w:val="20"/>
              </w:rPr>
              <w:t>7. Население, всего</w:t>
            </w:r>
          </w:p>
        </w:tc>
        <w:tc>
          <w:tcPr>
            <w:tcW w:w="1136" w:type="dxa"/>
            <w:tcBorders>
              <w:top w:val="nil"/>
              <w:left w:val="nil"/>
              <w:bottom w:val="single" w:sz="8" w:space="0" w:color="auto"/>
              <w:right w:val="single" w:sz="8" w:space="0" w:color="auto"/>
            </w:tcBorders>
            <w:shd w:val="clear" w:color="auto" w:fill="auto"/>
            <w:noWrap/>
            <w:vAlign w:val="center"/>
            <w:hideMark/>
          </w:tcPr>
          <w:p w:rsidR="001E7B45" w:rsidRPr="00BD4D98" w:rsidRDefault="001E7B45" w:rsidP="005451F2">
            <w:pPr>
              <w:spacing w:after="0" w:line="240" w:lineRule="auto"/>
              <w:rPr>
                <w:rFonts w:eastAsia="Times New Roman"/>
                <w:color w:val="000000"/>
                <w:sz w:val="20"/>
                <w:szCs w:val="20"/>
              </w:rPr>
            </w:pPr>
            <w:r w:rsidRPr="00BD4D98">
              <w:rPr>
                <w:rFonts w:eastAsia="Times New Roman"/>
                <w:color w:val="000000"/>
                <w:sz w:val="20"/>
                <w:szCs w:val="20"/>
              </w:rPr>
              <w:t>млн.кВт.ч.</w:t>
            </w:r>
          </w:p>
        </w:tc>
        <w:tc>
          <w:tcPr>
            <w:tcW w:w="1134" w:type="dxa"/>
            <w:tcBorders>
              <w:top w:val="nil"/>
              <w:left w:val="nil"/>
              <w:bottom w:val="single" w:sz="8" w:space="0" w:color="auto"/>
              <w:right w:val="single" w:sz="8" w:space="0" w:color="auto"/>
            </w:tcBorders>
            <w:shd w:val="clear" w:color="auto" w:fill="auto"/>
            <w:noWrap/>
            <w:vAlign w:val="center"/>
          </w:tcPr>
          <w:p w:rsidR="001E7B45" w:rsidRPr="00BD4D98" w:rsidRDefault="001E7B45" w:rsidP="005451F2">
            <w:pPr>
              <w:spacing w:after="0" w:line="240" w:lineRule="auto"/>
              <w:jc w:val="right"/>
              <w:rPr>
                <w:color w:val="000000"/>
                <w:sz w:val="20"/>
                <w:szCs w:val="20"/>
              </w:rPr>
            </w:pPr>
            <w:r w:rsidRPr="00BD4D98">
              <w:rPr>
                <w:color w:val="000000"/>
                <w:sz w:val="20"/>
                <w:szCs w:val="20"/>
              </w:rPr>
              <w:t>3723,042</w:t>
            </w:r>
          </w:p>
        </w:tc>
        <w:tc>
          <w:tcPr>
            <w:tcW w:w="1134" w:type="dxa"/>
            <w:tcBorders>
              <w:top w:val="nil"/>
              <w:left w:val="nil"/>
              <w:bottom w:val="single" w:sz="8" w:space="0" w:color="auto"/>
              <w:right w:val="single" w:sz="8" w:space="0" w:color="auto"/>
            </w:tcBorders>
            <w:shd w:val="clear" w:color="auto" w:fill="auto"/>
            <w:noWrap/>
            <w:vAlign w:val="center"/>
            <w:hideMark/>
          </w:tcPr>
          <w:p w:rsidR="001E7B45" w:rsidRPr="00BD4D98" w:rsidRDefault="001E7B45" w:rsidP="005451F2">
            <w:pPr>
              <w:spacing w:after="0" w:line="240" w:lineRule="auto"/>
              <w:jc w:val="right"/>
              <w:rPr>
                <w:color w:val="000000"/>
                <w:sz w:val="20"/>
                <w:szCs w:val="20"/>
              </w:rPr>
            </w:pPr>
            <w:r w:rsidRPr="00BD4D98">
              <w:rPr>
                <w:color w:val="000000"/>
                <w:sz w:val="20"/>
                <w:szCs w:val="20"/>
              </w:rPr>
              <w:t>3 765,000</w:t>
            </w:r>
          </w:p>
        </w:tc>
        <w:tc>
          <w:tcPr>
            <w:tcW w:w="1134" w:type="dxa"/>
            <w:tcBorders>
              <w:top w:val="nil"/>
              <w:left w:val="nil"/>
              <w:bottom w:val="single" w:sz="8" w:space="0" w:color="auto"/>
              <w:right w:val="single" w:sz="8" w:space="0" w:color="auto"/>
            </w:tcBorders>
            <w:shd w:val="clear" w:color="auto" w:fill="auto"/>
            <w:noWrap/>
            <w:vAlign w:val="center"/>
            <w:hideMark/>
          </w:tcPr>
          <w:p w:rsidR="001E7B45" w:rsidRPr="00BD4D98" w:rsidRDefault="001E7B45" w:rsidP="005451F2">
            <w:pPr>
              <w:spacing w:after="0" w:line="240" w:lineRule="auto"/>
              <w:jc w:val="right"/>
              <w:rPr>
                <w:color w:val="000000"/>
                <w:sz w:val="20"/>
                <w:szCs w:val="20"/>
              </w:rPr>
            </w:pPr>
            <w:r w:rsidRPr="00BD4D98">
              <w:rPr>
                <w:color w:val="000000"/>
                <w:sz w:val="20"/>
                <w:szCs w:val="20"/>
              </w:rPr>
              <w:t>3 728,697</w:t>
            </w:r>
          </w:p>
        </w:tc>
        <w:tc>
          <w:tcPr>
            <w:tcW w:w="1029" w:type="dxa"/>
            <w:tcBorders>
              <w:top w:val="nil"/>
              <w:left w:val="nil"/>
              <w:bottom w:val="single" w:sz="8" w:space="0" w:color="auto"/>
              <w:right w:val="single" w:sz="8" w:space="0" w:color="auto"/>
            </w:tcBorders>
            <w:shd w:val="clear" w:color="auto" w:fill="auto"/>
            <w:noWrap/>
            <w:vAlign w:val="center"/>
            <w:hideMark/>
          </w:tcPr>
          <w:p w:rsidR="001E7B45" w:rsidRPr="00BD4D98" w:rsidRDefault="001E7B45" w:rsidP="005451F2">
            <w:pPr>
              <w:spacing w:after="0" w:line="240" w:lineRule="auto"/>
              <w:jc w:val="right"/>
              <w:rPr>
                <w:color w:val="000000"/>
                <w:sz w:val="20"/>
                <w:szCs w:val="20"/>
              </w:rPr>
            </w:pPr>
            <w:r w:rsidRPr="00BD4D98">
              <w:rPr>
                <w:color w:val="000000"/>
                <w:sz w:val="20"/>
                <w:szCs w:val="20"/>
              </w:rPr>
              <w:t>-36,303</w:t>
            </w:r>
          </w:p>
        </w:tc>
        <w:tc>
          <w:tcPr>
            <w:tcW w:w="921" w:type="dxa"/>
            <w:tcBorders>
              <w:top w:val="nil"/>
              <w:left w:val="nil"/>
              <w:bottom w:val="single" w:sz="8" w:space="0" w:color="auto"/>
              <w:right w:val="single" w:sz="8" w:space="0" w:color="auto"/>
            </w:tcBorders>
            <w:shd w:val="clear" w:color="auto" w:fill="auto"/>
            <w:noWrap/>
            <w:vAlign w:val="center"/>
            <w:hideMark/>
          </w:tcPr>
          <w:p w:rsidR="001E7B45" w:rsidRPr="00BD4D98" w:rsidRDefault="001E7B45" w:rsidP="005451F2">
            <w:pPr>
              <w:spacing w:after="0" w:line="240" w:lineRule="auto"/>
              <w:jc w:val="right"/>
              <w:rPr>
                <w:i/>
                <w:iCs/>
                <w:color w:val="000000"/>
                <w:sz w:val="20"/>
                <w:szCs w:val="20"/>
              </w:rPr>
            </w:pPr>
            <w:r w:rsidRPr="00BD4D98">
              <w:rPr>
                <w:i/>
                <w:iCs/>
                <w:color w:val="000000"/>
                <w:sz w:val="20"/>
                <w:szCs w:val="20"/>
              </w:rPr>
              <w:t>-1,0%</w:t>
            </w:r>
          </w:p>
        </w:tc>
      </w:tr>
      <w:tr w:rsidR="001E7B45" w:rsidRPr="00BD4D98" w:rsidTr="00300B7B">
        <w:trPr>
          <w:trHeight w:val="525"/>
        </w:trPr>
        <w:tc>
          <w:tcPr>
            <w:tcW w:w="2833" w:type="dxa"/>
            <w:tcBorders>
              <w:top w:val="nil"/>
              <w:left w:val="single" w:sz="8" w:space="0" w:color="auto"/>
              <w:bottom w:val="single" w:sz="8" w:space="0" w:color="auto"/>
              <w:right w:val="single" w:sz="8" w:space="0" w:color="auto"/>
            </w:tcBorders>
            <w:shd w:val="clear" w:color="auto" w:fill="auto"/>
            <w:vAlign w:val="center"/>
            <w:hideMark/>
          </w:tcPr>
          <w:p w:rsidR="001E7B45" w:rsidRPr="00BD4D98" w:rsidRDefault="001E7B45" w:rsidP="005451F2">
            <w:pPr>
              <w:spacing w:after="0" w:line="240" w:lineRule="auto"/>
              <w:rPr>
                <w:rFonts w:eastAsia="Times New Roman"/>
                <w:color w:val="000000"/>
                <w:sz w:val="20"/>
                <w:szCs w:val="20"/>
              </w:rPr>
            </w:pPr>
            <w:r w:rsidRPr="00BD4D98">
              <w:rPr>
                <w:rFonts w:eastAsia="Times New Roman"/>
                <w:color w:val="000000"/>
                <w:sz w:val="20"/>
                <w:szCs w:val="20"/>
              </w:rPr>
              <w:t>Отпущено  сетевым компаниям на компенсацию потерь</w:t>
            </w:r>
          </w:p>
        </w:tc>
        <w:tc>
          <w:tcPr>
            <w:tcW w:w="1136" w:type="dxa"/>
            <w:tcBorders>
              <w:top w:val="nil"/>
              <w:left w:val="nil"/>
              <w:bottom w:val="single" w:sz="8" w:space="0" w:color="auto"/>
              <w:right w:val="single" w:sz="8" w:space="0" w:color="auto"/>
            </w:tcBorders>
            <w:shd w:val="clear" w:color="auto" w:fill="auto"/>
            <w:noWrap/>
            <w:vAlign w:val="center"/>
            <w:hideMark/>
          </w:tcPr>
          <w:p w:rsidR="001E7B45" w:rsidRPr="00BD4D98" w:rsidRDefault="001E7B45" w:rsidP="005451F2">
            <w:pPr>
              <w:spacing w:after="0" w:line="240" w:lineRule="auto"/>
              <w:rPr>
                <w:rFonts w:eastAsia="Times New Roman"/>
                <w:color w:val="000000"/>
                <w:sz w:val="20"/>
                <w:szCs w:val="20"/>
              </w:rPr>
            </w:pPr>
            <w:r w:rsidRPr="00BD4D98">
              <w:rPr>
                <w:rFonts w:eastAsia="Times New Roman"/>
                <w:color w:val="000000"/>
                <w:sz w:val="20"/>
                <w:szCs w:val="20"/>
              </w:rPr>
              <w:t>млн.кВт.ч.</w:t>
            </w:r>
          </w:p>
        </w:tc>
        <w:tc>
          <w:tcPr>
            <w:tcW w:w="1134" w:type="dxa"/>
            <w:tcBorders>
              <w:top w:val="nil"/>
              <w:left w:val="nil"/>
              <w:bottom w:val="single" w:sz="8" w:space="0" w:color="auto"/>
              <w:right w:val="single" w:sz="8" w:space="0" w:color="auto"/>
            </w:tcBorders>
            <w:shd w:val="clear" w:color="auto" w:fill="auto"/>
            <w:noWrap/>
            <w:vAlign w:val="center"/>
          </w:tcPr>
          <w:p w:rsidR="001E7B45" w:rsidRPr="00BD4D98" w:rsidRDefault="001E7B45" w:rsidP="005451F2">
            <w:pPr>
              <w:spacing w:after="0" w:line="240" w:lineRule="auto"/>
              <w:jc w:val="right"/>
              <w:rPr>
                <w:color w:val="000000"/>
                <w:sz w:val="20"/>
                <w:szCs w:val="20"/>
              </w:rPr>
            </w:pPr>
            <w:r w:rsidRPr="00BD4D98">
              <w:rPr>
                <w:color w:val="000000"/>
                <w:sz w:val="20"/>
                <w:szCs w:val="20"/>
              </w:rPr>
              <w:t>2079,834</w:t>
            </w:r>
          </w:p>
        </w:tc>
        <w:tc>
          <w:tcPr>
            <w:tcW w:w="1134" w:type="dxa"/>
            <w:tcBorders>
              <w:top w:val="nil"/>
              <w:left w:val="nil"/>
              <w:bottom w:val="single" w:sz="8" w:space="0" w:color="auto"/>
              <w:right w:val="single" w:sz="8" w:space="0" w:color="auto"/>
            </w:tcBorders>
            <w:shd w:val="clear" w:color="auto" w:fill="auto"/>
            <w:noWrap/>
            <w:vAlign w:val="center"/>
            <w:hideMark/>
          </w:tcPr>
          <w:p w:rsidR="001E7B45" w:rsidRPr="00BD4D98" w:rsidRDefault="001E7B45" w:rsidP="005451F2">
            <w:pPr>
              <w:spacing w:after="0" w:line="240" w:lineRule="auto"/>
              <w:jc w:val="right"/>
              <w:rPr>
                <w:color w:val="000000"/>
                <w:sz w:val="20"/>
                <w:szCs w:val="20"/>
              </w:rPr>
            </w:pPr>
            <w:r w:rsidRPr="00BD4D98">
              <w:rPr>
                <w:color w:val="000000"/>
                <w:sz w:val="20"/>
                <w:szCs w:val="20"/>
              </w:rPr>
              <w:t>1 972,340</w:t>
            </w:r>
          </w:p>
        </w:tc>
        <w:tc>
          <w:tcPr>
            <w:tcW w:w="1134" w:type="dxa"/>
            <w:tcBorders>
              <w:top w:val="nil"/>
              <w:left w:val="nil"/>
              <w:bottom w:val="single" w:sz="8" w:space="0" w:color="auto"/>
              <w:right w:val="single" w:sz="8" w:space="0" w:color="auto"/>
            </w:tcBorders>
            <w:shd w:val="clear" w:color="auto" w:fill="auto"/>
            <w:noWrap/>
            <w:vAlign w:val="center"/>
            <w:hideMark/>
          </w:tcPr>
          <w:p w:rsidR="001E7B45" w:rsidRPr="00BD4D98" w:rsidRDefault="001E7B45" w:rsidP="005451F2">
            <w:pPr>
              <w:spacing w:after="0" w:line="240" w:lineRule="auto"/>
              <w:jc w:val="right"/>
              <w:rPr>
                <w:color w:val="000000"/>
                <w:sz w:val="20"/>
                <w:szCs w:val="20"/>
              </w:rPr>
            </w:pPr>
            <w:r w:rsidRPr="00BD4D98">
              <w:rPr>
                <w:color w:val="000000"/>
                <w:sz w:val="20"/>
                <w:szCs w:val="20"/>
              </w:rPr>
              <w:t>1 857,490</w:t>
            </w:r>
          </w:p>
        </w:tc>
        <w:tc>
          <w:tcPr>
            <w:tcW w:w="1029" w:type="dxa"/>
            <w:tcBorders>
              <w:top w:val="nil"/>
              <w:left w:val="nil"/>
              <w:bottom w:val="single" w:sz="8" w:space="0" w:color="auto"/>
              <w:right w:val="single" w:sz="8" w:space="0" w:color="auto"/>
            </w:tcBorders>
            <w:shd w:val="clear" w:color="auto" w:fill="auto"/>
            <w:noWrap/>
            <w:vAlign w:val="center"/>
            <w:hideMark/>
          </w:tcPr>
          <w:p w:rsidR="001E7B45" w:rsidRPr="00BD4D98" w:rsidRDefault="001E7B45" w:rsidP="005451F2">
            <w:pPr>
              <w:spacing w:after="0" w:line="240" w:lineRule="auto"/>
              <w:jc w:val="right"/>
              <w:rPr>
                <w:color w:val="000000"/>
                <w:sz w:val="20"/>
                <w:szCs w:val="20"/>
              </w:rPr>
            </w:pPr>
            <w:r w:rsidRPr="00BD4D98">
              <w:rPr>
                <w:color w:val="000000"/>
                <w:sz w:val="20"/>
                <w:szCs w:val="20"/>
              </w:rPr>
              <w:t>-114,850</w:t>
            </w:r>
          </w:p>
        </w:tc>
        <w:tc>
          <w:tcPr>
            <w:tcW w:w="921" w:type="dxa"/>
            <w:tcBorders>
              <w:top w:val="nil"/>
              <w:left w:val="nil"/>
              <w:bottom w:val="single" w:sz="8" w:space="0" w:color="auto"/>
              <w:right w:val="single" w:sz="8" w:space="0" w:color="auto"/>
            </w:tcBorders>
            <w:shd w:val="clear" w:color="auto" w:fill="auto"/>
            <w:noWrap/>
            <w:vAlign w:val="center"/>
            <w:hideMark/>
          </w:tcPr>
          <w:p w:rsidR="001E7B45" w:rsidRPr="00BD4D98" w:rsidRDefault="001E7B45" w:rsidP="005451F2">
            <w:pPr>
              <w:spacing w:after="0" w:line="240" w:lineRule="auto"/>
              <w:jc w:val="right"/>
              <w:rPr>
                <w:i/>
                <w:iCs/>
                <w:color w:val="000000"/>
                <w:sz w:val="20"/>
                <w:szCs w:val="20"/>
              </w:rPr>
            </w:pPr>
            <w:r w:rsidRPr="00BD4D98">
              <w:rPr>
                <w:i/>
                <w:iCs/>
                <w:color w:val="000000"/>
                <w:sz w:val="20"/>
                <w:szCs w:val="20"/>
              </w:rPr>
              <w:t>-5,8%</w:t>
            </w:r>
          </w:p>
        </w:tc>
      </w:tr>
      <w:tr w:rsidR="001E7B45" w:rsidRPr="00BD4D98" w:rsidTr="00300B7B">
        <w:trPr>
          <w:trHeight w:val="1035"/>
        </w:trPr>
        <w:tc>
          <w:tcPr>
            <w:tcW w:w="2833" w:type="dxa"/>
            <w:tcBorders>
              <w:top w:val="nil"/>
              <w:left w:val="single" w:sz="8" w:space="0" w:color="auto"/>
              <w:bottom w:val="single" w:sz="8" w:space="0" w:color="auto"/>
              <w:right w:val="single" w:sz="8" w:space="0" w:color="auto"/>
            </w:tcBorders>
            <w:shd w:val="clear" w:color="auto" w:fill="auto"/>
            <w:vAlign w:val="center"/>
            <w:hideMark/>
          </w:tcPr>
          <w:p w:rsidR="001E7B45" w:rsidRPr="00BD4D98" w:rsidRDefault="001E7B45" w:rsidP="005451F2">
            <w:pPr>
              <w:spacing w:after="0" w:line="240" w:lineRule="auto"/>
              <w:rPr>
                <w:rFonts w:eastAsia="Times New Roman"/>
                <w:color w:val="000000"/>
                <w:sz w:val="20"/>
                <w:szCs w:val="20"/>
              </w:rPr>
            </w:pPr>
            <w:r w:rsidRPr="00BD4D98">
              <w:rPr>
                <w:rFonts w:eastAsia="Times New Roman"/>
                <w:color w:val="000000"/>
                <w:sz w:val="20"/>
                <w:szCs w:val="20"/>
              </w:rPr>
              <w:t>Отпущено электростанциям и районным котельным на покрытие собственных и производственных нужд</w:t>
            </w:r>
          </w:p>
        </w:tc>
        <w:tc>
          <w:tcPr>
            <w:tcW w:w="1136" w:type="dxa"/>
            <w:tcBorders>
              <w:top w:val="nil"/>
              <w:left w:val="nil"/>
              <w:bottom w:val="single" w:sz="8" w:space="0" w:color="auto"/>
              <w:right w:val="single" w:sz="8" w:space="0" w:color="auto"/>
            </w:tcBorders>
            <w:shd w:val="clear" w:color="auto" w:fill="auto"/>
            <w:noWrap/>
            <w:vAlign w:val="center"/>
            <w:hideMark/>
          </w:tcPr>
          <w:p w:rsidR="001E7B45" w:rsidRPr="00BD4D98" w:rsidRDefault="001E7B45" w:rsidP="005451F2">
            <w:pPr>
              <w:spacing w:after="0" w:line="240" w:lineRule="auto"/>
              <w:rPr>
                <w:rFonts w:eastAsia="Times New Roman"/>
                <w:color w:val="000000"/>
                <w:sz w:val="20"/>
                <w:szCs w:val="20"/>
              </w:rPr>
            </w:pPr>
            <w:r w:rsidRPr="00BD4D98">
              <w:rPr>
                <w:rFonts w:eastAsia="Times New Roman"/>
                <w:color w:val="000000"/>
                <w:sz w:val="20"/>
                <w:szCs w:val="20"/>
              </w:rPr>
              <w:t>млн.кВт.ч.</w:t>
            </w:r>
          </w:p>
        </w:tc>
        <w:tc>
          <w:tcPr>
            <w:tcW w:w="1134" w:type="dxa"/>
            <w:tcBorders>
              <w:top w:val="nil"/>
              <w:left w:val="nil"/>
              <w:bottom w:val="single" w:sz="8" w:space="0" w:color="auto"/>
              <w:right w:val="single" w:sz="8" w:space="0" w:color="auto"/>
            </w:tcBorders>
            <w:shd w:val="clear" w:color="auto" w:fill="auto"/>
            <w:noWrap/>
            <w:vAlign w:val="center"/>
          </w:tcPr>
          <w:p w:rsidR="001E7B45" w:rsidRPr="00BD4D98" w:rsidRDefault="001E7B45" w:rsidP="005451F2">
            <w:pPr>
              <w:spacing w:after="0" w:line="240" w:lineRule="auto"/>
              <w:jc w:val="right"/>
              <w:rPr>
                <w:color w:val="000000"/>
                <w:sz w:val="20"/>
                <w:szCs w:val="20"/>
              </w:rPr>
            </w:pPr>
            <w:r w:rsidRPr="00BD4D98">
              <w:rPr>
                <w:color w:val="000000"/>
                <w:sz w:val="20"/>
                <w:szCs w:val="20"/>
              </w:rPr>
              <w:t>212,296</w:t>
            </w:r>
          </w:p>
        </w:tc>
        <w:tc>
          <w:tcPr>
            <w:tcW w:w="1134" w:type="dxa"/>
            <w:tcBorders>
              <w:top w:val="nil"/>
              <w:left w:val="nil"/>
              <w:bottom w:val="single" w:sz="8" w:space="0" w:color="auto"/>
              <w:right w:val="single" w:sz="8" w:space="0" w:color="auto"/>
            </w:tcBorders>
            <w:shd w:val="clear" w:color="auto" w:fill="auto"/>
            <w:noWrap/>
            <w:vAlign w:val="center"/>
            <w:hideMark/>
          </w:tcPr>
          <w:p w:rsidR="001E7B45" w:rsidRPr="00BD4D98" w:rsidRDefault="001E7B45" w:rsidP="005451F2">
            <w:pPr>
              <w:spacing w:after="0" w:line="240" w:lineRule="auto"/>
              <w:jc w:val="right"/>
              <w:rPr>
                <w:color w:val="000000"/>
                <w:sz w:val="20"/>
                <w:szCs w:val="20"/>
              </w:rPr>
            </w:pPr>
            <w:r w:rsidRPr="00BD4D98">
              <w:rPr>
                <w:color w:val="000000"/>
                <w:sz w:val="20"/>
                <w:szCs w:val="20"/>
              </w:rPr>
              <w:t>212,692</w:t>
            </w:r>
          </w:p>
        </w:tc>
        <w:tc>
          <w:tcPr>
            <w:tcW w:w="1134" w:type="dxa"/>
            <w:tcBorders>
              <w:top w:val="nil"/>
              <w:left w:val="nil"/>
              <w:bottom w:val="single" w:sz="8" w:space="0" w:color="auto"/>
              <w:right w:val="single" w:sz="8" w:space="0" w:color="auto"/>
            </w:tcBorders>
            <w:shd w:val="clear" w:color="auto" w:fill="auto"/>
            <w:noWrap/>
            <w:vAlign w:val="center"/>
            <w:hideMark/>
          </w:tcPr>
          <w:p w:rsidR="001E7B45" w:rsidRPr="00BD4D98" w:rsidRDefault="001E7B45" w:rsidP="005451F2">
            <w:pPr>
              <w:spacing w:after="0" w:line="240" w:lineRule="auto"/>
              <w:jc w:val="right"/>
              <w:rPr>
                <w:color w:val="000000"/>
                <w:sz w:val="20"/>
                <w:szCs w:val="20"/>
              </w:rPr>
            </w:pPr>
            <w:r w:rsidRPr="00BD4D98">
              <w:rPr>
                <w:color w:val="000000"/>
                <w:sz w:val="20"/>
                <w:szCs w:val="20"/>
              </w:rPr>
              <w:t>189,704</w:t>
            </w:r>
          </w:p>
        </w:tc>
        <w:tc>
          <w:tcPr>
            <w:tcW w:w="1029" w:type="dxa"/>
            <w:tcBorders>
              <w:top w:val="nil"/>
              <w:left w:val="nil"/>
              <w:bottom w:val="single" w:sz="8" w:space="0" w:color="auto"/>
              <w:right w:val="single" w:sz="8" w:space="0" w:color="auto"/>
            </w:tcBorders>
            <w:shd w:val="clear" w:color="auto" w:fill="auto"/>
            <w:noWrap/>
            <w:vAlign w:val="center"/>
            <w:hideMark/>
          </w:tcPr>
          <w:p w:rsidR="001E7B45" w:rsidRPr="00BD4D98" w:rsidRDefault="001E7B45" w:rsidP="005451F2">
            <w:pPr>
              <w:spacing w:after="0" w:line="240" w:lineRule="auto"/>
              <w:jc w:val="right"/>
              <w:rPr>
                <w:color w:val="000000"/>
                <w:sz w:val="20"/>
                <w:szCs w:val="20"/>
              </w:rPr>
            </w:pPr>
            <w:r w:rsidRPr="00BD4D98">
              <w:rPr>
                <w:color w:val="000000"/>
                <w:sz w:val="20"/>
                <w:szCs w:val="20"/>
              </w:rPr>
              <w:t>-22,988</w:t>
            </w:r>
          </w:p>
        </w:tc>
        <w:tc>
          <w:tcPr>
            <w:tcW w:w="921" w:type="dxa"/>
            <w:tcBorders>
              <w:top w:val="nil"/>
              <w:left w:val="nil"/>
              <w:bottom w:val="single" w:sz="8" w:space="0" w:color="auto"/>
              <w:right w:val="single" w:sz="8" w:space="0" w:color="auto"/>
            </w:tcBorders>
            <w:shd w:val="clear" w:color="auto" w:fill="auto"/>
            <w:noWrap/>
            <w:vAlign w:val="center"/>
            <w:hideMark/>
          </w:tcPr>
          <w:p w:rsidR="001E7B45" w:rsidRPr="00BD4D98" w:rsidRDefault="001E7B45" w:rsidP="005451F2">
            <w:pPr>
              <w:spacing w:after="0" w:line="240" w:lineRule="auto"/>
              <w:jc w:val="right"/>
              <w:rPr>
                <w:i/>
                <w:iCs/>
                <w:color w:val="000000"/>
                <w:sz w:val="20"/>
                <w:szCs w:val="20"/>
              </w:rPr>
            </w:pPr>
            <w:r w:rsidRPr="00BD4D98">
              <w:rPr>
                <w:i/>
                <w:iCs/>
                <w:color w:val="000000"/>
                <w:sz w:val="20"/>
                <w:szCs w:val="20"/>
              </w:rPr>
              <w:t>-10,8%</w:t>
            </w:r>
          </w:p>
        </w:tc>
      </w:tr>
      <w:tr w:rsidR="001E7B45" w:rsidRPr="00BD4D98" w:rsidTr="00300B7B">
        <w:trPr>
          <w:trHeight w:val="780"/>
        </w:trPr>
        <w:tc>
          <w:tcPr>
            <w:tcW w:w="2833" w:type="dxa"/>
            <w:tcBorders>
              <w:top w:val="nil"/>
              <w:left w:val="single" w:sz="8" w:space="0" w:color="auto"/>
              <w:bottom w:val="single" w:sz="8" w:space="0" w:color="auto"/>
              <w:right w:val="single" w:sz="8" w:space="0" w:color="auto"/>
            </w:tcBorders>
            <w:shd w:val="clear" w:color="auto" w:fill="auto"/>
            <w:vAlign w:val="center"/>
            <w:hideMark/>
          </w:tcPr>
          <w:p w:rsidR="001E7B45" w:rsidRPr="00BD4D98" w:rsidRDefault="001E7B45" w:rsidP="005451F2">
            <w:pPr>
              <w:spacing w:after="0" w:line="240" w:lineRule="auto"/>
              <w:rPr>
                <w:rFonts w:eastAsia="Times New Roman"/>
                <w:b/>
                <w:bCs/>
                <w:color w:val="000000"/>
                <w:sz w:val="20"/>
                <w:szCs w:val="20"/>
              </w:rPr>
            </w:pPr>
            <w:r w:rsidRPr="00BD4D98">
              <w:rPr>
                <w:rFonts w:eastAsia="Times New Roman"/>
                <w:b/>
                <w:bCs/>
                <w:color w:val="000000"/>
                <w:sz w:val="20"/>
                <w:szCs w:val="20"/>
              </w:rPr>
              <w:t>Объем электроэнергии для реализации собственным потребителям, всего</w:t>
            </w:r>
          </w:p>
        </w:tc>
        <w:tc>
          <w:tcPr>
            <w:tcW w:w="1136" w:type="dxa"/>
            <w:tcBorders>
              <w:top w:val="nil"/>
              <w:left w:val="nil"/>
              <w:bottom w:val="single" w:sz="8" w:space="0" w:color="auto"/>
              <w:right w:val="single" w:sz="8" w:space="0" w:color="auto"/>
            </w:tcBorders>
            <w:shd w:val="clear" w:color="auto" w:fill="auto"/>
            <w:noWrap/>
            <w:vAlign w:val="center"/>
            <w:hideMark/>
          </w:tcPr>
          <w:p w:rsidR="001E7B45" w:rsidRPr="00BD4D98" w:rsidRDefault="001E7B45" w:rsidP="005451F2">
            <w:pPr>
              <w:spacing w:after="0" w:line="240" w:lineRule="auto"/>
              <w:rPr>
                <w:rFonts w:eastAsia="Times New Roman"/>
                <w:color w:val="000000"/>
                <w:sz w:val="20"/>
                <w:szCs w:val="20"/>
              </w:rPr>
            </w:pPr>
            <w:r w:rsidRPr="00BD4D98">
              <w:rPr>
                <w:rFonts w:eastAsia="Times New Roman"/>
                <w:color w:val="000000"/>
                <w:sz w:val="20"/>
                <w:szCs w:val="20"/>
              </w:rPr>
              <w:t>млн.кВт.ч.</w:t>
            </w:r>
          </w:p>
        </w:tc>
        <w:tc>
          <w:tcPr>
            <w:tcW w:w="1134" w:type="dxa"/>
            <w:tcBorders>
              <w:top w:val="nil"/>
              <w:left w:val="nil"/>
              <w:bottom w:val="single" w:sz="8" w:space="0" w:color="auto"/>
              <w:right w:val="single" w:sz="8" w:space="0" w:color="auto"/>
            </w:tcBorders>
            <w:shd w:val="clear" w:color="auto" w:fill="auto"/>
            <w:noWrap/>
            <w:vAlign w:val="center"/>
          </w:tcPr>
          <w:p w:rsidR="001E7B45" w:rsidRPr="00BD4D98" w:rsidRDefault="001E7B45" w:rsidP="005451F2">
            <w:pPr>
              <w:spacing w:after="0" w:line="240" w:lineRule="auto"/>
              <w:jc w:val="right"/>
              <w:rPr>
                <w:color w:val="000000"/>
                <w:sz w:val="20"/>
                <w:szCs w:val="20"/>
              </w:rPr>
            </w:pPr>
            <w:r w:rsidRPr="00BD4D98">
              <w:rPr>
                <w:color w:val="000000"/>
                <w:sz w:val="20"/>
                <w:szCs w:val="20"/>
              </w:rPr>
              <w:t>14815,377</w:t>
            </w:r>
          </w:p>
        </w:tc>
        <w:tc>
          <w:tcPr>
            <w:tcW w:w="1134" w:type="dxa"/>
            <w:tcBorders>
              <w:top w:val="nil"/>
              <w:left w:val="nil"/>
              <w:bottom w:val="single" w:sz="8" w:space="0" w:color="auto"/>
              <w:right w:val="single" w:sz="8" w:space="0" w:color="auto"/>
            </w:tcBorders>
            <w:shd w:val="clear" w:color="auto" w:fill="auto"/>
            <w:noWrap/>
            <w:vAlign w:val="center"/>
            <w:hideMark/>
          </w:tcPr>
          <w:p w:rsidR="001E7B45" w:rsidRPr="00BD4D98" w:rsidRDefault="001E7B45" w:rsidP="005451F2">
            <w:pPr>
              <w:spacing w:after="0" w:line="240" w:lineRule="auto"/>
              <w:jc w:val="right"/>
              <w:rPr>
                <w:color w:val="000000"/>
                <w:sz w:val="20"/>
                <w:szCs w:val="20"/>
              </w:rPr>
            </w:pPr>
            <w:r w:rsidRPr="00BD4D98">
              <w:rPr>
                <w:color w:val="000000"/>
                <w:sz w:val="20"/>
                <w:szCs w:val="20"/>
              </w:rPr>
              <w:t>14 497,888</w:t>
            </w:r>
          </w:p>
        </w:tc>
        <w:tc>
          <w:tcPr>
            <w:tcW w:w="1134" w:type="dxa"/>
            <w:tcBorders>
              <w:top w:val="nil"/>
              <w:left w:val="nil"/>
              <w:bottom w:val="single" w:sz="8" w:space="0" w:color="auto"/>
              <w:right w:val="single" w:sz="8" w:space="0" w:color="auto"/>
            </w:tcBorders>
            <w:shd w:val="clear" w:color="auto" w:fill="auto"/>
            <w:noWrap/>
            <w:vAlign w:val="center"/>
            <w:hideMark/>
          </w:tcPr>
          <w:p w:rsidR="001E7B45" w:rsidRPr="00BD4D98" w:rsidRDefault="001E7B45" w:rsidP="005451F2">
            <w:pPr>
              <w:spacing w:after="0" w:line="240" w:lineRule="auto"/>
              <w:jc w:val="right"/>
              <w:rPr>
                <w:color w:val="000000"/>
                <w:sz w:val="20"/>
                <w:szCs w:val="20"/>
              </w:rPr>
            </w:pPr>
            <w:r w:rsidRPr="00BD4D98">
              <w:rPr>
                <w:color w:val="000000"/>
                <w:sz w:val="20"/>
                <w:szCs w:val="20"/>
              </w:rPr>
              <w:t>14 594,065</w:t>
            </w:r>
          </w:p>
        </w:tc>
        <w:tc>
          <w:tcPr>
            <w:tcW w:w="1029" w:type="dxa"/>
            <w:tcBorders>
              <w:top w:val="nil"/>
              <w:left w:val="nil"/>
              <w:bottom w:val="single" w:sz="8" w:space="0" w:color="auto"/>
              <w:right w:val="single" w:sz="8" w:space="0" w:color="auto"/>
            </w:tcBorders>
            <w:shd w:val="clear" w:color="auto" w:fill="auto"/>
            <w:noWrap/>
            <w:vAlign w:val="center"/>
            <w:hideMark/>
          </w:tcPr>
          <w:p w:rsidR="001E7B45" w:rsidRPr="00BD4D98" w:rsidRDefault="001E7B45" w:rsidP="005451F2">
            <w:pPr>
              <w:spacing w:after="0" w:line="240" w:lineRule="auto"/>
              <w:jc w:val="right"/>
              <w:rPr>
                <w:color w:val="000000"/>
                <w:sz w:val="20"/>
                <w:szCs w:val="20"/>
              </w:rPr>
            </w:pPr>
            <w:r w:rsidRPr="00BD4D98">
              <w:rPr>
                <w:color w:val="000000"/>
                <w:sz w:val="20"/>
                <w:szCs w:val="20"/>
              </w:rPr>
              <w:t>96,177</w:t>
            </w:r>
          </w:p>
        </w:tc>
        <w:tc>
          <w:tcPr>
            <w:tcW w:w="921" w:type="dxa"/>
            <w:tcBorders>
              <w:top w:val="nil"/>
              <w:left w:val="nil"/>
              <w:bottom w:val="single" w:sz="8" w:space="0" w:color="auto"/>
              <w:right w:val="single" w:sz="8" w:space="0" w:color="auto"/>
            </w:tcBorders>
            <w:shd w:val="clear" w:color="auto" w:fill="auto"/>
            <w:noWrap/>
            <w:vAlign w:val="center"/>
            <w:hideMark/>
          </w:tcPr>
          <w:p w:rsidR="001E7B45" w:rsidRPr="00BD4D98" w:rsidRDefault="001E7B45" w:rsidP="005451F2">
            <w:pPr>
              <w:spacing w:after="0" w:line="240" w:lineRule="auto"/>
              <w:jc w:val="right"/>
              <w:rPr>
                <w:i/>
                <w:iCs/>
                <w:color w:val="000000"/>
                <w:sz w:val="20"/>
                <w:szCs w:val="20"/>
              </w:rPr>
            </w:pPr>
            <w:r w:rsidRPr="00BD4D98">
              <w:rPr>
                <w:i/>
                <w:iCs/>
                <w:color w:val="000000"/>
                <w:sz w:val="20"/>
                <w:szCs w:val="20"/>
              </w:rPr>
              <w:t>0,7%</w:t>
            </w:r>
          </w:p>
        </w:tc>
      </w:tr>
    </w:tbl>
    <w:p w:rsidR="00300B7B" w:rsidRDefault="00300B7B" w:rsidP="00300B7B">
      <w:pPr>
        <w:spacing w:after="0" w:line="240" w:lineRule="auto"/>
        <w:jc w:val="center"/>
        <w:rPr>
          <w:rFonts w:ascii="Times New Roman CYR" w:eastAsia="Times New Roman" w:hAnsi="Times New Roman CYR" w:cs="Times New Roman CYR"/>
          <w:bCs/>
          <w:sz w:val="28"/>
          <w:szCs w:val="28"/>
        </w:rPr>
      </w:pPr>
    </w:p>
    <w:p w:rsidR="001E7B45" w:rsidRPr="00BD4D98" w:rsidRDefault="001E7B45" w:rsidP="00300B7B">
      <w:pPr>
        <w:spacing w:after="0" w:line="240" w:lineRule="auto"/>
        <w:jc w:val="center"/>
        <w:rPr>
          <w:rFonts w:ascii="Times New Roman CYR" w:eastAsia="Times New Roman" w:hAnsi="Times New Roman CYR" w:cs="Times New Roman CYR"/>
          <w:bCs/>
          <w:sz w:val="28"/>
          <w:szCs w:val="28"/>
        </w:rPr>
      </w:pPr>
      <w:r w:rsidRPr="00BD4D98">
        <w:rPr>
          <w:rFonts w:ascii="Times New Roman CYR" w:eastAsia="Times New Roman" w:hAnsi="Times New Roman CYR" w:cs="Times New Roman CYR"/>
          <w:bCs/>
          <w:sz w:val="28"/>
          <w:szCs w:val="28"/>
        </w:rPr>
        <w:t>Баланс электрической энергии, учтённый при формировании</w:t>
      </w:r>
    </w:p>
    <w:p w:rsidR="001E7B45" w:rsidRPr="00BD4D98" w:rsidRDefault="001E7B45" w:rsidP="00300B7B">
      <w:pPr>
        <w:spacing w:after="0" w:line="240" w:lineRule="auto"/>
        <w:jc w:val="center"/>
        <w:rPr>
          <w:rFonts w:eastAsia="Times New Roman"/>
          <w:sz w:val="28"/>
          <w:szCs w:val="28"/>
        </w:rPr>
      </w:pPr>
      <w:r w:rsidRPr="00BD4D98">
        <w:rPr>
          <w:rFonts w:ascii="Times New Roman CYR" w:eastAsia="Times New Roman" w:hAnsi="Times New Roman CYR" w:cs="Times New Roman CYR"/>
          <w:bCs/>
          <w:sz w:val="28"/>
          <w:szCs w:val="28"/>
        </w:rPr>
        <w:t xml:space="preserve">единых (котловых) тарифов </w:t>
      </w:r>
      <w:r w:rsidRPr="00BD4D98">
        <w:rPr>
          <w:rFonts w:eastAsia="Times New Roman"/>
          <w:sz w:val="28"/>
          <w:szCs w:val="28"/>
        </w:rPr>
        <w:t>на услуги по передаче электрической энергии по сетям Новосибирской области на 2020 год</w:t>
      </w:r>
    </w:p>
    <w:p w:rsidR="001E7B45" w:rsidRPr="005451F2" w:rsidRDefault="005451F2" w:rsidP="005451F2">
      <w:pPr>
        <w:spacing w:line="240" w:lineRule="auto"/>
        <w:jc w:val="right"/>
        <w:rPr>
          <w:rFonts w:eastAsia="Times New Roman"/>
        </w:rPr>
      </w:pPr>
      <w:r w:rsidRPr="005451F2">
        <w:rPr>
          <w:rFonts w:eastAsia="Times New Roman"/>
        </w:rPr>
        <w:t>Таблица № 2.</w:t>
      </w:r>
      <w:r w:rsidR="00301B24">
        <w:rPr>
          <w:rFonts w:eastAsia="Times New Roman"/>
        </w:rPr>
        <w:t>1.</w:t>
      </w:r>
      <w:r w:rsidRPr="005451F2">
        <w:rPr>
          <w:rFonts w:eastAsia="Times New Roman"/>
        </w:rPr>
        <w:t>3.</w:t>
      </w:r>
    </w:p>
    <w:tbl>
      <w:tblPr>
        <w:tblW w:w="9356" w:type="dxa"/>
        <w:tblInd w:w="250" w:type="dxa"/>
        <w:tblLayout w:type="fixed"/>
        <w:tblLook w:val="04A0" w:firstRow="1" w:lastRow="0" w:firstColumn="1" w:lastColumn="0" w:noHBand="0" w:noVBand="1"/>
      </w:tblPr>
      <w:tblGrid>
        <w:gridCol w:w="656"/>
        <w:gridCol w:w="2604"/>
        <w:gridCol w:w="993"/>
        <w:gridCol w:w="992"/>
        <w:gridCol w:w="1133"/>
        <w:gridCol w:w="993"/>
        <w:gridCol w:w="992"/>
        <w:gridCol w:w="993"/>
      </w:tblGrid>
      <w:tr w:rsidR="001E7B45" w:rsidRPr="00BD4D98" w:rsidTr="00300B7B">
        <w:trPr>
          <w:trHeight w:val="315"/>
        </w:trPr>
        <w:tc>
          <w:tcPr>
            <w:tcW w:w="656" w:type="dxa"/>
            <w:vMerge w:val="restart"/>
            <w:tcBorders>
              <w:top w:val="single" w:sz="8" w:space="0" w:color="auto"/>
              <w:left w:val="single" w:sz="8" w:space="0" w:color="auto"/>
              <w:bottom w:val="single" w:sz="8" w:space="0" w:color="000000"/>
              <w:right w:val="single" w:sz="8" w:space="0" w:color="auto"/>
            </w:tcBorders>
            <w:shd w:val="clear" w:color="auto" w:fill="auto"/>
            <w:noWrap/>
            <w:vAlign w:val="center"/>
            <w:hideMark/>
          </w:tcPr>
          <w:p w:rsidR="001E7B45" w:rsidRPr="00BD4D98" w:rsidRDefault="001E7B45" w:rsidP="005451F2">
            <w:pPr>
              <w:spacing w:line="240" w:lineRule="auto"/>
              <w:jc w:val="center"/>
              <w:rPr>
                <w:rFonts w:eastAsia="Times New Roman"/>
                <w:b/>
                <w:bCs/>
                <w:color w:val="000000"/>
              </w:rPr>
            </w:pPr>
            <w:r w:rsidRPr="00BD4D98">
              <w:rPr>
                <w:rFonts w:eastAsia="Times New Roman"/>
                <w:b/>
                <w:bCs/>
                <w:color w:val="000000"/>
                <w:sz w:val="22"/>
                <w:szCs w:val="22"/>
              </w:rPr>
              <w:t>№ п/п</w:t>
            </w:r>
          </w:p>
        </w:tc>
        <w:tc>
          <w:tcPr>
            <w:tcW w:w="2604" w:type="dxa"/>
            <w:vMerge w:val="restart"/>
            <w:tcBorders>
              <w:top w:val="single" w:sz="8" w:space="0" w:color="auto"/>
              <w:left w:val="single" w:sz="8" w:space="0" w:color="auto"/>
              <w:bottom w:val="single" w:sz="8" w:space="0" w:color="000000"/>
              <w:right w:val="single" w:sz="8" w:space="0" w:color="auto"/>
            </w:tcBorders>
            <w:shd w:val="clear" w:color="auto" w:fill="auto"/>
            <w:vAlign w:val="center"/>
            <w:hideMark/>
          </w:tcPr>
          <w:p w:rsidR="001E7B45" w:rsidRPr="00BD4D98" w:rsidRDefault="001E7B45" w:rsidP="005451F2">
            <w:pPr>
              <w:spacing w:line="240" w:lineRule="auto"/>
              <w:jc w:val="center"/>
              <w:rPr>
                <w:rFonts w:eastAsia="Times New Roman"/>
                <w:b/>
                <w:bCs/>
                <w:color w:val="000000"/>
              </w:rPr>
            </w:pPr>
            <w:r w:rsidRPr="00BD4D98">
              <w:rPr>
                <w:rFonts w:eastAsia="Times New Roman"/>
                <w:b/>
                <w:bCs/>
                <w:color w:val="000000"/>
                <w:sz w:val="22"/>
                <w:szCs w:val="22"/>
              </w:rPr>
              <w:t>Показатели</w:t>
            </w:r>
          </w:p>
        </w:tc>
        <w:tc>
          <w:tcPr>
            <w:tcW w:w="993" w:type="dxa"/>
            <w:vMerge w:val="restart"/>
            <w:tcBorders>
              <w:top w:val="single" w:sz="8" w:space="0" w:color="auto"/>
              <w:left w:val="single" w:sz="8" w:space="0" w:color="auto"/>
              <w:bottom w:val="single" w:sz="8" w:space="0" w:color="000000"/>
              <w:right w:val="single" w:sz="8" w:space="0" w:color="auto"/>
            </w:tcBorders>
            <w:shd w:val="clear" w:color="auto" w:fill="auto"/>
            <w:vAlign w:val="center"/>
            <w:hideMark/>
          </w:tcPr>
          <w:p w:rsidR="001E7B45" w:rsidRPr="00BD4D98" w:rsidRDefault="001E7B45" w:rsidP="005451F2">
            <w:pPr>
              <w:spacing w:line="240" w:lineRule="auto"/>
              <w:jc w:val="center"/>
              <w:rPr>
                <w:rFonts w:eastAsia="Times New Roman"/>
                <w:b/>
                <w:bCs/>
                <w:color w:val="000000"/>
                <w:sz w:val="18"/>
                <w:szCs w:val="18"/>
              </w:rPr>
            </w:pPr>
            <w:r w:rsidRPr="00BD4D98">
              <w:rPr>
                <w:rFonts w:eastAsia="Times New Roman"/>
                <w:b/>
                <w:bCs/>
                <w:color w:val="000000"/>
                <w:sz w:val="18"/>
                <w:szCs w:val="18"/>
              </w:rPr>
              <w:t>Ед. изм.</w:t>
            </w:r>
          </w:p>
        </w:tc>
        <w:tc>
          <w:tcPr>
            <w:tcW w:w="5103" w:type="dxa"/>
            <w:gridSpan w:val="5"/>
            <w:tcBorders>
              <w:top w:val="single" w:sz="8" w:space="0" w:color="auto"/>
              <w:left w:val="nil"/>
              <w:bottom w:val="single" w:sz="8" w:space="0" w:color="auto"/>
              <w:right w:val="single" w:sz="8" w:space="0" w:color="000000"/>
            </w:tcBorders>
            <w:shd w:val="clear" w:color="auto" w:fill="auto"/>
            <w:vAlign w:val="center"/>
            <w:hideMark/>
          </w:tcPr>
          <w:p w:rsidR="001E7B45" w:rsidRPr="00BD4D98" w:rsidRDefault="001E7B45" w:rsidP="005451F2">
            <w:pPr>
              <w:spacing w:line="240" w:lineRule="auto"/>
              <w:jc w:val="center"/>
              <w:rPr>
                <w:rFonts w:eastAsia="Times New Roman"/>
                <w:b/>
                <w:bCs/>
                <w:color w:val="000000"/>
              </w:rPr>
            </w:pPr>
            <w:r w:rsidRPr="00BD4D98">
              <w:rPr>
                <w:rFonts w:eastAsia="Times New Roman"/>
                <w:b/>
                <w:bCs/>
                <w:color w:val="000000"/>
                <w:sz w:val="22"/>
                <w:szCs w:val="22"/>
              </w:rPr>
              <w:t>2020 план</w:t>
            </w:r>
          </w:p>
        </w:tc>
      </w:tr>
      <w:tr w:rsidR="001E7B45" w:rsidRPr="00BD4D98" w:rsidTr="00300B7B">
        <w:trPr>
          <w:trHeight w:val="315"/>
        </w:trPr>
        <w:tc>
          <w:tcPr>
            <w:tcW w:w="656" w:type="dxa"/>
            <w:vMerge/>
            <w:tcBorders>
              <w:top w:val="single" w:sz="8" w:space="0" w:color="auto"/>
              <w:left w:val="single" w:sz="8" w:space="0" w:color="auto"/>
              <w:bottom w:val="single" w:sz="8" w:space="0" w:color="000000"/>
              <w:right w:val="single" w:sz="8" w:space="0" w:color="auto"/>
            </w:tcBorders>
            <w:vAlign w:val="center"/>
            <w:hideMark/>
          </w:tcPr>
          <w:p w:rsidR="001E7B45" w:rsidRPr="00BD4D98" w:rsidRDefault="001E7B45" w:rsidP="005451F2">
            <w:pPr>
              <w:spacing w:line="240" w:lineRule="auto"/>
              <w:rPr>
                <w:rFonts w:eastAsia="Times New Roman"/>
                <w:b/>
                <w:bCs/>
                <w:color w:val="000000"/>
              </w:rPr>
            </w:pPr>
          </w:p>
        </w:tc>
        <w:tc>
          <w:tcPr>
            <w:tcW w:w="2604" w:type="dxa"/>
            <w:vMerge/>
            <w:tcBorders>
              <w:top w:val="single" w:sz="8" w:space="0" w:color="auto"/>
              <w:left w:val="single" w:sz="8" w:space="0" w:color="auto"/>
              <w:bottom w:val="single" w:sz="8" w:space="0" w:color="000000"/>
              <w:right w:val="single" w:sz="8" w:space="0" w:color="auto"/>
            </w:tcBorders>
            <w:vAlign w:val="center"/>
            <w:hideMark/>
          </w:tcPr>
          <w:p w:rsidR="001E7B45" w:rsidRPr="00BD4D98" w:rsidRDefault="001E7B45" w:rsidP="005451F2">
            <w:pPr>
              <w:spacing w:line="240" w:lineRule="auto"/>
              <w:rPr>
                <w:rFonts w:eastAsia="Times New Roman"/>
                <w:b/>
                <w:bCs/>
                <w:color w:val="000000"/>
              </w:rPr>
            </w:pPr>
          </w:p>
        </w:tc>
        <w:tc>
          <w:tcPr>
            <w:tcW w:w="993" w:type="dxa"/>
            <w:vMerge/>
            <w:tcBorders>
              <w:top w:val="single" w:sz="8" w:space="0" w:color="auto"/>
              <w:left w:val="single" w:sz="8" w:space="0" w:color="auto"/>
              <w:bottom w:val="single" w:sz="8" w:space="0" w:color="000000"/>
              <w:right w:val="single" w:sz="8" w:space="0" w:color="auto"/>
            </w:tcBorders>
            <w:vAlign w:val="center"/>
            <w:hideMark/>
          </w:tcPr>
          <w:p w:rsidR="001E7B45" w:rsidRPr="00BD4D98" w:rsidRDefault="001E7B45" w:rsidP="005451F2">
            <w:pPr>
              <w:spacing w:line="240" w:lineRule="auto"/>
              <w:rPr>
                <w:rFonts w:eastAsia="Times New Roman"/>
                <w:b/>
                <w:bCs/>
                <w:color w:val="000000"/>
                <w:sz w:val="18"/>
                <w:szCs w:val="18"/>
              </w:rPr>
            </w:pPr>
          </w:p>
        </w:tc>
        <w:tc>
          <w:tcPr>
            <w:tcW w:w="992" w:type="dxa"/>
            <w:tcBorders>
              <w:top w:val="nil"/>
              <w:left w:val="nil"/>
              <w:bottom w:val="single" w:sz="8" w:space="0" w:color="auto"/>
              <w:right w:val="single" w:sz="8" w:space="0" w:color="auto"/>
            </w:tcBorders>
            <w:shd w:val="clear" w:color="auto" w:fill="auto"/>
            <w:noWrap/>
            <w:vAlign w:val="center"/>
            <w:hideMark/>
          </w:tcPr>
          <w:p w:rsidR="001E7B45" w:rsidRPr="00BD4D98" w:rsidRDefault="001E7B45" w:rsidP="005451F2">
            <w:pPr>
              <w:spacing w:line="240" w:lineRule="auto"/>
              <w:jc w:val="center"/>
              <w:rPr>
                <w:rFonts w:eastAsia="Times New Roman"/>
                <w:b/>
                <w:bCs/>
                <w:color w:val="000000"/>
              </w:rPr>
            </w:pPr>
            <w:r w:rsidRPr="00BD4D98">
              <w:rPr>
                <w:rFonts w:eastAsia="Times New Roman"/>
                <w:b/>
                <w:bCs/>
                <w:color w:val="000000"/>
                <w:sz w:val="22"/>
                <w:szCs w:val="22"/>
              </w:rPr>
              <w:t>Всего</w:t>
            </w:r>
          </w:p>
        </w:tc>
        <w:tc>
          <w:tcPr>
            <w:tcW w:w="1133" w:type="dxa"/>
            <w:tcBorders>
              <w:top w:val="nil"/>
              <w:left w:val="nil"/>
              <w:bottom w:val="single" w:sz="8" w:space="0" w:color="auto"/>
              <w:right w:val="single" w:sz="8" w:space="0" w:color="auto"/>
            </w:tcBorders>
            <w:shd w:val="clear" w:color="auto" w:fill="auto"/>
            <w:noWrap/>
            <w:vAlign w:val="center"/>
            <w:hideMark/>
          </w:tcPr>
          <w:p w:rsidR="001E7B45" w:rsidRPr="00BD4D98" w:rsidRDefault="001E7B45" w:rsidP="005451F2">
            <w:pPr>
              <w:spacing w:line="240" w:lineRule="auto"/>
              <w:jc w:val="center"/>
              <w:rPr>
                <w:rFonts w:eastAsia="Times New Roman"/>
                <w:b/>
                <w:bCs/>
                <w:color w:val="000000"/>
              </w:rPr>
            </w:pPr>
            <w:r w:rsidRPr="00BD4D98">
              <w:rPr>
                <w:rFonts w:eastAsia="Times New Roman"/>
                <w:b/>
                <w:bCs/>
                <w:color w:val="000000"/>
                <w:sz w:val="22"/>
                <w:szCs w:val="22"/>
              </w:rPr>
              <w:t>ВН</w:t>
            </w:r>
          </w:p>
        </w:tc>
        <w:tc>
          <w:tcPr>
            <w:tcW w:w="993" w:type="dxa"/>
            <w:tcBorders>
              <w:top w:val="nil"/>
              <w:left w:val="nil"/>
              <w:bottom w:val="single" w:sz="8" w:space="0" w:color="auto"/>
              <w:right w:val="single" w:sz="8" w:space="0" w:color="auto"/>
            </w:tcBorders>
            <w:shd w:val="clear" w:color="auto" w:fill="auto"/>
            <w:noWrap/>
            <w:vAlign w:val="center"/>
            <w:hideMark/>
          </w:tcPr>
          <w:p w:rsidR="001E7B45" w:rsidRPr="00BD4D98" w:rsidRDefault="001E7B45" w:rsidP="005451F2">
            <w:pPr>
              <w:spacing w:line="240" w:lineRule="auto"/>
              <w:jc w:val="center"/>
              <w:rPr>
                <w:rFonts w:eastAsia="Times New Roman"/>
                <w:b/>
                <w:bCs/>
                <w:color w:val="000000"/>
              </w:rPr>
            </w:pPr>
            <w:r w:rsidRPr="00BD4D98">
              <w:rPr>
                <w:rFonts w:eastAsia="Times New Roman"/>
                <w:b/>
                <w:bCs/>
                <w:color w:val="000000"/>
                <w:sz w:val="22"/>
                <w:szCs w:val="22"/>
              </w:rPr>
              <w:t>СН1</w:t>
            </w:r>
          </w:p>
        </w:tc>
        <w:tc>
          <w:tcPr>
            <w:tcW w:w="992" w:type="dxa"/>
            <w:tcBorders>
              <w:top w:val="nil"/>
              <w:left w:val="nil"/>
              <w:bottom w:val="single" w:sz="8" w:space="0" w:color="auto"/>
              <w:right w:val="single" w:sz="8" w:space="0" w:color="auto"/>
            </w:tcBorders>
            <w:shd w:val="clear" w:color="auto" w:fill="auto"/>
            <w:noWrap/>
            <w:vAlign w:val="center"/>
            <w:hideMark/>
          </w:tcPr>
          <w:p w:rsidR="001E7B45" w:rsidRPr="00BD4D98" w:rsidRDefault="001E7B45" w:rsidP="005451F2">
            <w:pPr>
              <w:spacing w:line="240" w:lineRule="auto"/>
              <w:jc w:val="center"/>
              <w:rPr>
                <w:rFonts w:eastAsia="Times New Roman"/>
                <w:b/>
                <w:bCs/>
                <w:color w:val="000000"/>
              </w:rPr>
            </w:pPr>
            <w:r w:rsidRPr="00BD4D98">
              <w:rPr>
                <w:rFonts w:eastAsia="Times New Roman"/>
                <w:b/>
                <w:bCs/>
                <w:color w:val="000000"/>
                <w:sz w:val="22"/>
                <w:szCs w:val="22"/>
              </w:rPr>
              <w:t>СН2</w:t>
            </w:r>
          </w:p>
        </w:tc>
        <w:tc>
          <w:tcPr>
            <w:tcW w:w="993" w:type="dxa"/>
            <w:tcBorders>
              <w:top w:val="nil"/>
              <w:left w:val="nil"/>
              <w:bottom w:val="single" w:sz="8" w:space="0" w:color="auto"/>
              <w:right w:val="single" w:sz="8" w:space="0" w:color="auto"/>
            </w:tcBorders>
            <w:shd w:val="clear" w:color="auto" w:fill="auto"/>
            <w:noWrap/>
            <w:vAlign w:val="center"/>
            <w:hideMark/>
          </w:tcPr>
          <w:p w:rsidR="001E7B45" w:rsidRPr="00BD4D98" w:rsidRDefault="001E7B45" w:rsidP="005451F2">
            <w:pPr>
              <w:spacing w:line="240" w:lineRule="auto"/>
              <w:jc w:val="center"/>
              <w:rPr>
                <w:rFonts w:eastAsia="Times New Roman"/>
                <w:b/>
                <w:bCs/>
                <w:color w:val="000000"/>
              </w:rPr>
            </w:pPr>
            <w:r w:rsidRPr="00BD4D98">
              <w:rPr>
                <w:rFonts w:eastAsia="Times New Roman"/>
                <w:b/>
                <w:bCs/>
                <w:color w:val="000000"/>
                <w:sz w:val="22"/>
                <w:szCs w:val="22"/>
              </w:rPr>
              <w:t>НН</w:t>
            </w:r>
          </w:p>
        </w:tc>
      </w:tr>
      <w:tr w:rsidR="001E7B45" w:rsidRPr="00BD4D98" w:rsidTr="00300B7B">
        <w:trPr>
          <w:trHeight w:val="495"/>
        </w:trPr>
        <w:tc>
          <w:tcPr>
            <w:tcW w:w="656" w:type="dxa"/>
            <w:tcBorders>
              <w:top w:val="nil"/>
              <w:left w:val="single" w:sz="8" w:space="0" w:color="auto"/>
              <w:bottom w:val="single" w:sz="8" w:space="0" w:color="auto"/>
              <w:right w:val="single" w:sz="8" w:space="0" w:color="auto"/>
            </w:tcBorders>
            <w:shd w:val="clear" w:color="auto" w:fill="auto"/>
            <w:noWrap/>
            <w:vAlign w:val="center"/>
            <w:hideMark/>
          </w:tcPr>
          <w:p w:rsidR="001E7B45" w:rsidRPr="00BD4D98" w:rsidRDefault="001E7B45" w:rsidP="005451F2">
            <w:pPr>
              <w:spacing w:line="240" w:lineRule="auto"/>
              <w:jc w:val="center"/>
              <w:rPr>
                <w:rFonts w:eastAsia="Times New Roman"/>
                <w:color w:val="000000"/>
              </w:rPr>
            </w:pPr>
            <w:r w:rsidRPr="00BD4D98">
              <w:rPr>
                <w:rFonts w:eastAsia="Times New Roman"/>
                <w:color w:val="000000"/>
                <w:sz w:val="22"/>
                <w:szCs w:val="22"/>
              </w:rPr>
              <w:t>1</w:t>
            </w:r>
          </w:p>
        </w:tc>
        <w:tc>
          <w:tcPr>
            <w:tcW w:w="2604" w:type="dxa"/>
            <w:tcBorders>
              <w:top w:val="nil"/>
              <w:left w:val="nil"/>
              <w:bottom w:val="single" w:sz="8" w:space="0" w:color="auto"/>
              <w:right w:val="single" w:sz="8" w:space="0" w:color="auto"/>
            </w:tcBorders>
            <w:shd w:val="clear" w:color="auto" w:fill="auto"/>
            <w:vAlign w:val="center"/>
            <w:hideMark/>
          </w:tcPr>
          <w:p w:rsidR="001E7B45" w:rsidRPr="00BD4D98" w:rsidRDefault="001E7B45" w:rsidP="00300B7B">
            <w:pPr>
              <w:spacing w:line="240" w:lineRule="auto"/>
              <w:jc w:val="both"/>
              <w:rPr>
                <w:rFonts w:eastAsia="Times New Roman"/>
                <w:color w:val="000000"/>
              </w:rPr>
            </w:pPr>
            <w:r w:rsidRPr="00BD4D98">
              <w:rPr>
                <w:rFonts w:eastAsia="Times New Roman"/>
                <w:color w:val="000000"/>
                <w:sz w:val="22"/>
                <w:szCs w:val="22"/>
              </w:rPr>
              <w:t>Поступление эл.энергии в сеть, ВСЕГО</w:t>
            </w:r>
          </w:p>
        </w:tc>
        <w:tc>
          <w:tcPr>
            <w:tcW w:w="993" w:type="dxa"/>
            <w:tcBorders>
              <w:top w:val="nil"/>
              <w:left w:val="nil"/>
              <w:bottom w:val="single" w:sz="8" w:space="0" w:color="auto"/>
              <w:right w:val="single" w:sz="8" w:space="0" w:color="auto"/>
            </w:tcBorders>
            <w:shd w:val="clear" w:color="auto" w:fill="auto"/>
            <w:vAlign w:val="center"/>
            <w:hideMark/>
          </w:tcPr>
          <w:p w:rsidR="001E7B45" w:rsidRPr="00BD4D98" w:rsidRDefault="001E7B45" w:rsidP="005451F2">
            <w:pPr>
              <w:spacing w:line="240" w:lineRule="auto"/>
              <w:jc w:val="center"/>
              <w:rPr>
                <w:rFonts w:eastAsia="Times New Roman"/>
                <w:color w:val="000000"/>
                <w:sz w:val="18"/>
                <w:szCs w:val="18"/>
              </w:rPr>
            </w:pPr>
            <w:r w:rsidRPr="00BD4D98">
              <w:rPr>
                <w:rFonts w:eastAsia="Times New Roman"/>
                <w:color w:val="000000"/>
                <w:sz w:val="18"/>
                <w:szCs w:val="18"/>
              </w:rPr>
              <w:t>млн.кВт.ч</w:t>
            </w:r>
          </w:p>
        </w:tc>
        <w:tc>
          <w:tcPr>
            <w:tcW w:w="992" w:type="dxa"/>
            <w:tcBorders>
              <w:top w:val="nil"/>
              <w:left w:val="nil"/>
              <w:bottom w:val="single" w:sz="8" w:space="0" w:color="auto"/>
              <w:right w:val="single" w:sz="8" w:space="0" w:color="auto"/>
            </w:tcBorders>
            <w:shd w:val="clear" w:color="auto" w:fill="auto"/>
            <w:noWrap/>
            <w:vAlign w:val="center"/>
            <w:hideMark/>
          </w:tcPr>
          <w:p w:rsidR="001E7B45" w:rsidRPr="00BD4D98" w:rsidRDefault="001E7B45" w:rsidP="005451F2">
            <w:pPr>
              <w:spacing w:line="240" w:lineRule="auto"/>
              <w:jc w:val="right"/>
              <w:rPr>
                <w:sz w:val="20"/>
                <w:szCs w:val="20"/>
              </w:rPr>
            </w:pPr>
            <w:r w:rsidRPr="00BD4D98">
              <w:rPr>
                <w:sz w:val="20"/>
                <w:szCs w:val="20"/>
              </w:rPr>
              <w:t>13 363,33</w:t>
            </w:r>
          </w:p>
        </w:tc>
        <w:tc>
          <w:tcPr>
            <w:tcW w:w="1133" w:type="dxa"/>
            <w:tcBorders>
              <w:top w:val="nil"/>
              <w:left w:val="nil"/>
              <w:bottom w:val="single" w:sz="8" w:space="0" w:color="auto"/>
              <w:right w:val="single" w:sz="8" w:space="0" w:color="auto"/>
            </w:tcBorders>
            <w:shd w:val="clear" w:color="auto" w:fill="auto"/>
            <w:noWrap/>
            <w:vAlign w:val="center"/>
            <w:hideMark/>
          </w:tcPr>
          <w:p w:rsidR="001E7B45" w:rsidRPr="00BD4D98" w:rsidRDefault="001E7B45" w:rsidP="005451F2">
            <w:pPr>
              <w:spacing w:line="240" w:lineRule="auto"/>
              <w:jc w:val="right"/>
              <w:rPr>
                <w:sz w:val="20"/>
                <w:szCs w:val="20"/>
              </w:rPr>
            </w:pPr>
            <w:r w:rsidRPr="00BD4D98">
              <w:rPr>
                <w:sz w:val="20"/>
                <w:szCs w:val="20"/>
              </w:rPr>
              <w:t>13 363,33</w:t>
            </w:r>
          </w:p>
        </w:tc>
        <w:tc>
          <w:tcPr>
            <w:tcW w:w="993" w:type="dxa"/>
            <w:tcBorders>
              <w:top w:val="nil"/>
              <w:left w:val="nil"/>
              <w:bottom w:val="single" w:sz="8" w:space="0" w:color="auto"/>
              <w:right w:val="single" w:sz="8" w:space="0" w:color="auto"/>
            </w:tcBorders>
            <w:shd w:val="clear" w:color="auto" w:fill="auto"/>
            <w:noWrap/>
            <w:vAlign w:val="center"/>
            <w:hideMark/>
          </w:tcPr>
          <w:p w:rsidR="001E7B45" w:rsidRPr="00BD4D98" w:rsidRDefault="001E7B45" w:rsidP="005451F2">
            <w:pPr>
              <w:spacing w:line="240" w:lineRule="auto"/>
              <w:jc w:val="right"/>
              <w:rPr>
                <w:sz w:val="20"/>
                <w:szCs w:val="20"/>
              </w:rPr>
            </w:pPr>
            <w:r w:rsidRPr="00BD4D98">
              <w:rPr>
                <w:sz w:val="20"/>
                <w:szCs w:val="20"/>
              </w:rPr>
              <w:t>1 400,00</w:t>
            </w:r>
          </w:p>
        </w:tc>
        <w:tc>
          <w:tcPr>
            <w:tcW w:w="992" w:type="dxa"/>
            <w:tcBorders>
              <w:top w:val="nil"/>
              <w:left w:val="nil"/>
              <w:bottom w:val="single" w:sz="8" w:space="0" w:color="auto"/>
              <w:right w:val="single" w:sz="8" w:space="0" w:color="auto"/>
            </w:tcBorders>
            <w:shd w:val="clear" w:color="auto" w:fill="auto"/>
            <w:noWrap/>
            <w:vAlign w:val="center"/>
            <w:hideMark/>
          </w:tcPr>
          <w:p w:rsidR="001E7B45" w:rsidRPr="00BD4D98" w:rsidRDefault="001E7B45" w:rsidP="005451F2">
            <w:pPr>
              <w:spacing w:line="240" w:lineRule="auto"/>
              <w:jc w:val="right"/>
              <w:rPr>
                <w:sz w:val="20"/>
                <w:szCs w:val="20"/>
              </w:rPr>
            </w:pPr>
            <w:r w:rsidRPr="00BD4D98">
              <w:rPr>
                <w:sz w:val="20"/>
                <w:szCs w:val="20"/>
              </w:rPr>
              <w:t>8 836,43</w:t>
            </w:r>
          </w:p>
        </w:tc>
        <w:tc>
          <w:tcPr>
            <w:tcW w:w="993" w:type="dxa"/>
            <w:tcBorders>
              <w:top w:val="nil"/>
              <w:left w:val="nil"/>
              <w:bottom w:val="single" w:sz="8" w:space="0" w:color="auto"/>
              <w:right w:val="single" w:sz="8" w:space="0" w:color="auto"/>
            </w:tcBorders>
            <w:shd w:val="clear" w:color="auto" w:fill="auto"/>
            <w:noWrap/>
            <w:vAlign w:val="center"/>
            <w:hideMark/>
          </w:tcPr>
          <w:p w:rsidR="001E7B45" w:rsidRPr="00BD4D98" w:rsidRDefault="001E7B45" w:rsidP="005451F2">
            <w:pPr>
              <w:spacing w:line="240" w:lineRule="auto"/>
              <w:jc w:val="right"/>
              <w:rPr>
                <w:sz w:val="20"/>
                <w:szCs w:val="20"/>
              </w:rPr>
            </w:pPr>
            <w:r w:rsidRPr="00BD4D98">
              <w:rPr>
                <w:sz w:val="20"/>
                <w:szCs w:val="20"/>
              </w:rPr>
              <w:t>5 324,58</w:t>
            </w:r>
          </w:p>
        </w:tc>
      </w:tr>
      <w:tr w:rsidR="001E7B45" w:rsidRPr="00BD4D98" w:rsidTr="00300B7B">
        <w:trPr>
          <w:trHeight w:val="315"/>
        </w:trPr>
        <w:tc>
          <w:tcPr>
            <w:tcW w:w="656" w:type="dxa"/>
            <w:tcBorders>
              <w:top w:val="nil"/>
              <w:left w:val="single" w:sz="8" w:space="0" w:color="auto"/>
              <w:bottom w:val="single" w:sz="8" w:space="0" w:color="auto"/>
              <w:right w:val="single" w:sz="8" w:space="0" w:color="auto"/>
            </w:tcBorders>
            <w:shd w:val="clear" w:color="auto" w:fill="auto"/>
            <w:noWrap/>
            <w:vAlign w:val="center"/>
            <w:hideMark/>
          </w:tcPr>
          <w:p w:rsidR="001E7B45" w:rsidRPr="00BD4D98" w:rsidRDefault="001E7B45" w:rsidP="005451F2">
            <w:pPr>
              <w:spacing w:line="240" w:lineRule="auto"/>
              <w:jc w:val="center"/>
              <w:rPr>
                <w:rFonts w:eastAsia="Times New Roman"/>
                <w:color w:val="000000"/>
              </w:rPr>
            </w:pPr>
            <w:r w:rsidRPr="00BD4D98">
              <w:rPr>
                <w:rFonts w:eastAsia="Times New Roman"/>
                <w:color w:val="000000"/>
                <w:sz w:val="22"/>
                <w:szCs w:val="22"/>
              </w:rPr>
              <w:t>1.1</w:t>
            </w:r>
          </w:p>
        </w:tc>
        <w:tc>
          <w:tcPr>
            <w:tcW w:w="2604" w:type="dxa"/>
            <w:tcBorders>
              <w:top w:val="nil"/>
              <w:left w:val="nil"/>
              <w:bottom w:val="single" w:sz="8" w:space="0" w:color="auto"/>
              <w:right w:val="single" w:sz="8" w:space="0" w:color="auto"/>
            </w:tcBorders>
            <w:shd w:val="clear" w:color="auto" w:fill="auto"/>
            <w:vAlign w:val="center"/>
            <w:hideMark/>
          </w:tcPr>
          <w:p w:rsidR="001E7B45" w:rsidRPr="00BD4D98" w:rsidRDefault="001E7B45" w:rsidP="00300B7B">
            <w:pPr>
              <w:spacing w:line="240" w:lineRule="auto"/>
              <w:ind w:firstLineChars="100" w:firstLine="220"/>
              <w:rPr>
                <w:rFonts w:eastAsia="Times New Roman"/>
                <w:color w:val="000000"/>
              </w:rPr>
            </w:pPr>
            <w:r w:rsidRPr="00BD4D98">
              <w:rPr>
                <w:rFonts w:eastAsia="Times New Roman"/>
                <w:color w:val="000000"/>
                <w:sz w:val="22"/>
                <w:szCs w:val="22"/>
              </w:rPr>
              <w:t>из смежной сети, всего</w:t>
            </w:r>
          </w:p>
        </w:tc>
        <w:tc>
          <w:tcPr>
            <w:tcW w:w="993" w:type="dxa"/>
            <w:tcBorders>
              <w:top w:val="nil"/>
              <w:left w:val="nil"/>
              <w:bottom w:val="single" w:sz="8" w:space="0" w:color="auto"/>
              <w:right w:val="single" w:sz="8" w:space="0" w:color="auto"/>
            </w:tcBorders>
            <w:shd w:val="clear" w:color="auto" w:fill="auto"/>
            <w:vAlign w:val="center"/>
            <w:hideMark/>
          </w:tcPr>
          <w:p w:rsidR="001E7B45" w:rsidRPr="00BD4D98" w:rsidRDefault="001E7B45" w:rsidP="005451F2">
            <w:pPr>
              <w:spacing w:line="240" w:lineRule="auto"/>
              <w:jc w:val="center"/>
              <w:rPr>
                <w:rFonts w:eastAsia="Times New Roman"/>
                <w:color w:val="000000"/>
                <w:sz w:val="18"/>
                <w:szCs w:val="18"/>
              </w:rPr>
            </w:pPr>
            <w:r w:rsidRPr="00BD4D98">
              <w:rPr>
                <w:rFonts w:eastAsia="Times New Roman"/>
                <w:color w:val="000000"/>
                <w:sz w:val="18"/>
                <w:szCs w:val="18"/>
              </w:rPr>
              <w:t>млн.кВт.ч</w:t>
            </w:r>
          </w:p>
        </w:tc>
        <w:tc>
          <w:tcPr>
            <w:tcW w:w="992" w:type="dxa"/>
            <w:tcBorders>
              <w:top w:val="nil"/>
              <w:left w:val="nil"/>
              <w:bottom w:val="single" w:sz="8" w:space="0" w:color="auto"/>
              <w:right w:val="single" w:sz="8" w:space="0" w:color="auto"/>
            </w:tcBorders>
            <w:shd w:val="clear" w:color="auto" w:fill="auto"/>
            <w:noWrap/>
            <w:vAlign w:val="center"/>
            <w:hideMark/>
          </w:tcPr>
          <w:p w:rsidR="001E7B45" w:rsidRPr="00BD4D98" w:rsidRDefault="001E7B45" w:rsidP="005451F2">
            <w:pPr>
              <w:spacing w:line="240" w:lineRule="auto"/>
              <w:jc w:val="right"/>
              <w:rPr>
                <w:sz w:val="20"/>
                <w:szCs w:val="20"/>
              </w:rPr>
            </w:pPr>
            <w:r w:rsidRPr="00BD4D98">
              <w:rPr>
                <w:sz w:val="20"/>
                <w:szCs w:val="20"/>
              </w:rPr>
              <w:t>15 561,01</w:t>
            </w:r>
          </w:p>
        </w:tc>
        <w:tc>
          <w:tcPr>
            <w:tcW w:w="1133" w:type="dxa"/>
            <w:tcBorders>
              <w:top w:val="nil"/>
              <w:left w:val="nil"/>
              <w:bottom w:val="single" w:sz="8" w:space="0" w:color="auto"/>
              <w:right w:val="single" w:sz="8" w:space="0" w:color="auto"/>
            </w:tcBorders>
            <w:shd w:val="clear" w:color="auto" w:fill="auto"/>
            <w:noWrap/>
            <w:vAlign w:val="center"/>
            <w:hideMark/>
          </w:tcPr>
          <w:p w:rsidR="001E7B45" w:rsidRPr="00BD4D98" w:rsidRDefault="001E7B45" w:rsidP="005451F2">
            <w:pPr>
              <w:spacing w:line="240" w:lineRule="auto"/>
              <w:jc w:val="right"/>
              <w:rPr>
                <w:sz w:val="20"/>
                <w:szCs w:val="20"/>
              </w:rPr>
            </w:pPr>
            <w:r w:rsidRPr="00BD4D98">
              <w:rPr>
                <w:sz w:val="20"/>
                <w:szCs w:val="20"/>
              </w:rPr>
              <w:t>0,00</w:t>
            </w:r>
          </w:p>
        </w:tc>
        <w:tc>
          <w:tcPr>
            <w:tcW w:w="993" w:type="dxa"/>
            <w:tcBorders>
              <w:top w:val="nil"/>
              <w:left w:val="nil"/>
              <w:bottom w:val="single" w:sz="8" w:space="0" w:color="auto"/>
              <w:right w:val="single" w:sz="8" w:space="0" w:color="auto"/>
            </w:tcBorders>
            <w:shd w:val="clear" w:color="auto" w:fill="auto"/>
            <w:noWrap/>
            <w:vAlign w:val="center"/>
            <w:hideMark/>
          </w:tcPr>
          <w:p w:rsidR="001E7B45" w:rsidRPr="00BD4D98" w:rsidRDefault="001E7B45" w:rsidP="005451F2">
            <w:pPr>
              <w:spacing w:line="240" w:lineRule="auto"/>
              <w:jc w:val="right"/>
              <w:rPr>
                <w:sz w:val="20"/>
                <w:szCs w:val="20"/>
              </w:rPr>
            </w:pPr>
            <w:r w:rsidRPr="00BD4D98">
              <w:rPr>
                <w:sz w:val="20"/>
                <w:szCs w:val="20"/>
              </w:rPr>
              <w:t>1 400,00</w:t>
            </w:r>
          </w:p>
        </w:tc>
        <w:tc>
          <w:tcPr>
            <w:tcW w:w="992" w:type="dxa"/>
            <w:tcBorders>
              <w:top w:val="nil"/>
              <w:left w:val="nil"/>
              <w:bottom w:val="single" w:sz="8" w:space="0" w:color="auto"/>
              <w:right w:val="single" w:sz="8" w:space="0" w:color="auto"/>
            </w:tcBorders>
            <w:shd w:val="clear" w:color="auto" w:fill="auto"/>
            <w:noWrap/>
            <w:vAlign w:val="center"/>
            <w:hideMark/>
          </w:tcPr>
          <w:p w:rsidR="001E7B45" w:rsidRPr="00BD4D98" w:rsidRDefault="001E7B45" w:rsidP="005451F2">
            <w:pPr>
              <w:spacing w:line="240" w:lineRule="auto"/>
              <w:jc w:val="right"/>
              <w:rPr>
                <w:sz w:val="20"/>
                <w:szCs w:val="20"/>
              </w:rPr>
            </w:pPr>
            <w:r w:rsidRPr="00BD4D98">
              <w:rPr>
                <w:sz w:val="20"/>
                <w:szCs w:val="20"/>
              </w:rPr>
              <w:t>8 836,43</w:t>
            </w:r>
          </w:p>
        </w:tc>
        <w:tc>
          <w:tcPr>
            <w:tcW w:w="993" w:type="dxa"/>
            <w:tcBorders>
              <w:top w:val="nil"/>
              <w:left w:val="nil"/>
              <w:bottom w:val="single" w:sz="8" w:space="0" w:color="auto"/>
              <w:right w:val="single" w:sz="8" w:space="0" w:color="auto"/>
            </w:tcBorders>
            <w:shd w:val="clear" w:color="auto" w:fill="auto"/>
            <w:noWrap/>
            <w:vAlign w:val="center"/>
            <w:hideMark/>
          </w:tcPr>
          <w:p w:rsidR="001E7B45" w:rsidRPr="00BD4D98" w:rsidRDefault="001E7B45" w:rsidP="005451F2">
            <w:pPr>
              <w:spacing w:line="240" w:lineRule="auto"/>
              <w:jc w:val="right"/>
              <w:rPr>
                <w:sz w:val="20"/>
                <w:szCs w:val="20"/>
              </w:rPr>
            </w:pPr>
            <w:r w:rsidRPr="00BD4D98">
              <w:rPr>
                <w:sz w:val="20"/>
                <w:szCs w:val="20"/>
              </w:rPr>
              <w:t>5 324,58</w:t>
            </w:r>
          </w:p>
        </w:tc>
      </w:tr>
      <w:tr w:rsidR="001E7B45" w:rsidRPr="00BD4D98" w:rsidTr="00300B7B">
        <w:trPr>
          <w:trHeight w:val="315"/>
        </w:trPr>
        <w:tc>
          <w:tcPr>
            <w:tcW w:w="656" w:type="dxa"/>
            <w:tcBorders>
              <w:top w:val="nil"/>
              <w:left w:val="single" w:sz="8" w:space="0" w:color="auto"/>
              <w:bottom w:val="single" w:sz="8" w:space="0" w:color="auto"/>
              <w:right w:val="single" w:sz="8" w:space="0" w:color="auto"/>
            </w:tcBorders>
            <w:shd w:val="clear" w:color="auto" w:fill="auto"/>
            <w:noWrap/>
            <w:vAlign w:val="center"/>
            <w:hideMark/>
          </w:tcPr>
          <w:p w:rsidR="001E7B45" w:rsidRPr="00BD4D98" w:rsidRDefault="001E7B45" w:rsidP="005451F2">
            <w:pPr>
              <w:spacing w:line="240" w:lineRule="auto"/>
              <w:jc w:val="center"/>
              <w:rPr>
                <w:rFonts w:eastAsia="Times New Roman"/>
                <w:color w:val="000000"/>
              </w:rPr>
            </w:pPr>
            <w:r w:rsidRPr="00BD4D98">
              <w:rPr>
                <w:rFonts w:eastAsia="Times New Roman"/>
                <w:color w:val="000000"/>
                <w:sz w:val="22"/>
                <w:szCs w:val="22"/>
              </w:rPr>
              <w:t> </w:t>
            </w:r>
          </w:p>
        </w:tc>
        <w:tc>
          <w:tcPr>
            <w:tcW w:w="2604" w:type="dxa"/>
            <w:tcBorders>
              <w:top w:val="nil"/>
              <w:left w:val="nil"/>
              <w:bottom w:val="single" w:sz="8" w:space="0" w:color="auto"/>
              <w:right w:val="single" w:sz="8" w:space="0" w:color="auto"/>
            </w:tcBorders>
            <w:shd w:val="clear" w:color="auto" w:fill="auto"/>
            <w:vAlign w:val="center"/>
            <w:hideMark/>
          </w:tcPr>
          <w:p w:rsidR="001E7B45" w:rsidRPr="00BD4D98" w:rsidRDefault="001E7B45" w:rsidP="00300B7B">
            <w:pPr>
              <w:spacing w:line="240" w:lineRule="auto"/>
              <w:ind w:firstLineChars="100" w:firstLine="220"/>
              <w:rPr>
                <w:rFonts w:eastAsia="Times New Roman"/>
                <w:color w:val="000000"/>
              </w:rPr>
            </w:pPr>
            <w:r w:rsidRPr="00BD4D98">
              <w:rPr>
                <w:rFonts w:eastAsia="Times New Roman"/>
                <w:color w:val="000000"/>
                <w:sz w:val="22"/>
                <w:szCs w:val="22"/>
              </w:rPr>
              <w:t xml:space="preserve">    в том числе из сети</w:t>
            </w:r>
          </w:p>
        </w:tc>
        <w:tc>
          <w:tcPr>
            <w:tcW w:w="993" w:type="dxa"/>
            <w:tcBorders>
              <w:top w:val="nil"/>
              <w:left w:val="nil"/>
              <w:bottom w:val="single" w:sz="8" w:space="0" w:color="auto"/>
              <w:right w:val="single" w:sz="8" w:space="0" w:color="auto"/>
            </w:tcBorders>
            <w:shd w:val="clear" w:color="auto" w:fill="auto"/>
            <w:vAlign w:val="center"/>
            <w:hideMark/>
          </w:tcPr>
          <w:p w:rsidR="001E7B45" w:rsidRPr="00BD4D98" w:rsidRDefault="001E7B45" w:rsidP="005451F2">
            <w:pPr>
              <w:spacing w:line="240" w:lineRule="auto"/>
              <w:jc w:val="center"/>
              <w:rPr>
                <w:rFonts w:eastAsia="Times New Roman"/>
                <w:color w:val="000000"/>
                <w:sz w:val="18"/>
                <w:szCs w:val="18"/>
              </w:rPr>
            </w:pPr>
            <w:r w:rsidRPr="00BD4D98">
              <w:rPr>
                <w:rFonts w:eastAsia="Times New Roman"/>
                <w:color w:val="000000"/>
                <w:sz w:val="18"/>
                <w:szCs w:val="18"/>
              </w:rPr>
              <w:t> </w:t>
            </w:r>
          </w:p>
        </w:tc>
        <w:tc>
          <w:tcPr>
            <w:tcW w:w="992" w:type="dxa"/>
            <w:tcBorders>
              <w:top w:val="nil"/>
              <w:left w:val="nil"/>
              <w:bottom w:val="single" w:sz="8" w:space="0" w:color="auto"/>
              <w:right w:val="single" w:sz="8" w:space="0" w:color="auto"/>
            </w:tcBorders>
            <w:shd w:val="clear" w:color="auto" w:fill="auto"/>
            <w:noWrap/>
            <w:vAlign w:val="center"/>
            <w:hideMark/>
          </w:tcPr>
          <w:p w:rsidR="001E7B45" w:rsidRPr="00BD4D98" w:rsidRDefault="001E7B45" w:rsidP="005451F2">
            <w:pPr>
              <w:spacing w:line="240" w:lineRule="auto"/>
              <w:jc w:val="right"/>
              <w:rPr>
                <w:sz w:val="20"/>
                <w:szCs w:val="20"/>
              </w:rPr>
            </w:pPr>
            <w:r w:rsidRPr="00BD4D98">
              <w:rPr>
                <w:sz w:val="20"/>
                <w:szCs w:val="20"/>
              </w:rPr>
              <w:t> </w:t>
            </w:r>
          </w:p>
        </w:tc>
        <w:tc>
          <w:tcPr>
            <w:tcW w:w="1133" w:type="dxa"/>
            <w:tcBorders>
              <w:top w:val="nil"/>
              <w:left w:val="nil"/>
              <w:bottom w:val="single" w:sz="8" w:space="0" w:color="auto"/>
              <w:right w:val="single" w:sz="8" w:space="0" w:color="auto"/>
            </w:tcBorders>
            <w:shd w:val="clear" w:color="auto" w:fill="auto"/>
            <w:noWrap/>
            <w:vAlign w:val="center"/>
            <w:hideMark/>
          </w:tcPr>
          <w:p w:rsidR="001E7B45" w:rsidRPr="00BD4D98" w:rsidRDefault="001E7B45" w:rsidP="005451F2">
            <w:pPr>
              <w:spacing w:line="240" w:lineRule="auto"/>
              <w:jc w:val="right"/>
              <w:rPr>
                <w:sz w:val="20"/>
                <w:szCs w:val="20"/>
              </w:rPr>
            </w:pPr>
            <w:r w:rsidRPr="00BD4D98">
              <w:rPr>
                <w:sz w:val="20"/>
                <w:szCs w:val="20"/>
              </w:rPr>
              <w:t> </w:t>
            </w:r>
          </w:p>
        </w:tc>
        <w:tc>
          <w:tcPr>
            <w:tcW w:w="993" w:type="dxa"/>
            <w:tcBorders>
              <w:top w:val="nil"/>
              <w:left w:val="nil"/>
              <w:bottom w:val="single" w:sz="8" w:space="0" w:color="auto"/>
              <w:right w:val="single" w:sz="8" w:space="0" w:color="auto"/>
            </w:tcBorders>
            <w:shd w:val="clear" w:color="auto" w:fill="auto"/>
            <w:noWrap/>
            <w:vAlign w:val="center"/>
            <w:hideMark/>
          </w:tcPr>
          <w:p w:rsidR="001E7B45" w:rsidRPr="00BD4D98" w:rsidRDefault="001E7B45" w:rsidP="005451F2">
            <w:pPr>
              <w:spacing w:line="240" w:lineRule="auto"/>
              <w:jc w:val="right"/>
              <w:rPr>
                <w:sz w:val="20"/>
                <w:szCs w:val="20"/>
              </w:rPr>
            </w:pPr>
            <w:r w:rsidRPr="00BD4D98">
              <w:rPr>
                <w:sz w:val="20"/>
                <w:szCs w:val="20"/>
              </w:rPr>
              <w:t> </w:t>
            </w:r>
          </w:p>
        </w:tc>
        <w:tc>
          <w:tcPr>
            <w:tcW w:w="992" w:type="dxa"/>
            <w:tcBorders>
              <w:top w:val="nil"/>
              <w:left w:val="nil"/>
              <w:bottom w:val="single" w:sz="8" w:space="0" w:color="auto"/>
              <w:right w:val="single" w:sz="8" w:space="0" w:color="auto"/>
            </w:tcBorders>
            <w:shd w:val="clear" w:color="auto" w:fill="auto"/>
            <w:noWrap/>
            <w:vAlign w:val="center"/>
            <w:hideMark/>
          </w:tcPr>
          <w:p w:rsidR="001E7B45" w:rsidRPr="00BD4D98" w:rsidRDefault="001E7B45" w:rsidP="005451F2">
            <w:pPr>
              <w:spacing w:line="240" w:lineRule="auto"/>
              <w:jc w:val="right"/>
              <w:rPr>
                <w:sz w:val="20"/>
                <w:szCs w:val="20"/>
              </w:rPr>
            </w:pPr>
            <w:r w:rsidRPr="00BD4D98">
              <w:rPr>
                <w:sz w:val="20"/>
                <w:szCs w:val="20"/>
              </w:rPr>
              <w:t> </w:t>
            </w:r>
          </w:p>
        </w:tc>
        <w:tc>
          <w:tcPr>
            <w:tcW w:w="993" w:type="dxa"/>
            <w:tcBorders>
              <w:top w:val="nil"/>
              <w:left w:val="nil"/>
              <w:bottom w:val="single" w:sz="8" w:space="0" w:color="auto"/>
              <w:right w:val="single" w:sz="8" w:space="0" w:color="auto"/>
            </w:tcBorders>
            <w:shd w:val="clear" w:color="auto" w:fill="auto"/>
            <w:noWrap/>
            <w:vAlign w:val="center"/>
            <w:hideMark/>
          </w:tcPr>
          <w:p w:rsidR="001E7B45" w:rsidRPr="00BD4D98" w:rsidRDefault="001E7B45" w:rsidP="005451F2">
            <w:pPr>
              <w:spacing w:line="240" w:lineRule="auto"/>
              <w:jc w:val="right"/>
              <w:rPr>
                <w:sz w:val="20"/>
                <w:szCs w:val="20"/>
              </w:rPr>
            </w:pPr>
            <w:r w:rsidRPr="00BD4D98">
              <w:rPr>
                <w:sz w:val="20"/>
                <w:szCs w:val="20"/>
              </w:rPr>
              <w:t> </w:t>
            </w:r>
          </w:p>
        </w:tc>
      </w:tr>
      <w:tr w:rsidR="001E7B45" w:rsidRPr="00BD4D98" w:rsidTr="00300B7B">
        <w:trPr>
          <w:trHeight w:val="315"/>
        </w:trPr>
        <w:tc>
          <w:tcPr>
            <w:tcW w:w="656" w:type="dxa"/>
            <w:tcBorders>
              <w:top w:val="nil"/>
              <w:left w:val="single" w:sz="8" w:space="0" w:color="auto"/>
              <w:bottom w:val="single" w:sz="8" w:space="0" w:color="auto"/>
              <w:right w:val="single" w:sz="8" w:space="0" w:color="auto"/>
            </w:tcBorders>
            <w:shd w:val="clear" w:color="auto" w:fill="auto"/>
            <w:noWrap/>
            <w:vAlign w:val="center"/>
            <w:hideMark/>
          </w:tcPr>
          <w:p w:rsidR="001E7B45" w:rsidRPr="00BD4D98" w:rsidRDefault="001E7B45" w:rsidP="005451F2">
            <w:pPr>
              <w:spacing w:line="240" w:lineRule="auto"/>
              <w:jc w:val="center"/>
              <w:rPr>
                <w:rFonts w:eastAsia="Times New Roman"/>
                <w:color w:val="000000"/>
              </w:rPr>
            </w:pPr>
            <w:r w:rsidRPr="00BD4D98">
              <w:rPr>
                <w:rFonts w:eastAsia="Times New Roman"/>
                <w:color w:val="000000"/>
                <w:sz w:val="22"/>
                <w:szCs w:val="22"/>
              </w:rPr>
              <w:t>1.1.1</w:t>
            </w:r>
          </w:p>
        </w:tc>
        <w:tc>
          <w:tcPr>
            <w:tcW w:w="2604" w:type="dxa"/>
            <w:tcBorders>
              <w:top w:val="nil"/>
              <w:left w:val="nil"/>
              <w:bottom w:val="single" w:sz="8" w:space="0" w:color="auto"/>
              <w:right w:val="single" w:sz="8" w:space="0" w:color="auto"/>
            </w:tcBorders>
            <w:shd w:val="clear" w:color="auto" w:fill="auto"/>
            <w:vAlign w:val="center"/>
            <w:hideMark/>
          </w:tcPr>
          <w:p w:rsidR="001E7B45" w:rsidRPr="00BD4D98" w:rsidRDefault="001E7B45" w:rsidP="00300B7B">
            <w:pPr>
              <w:spacing w:line="240" w:lineRule="auto"/>
              <w:ind w:firstLineChars="200" w:firstLine="440"/>
              <w:rPr>
                <w:rFonts w:eastAsia="Times New Roman"/>
                <w:color w:val="000000"/>
              </w:rPr>
            </w:pPr>
            <w:r w:rsidRPr="00BD4D98">
              <w:rPr>
                <w:rFonts w:eastAsia="Times New Roman"/>
                <w:color w:val="000000"/>
                <w:sz w:val="22"/>
                <w:szCs w:val="22"/>
              </w:rPr>
              <w:t>ЕНЭС</w:t>
            </w:r>
          </w:p>
        </w:tc>
        <w:tc>
          <w:tcPr>
            <w:tcW w:w="993" w:type="dxa"/>
            <w:tcBorders>
              <w:top w:val="nil"/>
              <w:left w:val="nil"/>
              <w:bottom w:val="single" w:sz="8" w:space="0" w:color="auto"/>
              <w:right w:val="single" w:sz="8" w:space="0" w:color="auto"/>
            </w:tcBorders>
            <w:shd w:val="clear" w:color="auto" w:fill="auto"/>
            <w:vAlign w:val="center"/>
            <w:hideMark/>
          </w:tcPr>
          <w:p w:rsidR="001E7B45" w:rsidRPr="00BD4D98" w:rsidRDefault="001E7B45" w:rsidP="005451F2">
            <w:pPr>
              <w:spacing w:line="240" w:lineRule="auto"/>
              <w:jc w:val="center"/>
              <w:rPr>
                <w:rFonts w:eastAsia="Times New Roman"/>
                <w:color w:val="000000"/>
                <w:sz w:val="18"/>
                <w:szCs w:val="18"/>
              </w:rPr>
            </w:pPr>
            <w:r w:rsidRPr="00BD4D98">
              <w:rPr>
                <w:rFonts w:eastAsia="Times New Roman"/>
                <w:color w:val="000000"/>
                <w:sz w:val="18"/>
                <w:szCs w:val="18"/>
              </w:rPr>
              <w:t>млн.кВт.ч</w:t>
            </w:r>
          </w:p>
        </w:tc>
        <w:tc>
          <w:tcPr>
            <w:tcW w:w="992" w:type="dxa"/>
            <w:tcBorders>
              <w:top w:val="nil"/>
              <w:left w:val="nil"/>
              <w:bottom w:val="single" w:sz="8" w:space="0" w:color="auto"/>
              <w:right w:val="single" w:sz="8" w:space="0" w:color="auto"/>
            </w:tcBorders>
            <w:shd w:val="clear" w:color="auto" w:fill="auto"/>
            <w:noWrap/>
            <w:vAlign w:val="center"/>
            <w:hideMark/>
          </w:tcPr>
          <w:p w:rsidR="001E7B45" w:rsidRPr="00BD4D98" w:rsidRDefault="001E7B45" w:rsidP="005451F2">
            <w:pPr>
              <w:spacing w:line="240" w:lineRule="auto"/>
              <w:jc w:val="right"/>
              <w:rPr>
                <w:sz w:val="20"/>
                <w:szCs w:val="20"/>
              </w:rPr>
            </w:pPr>
            <w:r w:rsidRPr="00BD4D98">
              <w:rPr>
                <w:sz w:val="20"/>
                <w:szCs w:val="20"/>
              </w:rPr>
              <w:t>0,00</w:t>
            </w:r>
          </w:p>
        </w:tc>
        <w:tc>
          <w:tcPr>
            <w:tcW w:w="1133" w:type="dxa"/>
            <w:tcBorders>
              <w:top w:val="nil"/>
              <w:left w:val="nil"/>
              <w:bottom w:val="single" w:sz="8" w:space="0" w:color="auto"/>
              <w:right w:val="single" w:sz="8" w:space="0" w:color="auto"/>
            </w:tcBorders>
            <w:shd w:val="clear" w:color="auto" w:fill="auto"/>
            <w:noWrap/>
            <w:vAlign w:val="center"/>
            <w:hideMark/>
          </w:tcPr>
          <w:p w:rsidR="001E7B45" w:rsidRPr="00BD4D98" w:rsidRDefault="001E7B45" w:rsidP="005451F2">
            <w:pPr>
              <w:spacing w:line="240" w:lineRule="auto"/>
              <w:jc w:val="right"/>
              <w:rPr>
                <w:sz w:val="20"/>
                <w:szCs w:val="20"/>
              </w:rPr>
            </w:pPr>
            <w:r w:rsidRPr="00BD4D98">
              <w:rPr>
                <w:sz w:val="20"/>
                <w:szCs w:val="20"/>
              </w:rPr>
              <w:t>0,00</w:t>
            </w:r>
          </w:p>
        </w:tc>
        <w:tc>
          <w:tcPr>
            <w:tcW w:w="993" w:type="dxa"/>
            <w:tcBorders>
              <w:top w:val="nil"/>
              <w:left w:val="nil"/>
              <w:bottom w:val="single" w:sz="8" w:space="0" w:color="auto"/>
              <w:right w:val="single" w:sz="8" w:space="0" w:color="auto"/>
            </w:tcBorders>
            <w:shd w:val="clear" w:color="auto" w:fill="auto"/>
            <w:noWrap/>
            <w:vAlign w:val="center"/>
            <w:hideMark/>
          </w:tcPr>
          <w:p w:rsidR="001E7B45" w:rsidRPr="00BD4D98" w:rsidRDefault="001E7B45" w:rsidP="005451F2">
            <w:pPr>
              <w:spacing w:line="240" w:lineRule="auto"/>
              <w:jc w:val="right"/>
              <w:rPr>
                <w:sz w:val="20"/>
                <w:szCs w:val="20"/>
              </w:rPr>
            </w:pPr>
            <w:r w:rsidRPr="00BD4D98">
              <w:rPr>
                <w:sz w:val="20"/>
                <w:szCs w:val="20"/>
              </w:rPr>
              <w:t>0,00</w:t>
            </w:r>
          </w:p>
        </w:tc>
        <w:tc>
          <w:tcPr>
            <w:tcW w:w="992" w:type="dxa"/>
            <w:tcBorders>
              <w:top w:val="nil"/>
              <w:left w:val="nil"/>
              <w:bottom w:val="single" w:sz="8" w:space="0" w:color="auto"/>
              <w:right w:val="single" w:sz="8" w:space="0" w:color="auto"/>
            </w:tcBorders>
            <w:shd w:val="clear" w:color="auto" w:fill="auto"/>
            <w:noWrap/>
            <w:vAlign w:val="center"/>
            <w:hideMark/>
          </w:tcPr>
          <w:p w:rsidR="001E7B45" w:rsidRPr="00BD4D98" w:rsidRDefault="001E7B45" w:rsidP="005451F2">
            <w:pPr>
              <w:spacing w:line="240" w:lineRule="auto"/>
              <w:jc w:val="right"/>
              <w:rPr>
                <w:sz w:val="20"/>
                <w:szCs w:val="20"/>
              </w:rPr>
            </w:pPr>
            <w:r w:rsidRPr="00BD4D98">
              <w:rPr>
                <w:sz w:val="20"/>
                <w:szCs w:val="20"/>
              </w:rPr>
              <w:t>0,00</w:t>
            </w:r>
          </w:p>
        </w:tc>
        <w:tc>
          <w:tcPr>
            <w:tcW w:w="993" w:type="dxa"/>
            <w:tcBorders>
              <w:top w:val="nil"/>
              <w:left w:val="nil"/>
              <w:bottom w:val="single" w:sz="8" w:space="0" w:color="auto"/>
              <w:right w:val="single" w:sz="8" w:space="0" w:color="auto"/>
            </w:tcBorders>
            <w:shd w:val="clear" w:color="auto" w:fill="auto"/>
            <w:noWrap/>
            <w:vAlign w:val="center"/>
            <w:hideMark/>
          </w:tcPr>
          <w:p w:rsidR="001E7B45" w:rsidRPr="00BD4D98" w:rsidRDefault="001E7B45" w:rsidP="005451F2">
            <w:pPr>
              <w:spacing w:line="240" w:lineRule="auto"/>
              <w:jc w:val="right"/>
              <w:rPr>
                <w:sz w:val="20"/>
                <w:szCs w:val="20"/>
              </w:rPr>
            </w:pPr>
            <w:r w:rsidRPr="00BD4D98">
              <w:rPr>
                <w:sz w:val="20"/>
                <w:szCs w:val="20"/>
              </w:rPr>
              <w:t>0,00</w:t>
            </w:r>
          </w:p>
        </w:tc>
      </w:tr>
      <w:tr w:rsidR="001E7B45" w:rsidRPr="00BD4D98" w:rsidTr="00300B7B">
        <w:trPr>
          <w:trHeight w:val="315"/>
        </w:trPr>
        <w:tc>
          <w:tcPr>
            <w:tcW w:w="656" w:type="dxa"/>
            <w:tcBorders>
              <w:top w:val="nil"/>
              <w:left w:val="single" w:sz="8" w:space="0" w:color="auto"/>
              <w:bottom w:val="single" w:sz="8" w:space="0" w:color="auto"/>
              <w:right w:val="single" w:sz="8" w:space="0" w:color="auto"/>
            </w:tcBorders>
            <w:shd w:val="clear" w:color="auto" w:fill="auto"/>
            <w:noWrap/>
            <w:vAlign w:val="center"/>
            <w:hideMark/>
          </w:tcPr>
          <w:p w:rsidR="001E7B45" w:rsidRPr="00BD4D98" w:rsidRDefault="001E7B45" w:rsidP="005451F2">
            <w:pPr>
              <w:spacing w:line="240" w:lineRule="auto"/>
              <w:jc w:val="center"/>
              <w:rPr>
                <w:rFonts w:eastAsia="Times New Roman"/>
                <w:color w:val="000000"/>
              </w:rPr>
            </w:pPr>
            <w:r w:rsidRPr="00BD4D98">
              <w:rPr>
                <w:rFonts w:eastAsia="Times New Roman"/>
                <w:color w:val="000000"/>
                <w:sz w:val="22"/>
                <w:szCs w:val="22"/>
              </w:rPr>
              <w:t>1.1.2</w:t>
            </w:r>
          </w:p>
        </w:tc>
        <w:tc>
          <w:tcPr>
            <w:tcW w:w="2604" w:type="dxa"/>
            <w:tcBorders>
              <w:top w:val="nil"/>
              <w:left w:val="nil"/>
              <w:bottom w:val="single" w:sz="8" w:space="0" w:color="auto"/>
              <w:right w:val="single" w:sz="8" w:space="0" w:color="auto"/>
            </w:tcBorders>
            <w:shd w:val="clear" w:color="auto" w:fill="auto"/>
            <w:vAlign w:val="center"/>
            <w:hideMark/>
          </w:tcPr>
          <w:p w:rsidR="001E7B45" w:rsidRPr="00BD4D98" w:rsidRDefault="001E7B45" w:rsidP="00300B7B">
            <w:pPr>
              <w:spacing w:line="240" w:lineRule="auto"/>
              <w:ind w:firstLineChars="200" w:firstLine="440"/>
              <w:rPr>
                <w:rFonts w:eastAsia="Times New Roman"/>
                <w:color w:val="000000"/>
              </w:rPr>
            </w:pPr>
            <w:r w:rsidRPr="00BD4D98">
              <w:rPr>
                <w:rFonts w:eastAsia="Times New Roman"/>
                <w:color w:val="000000"/>
                <w:sz w:val="22"/>
                <w:szCs w:val="22"/>
              </w:rPr>
              <w:t>ВН</w:t>
            </w:r>
          </w:p>
        </w:tc>
        <w:tc>
          <w:tcPr>
            <w:tcW w:w="993" w:type="dxa"/>
            <w:tcBorders>
              <w:top w:val="nil"/>
              <w:left w:val="nil"/>
              <w:bottom w:val="single" w:sz="8" w:space="0" w:color="auto"/>
              <w:right w:val="single" w:sz="8" w:space="0" w:color="auto"/>
            </w:tcBorders>
            <w:shd w:val="clear" w:color="auto" w:fill="auto"/>
            <w:vAlign w:val="center"/>
            <w:hideMark/>
          </w:tcPr>
          <w:p w:rsidR="001E7B45" w:rsidRPr="00BD4D98" w:rsidRDefault="001E7B45" w:rsidP="005451F2">
            <w:pPr>
              <w:spacing w:line="240" w:lineRule="auto"/>
              <w:jc w:val="center"/>
              <w:rPr>
                <w:rFonts w:eastAsia="Times New Roman"/>
                <w:color w:val="000000"/>
                <w:sz w:val="18"/>
                <w:szCs w:val="18"/>
              </w:rPr>
            </w:pPr>
            <w:r w:rsidRPr="00BD4D98">
              <w:rPr>
                <w:rFonts w:eastAsia="Times New Roman"/>
                <w:color w:val="000000"/>
                <w:sz w:val="18"/>
                <w:szCs w:val="18"/>
              </w:rPr>
              <w:t>млн.кВт.ч</w:t>
            </w:r>
          </w:p>
        </w:tc>
        <w:tc>
          <w:tcPr>
            <w:tcW w:w="992" w:type="dxa"/>
            <w:tcBorders>
              <w:top w:val="nil"/>
              <w:left w:val="nil"/>
              <w:bottom w:val="single" w:sz="8" w:space="0" w:color="auto"/>
              <w:right w:val="single" w:sz="8" w:space="0" w:color="auto"/>
            </w:tcBorders>
            <w:shd w:val="clear" w:color="auto" w:fill="auto"/>
            <w:noWrap/>
            <w:vAlign w:val="center"/>
            <w:hideMark/>
          </w:tcPr>
          <w:p w:rsidR="001E7B45" w:rsidRPr="00BD4D98" w:rsidRDefault="001E7B45" w:rsidP="005451F2">
            <w:pPr>
              <w:spacing w:line="240" w:lineRule="auto"/>
              <w:jc w:val="right"/>
              <w:rPr>
                <w:sz w:val="20"/>
                <w:szCs w:val="20"/>
              </w:rPr>
            </w:pPr>
            <w:r w:rsidRPr="00BD4D98">
              <w:rPr>
                <w:sz w:val="20"/>
                <w:szCs w:val="20"/>
              </w:rPr>
              <w:t> </w:t>
            </w:r>
          </w:p>
        </w:tc>
        <w:tc>
          <w:tcPr>
            <w:tcW w:w="1133" w:type="dxa"/>
            <w:tcBorders>
              <w:top w:val="nil"/>
              <w:left w:val="nil"/>
              <w:bottom w:val="single" w:sz="8" w:space="0" w:color="auto"/>
              <w:right w:val="single" w:sz="8" w:space="0" w:color="auto"/>
            </w:tcBorders>
            <w:shd w:val="clear" w:color="auto" w:fill="auto"/>
            <w:noWrap/>
            <w:vAlign w:val="center"/>
            <w:hideMark/>
          </w:tcPr>
          <w:p w:rsidR="001E7B45" w:rsidRPr="00BD4D98" w:rsidRDefault="001E7B45" w:rsidP="005451F2">
            <w:pPr>
              <w:spacing w:line="240" w:lineRule="auto"/>
              <w:rPr>
                <w:sz w:val="20"/>
                <w:szCs w:val="20"/>
              </w:rPr>
            </w:pPr>
            <w:r w:rsidRPr="00BD4D98">
              <w:rPr>
                <w:sz w:val="20"/>
                <w:szCs w:val="20"/>
              </w:rPr>
              <w:t> </w:t>
            </w:r>
          </w:p>
        </w:tc>
        <w:tc>
          <w:tcPr>
            <w:tcW w:w="993" w:type="dxa"/>
            <w:tcBorders>
              <w:top w:val="nil"/>
              <w:left w:val="nil"/>
              <w:bottom w:val="single" w:sz="8" w:space="0" w:color="auto"/>
              <w:right w:val="single" w:sz="8" w:space="0" w:color="auto"/>
            </w:tcBorders>
            <w:shd w:val="clear" w:color="auto" w:fill="auto"/>
            <w:noWrap/>
            <w:vAlign w:val="center"/>
            <w:hideMark/>
          </w:tcPr>
          <w:p w:rsidR="001E7B45" w:rsidRPr="00BD4D98" w:rsidRDefault="001E7B45" w:rsidP="005451F2">
            <w:pPr>
              <w:spacing w:line="240" w:lineRule="auto"/>
              <w:jc w:val="right"/>
              <w:rPr>
                <w:sz w:val="20"/>
                <w:szCs w:val="20"/>
              </w:rPr>
            </w:pPr>
            <w:r w:rsidRPr="00BD4D98">
              <w:rPr>
                <w:sz w:val="20"/>
                <w:szCs w:val="20"/>
              </w:rPr>
              <w:t>1 400,00</w:t>
            </w:r>
          </w:p>
        </w:tc>
        <w:tc>
          <w:tcPr>
            <w:tcW w:w="992" w:type="dxa"/>
            <w:tcBorders>
              <w:top w:val="nil"/>
              <w:left w:val="nil"/>
              <w:bottom w:val="single" w:sz="8" w:space="0" w:color="auto"/>
              <w:right w:val="single" w:sz="8" w:space="0" w:color="auto"/>
            </w:tcBorders>
            <w:shd w:val="clear" w:color="auto" w:fill="auto"/>
            <w:noWrap/>
            <w:vAlign w:val="center"/>
            <w:hideMark/>
          </w:tcPr>
          <w:p w:rsidR="001E7B45" w:rsidRPr="00BD4D98" w:rsidRDefault="001E7B45" w:rsidP="005451F2">
            <w:pPr>
              <w:spacing w:line="240" w:lineRule="auto"/>
              <w:jc w:val="right"/>
              <w:rPr>
                <w:sz w:val="20"/>
                <w:szCs w:val="20"/>
              </w:rPr>
            </w:pPr>
            <w:r w:rsidRPr="00BD4D98">
              <w:rPr>
                <w:sz w:val="20"/>
                <w:szCs w:val="20"/>
              </w:rPr>
              <w:t>7 498,24</w:t>
            </w:r>
          </w:p>
        </w:tc>
        <w:tc>
          <w:tcPr>
            <w:tcW w:w="993" w:type="dxa"/>
            <w:tcBorders>
              <w:top w:val="nil"/>
              <w:left w:val="nil"/>
              <w:bottom w:val="single" w:sz="8" w:space="0" w:color="auto"/>
              <w:right w:val="single" w:sz="8" w:space="0" w:color="auto"/>
            </w:tcBorders>
            <w:shd w:val="clear" w:color="auto" w:fill="auto"/>
            <w:noWrap/>
            <w:vAlign w:val="center"/>
            <w:hideMark/>
          </w:tcPr>
          <w:p w:rsidR="001E7B45" w:rsidRPr="00BD4D98" w:rsidRDefault="001E7B45" w:rsidP="005451F2">
            <w:pPr>
              <w:spacing w:line="240" w:lineRule="auto"/>
              <w:rPr>
                <w:sz w:val="20"/>
                <w:szCs w:val="20"/>
              </w:rPr>
            </w:pPr>
            <w:r w:rsidRPr="00BD4D98">
              <w:rPr>
                <w:sz w:val="20"/>
                <w:szCs w:val="20"/>
              </w:rPr>
              <w:t> </w:t>
            </w:r>
          </w:p>
        </w:tc>
      </w:tr>
      <w:tr w:rsidR="001E7B45" w:rsidRPr="00BD4D98" w:rsidTr="00300B7B">
        <w:trPr>
          <w:trHeight w:val="315"/>
        </w:trPr>
        <w:tc>
          <w:tcPr>
            <w:tcW w:w="656" w:type="dxa"/>
            <w:tcBorders>
              <w:top w:val="nil"/>
              <w:left w:val="single" w:sz="8" w:space="0" w:color="auto"/>
              <w:bottom w:val="single" w:sz="8" w:space="0" w:color="auto"/>
              <w:right w:val="single" w:sz="8" w:space="0" w:color="auto"/>
            </w:tcBorders>
            <w:shd w:val="clear" w:color="auto" w:fill="auto"/>
            <w:noWrap/>
            <w:vAlign w:val="center"/>
            <w:hideMark/>
          </w:tcPr>
          <w:p w:rsidR="001E7B45" w:rsidRPr="00BD4D98" w:rsidRDefault="001E7B45" w:rsidP="005451F2">
            <w:pPr>
              <w:spacing w:line="240" w:lineRule="auto"/>
              <w:jc w:val="center"/>
              <w:rPr>
                <w:rFonts w:eastAsia="Times New Roman"/>
                <w:color w:val="000000"/>
              </w:rPr>
            </w:pPr>
            <w:r w:rsidRPr="00BD4D98">
              <w:rPr>
                <w:rFonts w:eastAsia="Times New Roman"/>
                <w:color w:val="000000"/>
                <w:sz w:val="22"/>
                <w:szCs w:val="22"/>
              </w:rPr>
              <w:t>1.1.3</w:t>
            </w:r>
          </w:p>
        </w:tc>
        <w:tc>
          <w:tcPr>
            <w:tcW w:w="2604" w:type="dxa"/>
            <w:tcBorders>
              <w:top w:val="nil"/>
              <w:left w:val="nil"/>
              <w:bottom w:val="single" w:sz="8" w:space="0" w:color="auto"/>
              <w:right w:val="single" w:sz="8" w:space="0" w:color="auto"/>
            </w:tcBorders>
            <w:shd w:val="clear" w:color="auto" w:fill="auto"/>
            <w:vAlign w:val="center"/>
            <w:hideMark/>
          </w:tcPr>
          <w:p w:rsidR="001E7B45" w:rsidRPr="00BD4D98" w:rsidRDefault="001E7B45" w:rsidP="00300B7B">
            <w:pPr>
              <w:spacing w:line="240" w:lineRule="auto"/>
              <w:ind w:firstLineChars="200" w:firstLine="440"/>
              <w:rPr>
                <w:rFonts w:eastAsia="Times New Roman"/>
                <w:color w:val="000000"/>
              </w:rPr>
            </w:pPr>
            <w:r w:rsidRPr="00BD4D98">
              <w:rPr>
                <w:rFonts w:eastAsia="Times New Roman"/>
                <w:color w:val="000000"/>
                <w:sz w:val="22"/>
                <w:szCs w:val="22"/>
              </w:rPr>
              <w:t>СН1</w:t>
            </w:r>
          </w:p>
        </w:tc>
        <w:tc>
          <w:tcPr>
            <w:tcW w:w="993" w:type="dxa"/>
            <w:tcBorders>
              <w:top w:val="nil"/>
              <w:left w:val="nil"/>
              <w:bottom w:val="single" w:sz="8" w:space="0" w:color="auto"/>
              <w:right w:val="single" w:sz="8" w:space="0" w:color="auto"/>
            </w:tcBorders>
            <w:shd w:val="clear" w:color="auto" w:fill="auto"/>
            <w:vAlign w:val="center"/>
            <w:hideMark/>
          </w:tcPr>
          <w:p w:rsidR="001E7B45" w:rsidRPr="00BD4D98" w:rsidRDefault="001E7B45" w:rsidP="005451F2">
            <w:pPr>
              <w:spacing w:line="240" w:lineRule="auto"/>
              <w:jc w:val="center"/>
              <w:rPr>
                <w:rFonts w:eastAsia="Times New Roman"/>
                <w:color w:val="000000"/>
                <w:sz w:val="18"/>
                <w:szCs w:val="18"/>
              </w:rPr>
            </w:pPr>
            <w:r w:rsidRPr="00BD4D98">
              <w:rPr>
                <w:rFonts w:eastAsia="Times New Roman"/>
                <w:color w:val="000000"/>
                <w:sz w:val="18"/>
                <w:szCs w:val="18"/>
              </w:rPr>
              <w:t>млн.кВт.ч</w:t>
            </w:r>
          </w:p>
        </w:tc>
        <w:tc>
          <w:tcPr>
            <w:tcW w:w="992" w:type="dxa"/>
            <w:tcBorders>
              <w:top w:val="nil"/>
              <w:left w:val="nil"/>
              <w:bottom w:val="single" w:sz="8" w:space="0" w:color="auto"/>
              <w:right w:val="single" w:sz="8" w:space="0" w:color="auto"/>
            </w:tcBorders>
            <w:shd w:val="clear" w:color="auto" w:fill="auto"/>
            <w:noWrap/>
            <w:vAlign w:val="center"/>
            <w:hideMark/>
          </w:tcPr>
          <w:p w:rsidR="001E7B45" w:rsidRPr="00BD4D98" w:rsidRDefault="001E7B45" w:rsidP="005451F2">
            <w:pPr>
              <w:spacing w:line="240" w:lineRule="auto"/>
              <w:jc w:val="right"/>
              <w:rPr>
                <w:sz w:val="20"/>
                <w:szCs w:val="20"/>
              </w:rPr>
            </w:pPr>
            <w:r w:rsidRPr="00BD4D98">
              <w:rPr>
                <w:sz w:val="20"/>
                <w:szCs w:val="20"/>
              </w:rPr>
              <w:t> </w:t>
            </w:r>
          </w:p>
        </w:tc>
        <w:tc>
          <w:tcPr>
            <w:tcW w:w="1133" w:type="dxa"/>
            <w:tcBorders>
              <w:top w:val="nil"/>
              <w:left w:val="nil"/>
              <w:bottom w:val="single" w:sz="8" w:space="0" w:color="auto"/>
              <w:right w:val="single" w:sz="8" w:space="0" w:color="auto"/>
            </w:tcBorders>
            <w:shd w:val="clear" w:color="auto" w:fill="auto"/>
            <w:noWrap/>
            <w:vAlign w:val="center"/>
            <w:hideMark/>
          </w:tcPr>
          <w:p w:rsidR="001E7B45" w:rsidRPr="00BD4D98" w:rsidRDefault="001E7B45" w:rsidP="005451F2">
            <w:pPr>
              <w:spacing w:line="240" w:lineRule="auto"/>
              <w:rPr>
                <w:sz w:val="20"/>
                <w:szCs w:val="20"/>
              </w:rPr>
            </w:pPr>
            <w:r w:rsidRPr="00BD4D98">
              <w:rPr>
                <w:sz w:val="20"/>
                <w:szCs w:val="20"/>
              </w:rPr>
              <w:t> </w:t>
            </w:r>
          </w:p>
        </w:tc>
        <w:tc>
          <w:tcPr>
            <w:tcW w:w="993" w:type="dxa"/>
            <w:tcBorders>
              <w:top w:val="nil"/>
              <w:left w:val="nil"/>
              <w:bottom w:val="single" w:sz="8" w:space="0" w:color="auto"/>
              <w:right w:val="single" w:sz="8" w:space="0" w:color="auto"/>
            </w:tcBorders>
            <w:shd w:val="clear" w:color="auto" w:fill="auto"/>
            <w:noWrap/>
            <w:vAlign w:val="center"/>
            <w:hideMark/>
          </w:tcPr>
          <w:p w:rsidR="001E7B45" w:rsidRPr="00BD4D98" w:rsidRDefault="001E7B45" w:rsidP="005451F2">
            <w:pPr>
              <w:spacing w:line="240" w:lineRule="auto"/>
              <w:rPr>
                <w:sz w:val="20"/>
                <w:szCs w:val="20"/>
              </w:rPr>
            </w:pPr>
            <w:r w:rsidRPr="00BD4D98">
              <w:rPr>
                <w:sz w:val="20"/>
                <w:szCs w:val="20"/>
              </w:rPr>
              <w:t> </w:t>
            </w:r>
          </w:p>
        </w:tc>
        <w:tc>
          <w:tcPr>
            <w:tcW w:w="992" w:type="dxa"/>
            <w:tcBorders>
              <w:top w:val="nil"/>
              <w:left w:val="nil"/>
              <w:bottom w:val="single" w:sz="8" w:space="0" w:color="auto"/>
              <w:right w:val="single" w:sz="8" w:space="0" w:color="auto"/>
            </w:tcBorders>
            <w:shd w:val="clear" w:color="auto" w:fill="auto"/>
            <w:noWrap/>
            <w:vAlign w:val="center"/>
            <w:hideMark/>
          </w:tcPr>
          <w:p w:rsidR="001E7B45" w:rsidRPr="00BD4D98" w:rsidRDefault="001E7B45" w:rsidP="005451F2">
            <w:pPr>
              <w:spacing w:line="240" w:lineRule="auto"/>
              <w:jc w:val="right"/>
              <w:rPr>
                <w:sz w:val="20"/>
                <w:szCs w:val="20"/>
              </w:rPr>
            </w:pPr>
            <w:r w:rsidRPr="00BD4D98">
              <w:rPr>
                <w:sz w:val="20"/>
                <w:szCs w:val="20"/>
              </w:rPr>
              <w:t>1 338,19</w:t>
            </w:r>
          </w:p>
        </w:tc>
        <w:tc>
          <w:tcPr>
            <w:tcW w:w="993" w:type="dxa"/>
            <w:tcBorders>
              <w:top w:val="nil"/>
              <w:left w:val="nil"/>
              <w:bottom w:val="single" w:sz="8" w:space="0" w:color="auto"/>
              <w:right w:val="single" w:sz="8" w:space="0" w:color="auto"/>
            </w:tcBorders>
            <w:shd w:val="clear" w:color="auto" w:fill="auto"/>
            <w:noWrap/>
            <w:vAlign w:val="center"/>
            <w:hideMark/>
          </w:tcPr>
          <w:p w:rsidR="001E7B45" w:rsidRPr="00BD4D98" w:rsidRDefault="001E7B45" w:rsidP="005451F2">
            <w:pPr>
              <w:spacing w:line="240" w:lineRule="auto"/>
              <w:jc w:val="right"/>
              <w:rPr>
                <w:sz w:val="20"/>
                <w:szCs w:val="20"/>
              </w:rPr>
            </w:pPr>
            <w:r w:rsidRPr="00BD4D98">
              <w:rPr>
                <w:sz w:val="20"/>
                <w:szCs w:val="20"/>
              </w:rPr>
              <w:t>0,00</w:t>
            </w:r>
          </w:p>
        </w:tc>
      </w:tr>
      <w:tr w:rsidR="001E7B45" w:rsidRPr="00BD4D98" w:rsidTr="00300B7B">
        <w:trPr>
          <w:trHeight w:val="315"/>
        </w:trPr>
        <w:tc>
          <w:tcPr>
            <w:tcW w:w="656" w:type="dxa"/>
            <w:tcBorders>
              <w:top w:val="nil"/>
              <w:left w:val="single" w:sz="8" w:space="0" w:color="auto"/>
              <w:bottom w:val="single" w:sz="8" w:space="0" w:color="auto"/>
              <w:right w:val="single" w:sz="8" w:space="0" w:color="auto"/>
            </w:tcBorders>
            <w:shd w:val="clear" w:color="auto" w:fill="auto"/>
            <w:noWrap/>
            <w:vAlign w:val="center"/>
            <w:hideMark/>
          </w:tcPr>
          <w:p w:rsidR="001E7B45" w:rsidRPr="00BD4D98" w:rsidRDefault="001E7B45" w:rsidP="005451F2">
            <w:pPr>
              <w:spacing w:line="240" w:lineRule="auto"/>
              <w:jc w:val="center"/>
              <w:rPr>
                <w:rFonts w:eastAsia="Times New Roman"/>
                <w:color w:val="000000"/>
              </w:rPr>
            </w:pPr>
            <w:r w:rsidRPr="00BD4D98">
              <w:rPr>
                <w:rFonts w:eastAsia="Times New Roman"/>
                <w:color w:val="000000"/>
                <w:sz w:val="22"/>
                <w:szCs w:val="22"/>
              </w:rPr>
              <w:t>1.1.4</w:t>
            </w:r>
          </w:p>
        </w:tc>
        <w:tc>
          <w:tcPr>
            <w:tcW w:w="2604" w:type="dxa"/>
            <w:tcBorders>
              <w:top w:val="nil"/>
              <w:left w:val="nil"/>
              <w:bottom w:val="single" w:sz="8" w:space="0" w:color="auto"/>
              <w:right w:val="single" w:sz="8" w:space="0" w:color="auto"/>
            </w:tcBorders>
            <w:shd w:val="clear" w:color="auto" w:fill="auto"/>
            <w:vAlign w:val="center"/>
            <w:hideMark/>
          </w:tcPr>
          <w:p w:rsidR="001E7B45" w:rsidRPr="00BD4D98" w:rsidRDefault="001E7B45" w:rsidP="00300B7B">
            <w:pPr>
              <w:spacing w:line="240" w:lineRule="auto"/>
              <w:ind w:firstLineChars="200" w:firstLine="440"/>
              <w:rPr>
                <w:rFonts w:eastAsia="Times New Roman"/>
                <w:color w:val="000000"/>
              </w:rPr>
            </w:pPr>
            <w:r w:rsidRPr="00BD4D98">
              <w:rPr>
                <w:rFonts w:eastAsia="Times New Roman"/>
                <w:color w:val="000000"/>
                <w:sz w:val="22"/>
                <w:szCs w:val="22"/>
              </w:rPr>
              <w:t>СН2</w:t>
            </w:r>
          </w:p>
        </w:tc>
        <w:tc>
          <w:tcPr>
            <w:tcW w:w="993" w:type="dxa"/>
            <w:tcBorders>
              <w:top w:val="nil"/>
              <w:left w:val="nil"/>
              <w:bottom w:val="single" w:sz="8" w:space="0" w:color="auto"/>
              <w:right w:val="single" w:sz="8" w:space="0" w:color="auto"/>
            </w:tcBorders>
            <w:shd w:val="clear" w:color="auto" w:fill="auto"/>
            <w:vAlign w:val="center"/>
            <w:hideMark/>
          </w:tcPr>
          <w:p w:rsidR="001E7B45" w:rsidRPr="00BD4D98" w:rsidRDefault="001E7B45" w:rsidP="005451F2">
            <w:pPr>
              <w:spacing w:line="240" w:lineRule="auto"/>
              <w:jc w:val="center"/>
              <w:rPr>
                <w:rFonts w:eastAsia="Times New Roman"/>
                <w:color w:val="000000"/>
                <w:sz w:val="18"/>
                <w:szCs w:val="18"/>
              </w:rPr>
            </w:pPr>
            <w:r w:rsidRPr="00BD4D98">
              <w:rPr>
                <w:rFonts w:eastAsia="Times New Roman"/>
                <w:color w:val="000000"/>
                <w:sz w:val="18"/>
                <w:szCs w:val="18"/>
              </w:rPr>
              <w:t>млн.кВт.ч</w:t>
            </w:r>
          </w:p>
        </w:tc>
        <w:tc>
          <w:tcPr>
            <w:tcW w:w="992" w:type="dxa"/>
            <w:tcBorders>
              <w:top w:val="nil"/>
              <w:left w:val="nil"/>
              <w:bottom w:val="single" w:sz="8" w:space="0" w:color="auto"/>
              <w:right w:val="single" w:sz="8" w:space="0" w:color="auto"/>
            </w:tcBorders>
            <w:shd w:val="clear" w:color="auto" w:fill="auto"/>
            <w:noWrap/>
            <w:vAlign w:val="center"/>
            <w:hideMark/>
          </w:tcPr>
          <w:p w:rsidR="001E7B45" w:rsidRPr="00BD4D98" w:rsidRDefault="001E7B45" w:rsidP="005451F2">
            <w:pPr>
              <w:spacing w:line="240" w:lineRule="auto"/>
              <w:jc w:val="right"/>
              <w:rPr>
                <w:sz w:val="20"/>
                <w:szCs w:val="20"/>
              </w:rPr>
            </w:pPr>
            <w:r w:rsidRPr="00BD4D98">
              <w:rPr>
                <w:sz w:val="20"/>
                <w:szCs w:val="20"/>
              </w:rPr>
              <w:t> </w:t>
            </w:r>
          </w:p>
        </w:tc>
        <w:tc>
          <w:tcPr>
            <w:tcW w:w="1133" w:type="dxa"/>
            <w:tcBorders>
              <w:top w:val="nil"/>
              <w:left w:val="nil"/>
              <w:bottom w:val="single" w:sz="8" w:space="0" w:color="auto"/>
              <w:right w:val="single" w:sz="8" w:space="0" w:color="auto"/>
            </w:tcBorders>
            <w:shd w:val="clear" w:color="auto" w:fill="auto"/>
            <w:noWrap/>
            <w:vAlign w:val="center"/>
            <w:hideMark/>
          </w:tcPr>
          <w:p w:rsidR="001E7B45" w:rsidRPr="00BD4D98" w:rsidRDefault="001E7B45" w:rsidP="005451F2">
            <w:pPr>
              <w:spacing w:line="240" w:lineRule="auto"/>
              <w:rPr>
                <w:sz w:val="20"/>
                <w:szCs w:val="20"/>
              </w:rPr>
            </w:pPr>
            <w:r w:rsidRPr="00BD4D98">
              <w:rPr>
                <w:sz w:val="20"/>
                <w:szCs w:val="20"/>
              </w:rPr>
              <w:t> </w:t>
            </w:r>
          </w:p>
        </w:tc>
        <w:tc>
          <w:tcPr>
            <w:tcW w:w="993" w:type="dxa"/>
            <w:tcBorders>
              <w:top w:val="nil"/>
              <w:left w:val="nil"/>
              <w:bottom w:val="single" w:sz="8" w:space="0" w:color="auto"/>
              <w:right w:val="single" w:sz="8" w:space="0" w:color="auto"/>
            </w:tcBorders>
            <w:shd w:val="clear" w:color="auto" w:fill="auto"/>
            <w:noWrap/>
            <w:vAlign w:val="center"/>
            <w:hideMark/>
          </w:tcPr>
          <w:p w:rsidR="001E7B45" w:rsidRPr="00BD4D98" w:rsidRDefault="001E7B45" w:rsidP="005451F2">
            <w:pPr>
              <w:spacing w:line="240" w:lineRule="auto"/>
              <w:rPr>
                <w:sz w:val="20"/>
                <w:szCs w:val="20"/>
              </w:rPr>
            </w:pPr>
            <w:r w:rsidRPr="00BD4D98">
              <w:rPr>
                <w:sz w:val="20"/>
                <w:szCs w:val="20"/>
              </w:rPr>
              <w:t> </w:t>
            </w:r>
          </w:p>
        </w:tc>
        <w:tc>
          <w:tcPr>
            <w:tcW w:w="992" w:type="dxa"/>
            <w:tcBorders>
              <w:top w:val="nil"/>
              <w:left w:val="nil"/>
              <w:bottom w:val="single" w:sz="8" w:space="0" w:color="auto"/>
              <w:right w:val="single" w:sz="8" w:space="0" w:color="auto"/>
            </w:tcBorders>
            <w:shd w:val="clear" w:color="auto" w:fill="auto"/>
            <w:noWrap/>
            <w:vAlign w:val="center"/>
            <w:hideMark/>
          </w:tcPr>
          <w:p w:rsidR="001E7B45" w:rsidRPr="00BD4D98" w:rsidRDefault="001E7B45" w:rsidP="005451F2">
            <w:pPr>
              <w:spacing w:line="240" w:lineRule="auto"/>
              <w:rPr>
                <w:sz w:val="20"/>
                <w:szCs w:val="20"/>
              </w:rPr>
            </w:pPr>
            <w:r w:rsidRPr="00BD4D98">
              <w:rPr>
                <w:sz w:val="20"/>
                <w:szCs w:val="20"/>
              </w:rPr>
              <w:t> </w:t>
            </w:r>
          </w:p>
        </w:tc>
        <w:tc>
          <w:tcPr>
            <w:tcW w:w="993" w:type="dxa"/>
            <w:tcBorders>
              <w:top w:val="nil"/>
              <w:left w:val="nil"/>
              <w:bottom w:val="single" w:sz="8" w:space="0" w:color="auto"/>
              <w:right w:val="single" w:sz="8" w:space="0" w:color="auto"/>
            </w:tcBorders>
            <w:shd w:val="clear" w:color="auto" w:fill="auto"/>
            <w:noWrap/>
            <w:vAlign w:val="center"/>
            <w:hideMark/>
          </w:tcPr>
          <w:p w:rsidR="001E7B45" w:rsidRPr="00BD4D98" w:rsidRDefault="001E7B45" w:rsidP="005451F2">
            <w:pPr>
              <w:spacing w:line="240" w:lineRule="auto"/>
              <w:jc w:val="right"/>
              <w:rPr>
                <w:sz w:val="20"/>
                <w:szCs w:val="20"/>
              </w:rPr>
            </w:pPr>
            <w:r w:rsidRPr="00BD4D98">
              <w:rPr>
                <w:sz w:val="20"/>
                <w:szCs w:val="20"/>
              </w:rPr>
              <w:t>5 324,58</w:t>
            </w:r>
          </w:p>
        </w:tc>
      </w:tr>
      <w:tr w:rsidR="001E7B45" w:rsidRPr="00BD4D98" w:rsidTr="00300B7B">
        <w:trPr>
          <w:trHeight w:val="315"/>
        </w:trPr>
        <w:tc>
          <w:tcPr>
            <w:tcW w:w="656" w:type="dxa"/>
            <w:tcBorders>
              <w:top w:val="nil"/>
              <w:left w:val="single" w:sz="8" w:space="0" w:color="auto"/>
              <w:bottom w:val="single" w:sz="8" w:space="0" w:color="auto"/>
              <w:right w:val="single" w:sz="8" w:space="0" w:color="auto"/>
            </w:tcBorders>
            <w:shd w:val="clear" w:color="auto" w:fill="auto"/>
            <w:noWrap/>
            <w:vAlign w:val="center"/>
            <w:hideMark/>
          </w:tcPr>
          <w:p w:rsidR="001E7B45" w:rsidRPr="00BD4D98" w:rsidRDefault="001E7B45" w:rsidP="005451F2">
            <w:pPr>
              <w:spacing w:line="240" w:lineRule="auto"/>
              <w:jc w:val="center"/>
              <w:rPr>
                <w:rFonts w:eastAsia="Times New Roman"/>
                <w:color w:val="000000"/>
              </w:rPr>
            </w:pPr>
            <w:r w:rsidRPr="00BD4D98">
              <w:rPr>
                <w:rFonts w:eastAsia="Times New Roman"/>
                <w:color w:val="000000"/>
                <w:sz w:val="22"/>
                <w:szCs w:val="22"/>
              </w:rPr>
              <w:t>1.2</w:t>
            </w:r>
          </w:p>
        </w:tc>
        <w:tc>
          <w:tcPr>
            <w:tcW w:w="2604" w:type="dxa"/>
            <w:tcBorders>
              <w:top w:val="nil"/>
              <w:left w:val="nil"/>
              <w:bottom w:val="single" w:sz="8" w:space="0" w:color="auto"/>
              <w:right w:val="single" w:sz="8" w:space="0" w:color="auto"/>
            </w:tcBorders>
            <w:shd w:val="clear" w:color="auto" w:fill="auto"/>
            <w:vAlign w:val="center"/>
            <w:hideMark/>
          </w:tcPr>
          <w:p w:rsidR="001E7B45" w:rsidRPr="00BD4D98" w:rsidRDefault="001E7B45" w:rsidP="00300B7B">
            <w:pPr>
              <w:spacing w:line="240" w:lineRule="auto"/>
              <w:ind w:firstLineChars="100" w:firstLine="220"/>
              <w:rPr>
                <w:rFonts w:eastAsia="Times New Roman"/>
                <w:color w:val="000000"/>
              </w:rPr>
            </w:pPr>
            <w:r w:rsidRPr="00BD4D98">
              <w:rPr>
                <w:rFonts w:eastAsia="Times New Roman"/>
                <w:color w:val="000000"/>
                <w:sz w:val="22"/>
                <w:szCs w:val="22"/>
              </w:rPr>
              <w:t xml:space="preserve">от электростанций ПЭ </w:t>
            </w:r>
          </w:p>
        </w:tc>
        <w:tc>
          <w:tcPr>
            <w:tcW w:w="993" w:type="dxa"/>
            <w:tcBorders>
              <w:top w:val="nil"/>
              <w:left w:val="nil"/>
              <w:bottom w:val="single" w:sz="8" w:space="0" w:color="auto"/>
              <w:right w:val="single" w:sz="8" w:space="0" w:color="auto"/>
            </w:tcBorders>
            <w:shd w:val="clear" w:color="auto" w:fill="auto"/>
            <w:vAlign w:val="center"/>
            <w:hideMark/>
          </w:tcPr>
          <w:p w:rsidR="001E7B45" w:rsidRPr="00BD4D98" w:rsidRDefault="001E7B45" w:rsidP="005451F2">
            <w:pPr>
              <w:spacing w:line="240" w:lineRule="auto"/>
              <w:jc w:val="center"/>
              <w:rPr>
                <w:rFonts w:eastAsia="Times New Roman"/>
                <w:color w:val="000000"/>
                <w:sz w:val="18"/>
                <w:szCs w:val="18"/>
              </w:rPr>
            </w:pPr>
            <w:r w:rsidRPr="00BD4D98">
              <w:rPr>
                <w:rFonts w:eastAsia="Times New Roman"/>
                <w:color w:val="000000"/>
                <w:sz w:val="18"/>
                <w:szCs w:val="18"/>
              </w:rPr>
              <w:t>млн.кВт.ч</w:t>
            </w:r>
          </w:p>
        </w:tc>
        <w:tc>
          <w:tcPr>
            <w:tcW w:w="992" w:type="dxa"/>
            <w:tcBorders>
              <w:top w:val="nil"/>
              <w:left w:val="nil"/>
              <w:bottom w:val="single" w:sz="8" w:space="0" w:color="auto"/>
              <w:right w:val="single" w:sz="8" w:space="0" w:color="auto"/>
            </w:tcBorders>
            <w:shd w:val="clear" w:color="auto" w:fill="auto"/>
            <w:noWrap/>
            <w:vAlign w:val="center"/>
            <w:hideMark/>
          </w:tcPr>
          <w:p w:rsidR="001E7B45" w:rsidRPr="00BD4D98" w:rsidRDefault="001E7B45" w:rsidP="005451F2">
            <w:pPr>
              <w:spacing w:line="240" w:lineRule="auto"/>
              <w:jc w:val="right"/>
              <w:rPr>
                <w:sz w:val="20"/>
                <w:szCs w:val="20"/>
              </w:rPr>
            </w:pPr>
            <w:r w:rsidRPr="00BD4D98">
              <w:rPr>
                <w:sz w:val="20"/>
                <w:szCs w:val="20"/>
              </w:rPr>
              <w:t>0,00</w:t>
            </w:r>
          </w:p>
        </w:tc>
        <w:tc>
          <w:tcPr>
            <w:tcW w:w="1133" w:type="dxa"/>
            <w:tcBorders>
              <w:top w:val="nil"/>
              <w:left w:val="nil"/>
              <w:bottom w:val="single" w:sz="8" w:space="0" w:color="auto"/>
              <w:right w:val="single" w:sz="8" w:space="0" w:color="auto"/>
            </w:tcBorders>
            <w:shd w:val="clear" w:color="auto" w:fill="auto"/>
            <w:noWrap/>
            <w:vAlign w:val="center"/>
            <w:hideMark/>
          </w:tcPr>
          <w:p w:rsidR="001E7B45" w:rsidRPr="00BD4D98" w:rsidRDefault="001E7B45" w:rsidP="005451F2">
            <w:pPr>
              <w:spacing w:line="240" w:lineRule="auto"/>
              <w:jc w:val="right"/>
              <w:rPr>
                <w:sz w:val="20"/>
                <w:szCs w:val="20"/>
              </w:rPr>
            </w:pPr>
            <w:r w:rsidRPr="00BD4D98">
              <w:rPr>
                <w:sz w:val="20"/>
                <w:szCs w:val="20"/>
              </w:rPr>
              <w:t>0,00</w:t>
            </w:r>
          </w:p>
        </w:tc>
        <w:tc>
          <w:tcPr>
            <w:tcW w:w="993" w:type="dxa"/>
            <w:tcBorders>
              <w:top w:val="nil"/>
              <w:left w:val="nil"/>
              <w:bottom w:val="single" w:sz="8" w:space="0" w:color="auto"/>
              <w:right w:val="single" w:sz="8" w:space="0" w:color="auto"/>
            </w:tcBorders>
            <w:shd w:val="clear" w:color="auto" w:fill="auto"/>
            <w:noWrap/>
            <w:vAlign w:val="center"/>
            <w:hideMark/>
          </w:tcPr>
          <w:p w:rsidR="001E7B45" w:rsidRPr="00BD4D98" w:rsidRDefault="001E7B45" w:rsidP="005451F2">
            <w:pPr>
              <w:spacing w:line="240" w:lineRule="auto"/>
              <w:jc w:val="right"/>
              <w:rPr>
                <w:sz w:val="20"/>
                <w:szCs w:val="20"/>
              </w:rPr>
            </w:pPr>
            <w:r w:rsidRPr="00BD4D98">
              <w:rPr>
                <w:sz w:val="20"/>
                <w:szCs w:val="20"/>
              </w:rPr>
              <w:t>0,00</w:t>
            </w:r>
          </w:p>
        </w:tc>
        <w:tc>
          <w:tcPr>
            <w:tcW w:w="992" w:type="dxa"/>
            <w:tcBorders>
              <w:top w:val="nil"/>
              <w:left w:val="nil"/>
              <w:bottom w:val="single" w:sz="8" w:space="0" w:color="auto"/>
              <w:right w:val="single" w:sz="8" w:space="0" w:color="auto"/>
            </w:tcBorders>
            <w:shd w:val="clear" w:color="auto" w:fill="auto"/>
            <w:noWrap/>
            <w:vAlign w:val="center"/>
            <w:hideMark/>
          </w:tcPr>
          <w:p w:rsidR="001E7B45" w:rsidRPr="00BD4D98" w:rsidRDefault="001E7B45" w:rsidP="005451F2">
            <w:pPr>
              <w:spacing w:line="240" w:lineRule="auto"/>
              <w:jc w:val="right"/>
              <w:rPr>
                <w:sz w:val="20"/>
                <w:szCs w:val="20"/>
              </w:rPr>
            </w:pPr>
            <w:r w:rsidRPr="00BD4D98">
              <w:rPr>
                <w:sz w:val="20"/>
                <w:szCs w:val="20"/>
              </w:rPr>
              <w:t>0,00</w:t>
            </w:r>
          </w:p>
        </w:tc>
        <w:tc>
          <w:tcPr>
            <w:tcW w:w="993" w:type="dxa"/>
            <w:tcBorders>
              <w:top w:val="nil"/>
              <w:left w:val="nil"/>
              <w:bottom w:val="single" w:sz="8" w:space="0" w:color="auto"/>
              <w:right w:val="single" w:sz="8" w:space="0" w:color="auto"/>
            </w:tcBorders>
            <w:shd w:val="clear" w:color="auto" w:fill="auto"/>
            <w:noWrap/>
            <w:vAlign w:val="center"/>
            <w:hideMark/>
          </w:tcPr>
          <w:p w:rsidR="001E7B45" w:rsidRPr="00BD4D98" w:rsidRDefault="001E7B45" w:rsidP="005451F2">
            <w:pPr>
              <w:spacing w:line="240" w:lineRule="auto"/>
              <w:jc w:val="right"/>
              <w:rPr>
                <w:sz w:val="20"/>
                <w:szCs w:val="20"/>
              </w:rPr>
            </w:pPr>
            <w:r w:rsidRPr="00BD4D98">
              <w:rPr>
                <w:sz w:val="20"/>
                <w:szCs w:val="20"/>
              </w:rPr>
              <w:t>0,00</w:t>
            </w:r>
          </w:p>
        </w:tc>
      </w:tr>
      <w:tr w:rsidR="001E7B45" w:rsidRPr="00BD4D98" w:rsidTr="00300B7B">
        <w:trPr>
          <w:trHeight w:val="495"/>
        </w:trPr>
        <w:tc>
          <w:tcPr>
            <w:tcW w:w="656" w:type="dxa"/>
            <w:tcBorders>
              <w:top w:val="nil"/>
              <w:left w:val="single" w:sz="8" w:space="0" w:color="auto"/>
              <w:bottom w:val="nil"/>
              <w:right w:val="single" w:sz="8" w:space="0" w:color="auto"/>
            </w:tcBorders>
            <w:shd w:val="clear" w:color="auto" w:fill="auto"/>
            <w:noWrap/>
            <w:vAlign w:val="center"/>
            <w:hideMark/>
          </w:tcPr>
          <w:p w:rsidR="001E7B45" w:rsidRPr="00BD4D98" w:rsidRDefault="001E7B45" w:rsidP="005451F2">
            <w:pPr>
              <w:spacing w:line="240" w:lineRule="auto"/>
              <w:jc w:val="center"/>
              <w:rPr>
                <w:rFonts w:eastAsia="Times New Roman"/>
                <w:color w:val="000000"/>
              </w:rPr>
            </w:pPr>
            <w:r w:rsidRPr="00BD4D98">
              <w:rPr>
                <w:rFonts w:eastAsia="Times New Roman"/>
                <w:color w:val="000000"/>
                <w:sz w:val="22"/>
                <w:szCs w:val="22"/>
              </w:rPr>
              <w:t>1.3</w:t>
            </w:r>
          </w:p>
        </w:tc>
        <w:tc>
          <w:tcPr>
            <w:tcW w:w="2604" w:type="dxa"/>
            <w:tcBorders>
              <w:top w:val="nil"/>
              <w:left w:val="nil"/>
              <w:bottom w:val="single" w:sz="8" w:space="0" w:color="auto"/>
              <w:right w:val="single" w:sz="8" w:space="0" w:color="auto"/>
            </w:tcBorders>
            <w:shd w:val="clear" w:color="auto" w:fill="auto"/>
            <w:vAlign w:val="center"/>
            <w:hideMark/>
          </w:tcPr>
          <w:p w:rsidR="001E7B45" w:rsidRPr="00BD4D98" w:rsidRDefault="001E7B45" w:rsidP="00300B7B">
            <w:pPr>
              <w:spacing w:line="240" w:lineRule="auto"/>
              <w:ind w:left="-55"/>
              <w:rPr>
                <w:rFonts w:eastAsia="Times New Roman"/>
                <w:color w:val="000000"/>
              </w:rPr>
            </w:pPr>
            <w:r w:rsidRPr="00BD4D98">
              <w:rPr>
                <w:rFonts w:eastAsia="Times New Roman"/>
                <w:color w:val="000000"/>
                <w:sz w:val="22"/>
                <w:szCs w:val="22"/>
              </w:rPr>
              <w:t>от других поставщиков</w:t>
            </w:r>
            <w:r w:rsidR="00300B7B">
              <w:rPr>
                <w:rFonts w:eastAsia="Times New Roman"/>
                <w:color w:val="000000"/>
                <w:sz w:val="22"/>
                <w:szCs w:val="22"/>
              </w:rPr>
              <w:t xml:space="preserve">  </w:t>
            </w:r>
            <w:r w:rsidRPr="00BD4D98">
              <w:rPr>
                <w:rFonts w:eastAsia="Times New Roman"/>
                <w:color w:val="000000"/>
                <w:sz w:val="22"/>
                <w:szCs w:val="22"/>
              </w:rPr>
              <w:t>(в т.ч. с оптового рынка)</w:t>
            </w:r>
          </w:p>
        </w:tc>
        <w:tc>
          <w:tcPr>
            <w:tcW w:w="993" w:type="dxa"/>
            <w:tcBorders>
              <w:top w:val="nil"/>
              <w:left w:val="nil"/>
              <w:bottom w:val="nil"/>
              <w:right w:val="single" w:sz="8" w:space="0" w:color="auto"/>
            </w:tcBorders>
            <w:shd w:val="clear" w:color="auto" w:fill="auto"/>
            <w:vAlign w:val="center"/>
            <w:hideMark/>
          </w:tcPr>
          <w:p w:rsidR="001E7B45" w:rsidRPr="00BD4D98" w:rsidRDefault="001E7B45" w:rsidP="005451F2">
            <w:pPr>
              <w:spacing w:line="240" w:lineRule="auto"/>
              <w:jc w:val="center"/>
              <w:rPr>
                <w:rFonts w:eastAsia="Times New Roman"/>
                <w:color w:val="000000"/>
                <w:sz w:val="18"/>
                <w:szCs w:val="18"/>
              </w:rPr>
            </w:pPr>
            <w:r w:rsidRPr="00BD4D98">
              <w:rPr>
                <w:rFonts w:eastAsia="Times New Roman"/>
                <w:color w:val="000000"/>
                <w:sz w:val="18"/>
                <w:szCs w:val="18"/>
              </w:rPr>
              <w:t>млн.кВт.ч</w:t>
            </w:r>
          </w:p>
        </w:tc>
        <w:tc>
          <w:tcPr>
            <w:tcW w:w="992" w:type="dxa"/>
            <w:tcBorders>
              <w:top w:val="nil"/>
              <w:left w:val="nil"/>
              <w:bottom w:val="nil"/>
              <w:right w:val="single" w:sz="8" w:space="0" w:color="auto"/>
            </w:tcBorders>
            <w:shd w:val="clear" w:color="auto" w:fill="auto"/>
            <w:noWrap/>
            <w:vAlign w:val="center"/>
            <w:hideMark/>
          </w:tcPr>
          <w:p w:rsidR="001E7B45" w:rsidRPr="00BD4D98" w:rsidRDefault="001E7B45" w:rsidP="005451F2">
            <w:pPr>
              <w:spacing w:line="240" w:lineRule="auto"/>
              <w:jc w:val="right"/>
              <w:rPr>
                <w:sz w:val="20"/>
                <w:szCs w:val="20"/>
              </w:rPr>
            </w:pPr>
            <w:r w:rsidRPr="00BD4D98">
              <w:rPr>
                <w:sz w:val="20"/>
                <w:szCs w:val="20"/>
              </w:rPr>
              <w:t>13 363,33</w:t>
            </w:r>
          </w:p>
        </w:tc>
        <w:tc>
          <w:tcPr>
            <w:tcW w:w="1133" w:type="dxa"/>
            <w:tcBorders>
              <w:top w:val="nil"/>
              <w:left w:val="nil"/>
              <w:bottom w:val="nil"/>
              <w:right w:val="single" w:sz="8" w:space="0" w:color="auto"/>
            </w:tcBorders>
            <w:shd w:val="clear" w:color="auto" w:fill="auto"/>
            <w:noWrap/>
            <w:vAlign w:val="center"/>
            <w:hideMark/>
          </w:tcPr>
          <w:p w:rsidR="001E7B45" w:rsidRPr="00BD4D98" w:rsidRDefault="001E7B45" w:rsidP="005451F2">
            <w:pPr>
              <w:spacing w:line="240" w:lineRule="auto"/>
              <w:jc w:val="right"/>
              <w:rPr>
                <w:sz w:val="20"/>
                <w:szCs w:val="20"/>
              </w:rPr>
            </w:pPr>
            <w:r w:rsidRPr="00BD4D98">
              <w:rPr>
                <w:sz w:val="20"/>
                <w:szCs w:val="20"/>
              </w:rPr>
              <w:t>13 363,33</w:t>
            </w:r>
          </w:p>
        </w:tc>
        <w:tc>
          <w:tcPr>
            <w:tcW w:w="993" w:type="dxa"/>
            <w:tcBorders>
              <w:top w:val="nil"/>
              <w:left w:val="nil"/>
              <w:bottom w:val="nil"/>
              <w:right w:val="single" w:sz="8" w:space="0" w:color="auto"/>
            </w:tcBorders>
            <w:shd w:val="clear" w:color="auto" w:fill="auto"/>
            <w:noWrap/>
            <w:vAlign w:val="center"/>
            <w:hideMark/>
          </w:tcPr>
          <w:p w:rsidR="001E7B45" w:rsidRPr="00BD4D98" w:rsidRDefault="001E7B45" w:rsidP="005451F2">
            <w:pPr>
              <w:spacing w:line="240" w:lineRule="auto"/>
              <w:jc w:val="right"/>
              <w:rPr>
                <w:sz w:val="20"/>
                <w:szCs w:val="20"/>
              </w:rPr>
            </w:pPr>
            <w:r w:rsidRPr="00BD4D98">
              <w:rPr>
                <w:sz w:val="20"/>
                <w:szCs w:val="20"/>
              </w:rPr>
              <w:t>0,00</w:t>
            </w:r>
          </w:p>
        </w:tc>
        <w:tc>
          <w:tcPr>
            <w:tcW w:w="992" w:type="dxa"/>
            <w:tcBorders>
              <w:top w:val="nil"/>
              <w:left w:val="nil"/>
              <w:bottom w:val="nil"/>
              <w:right w:val="single" w:sz="8" w:space="0" w:color="auto"/>
            </w:tcBorders>
            <w:shd w:val="clear" w:color="auto" w:fill="auto"/>
            <w:noWrap/>
            <w:vAlign w:val="center"/>
            <w:hideMark/>
          </w:tcPr>
          <w:p w:rsidR="001E7B45" w:rsidRPr="00BD4D98" w:rsidRDefault="001E7B45" w:rsidP="005451F2">
            <w:pPr>
              <w:spacing w:line="240" w:lineRule="auto"/>
              <w:jc w:val="right"/>
              <w:rPr>
                <w:sz w:val="20"/>
                <w:szCs w:val="20"/>
              </w:rPr>
            </w:pPr>
            <w:r w:rsidRPr="00BD4D98">
              <w:rPr>
                <w:sz w:val="20"/>
                <w:szCs w:val="20"/>
              </w:rPr>
              <w:t>0,00</w:t>
            </w:r>
          </w:p>
        </w:tc>
        <w:tc>
          <w:tcPr>
            <w:tcW w:w="993" w:type="dxa"/>
            <w:tcBorders>
              <w:top w:val="nil"/>
              <w:left w:val="nil"/>
              <w:bottom w:val="nil"/>
              <w:right w:val="single" w:sz="8" w:space="0" w:color="auto"/>
            </w:tcBorders>
            <w:shd w:val="clear" w:color="auto" w:fill="auto"/>
            <w:noWrap/>
            <w:vAlign w:val="center"/>
            <w:hideMark/>
          </w:tcPr>
          <w:p w:rsidR="001E7B45" w:rsidRPr="00BD4D98" w:rsidRDefault="001E7B45" w:rsidP="005451F2">
            <w:pPr>
              <w:spacing w:line="240" w:lineRule="auto"/>
              <w:jc w:val="right"/>
              <w:rPr>
                <w:sz w:val="20"/>
                <w:szCs w:val="20"/>
              </w:rPr>
            </w:pPr>
            <w:r w:rsidRPr="00BD4D98">
              <w:rPr>
                <w:sz w:val="20"/>
                <w:szCs w:val="20"/>
              </w:rPr>
              <w:t>0,00</w:t>
            </w:r>
          </w:p>
        </w:tc>
      </w:tr>
      <w:tr w:rsidR="001E7B45" w:rsidRPr="00BD4D98" w:rsidTr="00300B7B">
        <w:trPr>
          <w:trHeight w:val="495"/>
        </w:trPr>
        <w:tc>
          <w:tcPr>
            <w:tcW w:w="656" w:type="dxa"/>
            <w:tcBorders>
              <w:top w:val="single" w:sz="8" w:space="0" w:color="auto"/>
              <w:left w:val="single" w:sz="8" w:space="0" w:color="auto"/>
              <w:bottom w:val="single" w:sz="8" w:space="0" w:color="auto"/>
              <w:right w:val="single" w:sz="8" w:space="0" w:color="auto"/>
            </w:tcBorders>
            <w:shd w:val="clear" w:color="auto" w:fill="auto"/>
            <w:noWrap/>
            <w:vAlign w:val="center"/>
            <w:hideMark/>
          </w:tcPr>
          <w:p w:rsidR="001E7B45" w:rsidRPr="00BD4D98" w:rsidRDefault="001E7B45" w:rsidP="005451F2">
            <w:pPr>
              <w:spacing w:line="240" w:lineRule="auto"/>
              <w:jc w:val="center"/>
              <w:rPr>
                <w:rFonts w:eastAsia="Times New Roman"/>
                <w:color w:val="000000"/>
              </w:rPr>
            </w:pPr>
            <w:r w:rsidRPr="00BD4D98">
              <w:rPr>
                <w:rFonts w:eastAsia="Times New Roman"/>
                <w:color w:val="000000"/>
                <w:sz w:val="22"/>
                <w:szCs w:val="22"/>
              </w:rPr>
              <w:t>1.4</w:t>
            </w:r>
          </w:p>
        </w:tc>
        <w:tc>
          <w:tcPr>
            <w:tcW w:w="2604" w:type="dxa"/>
            <w:tcBorders>
              <w:top w:val="nil"/>
              <w:left w:val="nil"/>
              <w:bottom w:val="single" w:sz="8" w:space="0" w:color="auto"/>
              <w:right w:val="single" w:sz="8" w:space="0" w:color="auto"/>
            </w:tcBorders>
            <w:shd w:val="clear" w:color="auto" w:fill="auto"/>
            <w:vAlign w:val="center"/>
            <w:hideMark/>
          </w:tcPr>
          <w:p w:rsidR="001E7B45" w:rsidRPr="00BD4D98" w:rsidRDefault="001E7B45" w:rsidP="00300B7B">
            <w:pPr>
              <w:spacing w:line="240" w:lineRule="auto"/>
              <w:rPr>
                <w:rFonts w:eastAsia="Times New Roman"/>
                <w:color w:val="000000"/>
              </w:rPr>
            </w:pPr>
            <w:r w:rsidRPr="00BD4D98">
              <w:rPr>
                <w:rFonts w:eastAsia="Times New Roman"/>
                <w:color w:val="000000"/>
                <w:sz w:val="22"/>
                <w:szCs w:val="22"/>
              </w:rPr>
              <w:t xml:space="preserve">поступление эл. энергии от других организаций </w:t>
            </w:r>
          </w:p>
        </w:tc>
        <w:tc>
          <w:tcPr>
            <w:tcW w:w="993" w:type="dxa"/>
            <w:tcBorders>
              <w:top w:val="single" w:sz="8" w:space="0" w:color="auto"/>
              <w:left w:val="nil"/>
              <w:bottom w:val="single" w:sz="8" w:space="0" w:color="auto"/>
              <w:right w:val="single" w:sz="8" w:space="0" w:color="auto"/>
            </w:tcBorders>
            <w:shd w:val="clear" w:color="auto" w:fill="auto"/>
            <w:vAlign w:val="center"/>
            <w:hideMark/>
          </w:tcPr>
          <w:p w:rsidR="001E7B45" w:rsidRPr="00BD4D98" w:rsidRDefault="001E7B45" w:rsidP="005451F2">
            <w:pPr>
              <w:spacing w:line="240" w:lineRule="auto"/>
              <w:jc w:val="center"/>
              <w:rPr>
                <w:rFonts w:eastAsia="Times New Roman"/>
                <w:color w:val="000000"/>
                <w:sz w:val="18"/>
                <w:szCs w:val="18"/>
              </w:rPr>
            </w:pPr>
            <w:r w:rsidRPr="00BD4D98">
              <w:rPr>
                <w:rFonts w:eastAsia="Times New Roman"/>
                <w:color w:val="000000"/>
                <w:sz w:val="18"/>
                <w:szCs w:val="18"/>
              </w:rPr>
              <w:t>млн.кВт.ч</w:t>
            </w:r>
          </w:p>
        </w:tc>
        <w:tc>
          <w:tcPr>
            <w:tcW w:w="992" w:type="dxa"/>
            <w:tcBorders>
              <w:top w:val="single" w:sz="8" w:space="0" w:color="auto"/>
              <w:left w:val="nil"/>
              <w:bottom w:val="single" w:sz="8" w:space="0" w:color="auto"/>
              <w:right w:val="single" w:sz="8" w:space="0" w:color="auto"/>
            </w:tcBorders>
            <w:shd w:val="clear" w:color="auto" w:fill="auto"/>
            <w:noWrap/>
            <w:vAlign w:val="center"/>
            <w:hideMark/>
          </w:tcPr>
          <w:p w:rsidR="001E7B45" w:rsidRPr="00BD4D98" w:rsidRDefault="001E7B45" w:rsidP="005451F2">
            <w:pPr>
              <w:spacing w:line="240" w:lineRule="auto"/>
              <w:jc w:val="right"/>
              <w:rPr>
                <w:sz w:val="20"/>
                <w:szCs w:val="20"/>
              </w:rPr>
            </w:pPr>
            <w:r w:rsidRPr="00BD4D98">
              <w:rPr>
                <w:sz w:val="20"/>
                <w:szCs w:val="20"/>
              </w:rPr>
              <w:t>0,00</w:t>
            </w:r>
          </w:p>
        </w:tc>
        <w:tc>
          <w:tcPr>
            <w:tcW w:w="1133" w:type="dxa"/>
            <w:tcBorders>
              <w:top w:val="single" w:sz="8" w:space="0" w:color="auto"/>
              <w:left w:val="nil"/>
              <w:bottom w:val="single" w:sz="8" w:space="0" w:color="auto"/>
              <w:right w:val="single" w:sz="8" w:space="0" w:color="auto"/>
            </w:tcBorders>
            <w:shd w:val="clear" w:color="auto" w:fill="auto"/>
            <w:noWrap/>
            <w:vAlign w:val="center"/>
            <w:hideMark/>
          </w:tcPr>
          <w:p w:rsidR="001E7B45" w:rsidRPr="00BD4D98" w:rsidRDefault="001E7B45" w:rsidP="005451F2">
            <w:pPr>
              <w:spacing w:line="240" w:lineRule="auto"/>
              <w:jc w:val="right"/>
              <w:rPr>
                <w:sz w:val="20"/>
                <w:szCs w:val="20"/>
              </w:rPr>
            </w:pPr>
            <w:r w:rsidRPr="00BD4D98">
              <w:rPr>
                <w:sz w:val="20"/>
                <w:szCs w:val="20"/>
              </w:rPr>
              <w:t>0,00</w:t>
            </w:r>
          </w:p>
        </w:tc>
        <w:tc>
          <w:tcPr>
            <w:tcW w:w="993" w:type="dxa"/>
            <w:tcBorders>
              <w:top w:val="single" w:sz="8" w:space="0" w:color="auto"/>
              <w:left w:val="nil"/>
              <w:bottom w:val="single" w:sz="8" w:space="0" w:color="auto"/>
              <w:right w:val="single" w:sz="8" w:space="0" w:color="auto"/>
            </w:tcBorders>
            <w:shd w:val="clear" w:color="auto" w:fill="auto"/>
            <w:noWrap/>
            <w:vAlign w:val="center"/>
            <w:hideMark/>
          </w:tcPr>
          <w:p w:rsidR="001E7B45" w:rsidRPr="00BD4D98" w:rsidRDefault="001E7B45" w:rsidP="005451F2">
            <w:pPr>
              <w:spacing w:line="240" w:lineRule="auto"/>
              <w:jc w:val="right"/>
              <w:rPr>
                <w:sz w:val="20"/>
                <w:szCs w:val="20"/>
              </w:rPr>
            </w:pPr>
            <w:r w:rsidRPr="00BD4D98">
              <w:rPr>
                <w:sz w:val="20"/>
                <w:szCs w:val="20"/>
              </w:rPr>
              <w:t>0,00</w:t>
            </w:r>
          </w:p>
        </w:tc>
        <w:tc>
          <w:tcPr>
            <w:tcW w:w="992" w:type="dxa"/>
            <w:tcBorders>
              <w:top w:val="single" w:sz="8" w:space="0" w:color="auto"/>
              <w:left w:val="nil"/>
              <w:bottom w:val="single" w:sz="8" w:space="0" w:color="auto"/>
              <w:right w:val="single" w:sz="8" w:space="0" w:color="auto"/>
            </w:tcBorders>
            <w:shd w:val="clear" w:color="auto" w:fill="auto"/>
            <w:noWrap/>
            <w:vAlign w:val="center"/>
            <w:hideMark/>
          </w:tcPr>
          <w:p w:rsidR="001E7B45" w:rsidRPr="00BD4D98" w:rsidRDefault="001E7B45" w:rsidP="005451F2">
            <w:pPr>
              <w:spacing w:line="240" w:lineRule="auto"/>
              <w:jc w:val="right"/>
              <w:rPr>
                <w:sz w:val="20"/>
                <w:szCs w:val="20"/>
              </w:rPr>
            </w:pPr>
            <w:r w:rsidRPr="00BD4D98">
              <w:rPr>
                <w:sz w:val="20"/>
                <w:szCs w:val="20"/>
              </w:rPr>
              <w:t>0,00</w:t>
            </w:r>
          </w:p>
        </w:tc>
        <w:tc>
          <w:tcPr>
            <w:tcW w:w="993" w:type="dxa"/>
            <w:tcBorders>
              <w:top w:val="single" w:sz="8" w:space="0" w:color="auto"/>
              <w:left w:val="nil"/>
              <w:bottom w:val="single" w:sz="8" w:space="0" w:color="auto"/>
              <w:right w:val="single" w:sz="8" w:space="0" w:color="auto"/>
            </w:tcBorders>
            <w:shd w:val="clear" w:color="auto" w:fill="auto"/>
            <w:noWrap/>
            <w:vAlign w:val="center"/>
            <w:hideMark/>
          </w:tcPr>
          <w:p w:rsidR="001E7B45" w:rsidRPr="00BD4D98" w:rsidRDefault="001E7B45" w:rsidP="005451F2">
            <w:pPr>
              <w:spacing w:line="240" w:lineRule="auto"/>
              <w:jc w:val="right"/>
              <w:rPr>
                <w:sz w:val="20"/>
                <w:szCs w:val="20"/>
              </w:rPr>
            </w:pPr>
            <w:r w:rsidRPr="00BD4D98">
              <w:rPr>
                <w:sz w:val="20"/>
                <w:szCs w:val="20"/>
              </w:rPr>
              <w:t>0,00</w:t>
            </w:r>
          </w:p>
        </w:tc>
      </w:tr>
      <w:tr w:rsidR="001E7B45" w:rsidRPr="00BD4D98" w:rsidTr="00300B7B">
        <w:trPr>
          <w:trHeight w:val="315"/>
        </w:trPr>
        <w:tc>
          <w:tcPr>
            <w:tcW w:w="656" w:type="dxa"/>
            <w:tcBorders>
              <w:top w:val="nil"/>
              <w:left w:val="single" w:sz="8" w:space="0" w:color="auto"/>
              <w:bottom w:val="single" w:sz="8" w:space="0" w:color="auto"/>
              <w:right w:val="single" w:sz="8" w:space="0" w:color="auto"/>
            </w:tcBorders>
            <w:shd w:val="clear" w:color="auto" w:fill="auto"/>
            <w:noWrap/>
            <w:vAlign w:val="center"/>
            <w:hideMark/>
          </w:tcPr>
          <w:p w:rsidR="001E7B45" w:rsidRPr="00BD4D98" w:rsidRDefault="001E7B45" w:rsidP="005451F2">
            <w:pPr>
              <w:spacing w:line="240" w:lineRule="auto"/>
              <w:jc w:val="center"/>
              <w:rPr>
                <w:rFonts w:eastAsia="Times New Roman"/>
                <w:color w:val="000000"/>
              </w:rPr>
            </w:pPr>
            <w:r w:rsidRPr="00BD4D98">
              <w:rPr>
                <w:rFonts w:eastAsia="Times New Roman"/>
                <w:color w:val="000000"/>
                <w:sz w:val="22"/>
                <w:szCs w:val="22"/>
              </w:rPr>
              <w:t>2</w:t>
            </w:r>
          </w:p>
        </w:tc>
        <w:tc>
          <w:tcPr>
            <w:tcW w:w="2604" w:type="dxa"/>
            <w:tcBorders>
              <w:top w:val="nil"/>
              <w:left w:val="nil"/>
              <w:bottom w:val="single" w:sz="8" w:space="0" w:color="auto"/>
              <w:right w:val="single" w:sz="8" w:space="0" w:color="auto"/>
            </w:tcBorders>
            <w:shd w:val="clear" w:color="auto" w:fill="auto"/>
            <w:vAlign w:val="center"/>
            <w:hideMark/>
          </w:tcPr>
          <w:p w:rsidR="001E7B45" w:rsidRPr="00BD4D98" w:rsidRDefault="001E7B45" w:rsidP="005451F2">
            <w:pPr>
              <w:spacing w:line="240" w:lineRule="auto"/>
              <w:rPr>
                <w:rFonts w:eastAsia="Times New Roman"/>
                <w:color w:val="000000"/>
              </w:rPr>
            </w:pPr>
            <w:r w:rsidRPr="00BD4D98">
              <w:rPr>
                <w:rFonts w:eastAsia="Times New Roman"/>
                <w:color w:val="000000"/>
                <w:sz w:val="22"/>
                <w:szCs w:val="22"/>
              </w:rPr>
              <w:t xml:space="preserve">Потери электроэнергии в сети </w:t>
            </w:r>
          </w:p>
        </w:tc>
        <w:tc>
          <w:tcPr>
            <w:tcW w:w="993" w:type="dxa"/>
            <w:tcBorders>
              <w:top w:val="nil"/>
              <w:left w:val="nil"/>
              <w:bottom w:val="single" w:sz="8" w:space="0" w:color="auto"/>
              <w:right w:val="single" w:sz="8" w:space="0" w:color="auto"/>
            </w:tcBorders>
            <w:shd w:val="clear" w:color="auto" w:fill="auto"/>
            <w:vAlign w:val="center"/>
            <w:hideMark/>
          </w:tcPr>
          <w:p w:rsidR="001E7B45" w:rsidRPr="00BD4D98" w:rsidRDefault="001E7B45" w:rsidP="005451F2">
            <w:pPr>
              <w:spacing w:line="240" w:lineRule="auto"/>
              <w:jc w:val="center"/>
              <w:rPr>
                <w:rFonts w:eastAsia="Times New Roman"/>
                <w:color w:val="000000"/>
                <w:sz w:val="18"/>
                <w:szCs w:val="18"/>
              </w:rPr>
            </w:pPr>
            <w:r w:rsidRPr="00BD4D98">
              <w:rPr>
                <w:rFonts w:eastAsia="Times New Roman"/>
                <w:color w:val="000000"/>
                <w:sz w:val="18"/>
                <w:szCs w:val="18"/>
              </w:rPr>
              <w:t>млн.кВт.ч</w:t>
            </w:r>
          </w:p>
        </w:tc>
        <w:tc>
          <w:tcPr>
            <w:tcW w:w="992" w:type="dxa"/>
            <w:tcBorders>
              <w:top w:val="nil"/>
              <w:left w:val="nil"/>
              <w:bottom w:val="single" w:sz="8" w:space="0" w:color="auto"/>
              <w:right w:val="single" w:sz="8" w:space="0" w:color="auto"/>
            </w:tcBorders>
            <w:shd w:val="clear" w:color="auto" w:fill="auto"/>
            <w:noWrap/>
            <w:vAlign w:val="center"/>
            <w:hideMark/>
          </w:tcPr>
          <w:p w:rsidR="001E7B45" w:rsidRPr="00BD4D98" w:rsidRDefault="001E7B45" w:rsidP="005451F2">
            <w:pPr>
              <w:spacing w:line="240" w:lineRule="auto"/>
              <w:jc w:val="right"/>
              <w:rPr>
                <w:sz w:val="20"/>
                <w:szCs w:val="20"/>
              </w:rPr>
            </w:pPr>
            <w:r w:rsidRPr="00BD4D98">
              <w:rPr>
                <w:sz w:val="20"/>
                <w:szCs w:val="20"/>
              </w:rPr>
              <w:t>1 950,37</w:t>
            </w:r>
          </w:p>
        </w:tc>
        <w:tc>
          <w:tcPr>
            <w:tcW w:w="1133" w:type="dxa"/>
            <w:tcBorders>
              <w:top w:val="nil"/>
              <w:left w:val="nil"/>
              <w:bottom w:val="single" w:sz="8" w:space="0" w:color="auto"/>
              <w:right w:val="single" w:sz="8" w:space="0" w:color="auto"/>
            </w:tcBorders>
            <w:shd w:val="clear" w:color="auto" w:fill="auto"/>
            <w:noWrap/>
            <w:vAlign w:val="center"/>
            <w:hideMark/>
          </w:tcPr>
          <w:p w:rsidR="001E7B45" w:rsidRPr="00BD4D98" w:rsidRDefault="001E7B45" w:rsidP="005451F2">
            <w:pPr>
              <w:spacing w:line="240" w:lineRule="auto"/>
              <w:jc w:val="right"/>
              <w:rPr>
                <w:sz w:val="20"/>
                <w:szCs w:val="20"/>
              </w:rPr>
            </w:pPr>
            <w:r w:rsidRPr="00BD4D98">
              <w:rPr>
                <w:sz w:val="20"/>
                <w:szCs w:val="20"/>
              </w:rPr>
              <w:t>858,39</w:t>
            </w:r>
          </w:p>
        </w:tc>
        <w:tc>
          <w:tcPr>
            <w:tcW w:w="993" w:type="dxa"/>
            <w:tcBorders>
              <w:top w:val="nil"/>
              <w:left w:val="nil"/>
              <w:bottom w:val="single" w:sz="8" w:space="0" w:color="auto"/>
              <w:right w:val="single" w:sz="8" w:space="0" w:color="auto"/>
            </w:tcBorders>
            <w:shd w:val="clear" w:color="auto" w:fill="auto"/>
            <w:noWrap/>
            <w:vAlign w:val="center"/>
            <w:hideMark/>
          </w:tcPr>
          <w:p w:rsidR="001E7B45" w:rsidRPr="00BD4D98" w:rsidRDefault="001E7B45" w:rsidP="005451F2">
            <w:pPr>
              <w:spacing w:line="240" w:lineRule="auto"/>
              <w:jc w:val="right"/>
              <w:rPr>
                <w:sz w:val="20"/>
                <w:szCs w:val="20"/>
              </w:rPr>
            </w:pPr>
            <w:r w:rsidRPr="00BD4D98">
              <w:rPr>
                <w:sz w:val="20"/>
                <w:szCs w:val="20"/>
              </w:rPr>
              <w:t>35,18</w:t>
            </w:r>
          </w:p>
        </w:tc>
        <w:tc>
          <w:tcPr>
            <w:tcW w:w="992" w:type="dxa"/>
            <w:tcBorders>
              <w:top w:val="nil"/>
              <w:left w:val="nil"/>
              <w:bottom w:val="single" w:sz="8" w:space="0" w:color="auto"/>
              <w:right w:val="single" w:sz="8" w:space="0" w:color="auto"/>
            </w:tcBorders>
            <w:shd w:val="clear" w:color="auto" w:fill="auto"/>
            <w:noWrap/>
            <w:vAlign w:val="center"/>
            <w:hideMark/>
          </w:tcPr>
          <w:p w:rsidR="001E7B45" w:rsidRPr="00BD4D98" w:rsidRDefault="001E7B45" w:rsidP="005451F2">
            <w:pPr>
              <w:spacing w:line="240" w:lineRule="auto"/>
              <w:jc w:val="right"/>
              <w:rPr>
                <w:sz w:val="20"/>
                <w:szCs w:val="20"/>
              </w:rPr>
            </w:pPr>
            <w:r w:rsidRPr="00BD4D98">
              <w:rPr>
                <w:sz w:val="20"/>
                <w:szCs w:val="20"/>
              </w:rPr>
              <w:t>589,56</w:t>
            </w:r>
          </w:p>
        </w:tc>
        <w:tc>
          <w:tcPr>
            <w:tcW w:w="993" w:type="dxa"/>
            <w:tcBorders>
              <w:top w:val="nil"/>
              <w:left w:val="nil"/>
              <w:bottom w:val="single" w:sz="8" w:space="0" w:color="auto"/>
              <w:right w:val="single" w:sz="8" w:space="0" w:color="auto"/>
            </w:tcBorders>
            <w:shd w:val="clear" w:color="auto" w:fill="auto"/>
            <w:noWrap/>
            <w:vAlign w:val="center"/>
            <w:hideMark/>
          </w:tcPr>
          <w:p w:rsidR="001E7B45" w:rsidRPr="00BD4D98" w:rsidRDefault="001E7B45" w:rsidP="005451F2">
            <w:pPr>
              <w:spacing w:line="240" w:lineRule="auto"/>
              <w:jc w:val="right"/>
              <w:rPr>
                <w:sz w:val="20"/>
                <w:szCs w:val="20"/>
              </w:rPr>
            </w:pPr>
            <w:r w:rsidRPr="00BD4D98">
              <w:rPr>
                <w:sz w:val="20"/>
                <w:szCs w:val="20"/>
              </w:rPr>
              <w:t>467,23</w:t>
            </w:r>
          </w:p>
        </w:tc>
      </w:tr>
      <w:tr w:rsidR="001E7B45" w:rsidRPr="00BD4D98" w:rsidTr="00300B7B">
        <w:trPr>
          <w:trHeight w:val="315"/>
        </w:trPr>
        <w:tc>
          <w:tcPr>
            <w:tcW w:w="656" w:type="dxa"/>
            <w:tcBorders>
              <w:top w:val="nil"/>
              <w:left w:val="single" w:sz="8" w:space="0" w:color="auto"/>
              <w:bottom w:val="single" w:sz="8" w:space="0" w:color="auto"/>
              <w:right w:val="single" w:sz="8" w:space="0" w:color="auto"/>
            </w:tcBorders>
            <w:shd w:val="clear" w:color="auto" w:fill="auto"/>
            <w:noWrap/>
            <w:vAlign w:val="center"/>
            <w:hideMark/>
          </w:tcPr>
          <w:p w:rsidR="001E7B45" w:rsidRPr="00BD4D98" w:rsidRDefault="001E7B45" w:rsidP="005451F2">
            <w:pPr>
              <w:spacing w:line="240" w:lineRule="auto"/>
              <w:jc w:val="center"/>
              <w:rPr>
                <w:rFonts w:eastAsia="Times New Roman"/>
                <w:color w:val="000000"/>
              </w:rPr>
            </w:pPr>
            <w:r w:rsidRPr="00BD4D98">
              <w:rPr>
                <w:rFonts w:eastAsia="Times New Roman"/>
                <w:color w:val="000000"/>
                <w:sz w:val="22"/>
                <w:szCs w:val="22"/>
              </w:rPr>
              <w:t>2.1</w:t>
            </w:r>
          </w:p>
        </w:tc>
        <w:tc>
          <w:tcPr>
            <w:tcW w:w="2604" w:type="dxa"/>
            <w:tcBorders>
              <w:top w:val="nil"/>
              <w:left w:val="nil"/>
              <w:bottom w:val="single" w:sz="8" w:space="0" w:color="auto"/>
              <w:right w:val="single" w:sz="8" w:space="0" w:color="auto"/>
            </w:tcBorders>
            <w:shd w:val="clear" w:color="auto" w:fill="auto"/>
            <w:vAlign w:val="center"/>
            <w:hideMark/>
          </w:tcPr>
          <w:p w:rsidR="001E7B45" w:rsidRPr="00BD4D98" w:rsidRDefault="001E7B45" w:rsidP="00300B7B">
            <w:pPr>
              <w:spacing w:line="240" w:lineRule="auto"/>
              <w:rPr>
                <w:rFonts w:eastAsia="Times New Roman"/>
                <w:color w:val="000000"/>
              </w:rPr>
            </w:pPr>
            <w:r w:rsidRPr="00BD4D98">
              <w:rPr>
                <w:rFonts w:eastAsia="Times New Roman"/>
                <w:color w:val="000000"/>
                <w:sz w:val="22"/>
                <w:szCs w:val="22"/>
              </w:rPr>
              <w:t>то же в % (п.1.1/п.1.3)</w:t>
            </w:r>
          </w:p>
        </w:tc>
        <w:tc>
          <w:tcPr>
            <w:tcW w:w="993" w:type="dxa"/>
            <w:tcBorders>
              <w:top w:val="nil"/>
              <w:left w:val="nil"/>
              <w:bottom w:val="single" w:sz="8" w:space="0" w:color="auto"/>
              <w:right w:val="single" w:sz="8" w:space="0" w:color="auto"/>
            </w:tcBorders>
            <w:shd w:val="clear" w:color="auto" w:fill="auto"/>
            <w:vAlign w:val="center"/>
            <w:hideMark/>
          </w:tcPr>
          <w:p w:rsidR="001E7B45" w:rsidRPr="00BD4D98" w:rsidRDefault="001E7B45" w:rsidP="005451F2">
            <w:pPr>
              <w:spacing w:line="240" w:lineRule="auto"/>
              <w:jc w:val="center"/>
              <w:rPr>
                <w:rFonts w:eastAsia="Times New Roman"/>
                <w:color w:val="000000"/>
                <w:sz w:val="18"/>
                <w:szCs w:val="18"/>
              </w:rPr>
            </w:pPr>
            <w:r w:rsidRPr="00BD4D98">
              <w:rPr>
                <w:rFonts w:eastAsia="Times New Roman"/>
                <w:color w:val="000000"/>
                <w:sz w:val="18"/>
                <w:szCs w:val="18"/>
              </w:rPr>
              <w:t> </w:t>
            </w:r>
          </w:p>
        </w:tc>
        <w:tc>
          <w:tcPr>
            <w:tcW w:w="992" w:type="dxa"/>
            <w:tcBorders>
              <w:top w:val="nil"/>
              <w:left w:val="nil"/>
              <w:bottom w:val="single" w:sz="8" w:space="0" w:color="auto"/>
              <w:right w:val="single" w:sz="8" w:space="0" w:color="auto"/>
            </w:tcBorders>
            <w:shd w:val="clear" w:color="auto" w:fill="auto"/>
            <w:noWrap/>
            <w:vAlign w:val="center"/>
            <w:hideMark/>
          </w:tcPr>
          <w:p w:rsidR="001E7B45" w:rsidRPr="00BD4D98" w:rsidRDefault="001E7B45" w:rsidP="005451F2">
            <w:pPr>
              <w:spacing w:line="240" w:lineRule="auto"/>
              <w:jc w:val="right"/>
              <w:rPr>
                <w:sz w:val="20"/>
                <w:szCs w:val="20"/>
              </w:rPr>
            </w:pPr>
            <w:r w:rsidRPr="00BD4D98">
              <w:rPr>
                <w:sz w:val="20"/>
                <w:szCs w:val="20"/>
              </w:rPr>
              <w:t>14,59</w:t>
            </w:r>
          </w:p>
        </w:tc>
        <w:tc>
          <w:tcPr>
            <w:tcW w:w="1133" w:type="dxa"/>
            <w:tcBorders>
              <w:top w:val="nil"/>
              <w:left w:val="nil"/>
              <w:bottom w:val="single" w:sz="8" w:space="0" w:color="auto"/>
              <w:right w:val="single" w:sz="8" w:space="0" w:color="auto"/>
            </w:tcBorders>
            <w:shd w:val="clear" w:color="auto" w:fill="auto"/>
            <w:noWrap/>
            <w:vAlign w:val="center"/>
            <w:hideMark/>
          </w:tcPr>
          <w:p w:rsidR="001E7B45" w:rsidRPr="00BD4D98" w:rsidRDefault="001E7B45" w:rsidP="005451F2">
            <w:pPr>
              <w:spacing w:line="240" w:lineRule="auto"/>
              <w:jc w:val="right"/>
              <w:rPr>
                <w:sz w:val="20"/>
                <w:szCs w:val="20"/>
              </w:rPr>
            </w:pPr>
            <w:r w:rsidRPr="00BD4D98">
              <w:rPr>
                <w:sz w:val="20"/>
                <w:szCs w:val="20"/>
              </w:rPr>
              <w:t>6,42</w:t>
            </w:r>
          </w:p>
        </w:tc>
        <w:tc>
          <w:tcPr>
            <w:tcW w:w="993" w:type="dxa"/>
            <w:tcBorders>
              <w:top w:val="nil"/>
              <w:left w:val="nil"/>
              <w:bottom w:val="single" w:sz="8" w:space="0" w:color="auto"/>
              <w:right w:val="single" w:sz="8" w:space="0" w:color="auto"/>
            </w:tcBorders>
            <w:shd w:val="clear" w:color="auto" w:fill="auto"/>
            <w:noWrap/>
            <w:vAlign w:val="center"/>
            <w:hideMark/>
          </w:tcPr>
          <w:p w:rsidR="001E7B45" w:rsidRPr="00BD4D98" w:rsidRDefault="001E7B45" w:rsidP="005451F2">
            <w:pPr>
              <w:spacing w:line="240" w:lineRule="auto"/>
              <w:jc w:val="right"/>
              <w:rPr>
                <w:sz w:val="20"/>
                <w:szCs w:val="20"/>
              </w:rPr>
            </w:pPr>
            <w:r w:rsidRPr="00BD4D98">
              <w:rPr>
                <w:sz w:val="20"/>
                <w:szCs w:val="20"/>
              </w:rPr>
              <w:t>2,51</w:t>
            </w:r>
          </w:p>
        </w:tc>
        <w:tc>
          <w:tcPr>
            <w:tcW w:w="992" w:type="dxa"/>
            <w:tcBorders>
              <w:top w:val="nil"/>
              <w:left w:val="nil"/>
              <w:bottom w:val="single" w:sz="8" w:space="0" w:color="auto"/>
              <w:right w:val="single" w:sz="8" w:space="0" w:color="auto"/>
            </w:tcBorders>
            <w:shd w:val="clear" w:color="auto" w:fill="auto"/>
            <w:noWrap/>
            <w:vAlign w:val="center"/>
            <w:hideMark/>
          </w:tcPr>
          <w:p w:rsidR="001E7B45" w:rsidRPr="00BD4D98" w:rsidRDefault="001E7B45" w:rsidP="005451F2">
            <w:pPr>
              <w:spacing w:line="240" w:lineRule="auto"/>
              <w:jc w:val="right"/>
              <w:rPr>
                <w:sz w:val="20"/>
                <w:szCs w:val="20"/>
              </w:rPr>
            </w:pPr>
            <w:r w:rsidRPr="00BD4D98">
              <w:rPr>
                <w:sz w:val="20"/>
                <w:szCs w:val="20"/>
              </w:rPr>
              <w:t>6,67</w:t>
            </w:r>
          </w:p>
        </w:tc>
        <w:tc>
          <w:tcPr>
            <w:tcW w:w="993" w:type="dxa"/>
            <w:tcBorders>
              <w:top w:val="nil"/>
              <w:left w:val="nil"/>
              <w:bottom w:val="single" w:sz="8" w:space="0" w:color="auto"/>
              <w:right w:val="single" w:sz="8" w:space="0" w:color="auto"/>
            </w:tcBorders>
            <w:shd w:val="clear" w:color="auto" w:fill="auto"/>
            <w:noWrap/>
            <w:vAlign w:val="center"/>
            <w:hideMark/>
          </w:tcPr>
          <w:p w:rsidR="001E7B45" w:rsidRPr="00BD4D98" w:rsidRDefault="001E7B45" w:rsidP="005451F2">
            <w:pPr>
              <w:spacing w:line="240" w:lineRule="auto"/>
              <w:jc w:val="right"/>
              <w:rPr>
                <w:sz w:val="20"/>
                <w:szCs w:val="20"/>
              </w:rPr>
            </w:pPr>
            <w:r w:rsidRPr="00BD4D98">
              <w:rPr>
                <w:sz w:val="20"/>
                <w:szCs w:val="20"/>
              </w:rPr>
              <w:t>8,77</w:t>
            </w:r>
          </w:p>
        </w:tc>
      </w:tr>
      <w:tr w:rsidR="001E7B45" w:rsidRPr="00BD4D98" w:rsidTr="00300B7B">
        <w:trPr>
          <w:trHeight w:val="495"/>
        </w:trPr>
        <w:tc>
          <w:tcPr>
            <w:tcW w:w="656" w:type="dxa"/>
            <w:tcBorders>
              <w:top w:val="nil"/>
              <w:left w:val="single" w:sz="8" w:space="0" w:color="auto"/>
              <w:bottom w:val="single" w:sz="8" w:space="0" w:color="auto"/>
              <w:right w:val="single" w:sz="8" w:space="0" w:color="auto"/>
            </w:tcBorders>
            <w:shd w:val="clear" w:color="auto" w:fill="auto"/>
            <w:noWrap/>
            <w:vAlign w:val="center"/>
            <w:hideMark/>
          </w:tcPr>
          <w:p w:rsidR="001E7B45" w:rsidRPr="00BD4D98" w:rsidRDefault="001E7B45" w:rsidP="005451F2">
            <w:pPr>
              <w:spacing w:line="240" w:lineRule="auto"/>
              <w:jc w:val="center"/>
              <w:rPr>
                <w:rFonts w:eastAsia="Times New Roman"/>
                <w:color w:val="000000"/>
              </w:rPr>
            </w:pPr>
            <w:r w:rsidRPr="00BD4D98">
              <w:rPr>
                <w:rFonts w:eastAsia="Times New Roman"/>
                <w:color w:val="000000"/>
                <w:sz w:val="22"/>
                <w:szCs w:val="22"/>
              </w:rPr>
              <w:t>3</w:t>
            </w:r>
          </w:p>
        </w:tc>
        <w:tc>
          <w:tcPr>
            <w:tcW w:w="2604" w:type="dxa"/>
            <w:tcBorders>
              <w:top w:val="nil"/>
              <w:left w:val="nil"/>
              <w:bottom w:val="single" w:sz="8" w:space="0" w:color="auto"/>
              <w:right w:val="single" w:sz="8" w:space="0" w:color="auto"/>
            </w:tcBorders>
            <w:shd w:val="clear" w:color="auto" w:fill="auto"/>
            <w:vAlign w:val="center"/>
            <w:hideMark/>
          </w:tcPr>
          <w:p w:rsidR="001E7B45" w:rsidRPr="00BD4D98" w:rsidRDefault="001E7B45" w:rsidP="005451F2">
            <w:pPr>
              <w:spacing w:line="240" w:lineRule="auto"/>
              <w:rPr>
                <w:rFonts w:eastAsia="Times New Roman"/>
                <w:color w:val="000000"/>
              </w:rPr>
            </w:pPr>
            <w:r w:rsidRPr="00BD4D98">
              <w:rPr>
                <w:rFonts w:eastAsia="Times New Roman"/>
                <w:color w:val="000000"/>
                <w:sz w:val="22"/>
                <w:szCs w:val="22"/>
              </w:rPr>
              <w:t>Расход электроэнергии на произв. и хоз. нужды</w:t>
            </w:r>
          </w:p>
        </w:tc>
        <w:tc>
          <w:tcPr>
            <w:tcW w:w="993" w:type="dxa"/>
            <w:tcBorders>
              <w:top w:val="nil"/>
              <w:left w:val="nil"/>
              <w:bottom w:val="single" w:sz="8" w:space="0" w:color="auto"/>
              <w:right w:val="single" w:sz="8" w:space="0" w:color="auto"/>
            </w:tcBorders>
            <w:shd w:val="clear" w:color="auto" w:fill="auto"/>
            <w:vAlign w:val="center"/>
            <w:hideMark/>
          </w:tcPr>
          <w:p w:rsidR="001E7B45" w:rsidRPr="00BD4D98" w:rsidRDefault="001E7B45" w:rsidP="005451F2">
            <w:pPr>
              <w:spacing w:line="240" w:lineRule="auto"/>
              <w:jc w:val="center"/>
              <w:rPr>
                <w:rFonts w:eastAsia="Times New Roman"/>
                <w:color w:val="000000"/>
                <w:sz w:val="18"/>
                <w:szCs w:val="18"/>
              </w:rPr>
            </w:pPr>
            <w:r w:rsidRPr="00BD4D98">
              <w:rPr>
                <w:rFonts w:eastAsia="Times New Roman"/>
                <w:color w:val="000000"/>
                <w:sz w:val="18"/>
                <w:szCs w:val="18"/>
              </w:rPr>
              <w:t>млн.кВт.ч</w:t>
            </w:r>
          </w:p>
        </w:tc>
        <w:tc>
          <w:tcPr>
            <w:tcW w:w="992" w:type="dxa"/>
            <w:tcBorders>
              <w:top w:val="nil"/>
              <w:left w:val="nil"/>
              <w:bottom w:val="single" w:sz="8" w:space="0" w:color="auto"/>
              <w:right w:val="single" w:sz="8" w:space="0" w:color="auto"/>
            </w:tcBorders>
            <w:shd w:val="clear" w:color="auto" w:fill="auto"/>
            <w:noWrap/>
            <w:vAlign w:val="center"/>
            <w:hideMark/>
          </w:tcPr>
          <w:p w:rsidR="001E7B45" w:rsidRPr="00BD4D98" w:rsidRDefault="001E7B45" w:rsidP="005451F2">
            <w:pPr>
              <w:spacing w:line="240" w:lineRule="auto"/>
              <w:jc w:val="right"/>
              <w:rPr>
                <w:sz w:val="20"/>
                <w:szCs w:val="20"/>
              </w:rPr>
            </w:pPr>
            <w:r w:rsidRPr="00BD4D98">
              <w:rPr>
                <w:sz w:val="20"/>
                <w:szCs w:val="20"/>
              </w:rPr>
              <w:t>0,00</w:t>
            </w:r>
          </w:p>
        </w:tc>
        <w:tc>
          <w:tcPr>
            <w:tcW w:w="1133" w:type="dxa"/>
            <w:tcBorders>
              <w:top w:val="nil"/>
              <w:left w:val="nil"/>
              <w:bottom w:val="single" w:sz="8" w:space="0" w:color="auto"/>
              <w:right w:val="single" w:sz="8" w:space="0" w:color="auto"/>
            </w:tcBorders>
            <w:shd w:val="clear" w:color="auto" w:fill="auto"/>
            <w:noWrap/>
            <w:vAlign w:val="center"/>
            <w:hideMark/>
          </w:tcPr>
          <w:p w:rsidR="001E7B45" w:rsidRPr="00BD4D98" w:rsidRDefault="001E7B45" w:rsidP="005451F2">
            <w:pPr>
              <w:spacing w:line="240" w:lineRule="auto"/>
              <w:jc w:val="right"/>
              <w:rPr>
                <w:sz w:val="20"/>
                <w:szCs w:val="20"/>
              </w:rPr>
            </w:pPr>
            <w:r w:rsidRPr="00BD4D98">
              <w:rPr>
                <w:sz w:val="20"/>
                <w:szCs w:val="20"/>
              </w:rPr>
              <w:t>0,00</w:t>
            </w:r>
          </w:p>
        </w:tc>
        <w:tc>
          <w:tcPr>
            <w:tcW w:w="993" w:type="dxa"/>
            <w:tcBorders>
              <w:top w:val="nil"/>
              <w:left w:val="nil"/>
              <w:bottom w:val="single" w:sz="8" w:space="0" w:color="auto"/>
              <w:right w:val="single" w:sz="8" w:space="0" w:color="auto"/>
            </w:tcBorders>
            <w:shd w:val="clear" w:color="auto" w:fill="auto"/>
            <w:noWrap/>
            <w:vAlign w:val="center"/>
            <w:hideMark/>
          </w:tcPr>
          <w:p w:rsidR="001E7B45" w:rsidRPr="00BD4D98" w:rsidRDefault="001E7B45" w:rsidP="005451F2">
            <w:pPr>
              <w:spacing w:line="240" w:lineRule="auto"/>
              <w:jc w:val="right"/>
              <w:rPr>
                <w:sz w:val="20"/>
                <w:szCs w:val="20"/>
              </w:rPr>
            </w:pPr>
            <w:r w:rsidRPr="00BD4D98">
              <w:rPr>
                <w:sz w:val="20"/>
                <w:szCs w:val="20"/>
              </w:rPr>
              <w:t>0,00</w:t>
            </w:r>
          </w:p>
        </w:tc>
        <w:tc>
          <w:tcPr>
            <w:tcW w:w="992" w:type="dxa"/>
            <w:tcBorders>
              <w:top w:val="nil"/>
              <w:left w:val="nil"/>
              <w:bottom w:val="single" w:sz="8" w:space="0" w:color="auto"/>
              <w:right w:val="single" w:sz="8" w:space="0" w:color="auto"/>
            </w:tcBorders>
            <w:shd w:val="clear" w:color="auto" w:fill="auto"/>
            <w:noWrap/>
            <w:vAlign w:val="center"/>
            <w:hideMark/>
          </w:tcPr>
          <w:p w:rsidR="001E7B45" w:rsidRPr="00BD4D98" w:rsidRDefault="001E7B45" w:rsidP="005451F2">
            <w:pPr>
              <w:spacing w:line="240" w:lineRule="auto"/>
              <w:jc w:val="right"/>
              <w:rPr>
                <w:sz w:val="20"/>
                <w:szCs w:val="20"/>
              </w:rPr>
            </w:pPr>
            <w:r w:rsidRPr="00BD4D98">
              <w:rPr>
                <w:sz w:val="20"/>
                <w:szCs w:val="20"/>
              </w:rPr>
              <w:t>0,00</w:t>
            </w:r>
          </w:p>
        </w:tc>
        <w:tc>
          <w:tcPr>
            <w:tcW w:w="993" w:type="dxa"/>
            <w:tcBorders>
              <w:top w:val="nil"/>
              <w:left w:val="nil"/>
              <w:bottom w:val="single" w:sz="8" w:space="0" w:color="auto"/>
              <w:right w:val="single" w:sz="8" w:space="0" w:color="auto"/>
            </w:tcBorders>
            <w:shd w:val="clear" w:color="auto" w:fill="auto"/>
            <w:noWrap/>
            <w:vAlign w:val="center"/>
            <w:hideMark/>
          </w:tcPr>
          <w:p w:rsidR="001E7B45" w:rsidRPr="00BD4D98" w:rsidRDefault="001E7B45" w:rsidP="005451F2">
            <w:pPr>
              <w:spacing w:line="240" w:lineRule="auto"/>
              <w:jc w:val="right"/>
              <w:rPr>
                <w:sz w:val="20"/>
                <w:szCs w:val="20"/>
              </w:rPr>
            </w:pPr>
            <w:r w:rsidRPr="00BD4D98">
              <w:rPr>
                <w:sz w:val="20"/>
                <w:szCs w:val="20"/>
              </w:rPr>
              <w:t>0,00</w:t>
            </w:r>
          </w:p>
        </w:tc>
      </w:tr>
      <w:tr w:rsidR="001E7B45" w:rsidRPr="00BD4D98" w:rsidTr="00300B7B">
        <w:trPr>
          <w:trHeight w:val="495"/>
        </w:trPr>
        <w:tc>
          <w:tcPr>
            <w:tcW w:w="656" w:type="dxa"/>
            <w:tcBorders>
              <w:top w:val="nil"/>
              <w:left w:val="single" w:sz="8" w:space="0" w:color="auto"/>
              <w:bottom w:val="single" w:sz="8" w:space="0" w:color="auto"/>
              <w:right w:val="single" w:sz="8" w:space="0" w:color="auto"/>
            </w:tcBorders>
            <w:shd w:val="clear" w:color="auto" w:fill="auto"/>
            <w:noWrap/>
            <w:vAlign w:val="center"/>
            <w:hideMark/>
          </w:tcPr>
          <w:p w:rsidR="001E7B45" w:rsidRPr="00BD4D98" w:rsidRDefault="001E7B45" w:rsidP="005451F2">
            <w:pPr>
              <w:spacing w:line="240" w:lineRule="auto"/>
              <w:jc w:val="center"/>
              <w:rPr>
                <w:rFonts w:eastAsia="Times New Roman"/>
                <w:color w:val="000000"/>
              </w:rPr>
            </w:pPr>
            <w:r w:rsidRPr="00BD4D98">
              <w:rPr>
                <w:rFonts w:eastAsia="Times New Roman"/>
                <w:color w:val="000000"/>
                <w:sz w:val="22"/>
                <w:szCs w:val="22"/>
              </w:rPr>
              <w:t>4</w:t>
            </w:r>
          </w:p>
        </w:tc>
        <w:tc>
          <w:tcPr>
            <w:tcW w:w="2604" w:type="dxa"/>
            <w:tcBorders>
              <w:top w:val="nil"/>
              <w:left w:val="nil"/>
              <w:bottom w:val="single" w:sz="8" w:space="0" w:color="auto"/>
              <w:right w:val="single" w:sz="8" w:space="0" w:color="auto"/>
            </w:tcBorders>
            <w:shd w:val="clear" w:color="auto" w:fill="auto"/>
            <w:vAlign w:val="center"/>
            <w:hideMark/>
          </w:tcPr>
          <w:p w:rsidR="001E7B45" w:rsidRPr="00BD4D98" w:rsidRDefault="001E7B45" w:rsidP="005451F2">
            <w:pPr>
              <w:spacing w:line="240" w:lineRule="auto"/>
              <w:rPr>
                <w:rFonts w:eastAsia="Times New Roman"/>
                <w:color w:val="000000"/>
              </w:rPr>
            </w:pPr>
            <w:r w:rsidRPr="00BD4D98">
              <w:rPr>
                <w:rFonts w:eastAsia="Times New Roman"/>
                <w:color w:val="000000"/>
                <w:sz w:val="22"/>
                <w:szCs w:val="22"/>
              </w:rPr>
              <w:t>Полезный отпуск из сети потребителям услуг</w:t>
            </w:r>
          </w:p>
        </w:tc>
        <w:tc>
          <w:tcPr>
            <w:tcW w:w="993" w:type="dxa"/>
            <w:tcBorders>
              <w:top w:val="nil"/>
              <w:left w:val="nil"/>
              <w:bottom w:val="single" w:sz="8" w:space="0" w:color="auto"/>
              <w:right w:val="single" w:sz="8" w:space="0" w:color="auto"/>
            </w:tcBorders>
            <w:shd w:val="clear" w:color="auto" w:fill="auto"/>
            <w:vAlign w:val="center"/>
            <w:hideMark/>
          </w:tcPr>
          <w:p w:rsidR="001E7B45" w:rsidRPr="00BD4D98" w:rsidRDefault="001E7B45" w:rsidP="005451F2">
            <w:pPr>
              <w:spacing w:line="240" w:lineRule="auto"/>
              <w:jc w:val="center"/>
              <w:rPr>
                <w:rFonts w:eastAsia="Times New Roman"/>
                <w:color w:val="000000"/>
                <w:sz w:val="18"/>
                <w:szCs w:val="18"/>
              </w:rPr>
            </w:pPr>
            <w:r w:rsidRPr="00BD4D98">
              <w:rPr>
                <w:rFonts w:eastAsia="Times New Roman"/>
                <w:color w:val="000000"/>
                <w:sz w:val="18"/>
                <w:szCs w:val="18"/>
              </w:rPr>
              <w:t>млн.кВт.ч</w:t>
            </w:r>
          </w:p>
        </w:tc>
        <w:tc>
          <w:tcPr>
            <w:tcW w:w="992" w:type="dxa"/>
            <w:tcBorders>
              <w:top w:val="nil"/>
              <w:left w:val="nil"/>
              <w:bottom w:val="single" w:sz="8" w:space="0" w:color="auto"/>
              <w:right w:val="single" w:sz="8" w:space="0" w:color="auto"/>
            </w:tcBorders>
            <w:shd w:val="clear" w:color="auto" w:fill="auto"/>
            <w:noWrap/>
            <w:vAlign w:val="center"/>
            <w:hideMark/>
          </w:tcPr>
          <w:p w:rsidR="001E7B45" w:rsidRPr="00BD4D98" w:rsidRDefault="001E7B45" w:rsidP="005451F2">
            <w:pPr>
              <w:spacing w:line="240" w:lineRule="auto"/>
              <w:jc w:val="right"/>
              <w:rPr>
                <w:sz w:val="20"/>
                <w:szCs w:val="20"/>
              </w:rPr>
            </w:pPr>
            <w:r w:rsidRPr="00BD4D98">
              <w:rPr>
                <w:sz w:val="20"/>
                <w:szCs w:val="20"/>
              </w:rPr>
              <w:t>11 412,97</w:t>
            </w:r>
          </w:p>
        </w:tc>
        <w:tc>
          <w:tcPr>
            <w:tcW w:w="1133" w:type="dxa"/>
            <w:tcBorders>
              <w:top w:val="nil"/>
              <w:left w:val="nil"/>
              <w:bottom w:val="single" w:sz="8" w:space="0" w:color="auto"/>
              <w:right w:val="single" w:sz="8" w:space="0" w:color="auto"/>
            </w:tcBorders>
            <w:shd w:val="clear" w:color="auto" w:fill="auto"/>
            <w:noWrap/>
            <w:vAlign w:val="center"/>
            <w:hideMark/>
          </w:tcPr>
          <w:p w:rsidR="001E7B45" w:rsidRPr="00BD4D98" w:rsidRDefault="001E7B45" w:rsidP="005451F2">
            <w:pPr>
              <w:spacing w:line="240" w:lineRule="auto"/>
              <w:jc w:val="right"/>
              <w:rPr>
                <w:sz w:val="20"/>
                <w:szCs w:val="20"/>
              </w:rPr>
            </w:pPr>
            <w:r w:rsidRPr="00BD4D98">
              <w:rPr>
                <w:sz w:val="20"/>
                <w:szCs w:val="20"/>
              </w:rPr>
              <w:t>3 606,70</w:t>
            </w:r>
          </w:p>
        </w:tc>
        <w:tc>
          <w:tcPr>
            <w:tcW w:w="993" w:type="dxa"/>
            <w:tcBorders>
              <w:top w:val="nil"/>
              <w:left w:val="nil"/>
              <w:bottom w:val="single" w:sz="8" w:space="0" w:color="auto"/>
              <w:right w:val="single" w:sz="8" w:space="0" w:color="auto"/>
            </w:tcBorders>
            <w:shd w:val="clear" w:color="auto" w:fill="auto"/>
            <w:noWrap/>
            <w:vAlign w:val="center"/>
            <w:hideMark/>
          </w:tcPr>
          <w:p w:rsidR="001E7B45" w:rsidRPr="00BD4D98" w:rsidRDefault="001E7B45" w:rsidP="005451F2">
            <w:pPr>
              <w:spacing w:line="240" w:lineRule="auto"/>
              <w:jc w:val="right"/>
              <w:rPr>
                <w:sz w:val="20"/>
                <w:szCs w:val="20"/>
              </w:rPr>
            </w:pPr>
            <w:r w:rsidRPr="00BD4D98">
              <w:rPr>
                <w:sz w:val="20"/>
                <w:szCs w:val="20"/>
              </w:rPr>
              <w:t>26,62</w:t>
            </w:r>
          </w:p>
        </w:tc>
        <w:tc>
          <w:tcPr>
            <w:tcW w:w="992" w:type="dxa"/>
            <w:tcBorders>
              <w:top w:val="nil"/>
              <w:left w:val="nil"/>
              <w:bottom w:val="single" w:sz="8" w:space="0" w:color="auto"/>
              <w:right w:val="single" w:sz="8" w:space="0" w:color="auto"/>
            </w:tcBorders>
            <w:shd w:val="clear" w:color="auto" w:fill="auto"/>
            <w:noWrap/>
            <w:vAlign w:val="center"/>
            <w:hideMark/>
          </w:tcPr>
          <w:p w:rsidR="001E7B45" w:rsidRPr="00BD4D98" w:rsidRDefault="001E7B45" w:rsidP="005451F2">
            <w:pPr>
              <w:spacing w:line="240" w:lineRule="auto"/>
              <w:jc w:val="right"/>
              <w:rPr>
                <w:sz w:val="20"/>
                <w:szCs w:val="20"/>
              </w:rPr>
            </w:pPr>
            <w:r w:rsidRPr="00BD4D98">
              <w:rPr>
                <w:sz w:val="20"/>
                <w:szCs w:val="20"/>
              </w:rPr>
              <w:t>2 922,29</w:t>
            </w:r>
          </w:p>
        </w:tc>
        <w:tc>
          <w:tcPr>
            <w:tcW w:w="993" w:type="dxa"/>
            <w:tcBorders>
              <w:top w:val="nil"/>
              <w:left w:val="nil"/>
              <w:bottom w:val="single" w:sz="8" w:space="0" w:color="auto"/>
              <w:right w:val="single" w:sz="8" w:space="0" w:color="auto"/>
            </w:tcBorders>
            <w:shd w:val="clear" w:color="auto" w:fill="auto"/>
            <w:noWrap/>
            <w:vAlign w:val="center"/>
            <w:hideMark/>
          </w:tcPr>
          <w:p w:rsidR="001E7B45" w:rsidRPr="00BD4D98" w:rsidRDefault="001E7B45" w:rsidP="005451F2">
            <w:pPr>
              <w:spacing w:line="240" w:lineRule="auto"/>
              <w:jc w:val="right"/>
              <w:rPr>
                <w:sz w:val="20"/>
                <w:szCs w:val="20"/>
              </w:rPr>
            </w:pPr>
            <w:r w:rsidRPr="00BD4D98">
              <w:rPr>
                <w:sz w:val="20"/>
                <w:szCs w:val="20"/>
              </w:rPr>
              <w:t>4 857,35</w:t>
            </w:r>
          </w:p>
        </w:tc>
      </w:tr>
      <w:tr w:rsidR="001E7B45" w:rsidRPr="00BD4D98" w:rsidTr="00300B7B">
        <w:trPr>
          <w:trHeight w:val="518"/>
        </w:trPr>
        <w:tc>
          <w:tcPr>
            <w:tcW w:w="656" w:type="dxa"/>
            <w:tcBorders>
              <w:top w:val="nil"/>
              <w:left w:val="single" w:sz="8" w:space="0" w:color="auto"/>
              <w:bottom w:val="single" w:sz="4" w:space="0" w:color="auto"/>
              <w:right w:val="single" w:sz="8" w:space="0" w:color="auto"/>
            </w:tcBorders>
            <w:shd w:val="clear" w:color="auto" w:fill="auto"/>
            <w:noWrap/>
            <w:vAlign w:val="center"/>
            <w:hideMark/>
          </w:tcPr>
          <w:p w:rsidR="001E7B45" w:rsidRPr="00BD4D98" w:rsidRDefault="001E7B45" w:rsidP="005451F2">
            <w:pPr>
              <w:spacing w:line="240" w:lineRule="auto"/>
              <w:jc w:val="center"/>
              <w:rPr>
                <w:rFonts w:eastAsia="Times New Roman"/>
                <w:color w:val="000000"/>
              </w:rPr>
            </w:pPr>
            <w:r w:rsidRPr="00BD4D98">
              <w:rPr>
                <w:rFonts w:eastAsia="Times New Roman"/>
                <w:color w:val="000000"/>
                <w:sz w:val="22"/>
                <w:szCs w:val="22"/>
              </w:rPr>
              <w:t>4.1</w:t>
            </w:r>
          </w:p>
        </w:tc>
        <w:tc>
          <w:tcPr>
            <w:tcW w:w="2604" w:type="dxa"/>
            <w:tcBorders>
              <w:top w:val="nil"/>
              <w:left w:val="nil"/>
              <w:bottom w:val="single" w:sz="4" w:space="0" w:color="auto"/>
              <w:right w:val="single" w:sz="8" w:space="0" w:color="auto"/>
            </w:tcBorders>
            <w:shd w:val="clear" w:color="auto" w:fill="auto"/>
            <w:vAlign w:val="center"/>
            <w:hideMark/>
          </w:tcPr>
          <w:p w:rsidR="001E7B45" w:rsidRPr="00BD4D98" w:rsidRDefault="001E7B45" w:rsidP="00300B7B">
            <w:pPr>
              <w:spacing w:line="240" w:lineRule="auto"/>
              <w:rPr>
                <w:rFonts w:eastAsia="Times New Roman"/>
                <w:color w:val="000000"/>
              </w:rPr>
            </w:pPr>
            <w:r w:rsidRPr="00BD4D98">
              <w:rPr>
                <w:rFonts w:eastAsia="Times New Roman"/>
                <w:color w:val="000000"/>
                <w:sz w:val="22"/>
                <w:szCs w:val="22"/>
              </w:rPr>
              <w:t>потребителям ээ за исключением указанных в п. 4.2</w:t>
            </w:r>
          </w:p>
        </w:tc>
        <w:tc>
          <w:tcPr>
            <w:tcW w:w="993" w:type="dxa"/>
            <w:tcBorders>
              <w:top w:val="nil"/>
              <w:left w:val="nil"/>
              <w:bottom w:val="single" w:sz="4" w:space="0" w:color="auto"/>
              <w:right w:val="single" w:sz="8" w:space="0" w:color="auto"/>
            </w:tcBorders>
            <w:shd w:val="clear" w:color="auto" w:fill="auto"/>
            <w:vAlign w:val="center"/>
            <w:hideMark/>
          </w:tcPr>
          <w:p w:rsidR="001E7B45" w:rsidRPr="00BD4D98" w:rsidRDefault="001E7B45" w:rsidP="005451F2">
            <w:pPr>
              <w:spacing w:line="240" w:lineRule="auto"/>
              <w:jc w:val="center"/>
              <w:rPr>
                <w:rFonts w:eastAsia="Times New Roman"/>
                <w:color w:val="000000"/>
                <w:sz w:val="18"/>
                <w:szCs w:val="18"/>
              </w:rPr>
            </w:pPr>
            <w:r w:rsidRPr="00BD4D98">
              <w:rPr>
                <w:rFonts w:eastAsia="Times New Roman"/>
                <w:color w:val="000000"/>
                <w:sz w:val="18"/>
                <w:szCs w:val="18"/>
              </w:rPr>
              <w:t>млн.кВт.ч</w:t>
            </w:r>
          </w:p>
        </w:tc>
        <w:tc>
          <w:tcPr>
            <w:tcW w:w="992" w:type="dxa"/>
            <w:tcBorders>
              <w:top w:val="nil"/>
              <w:left w:val="nil"/>
              <w:bottom w:val="single" w:sz="4" w:space="0" w:color="auto"/>
              <w:right w:val="single" w:sz="8" w:space="0" w:color="auto"/>
            </w:tcBorders>
            <w:shd w:val="clear" w:color="auto" w:fill="auto"/>
            <w:noWrap/>
            <w:vAlign w:val="center"/>
            <w:hideMark/>
          </w:tcPr>
          <w:p w:rsidR="001E7B45" w:rsidRPr="00BD4D98" w:rsidRDefault="001E7B45" w:rsidP="005451F2">
            <w:pPr>
              <w:spacing w:line="240" w:lineRule="auto"/>
              <w:jc w:val="right"/>
              <w:rPr>
                <w:sz w:val="20"/>
                <w:szCs w:val="20"/>
              </w:rPr>
            </w:pPr>
            <w:r w:rsidRPr="00BD4D98">
              <w:rPr>
                <w:sz w:val="20"/>
                <w:szCs w:val="20"/>
              </w:rPr>
              <w:t>7 709,84</w:t>
            </w:r>
          </w:p>
        </w:tc>
        <w:tc>
          <w:tcPr>
            <w:tcW w:w="1133" w:type="dxa"/>
            <w:tcBorders>
              <w:top w:val="nil"/>
              <w:left w:val="nil"/>
              <w:bottom w:val="single" w:sz="4" w:space="0" w:color="auto"/>
              <w:right w:val="single" w:sz="8" w:space="0" w:color="auto"/>
            </w:tcBorders>
            <w:shd w:val="clear" w:color="auto" w:fill="auto"/>
            <w:noWrap/>
            <w:vAlign w:val="center"/>
            <w:hideMark/>
          </w:tcPr>
          <w:p w:rsidR="001E7B45" w:rsidRPr="00BD4D98" w:rsidRDefault="001E7B45" w:rsidP="005451F2">
            <w:pPr>
              <w:spacing w:line="240" w:lineRule="auto"/>
              <w:jc w:val="right"/>
              <w:rPr>
                <w:sz w:val="20"/>
                <w:szCs w:val="20"/>
              </w:rPr>
            </w:pPr>
            <w:r w:rsidRPr="00BD4D98">
              <w:rPr>
                <w:sz w:val="20"/>
                <w:szCs w:val="20"/>
              </w:rPr>
              <w:t>3 606,70</w:t>
            </w:r>
          </w:p>
        </w:tc>
        <w:tc>
          <w:tcPr>
            <w:tcW w:w="993" w:type="dxa"/>
            <w:tcBorders>
              <w:top w:val="nil"/>
              <w:left w:val="nil"/>
              <w:bottom w:val="single" w:sz="4" w:space="0" w:color="auto"/>
              <w:right w:val="single" w:sz="8" w:space="0" w:color="auto"/>
            </w:tcBorders>
            <w:shd w:val="clear" w:color="auto" w:fill="auto"/>
            <w:noWrap/>
            <w:vAlign w:val="center"/>
            <w:hideMark/>
          </w:tcPr>
          <w:p w:rsidR="001E7B45" w:rsidRPr="00BD4D98" w:rsidRDefault="001E7B45" w:rsidP="005451F2">
            <w:pPr>
              <w:spacing w:line="240" w:lineRule="auto"/>
              <w:jc w:val="right"/>
              <w:rPr>
                <w:sz w:val="20"/>
                <w:szCs w:val="20"/>
              </w:rPr>
            </w:pPr>
            <w:r w:rsidRPr="00BD4D98">
              <w:rPr>
                <w:sz w:val="20"/>
                <w:szCs w:val="20"/>
              </w:rPr>
              <w:t>26,62</w:t>
            </w:r>
          </w:p>
        </w:tc>
        <w:tc>
          <w:tcPr>
            <w:tcW w:w="992" w:type="dxa"/>
            <w:tcBorders>
              <w:top w:val="nil"/>
              <w:left w:val="nil"/>
              <w:bottom w:val="single" w:sz="4" w:space="0" w:color="auto"/>
              <w:right w:val="single" w:sz="8" w:space="0" w:color="auto"/>
            </w:tcBorders>
            <w:shd w:val="clear" w:color="auto" w:fill="auto"/>
            <w:noWrap/>
            <w:vAlign w:val="center"/>
            <w:hideMark/>
          </w:tcPr>
          <w:p w:rsidR="001E7B45" w:rsidRPr="00BD4D98" w:rsidRDefault="001E7B45" w:rsidP="005451F2">
            <w:pPr>
              <w:spacing w:line="240" w:lineRule="auto"/>
              <w:jc w:val="right"/>
              <w:rPr>
                <w:sz w:val="20"/>
                <w:szCs w:val="20"/>
              </w:rPr>
            </w:pPr>
            <w:r w:rsidRPr="00BD4D98">
              <w:rPr>
                <w:sz w:val="20"/>
                <w:szCs w:val="20"/>
              </w:rPr>
              <w:t>2 922,29</w:t>
            </w:r>
          </w:p>
        </w:tc>
        <w:tc>
          <w:tcPr>
            <w:tcW w:w="993" w:type="dxa"/>
            <w:tcBorders>
              <w:top w:val="nil"/>
              <w:left w:val="nil"/>
              <w:bottom w:val="single" w:sz="4" w:space="0" w:color="auto"/>
              <w:right w:val="single" w:sz="8" w:space="0" w:color="auto"/>
            </w:tcBorders>
            <w:shd w:val="clear" w:color="auto" w:fill="auto"/>
            <w:noWrap/>
            <w:vAlign w:val="center"/>
            <w:hideMark/>
          </w:tcPr>
          <w:p w:rsidR="001E7B45" w:rsidRPr="00BD4D98" w:rsidRDefault="001E7B45" w:rsidP="005451F2">
            <w:pPr>
              <w:spacing w:line="240" w:lineRule="auto"/>
              <w:jc w:val="right"/>
              <w:rPr>
                <w:sz w:val="20"/>
                <w:szCs w:val="20"/>
              </w:rPr>
            </w:pPr>
            <w:r w:rsidRPr="00BD4D98">
              <w:rPr>
                <w:sz w:val="20"/>
                <w:szCs w:val="20"/>
              </w:rPr>
              <w:t>1 154,22</w:t>
            </w:r>
          </w:p>
        </w:tc>
      </w:tr>
      <w:tr w:rsidR="001E7B45" w:rsidRPr="00BD4D98" w:rsidTr="00300B7B">
        <w:trPr>
          <w:trHeight w:val="838"/>
        </w:trPr>
        <w:tc>
          <w:tcPr>
            <w:tcW w:w="656" w:type="dxa"/>
            <w:tcBorders>
              <w:top w:val="single" w:sz="4" w:space="0" w:color="auto"/>
              <w:left w:val="single" w:sz="8" w:space="0" w:color="auto"/>
              <w:bottom w:val="single" w:sz="8" w:space="0" w:color="auto"/>
              <w:right w:val="single" w:sz="8" w:space="0" w:color="auto"/>
            </w:tcBorders>
            <w:shd w:val="clear" w:color="auto" w:fill="auto"/>
            <w:noWrap/>
            <w:vAlign w:val="center"/>
            <w:hideMark/>
          </w:tcPr>
          <w:p w:rsidR="001E7B45" w:rsidRPr="00BD4D98" w:rsidRDefault="001E7B45" w:rsidP="005D5A4D">
            <w:pPr>
              <w:spacing w:line="240" w:lineRule="auto"/>
              <w:jc w:val="center"/>
              <w:rPr>
                <w:rFonts w:eastAsia="Times New Roman"/>
                <w:color w:val="000000"/>
              </w:rPr>
            </w:pPr>
            <w:r w:rsidRPr="00BD4D98">
              <w:rPr>
                <w:rFonts w:eastAsia="Times New Roman"/>
                <w:color w:val="000000"/>
                <w:sz w:val="22"/>
                <w:szCs w:val="22"/>
              </w:rPr>
              <w:t>4.1.1</w:t>
            </w:r>
          </w:p>
        </w:tc>
        <w:tc>
          <w:tcPr>
            <w:tcW w:w="2604" w:type="dxa"/>
            <w:tcBorders>
              <w:top w:val="single" w:sz="4" w:space="0" w:color="auto"/>
              <w:left w:val="nil"/>
              <w:bottom w:val="single" w:sz="8" w:space="0" w:color="auto"/>
              <w:right w:val="single" w:sz="8" w:space="0" w:color="auto"/>
            </w:tcBorders>
            <w:shd w:val="clear" w:color="auto" w:fill="auto"/>
            <w:vAlign w:val="center"/>
            <w:hideMark/>
          </w:tcPr>
          <w:p w:rsidR="001E7B45" w:rsidRPr="00BD4D98" w:rsidRDefault="001E7B45" w:rsidP="00300B7B">
            <w:pPr>
              <w:spacing w:line="240" w:lineRule="auto"/>
              <w:rPr>
                <w:rFonts w:eastAsia="Times New Roman"/>
                <w:color w:val="000000"/>
              </w:rPr>
            </w:pPr>
            <w:r w:rsidRPr="00BD4D98">
              <w:rPr>
                <w:rFonts w:eastAsia="Times New Roman"/>
                <w:color w:val="000000"/>
                <w:sz w:val="22"/>
                <w:szCs w:val="22"/>
              </w:rPr>
              <w:t xml:space="preserve">в т.ч. потребителям, присоединенным к центру питания на </w:t>
            </w:r>
            <w:r w:rsidRPr="00BD4D98">
              <w:rPr>
                <w:rFonts w:eastAsia="Times New Roman"/>
                <w:color w:val="000000"/>
                <w:sz w:val="22"/>
                <w:szCs w:val="22"/>
              </w:rPr>
              <w:lastRenderedPageBreak/>
              <w:t>генераторном напряжении</w:t>
            </w:r>
          </w:p>
        </w:tc>
        <w:tc>
          <w:tcPr>
            <w:tcW w:w="993" w:type="dxa"/>
            <w:tcBorders>
              <w:top w:val="single" w:sz="4" w:space="0" w:color="auto"/>
              <w:left w:val="nil"/>
              <w:bottom w:val="single" w:sz="8" w:space="0" w:color="auto"/>
              <w:right w:val="single" w:sz="8" w:space="0" w:color="auto"/>
            </w:tcBorders>
            <w:shd w:val="clear" w:color="auto" w:fill="auto"/>
            <w:vAlign w:val="center"/>
            <w:hideMark/>
          </w:tcPr>
          <w:p w:rsidR="001E7B45" w:rsidRPr="00BD4D98" w:rsidRDefault="001E7B45" w:rsidP="005D5A4D">
            <w:pPr>
              <w:spacing w:line="240" w:lineRule="auto"/>
              <w:jc w:val="center"/>
              <w:rPr>
                <w:rFonts w:eastAsia="Times New Roman"/>
                <w:color w:val="000000"/>
                <w:sz w:val="18"/>
                <w:szCs w:val="18"/>
              </w:rPr>
            </w:pPr>
            <w:r w:rsidRPr="00BD4D98">
              <w:rPr>
                <w:rFonts w:eastAsia="Times New Roman"/>
                <w:color w:val="000000"/>
                <w:sz w:val="18"/>
                <w:szCs w:val="18"/>
              </w:rPr>
              <w:lastRenderedPageBreak/>
              <w:t>млн.кВт.ч</w:t>
            </w:r>
          </w:p>
        </w:tc>
        <w:tc>
          <w:tcPr>
            <w:tcW w:w="992" w:type="dxa"/>
            <w:tcBorders>
              <w:top w:val="single" w:sz="4" w:space="0" w:color="auto"/>
              <w:left w:val="nil"/>
              <w:bottom w:val="single" w:sz="8" w:space="0" w:color="auto"/>
              <w:right w:val="single" w:sz="8" w:space="0" w:color="auto"/>
            </w:tcBorders>
            <w:shd w:val="clear" w:color="auto" w:fill="auto"/>
            <w:noWrap/>
            <w:vAlign w:val="center"/>
            <w:hideMark/>
          </w:tcPr>
          <w:p w:rsidR="001E7B45" w:rsidRPr="00BD4D98" w:rsidRDefault="001E7B45" w:rsidP="005D5A4D">
            <w:pPr>
              <w:spacing w:line="240" w:lineRule="auto"/>
              <w:jc w:val="right"/>
              <w:rPr>
                <w:sz w:val="20"/>
                <w:szCs w:val="20"/>
              </w:rPr>
            </w:pPr>
            <w:r w:rsidRPr="00BD4D98">
              <w:rPr>
                <w:sz w:val="20"/>
                <w:szCs w:val="20"/>
              </w:rPr>
              <w:t>109,27</w:t>
            </w:r>
          </w:p>
        </w:tc>
        <w:tc>
          <w:tcPr>
            <w:tcW w:w="1133" w:type="dxa"/>
            <w:tcBorders>
              <w:top w:val="single" w:sz="4" w:space="0" w:color="auto"/>
              <w:left w:val="nil"/>
              <w:bottom w:val="single" w:sz="8" w:space="0" w:color="auto"/>
              <w:right w:val="single" w:sz="8" w:space="0" w:color="auto"/>
            </w:tcBorders>
            <w:shd w:val="clear" w:color="auto" w:fill="auto"/>
            <w:noWrap/>
            <w:vAlign w:val="center"/>
            <w:hideMark/>
          </w:tcPr>
          <w:p w:rsidR="001E7B45" w:rsidRPr="00BD4D98" w:rsidRDefault="001E7B45" w:rsidP="005D5A4D">
            <w:pPr>
              <w:spacing w:line="240" w:lineRule="auto"/>
              <w:jc w:val="right"/>
              <w:rPr>
                <w:sz w:val="20"/>
                <w:szCs w:val="20"/>
              </w:rPr>
            </w:pPr>
            <w:r w:rsidRPr="00BD4D98">
              <w:rPr>
                <w:sz w:val="20"/>
                <w:szCs w:val="20"/>
              </w:rPr>
              <w:t>109,27</w:t>
            </w:r>
          </w:p>
        </w:tc>
        <w:tc>
          <w:tcPr>
            <w:tcW w:w="993" w:type="dxa"/>
            <w:tcBorders>
              <w:top w:val="single" w:sz="4" w:space="0" w:color="auto"/>
              <w:left w:val="nil"/>
              <w:bottom w:val="single" w:sz="8" w:space="0" w:color="auto"/>
              <w:right w:val="single" w:sz="8" w:space="0" w:color="auto"/>
            </w:tcBorders>
            <w:shd w:val="clear" w:color="auto" w:fill="auto"/>
            <w:noWrap/>
            <w:vAlign w:val="center"/>
            <w:hideMark/>
          </w:tcPr>
          <w:p w:rsidR="001E7B45" w:rsidRPr="00BD4D98" w:rsidRDefault="001E7B45" w:rsidP="005D5A4D">
            <w:pPr>
              <w:spacing w:line="240" w:lineRule="auto"/>
              <w:jc w:val="right"/>
              <w:rPr>
                <w:sz w:val="20"/>
                <w:szCs w:val="20"/>
              </w:rPr>
            </w:pPr>
            <w:r w:rsidRPr="00BD4D98">
              <w:rPr>
                <w:sz w:val="20"/>
                <w:szCs w:val="20"/>
              </w:rPr>
              <w:t>0,00</w:t>
            </w:r>
          </w:p>
        </w:tc>
        <w:tc>
          <w:tcPr>
            <w:tcW w:w="992" w:type="dxa"/>
            <w:tcBorders>
              <w:top w:val="single" w:sz="4" w:space="0" w:color="auto"/>
              <w:left w:val="nil"/>
              <w:bottom w:val="single" w:sz="8" w:space="0" w:color="auto"/>
              <w:right w:val="single" w:sz="8" w:space="0" w:color="auto"/>
            </w:tcBorders>
            <w:shd w:val="clear" w:color="auto" w:fill="auto"/>
            <w:noWrap/>
            <w:vAlign w:val="center"/>
            <w:hideMark/>
          </w:tcPr>
          <w:p w:rsidR="001E7B45" w:rsidRPr="00BD4D98" w:rsidRDefault="001E7B45" w:rsidP="005D5A4D">
            <w:pPr>
              <w:spacing w:line="240" w:lineRule="auto"/>
              <w:jc w:val="right"/>
              <w:rPr>
                <w:sz w:val="20"/>
                <w:szCs w:val="20"/>
              </w:rPr>
            </w:pPr>
            <w:r w:rsidRPr="00BD4D98">
              <w:rPr>
                <w:sz w:val="20"/>
                <w:szCs w:val="20"/>
              </w:rPr>
              <w:t>0,00</w:t>
            </w:r>
          </w:p>
        </w:tc>
        <w:tc>
          <w:tcPr>
            <w:tcW w:w="993" w:type="dxa"/>
            <w:tcBorders>
              <w:top w:val="single" w:sz="4" w:space="0" w:color="auto"/>
              <w:left w:val="nil"/>
              <w:bottom w:val="single" w:sz="8" w:space="0" w:color="auto"/>
              <w:right w:val="single" w:sz="8" w:space="0" w:color="auto"/>
            </w:tcBorders>
            <w:shd w:val="clear" w:color="auto" w:fill="auto"/>
            <w:noWrap/>
            <w:vAlign w:val="center"/>
            <w:hideMark/>
          </w:tcPr>
          <w:p w:rsidR="001E7B45" w:rsidRPr="00BD4D98" w:rsidRDefault="001E7B45" w:rsidP="005D5A4D">
            <w:pPr>
              <w:spacing w:line="240" w:lineRule="auto"/>
              <w:jc w:val="right"/>
              <w:rPr>
                <w:sz w:val="20"/>
                <w:szCs w:val="20"/>
              </w:rPr>
            </w:pPr>
            <w:r w:rsidRPr="00BD4D98">
              <w:rPr>
                <w:sz w:val="20"/>
                <w:szCs w:val="20"/>
              </w:rPr>
              <w:t>0,00</w:t>
            </w:r>
          </w:p>
        </w:tc>
      </w:tr>
      <w:tr w:rsidR="001E7B45" w:rsidRPr="00BD4D98" w:rsidTr="00300B7B">
        <w:trPr>
          <w:trHeight w:val="315"/>
        </w:trPr>
        <w:tc>
          <w:tcPr>
            <w:tcW w:w="656" w:type="dxa"/>
            <w:tcBorders>
              <w:top w:val="nil"/>
              <w:left w:val="single" w:sz="8" w:space="0" w:color="auto"/>
              <w:bottom w:val="single" w:sz="8" w:space="0" w:color="auto"/>
              <w:right w:val="single" w:sz="8" w:space="0" w:color="auto"/>
            </w:tcBorders>
            <w:shd w:val="clear" w:color="auto" w:fill="auto"/>
            <w:noWrap/>
            <w:vAlign w:val="center"/>
            <w:hideMark/>
          </w:tcPr>
          <w:p w:rsidR="001E7B45" w:rsidRPr="00BD4D98" w:rsidRDefault="001E7B45" w:rsidP="005D5A4D">
            <w:pPr>
              <w:spacing w:line="240" w:lineRule="auto"/>
              <w:jc w:val="center"/>
              <w:rPr>
                <w:rFonts w:eastAsia="Times New Roman"/>
                <w:color w:val="000000"/>
              </w:rPr>
            </w:pPr>
            <w:r w:rsidRPr="00BD4D98">
              <w:rPr>
                <w:rFonts w:eastAsia="Times New Roman"/>
                <w:color w:val="000000"/>
                <w:sz w:val="22"/>
                <w:szCs w:val="22"/>
              </w:rPr>
              <w:lastRenderedPageBreak/>
              <w:t>4.2</w:t>
            </w:r>
          </w:p>
        </w:tc>
        <w:tc>
          <w:tcPr>
            <w:tcW w:w="2604" w:type="dxa"/>
            <w:tcBorders>
              <w:top w:val="nil"/>
              <w:left w:val="nil"/>
              <w:bottom w:val="single" w:sz="8" w:space="0" w:color="auto"/>
              <w:right w:val="single" w:sz="8" w:space="0" w:color="auto"/>
            </w:tcBorders>
            <w:shd w:val="clear" w:color="auto" w:fill="auto"/>
            <w:vAlign w:val="center"/>
            <w:hideMark/>
          </w:tcPr>
          <w:p w:rsidR="001E7B45" w:rsidRPr="00BD4D98" w:rsidRDefault="001E7B45" w:rsidP="00300B7B">
            <w:pPr>
              <w:spacing w:line="240" w:lineRule="auto"/>
              <w:rPr>
                <w:rFonts w:eastAsia="Times New Roman"/>
                <w:color w:val="000000"/>
              </w:rPr>
            </w:pPr>
            <w:r w:rsidRPr="00BD4D98">
              <w:rPr>
                <w:rFonts w:eastAsia="Times New Roman"/>
                <w:color w:val="000000"/>
                <w:sz w:val="22"/>
                <w:szCs w:val="22"/>
              </w:rPr>
              <w:t xml:space="preserve">населению </w:t>
            </w:r>
          </w:p>
        </w:tc>
        <w:tc>
          <w:tcPr>
            <w:tcW w:w="993" w:type="dxa"/>
            <w:tcBorders>
              <w:top w:val="nil"/>
              <w:left w:val="nil"/>
              <w:bottom w:val="single" w:sz="8" w:space="0" w:color="auto"/>
              <w:right w:val="single" w:sz="8" w:space="0" w:color="auto"/>
            </w:tcBorders>
            <w:shd w:val="clear" w:color="auto" w:fill="auto"/>
            <w:vAlign w:val="center"/>
            <w:hideMark/>
          </w:tcPr>
          <w:p w:rsidR="001E7B45" w:rsidRPr="00BD4D98" w:rsidRDefault="001E7B45" w:rsidP="005D5A4D">
            <w:pPr>
              <w:spacing w:line="240" w:lineRule="auto"/>
              <w:jc w:val="center"/>
              <w:rPr>
                <w:rFonts w:eastAsia="Times New Roman"/>
                <w:color w:val="000000"/>
                <w:sz w:val="18"/>
                <w:szCs w:val="18"/>
              </w:rPr>
            </w:pPr>
            <w:r w:rsidRPr="00BD4D98">
              <w:rPr>
                <w:rFonts w:eastAsia="Times New Roman"/>
                <w:color w:val="000000"/>
                <w:sz w:val="18"/>
                <w:szCs w:val="18"/>
              </w:rPr>
              <w:t>млн.кВт.ч</w:t>
            </w:r>
          </w:p>
        </w:tc>
        <w:tc>
          <w:tcPr>
            <w:tcW w:w="992" w:type="dxa"/>
            <w:tcBorders>
              <w:top w:val="nil"/>
              <w:left w:val="nil"/>
              <w:bottom w:val="single" w:sz="8" w:space="0" w:color="auto"/>
              <w:right w:val="single" w:sz="8" w:space="0" w:color="auto"/>
            </w:tcBorders>
            <w:shd w:val="clear" w:color="auto" w:fill="auto"/>
            <w:noWrap/>
            <w:vAlign w:val="center"/>
            <w:hideMark/>
          </w:tcPr>
          <w:p w:rsidR="001E7B45" w:rsidRPr="00BD4D98" w:rsidRDefault="001E7B45" w:rsidP="005D5A4D">
            <w:pPr>
              <w:spacing w:line="240" w:lineRule="auto"/>
              <w:jc w:val="right"/>
              <w:rPr>
                <w:sz w:val="20"/>
                <w:szCs w:val="20"/>
              </w:rPr>
            </w:pPr>
            <w:r w:rsidRPr="00BD4D98">
              <w:rPr>
                <w:sz w:val="20"/>
                <w:szCs w:val="20"/>
              </w:rPr>
              <w:t>3 703,13</w:t>
            </w:r>
          </w:p>
        </w:tc>
        <w:tc>
          <w:tcPr>
            <w:tcW w:w="1133" w:type="dxa"/>
            <w:tcBorders>
              <w:top w:val="nil"/>
              <w:left w:val="nil"/>
              <w:bottom w:val="single" w:sz="8" w:space="0" w:color="auto"/>
              <w:right w:val="single" w:sz="8" w:space="0" w:color="auto"/>
            </w:tcBorders>
            <w:shd w:val="clear" w:color="auto" w:fill="auto"/>
            <w:noWrap/>
            <w:vAlign w:val="center"/>
            <w:hideMark/>
          </w:tcPr>
          <w:p w:rsidR="001E7B45" w:rsidRPr="00BD4D98" w:rsidRDefault="001E7B45" w:rsidP="005D5A4D">
            <w:pPr>
              <w:spacing w:line="240" w:lineRule="auto"/>
              <w:jc w:val="right"/>
              <w:rPr>
                <w:sz w:val="20"/>
                <w:szCs w:val="20"/>
              </w:rPr>
            </w:pPr>
            <w:r w:rsidRPr="00BD4D98">
              <w:rPr>
                <w:sz w:val="20"/>
                <w:szCs w:val="20"/>
              </w:rPr>
              <w:t>0,00</w:t>
            </w:r>
          </w:p>
        </w:tc>
        <w:tc>
          <w:tcPr>
            <w:tcW w:w="993" w:type="dxa"/>
            <w:tcBorders>
              <w:top w:val="nil"/>
              <w:left w:val="nil"/>
              <w:bottom w:val="single" w:sz="8" w:space="0" w:color="auto"/>
              <w:right w:val="single" w:sz="8" w:space="0" w:color="auto"/>
            </w:tcBorders>
            <w:shd w:val="clear" w:color="auto" w:fill="auto"/>
            <w:noWrap/>
            <w:vAlign w:val="center"/>
            <w:hideMark/>
          </w:tcPr>
          <w:p w:rsidR="001E7B45" w:rsidRPr="00BD4D98" w:rsidRDefault="001E7B45" w:rsidP="005D5A4D">
            <w:pPr>
              <w:spacing w:line="240" w:lineRule="auto"/>
              <w:jc w:val="right"/>
              <w:rPr>
                <w:sz w:val="20"/>
                <w:szCs w:val="20"/>
              </w:rPr>
            </w:pPr>
            <w:r w:rsidRPr="00BD4D98">
              <w:rPr>
                <w:sz w:val="20"/>
                <w:szCs w:val="20"/>
              </w:rPr>
              <w:t>0,00</w:t>
            </w:r>
          </w:p>
        </w:tc>
        <w:tc>
          <w:tcPr>
            <w:tcW w:w="992" w:type="dxa"/>
            <w:tcBorders>
              <w:top w:val="nil"/>
              <w:left w:val="nil"/>
              <w:bottom w:val="single" w:sz="8" w:space="0" w:color="auto"/>
              <w:right w:val="single" w:sz="8" w:space="0" w:color="auto"/>
            </w:tcBorders>
            <w:shd w:val="clear" w:color="auto" w:fill="auto"/>
            <w:noWrap/>
            <w:vAlign w:val="center"/>
            <w:hideMark/>
          </w:tcPr>
          <w:p w:rsidR="001E7B45" w:rsidRPr="00BD4D98" w:rsidRDefault="001E7B45" w:rsidP="005D5A4D">
            <w:pPr>
              <w:spacing w:line="240" w:lineRule="auto"/>
              <w:jc w:val="right"/>
              <w:rPr>
                <w:sz w:val="20"/>
                <w:szCs w:val="20"/>
              </w:rPr>
            </w:pPr>
            <w:r w:rsidRPr="00BD4D98">
              <w:rPr>
                <w:sz w:val="20"/>
                <w:szCs w:val="20"/>
              </w:rPr>
              <w:t>0,00</w:t>
            </w:r>
          </w:p>
        </w:tc>
        <w:tc>
          <w:tcPr>
            <w:tcW w:w="993" w:type="dxa"/>
            <w:tcBorders>
              <w:top w:val="nil"/>
              <w:left w:val="nil"/>
              <w:bottom w:val="single" w:sz="8" w:space="0" w:color="auto"/>
              <w:right w:val="single" w:sz="8" w:space="0" w:color="auto"/>
            </w:tcBorders>
            <w:shd w:val="clear" w:color="auto" w:fill="auto"/>
            <w:noWrap/>
            <w:vAlign w:val="center"/>
            <w:hideMark/>
          </w:tcPr>
          <w:p w:rsidR="001E7B45" w:rsidRPr="00BD4D98" w:rsidRDefault="001E7B45" w:rsidP="005D5A4D">
            <w:pPr>
              <w:spacing w:line="240" w:lineRule="auto"/>
              <w:jc w:val="right"/>
              <w:rPr>
                <w:sz w:val="20"/>
                <w:szCs w:val="20"/>
              </w:rPr>
            </w:pPr>
            <w:r w:rsidRPr="00BD4D98">
              <w:rPr>
                <w:sz w:val="20"/>
                <w:szCs w:val="20"/>
              </w:rPr>
              <w:t>3 703,13</w:t>
            </w:r>
          </w:p>
        </w:tc>
      </w:tr>
    </w:tbl>
    <w:p w:rsidR="001E7B45" w:rsidRPr="00BD4D98" w:rsidRDefault="001E7B45" w:rsidP="005D5A4D">
      <w:pPr>
        <w:tabs>
          <w:tab w:val="left" w:pos="9356"/>
        </w:tabs>
        <w:spacing w:line="240" w:lineRule="auto"/>
        <w:ind w:firstLine="720"/>
        <w:jc w:val="both"/>
        <w:rPr>
          <w:rFonts w:eastAsia="Times New Roman"/>
          <w:bCs/>
          <w:sz w:val="16"/>
          <w:szCs w:val="16"/>
        </w:rPr>
      </w:pPr>
    </w:p>
    <w:p w:rsidR="001E7B45" w:rsidRPr="00BD4D98" w:rsidRDefault="001E7B45" w:rsidP="005D5A4D">
      <w:pPr>
        <w:tabs>
          <w:tab w:val="left" w:pos="9356"/>
        </w:tabs>
        <w:spacing w:line="240" w:lineRule="auto"/>
        <w:ind w:firstLine="567"/>
        <w:rPr>
          <w:rFonts w:eastAsia="Times New Roman"/>
          <w:noProof/>
          <w:sz w:val="28"/>
        </w:rPr>
      </w:pPr>
      <w:r w:rsidRPr="00BD4D98">
        <w:rPr>
          <w:rFonts w:eastAsia="Times New Roman"/>
          <w:bCs/>
          <w:sz w:val="28"/>
          <w:szCs w:val="28"/>
        </w:rPr>
        <w:t xml:space="preserve">Динамика электропотребления Новосибирской области за период 2009 – 2020 годы представлена на графике. </w:t>
      </w:r>
    </w:p>
    <w:p w:rsidR="001E7B45" w:rsidRPr="00BD4D98" w:rsidRDefault="001E7B45" w:rsidP="001E7B45">
      <w:r w:rsidRPr="00BD4D98">
        <w:rPr>
          <w:noProof/>
        </w:rPr>
        <w:drawing>
          <wp:inline distT="0" distB="0" distL="0" distR="0" wp14:anchorId="3BF51714" wp14:editId="44832AF7">
            <wp:extent cx="5940425" cy="3517413"/>
            <wp:effectExtent l="0" t="0" r="0" b="0"/>
            <wp:docPr id="1" name="Диаграмма 1"/>
            <wp:cNvGraphicFramePr/>
            <a:graphic xmlns:a="http://schemas.openxmlformats.org/drawingml/2006/main">
              <a:graphicData uri="http://schemas.openxmlformats.org/drawingml/2006/chart">
                <c:chart xmlns:c="http://schemas.openxmlformats.org/drawingml/2006/chart" xmlns:r="http://schemas.openxmlformats.org/officeDocument/2006/relationships" r:id="rId11"/>
              </a:graphicData>
            </a:graphic>
          </wp:inline>
        </w:drawing>
      </w:r>
    </w:p>
    <w:p w:rsidR="001E7B45" w:rsidRPr="00FD4A95" w:rsidRDefault="001E7B45" w:rsidP="00494D0A">
      <w:pPr>
        <w:spacing w:after="0" w:line="240" w:lineRule="auto"/>
        <w:ind w:firstLine="709"/>
        <w:jc w:val="both"/>
        <w:rPr>
          <w:b/>
          <w:sz w:val="28"/>
          <w:szCs w:val="28"/>
        </w:rPr>
      </w:pPr>
      <w:r>
        <w:rPr>
          <w:b/>
          <w:sz w:val="28"/>
          <w:szCs w:val="28"/>
        </w:rPr>
        <w:t>2.1.</w:t>
      </w:r>
      <w:r w:rsidR="00300B7B">
        <w:rPr>
          <w:b/>
          <w:sz w:val="28"/>
          <w:szCs w:val="28"/>
        </w:rPr>
        <w:t>3.</w:t>
      </w:r>
      <w:r w:rsidRPr="00886128">
        <w:rPr>
          <w:b/>
          <w:sz w:val="28"/>
          <w:szCs w:val="28"/>
        </w:rPr>
        <w:t xml:space="preserve"> Формирование тарифов для населения и приравненным к нему категориям потребителей</w:t>
      </w:r>
      <w:r>
        <w:rPr>
          <w:b/>
          <w:sz w:val="28"/>
          <w:szCs w:val="28"/>
        </w:rPr>
        <w:t xml:space="preserve"> </w:t>
      </w:r>
    </w:p>
    <w:p w:rsidR="001E7B45" w:rsidRPr="003F6656" w:rsidRDefault="001E7B45" w:rsidP="00494D0A">
      <w:pPr>
        <w:autoSpaceDE w:val="0"/>
        <w:autoSpaceDN w:val="0"/>
        <w:adjustRightInd w:val="0"/>
        <w:spacing w:after="0" w:line="240" w:lineRule="auto"/>
        <w:ind w:firstLine="709"/>
        <w:jc w:val="both"/>
        <w:outlineLvl w:val="1"/>
        <w:rPr>
          <w:sz w:val="28"/>
          <w:szCs w:val="28"/>
        </w:rPr>
      </w:pPr>
      <w:r w:rsidRPr="003F6656">
        <w:rPr>
          <w:sz w:val="28"/>
          <w:szCs w:val="28"/>
        </w:rPr>
        <w:t>Согласно ст. 23.1 Федерального закона № 35-ФЗ органы исполнительной власти субъектов Российской Федерации в области государственного регулирования тарифов устанавливают цены (тарифы) на электрическую энергию (мощность), поставляемую  населению и приравненным к нему категориям потребителей, в рамках предельных уровней цен (тарифов), установленных федеральным органом исполнительной власти в области государственного регулирования цен (тарифов).</w:t>
      </w:r>
    </w:p>
    <w:p w:rsidR="001E7B45" w:rsidRPr="003F6656" w:rsidRDefault="001E7B45" w:rsidP="00300B7B">
      <w:pPr>
        <w:adjustRightInd w:val="0"/>
        <w:spacing w:after="0" w:line="240" w:lineRule="auto"/>
        <w:ind w:firstLine="709"/>
        <w:jc w:val="both"/>
        <w:rPr>
          <w:rFonts w:ascii="Times New Roman CYR" w:eastAsia="Times New Roman" w:hAnsi="Times New Roman CYR" w:cs="Times New Roman CYR"/>
          <w:sz w:val="28"/>
          <w:szCs w:val="28"/>
        </w:rPr>
      </w:pPr>
      <w:r w:rsidRPr="003F6656">
        <w:rPr>
          <w:rFonts w:ascii="Times New Roman CYR" w:eastAsia="Times New Roman" w:hAnsi="Times New Roman CYR" w:cs="Times New Roman CYR"/>
          <w:sz w:val="28"/>
          <w:szCs w:val="28"/>
        </w:rPr>
        <w:t>Приказом Ф</w:t>
      </w:r>
      <w:r w:rsidR="00494D0A">
        <w:rPr>
          <w:rFonts w:ascii="Times New Roman CYR" w:eastAsia="Times New Roman" w:hAnsi="Times New Roman CYR" w:cs="Times New Roman CYR"/>
          <w:sz w:val="28"/>
          <w:szCs w:val="28"/>
        </w:rPr>
        <w:t>АС России</w:t>
      </w:r>
      <w:r w:rsidRPr="003F6656">
        <w:rPr>
          <w:rFonts w:ascii="Times New Roman CYR" w:eastAsia="Times New Roman" w:hAnsi="Times New Roman CYR" w:cs="Times New Roman CYR"/>
          <w:sz w:val="28"/>
          <w:szCs w:val="28"/>
        </w:rPr>
        <w:t xml:space="preserve"> от 11.10.2019 № 1338/19 «О предельных минимальных и максимальных уровнях тарифов на электрическую энергию (мощность), поставляемую населению и приравненным к нему категориям потребителей, по субъектам Российской Федерации на 2020 год» установлены предельные уровни тарифов на 2020 год, в том числе по Новосибирской области в следующих размерах с НДС: </w:t>
      </w:r>
    </w:p>
    <w:p w:rsidR="001E7B45" w:rsidRPr="003F6656" w:rsidRDefault="001E7B45" w:rsidP="00300B7B">
      <w:pPr>
        <w:adjustRightInd w:val="0"/>
        <w:spacing w:after="0" w:line="240" w:lineRule="auto"/>
        <w:ind w:firstLine="709"/>
        <w:jc w:val="both"/>
        <w:rPr>
          <w:rFonts w:ascii="Times New Roman CYR" w:eastAsia="Times New Roman" w:hAnsi="Times New Roman CYR" w:cs="Times New Roman CYR"/>
          <w:sz w:val="28"/>
          <w:szCs w:val="28"/>
        </w:rPr>
      </w:pPr>
      <w:r w:rsidRPr="00494D0A">
        <w:rPr>
          <w:rFonts w:ascii="Times New Roman CYR" w:eastAsia="Times New Roman" w:hAnsi="Times New Roman CYR" w:cs="Times New Roman CYR"/>
          <w:sz w:val="28"/>
          <w:szCs w:val="28"/>
          <w:u w:val="single"/>
        </w:rPr>
        <w:t>на первое полугодие</w:t>
      </w:r>
      <w:r w:rsidRPr="003F6656">
        <w:rPr>
          <w:rFonts w:ascii="Times New Roman CYR" w:eastAsia="Times New Roman" w:hAnsi="Times New Roman CYR" w:cs="Times New Roman CYR"/>
          <w:sz w:val="28"/>
          <w:szCs w:val="28"/>
        </w:rPr>
        <w:t>: предельный минимальный уровень – 267 коп./кВтч., предельный максимальный уровень – 268 коп./кВтч.;</w:t>
      </w:r>
    </w:p>
    <w:p w:rsidR="001E7B45" w:rsidRPr="003F6656" w:rsidRDefault="001E7B45" w:rsidP="00300B7B">
      <w:pPr>
        <w:adjustRightInd w:val="0"/>
        <w:spacing w:after="0" w:line="240" w:lineRule="auto"/>
        <w:ind w:firstLine="709"/>
        <w:jc w:val="both"/>
        <w:rPr>
          <w:rFonts w:ascii="Times New Roman CYR" w:eastAsia="Times New Roman" w:hAnsi="Times New Roman CYR" w:cs="Times New Roman CYR"/>
          <w:sz w:val="28"/>
          <w:szCs w:val="28"/>
        </w:rPr>
      </w:pPr>
      <w:r w:rsidRPr="00494D0A">
        <w:rPr>
          <w:rFonts w:ascii="Times New Roman CYR" w:eastAsia="Times New Roman" w:hAnsi="Times New Roman CYR" w:cs="Times New Roman CYR"/>
          <w:sz w:val="28"/>
          <w:szCs w:val="28"/>
          <w:u w:val="single"/>
        </w:rPr>
        <w:t>на второе полугодие</w:t>
      </w:r>
      <w:r w:rsidRPr="003F6656">
        <w:rPr>
          <w:rFonts w:ascii="Times New Roman CYR" w:eastAsia="Times New Roman" w:hAnsi="Times New Roman CYR" w:cs="Times New Roman CYR"/>
          <w:sz w:val="28"/>
          <w:szCs w:val="28"/>
        </w:rPr>
        <w:t xml:space="preserve"> предельный минимальный уровень – 280 коп./кВтч., предельный максимальный уровень – 281 коп./кВтч.</w:t>
      </w:r>
    </w:p>
    <w:p w:rsidR="001E7B45" w:rsidRPr="003F6656" w:rsidRDefault="001E7B45" w:rsidP="00300B7B">
      <w:pPr>
        <w:adjustRightInd w:val="0"/>
        <w:spacing w:after="0" w:line="240" w:lineRule="auto"/>
        <w:ind w:firstLine="709"/>
        <w:jc w:val="both"/>
        <w:rPr>
          <w:rFonts w:ascii="Times New Roman CYR" w:eastAsia="Times New Roman" w:hAnsi="Times New Roman CYR" w:cs="Times New Roman CYR"/>
          <w:sz w:val="28"/>
          <w:szCs w:val="28"/>
        </w:rPr>
      </w:pPr>
      <w:r w:rsidRPr="003F6656">
        <w:rPr>
          <w:rFonts w:ascii="Times New Roman CYR" w:eastAsia="Times New Roman" w:hAnsi="Times New Roman CYR" w:cs="Times New Roman CYR"/>
          <w:sz w:val="28"/>
          <w:szCs w:val="28"/>
        </w:rPr>
        <w:t xml:space="preserve">Расчёт тарифов по населению и приравненным к нему категориям потребителей произведён </w:t>
      </w:r>
      <w:r w:rsidR="00300B7B">
        <w:rPr>
          <w:rFonts w:ascii="Times New Roman CYR" w:eastAsia="Times New Roman" w:hAnsi="Times New Roman CYR" w:cs="Times New Roman CYR"/>
          <w:sz w:val="28"/>
          <w:szCs w:val="28"/>
        </w:rPr>
        <w:t>Д</w:t>
      </w:r>
      <w:r w:rsidRPr="003F6656">
        <w:rPr>
          <w:rFonts w:ascii="Times New Roman CYR" w:eastAsia="Times New Roman" w:hAnsi="Times New Roman CYR" w:cs="Times New Roman CYR"/>
          <w:sz w:val="28"/>
          <w:szCs w:val="28"/>
        </w:rPr>
        <w:t xml:space="preserve">епартаментом в соответствии с Методическими указаниями по расчету тарифов на электрическую энергию (мощность) для населения и приравненных к нему категорий потребителей, тарифов на услуги по </w:t>
      </w:r>
      <w:r w:rsidRPr="003F6656">
        <w:rPr>
          <w:rFonts w:ascii="Times New Roman CYR" w:eastAsia="Times New Roman" w:hAnsi="Times New Roman CYR" w:cs="Times New Roman CYR"/>
          <w:sz w:val="28"/>
          <w:szCs w:val="28"/>
        </w:rPr>
        <w:lastRenderedPageBreak/>
        <w:t>передаче электрической энергии, поставляемой населению и приравненным к нему категориям потребителей, утверждёнными приказом ФСТ России от 16.09.2014 № 1442-э.</w:t>
      </w:r>
    </w:p>
    <w:p w:rsidR="001E7B45" w:rsidRPr="003F6656" w:rsidRDefault="001E7B45" w:rsidP="00300B7B">
      <w:pPr>
        <w:adjustRightInd w:val="0"/>
        <w:spacing w:after="0" w:line="240" w:lineRule="auto"/>
        <w:ind w:firstLine="709"/>
        <w:jc w:val="both"/>
        <w:rPr>
          <w:rFonts w:ascii="Times New Roman CYR" w:eastAsia="Times New Roman" w:hAnsi="Times New Roman CYR" w:cs="Times New Roman CYR"/>
          <w:sz w:val="28"/>
          <w:szCs w:val="28"/>
        </w:rPr>
      </w:pPr>
      <w:r w:rsidRPr="003F6656">
        <w:rPr>
          <w:rFonts w:ascii="Times New Roman CYR" w:eastAsia="Times New Roman" w:hAnsi="Times New Roman CYR" w:cs="Times New Roman CYR"/>
          <w:sz w:val="28"/>
          <w:szCs w:val="28"/>
        </w:rPr>
        <w:t>тарифы без учета дифференциации по зонам суток и понижающих коэффициентов установлены:</w:t>
      </w:r>
    </w:p>
    <w:p w:rsidR="001E7B45" w:rsidRPr="003F6656" w:rsidRDefault="001E7B45" w:rsidP="00300B7B">
      <w:pPr>
        <w:adjustRightInd w:val="0"/>
        <w:spacing w:after="0" w:line="240" w:lineRule="auto"/>
        <w:ind w:firstLine="709"/>
        <w:jc w:val="both"/>
        <w:rPr>
          <w:rFonts w:ascii="Times New Roman CYR" w:eastAsia="Times New Roman" w:hAnsi="Times New Roman CYR" w:cs="Times New Roman CYR"/>
          <w:sz w:val="28"/>
          <w:szCs w:val="28"/>
        </w:rPr>
      </w:pPr>
      <w:r w:rsidRPr="003F6656">
        <w:rPr>
          <w:rFonts w:ascii="Times New Roman CYR" w:eastAsia="Times New Roman" w:hAnsi="Times New Roman CYR" w:cs="Times New Roman CYR"/>
          <w:sz w:val="28"/>
          <w:szCs w:val="28"/>
        </w:rPr>
        <w:t>на первое полугодие 2020 года в размере 268 коп/кВт ч - на уровне тарифов, действующих во втором полугодии 2019 года в соответствии с требованиями пункта 11(1) Основ ценообразования в области регулируемых цен (тарифов) в электроэнергетике, утвержденных постановлением Правительства Российской Федерации от 29.12.2011 № 1178;</w:t>
      </w:r>
    </w:p>
    <w:p w:rsidR="001E7B45" w:rsidRPr="003F6656" w:rsidRDefault="001E7B45" w:rsidP="00300B7B">
      <w:pPr>
        <w:adjustRightInd w:val="0"/>
        <w:spacing w:after="0" w:line="240" w:lineRule="auto"/>
        <w:ind w:firstLine="709"/>
        <w:jc w:val="both"/>
        <w:rPr>
          <w:rFonts w:ascii="Times New Roman CYR" w:eastAsia="Times New Roman" w:hAnsi="Times New Roman CYR" w:cs="Times New Roman CYR"/>
          <w:sz w:val="28"/>
          <w:szCs w:val="28"/>
        </w:rPr>
      </w:pPr>
      <w:r w:rsidRPr="003F6656">
        <w:rPr>
          <w:rFonts w:ascii="Times New Roman CYR" w:eastAsia="Times New Roman" w:hAnsi="Times New Roman CYR" w:cs="Times New Roman CYR"/>
          <w:sz w:val="28"/>
          <w:szCs w:val="28"/>
        </w:rPr>
        <w:t>на второе полугодие 2020 года в размере 280 коп/ кВт ч – на уровне предельного минимального уровня тарифа, установленного приказом ФАС России от 11.10.2019 № 1338/19, с ростом по отношению к действующему во втором полугодии 2019 года тарифу на 4,48%, что не превышает индекса изменения размера вносимой гражданами платы за коммунальные услуги в размере 4,9%, установленного для Новосибирской области на 2020 год, в соответствии с распоряжением Правительства Российской Федерации от 29.10.2019 №2556-р.</w:t>
      </w:r>
    </w:p>
    <w:p w:rsidR="001E7B45" w:rsidRPr="003F6656" w:rsidRDefault="001E7B45" w:rsidP="00300B7B">
      <w:pPr>
        <w:adjustRightInd w:val="0"/>
        <w:spacing w:after="0" w:line="240" w:lineRule="auto"/>
        <w:ind w:firstLine="709"/>
        <w:jc w:val="both"/>
        <w:rPr>
          <w:rFonts w:ascii="Times New Roman CYR" w:eastAsia="Times New Roman" w:hAnsi="Times New Roman CYR" w:cs="Times New Roman CYR"/>
          <w:sz w:val="28"/>
          <w:szCs w:val="28"/>
        </w:rPr>
      </w:pPr>
      <w:r w:rsidRPr="003F6656">
        <w:rPr>
          <w:rFonts w:ascii="Times New Roman CYR" w:eastAsia="Times New Roman" w:hAnsi="Times New Roman CYR" w:cs="Times New Roman CYR"/>
          <w:sz w:val="28"/>
          <w:szCs w:val="28"/>
        </w:rPr>
        <w:t>Понижающий коэффициент к тарифам на электрическую энергию для населения, проживающего в городских населенных пунктах в домах, оборудованных в установленном порядке стационарными электроплитами для пищеприготовления и (или) электроотопительными установками, равен 1, понижающий коэффициент к тарифам на электрическую энергию для населения, проживающего в сельских населенных пунктах, составляет 0,8 в соответствии с приказом департамента от 30.12.2013 № 464-ЭЭ «Об установлении понижающих коэффициентов к тарифам на электрическую энергию для населения, проживающего в городских населённых пунктах, в домах, оборудованных в установленном порядке стационарными электроплитами для пищеприготовления и (или) электроотопительными  установками для населения, проживающего в сельских населённых пунктах Новосибирской области» и составляют с НДС:</w:t>
      </w:r>
    </w:p>
    <w:p w:rsidR="001E7B45" w:rsidRPr="003F6656" w:rsidRDefault="001E7B45" w:rsidP="00300B7B">
      <w:pPr>
        <w:adjustRightInd w:val="0"/>
        <w:spacing w:after="0" w:line="240" w:lineRule="auto"/>
        <w:ind w:firstLine="709"/>
        <w:jc w:val="both"/>
        <w:rPr>
          <w:rFonts w:ascii="Times New Roman CYR" w:eastAsia="Times New Roman" w:hAnsi="Times New Roman CYR" w:cs="Times New Roman CYR"/>
          <w:sz w:val="28"/>
          <w:szCs w:val="28"/>
        </w:rPr>
      </w:pPr>
      <w:r w:rsidRPr="00494D0A">
        <w:rPr>
          <w:rFonts w:ascii="Times New Roman CYR" w:eastAsia="Times New Roman" w:hAnsi="Times New Roman CYR" w:cs="Times New Roman CYR"/>
          <w:sz w:val="28"/>
          <w:szCs w:val="28"/>
          <w:u w:val="single"/>
        </w:rPr>
        <w:t>на первое полугодие 2020 года</w:t>
      </w:r>
      <w:r w:rsidRPr="003F6656">
        <w:rPr>
          <w:rFonts w:ascii="Times New Roman CYR" w:eastAsia="Times New Roman" w:hAnsi="Times New Roman CYR" w:cs="Times New Roman CYR"/>
          <w:sz w:val="28"/>
          <w:szCs w:val="28"/>
        </w:rPr>
        <w:t xml:space="preserve"> в размере 214 коп/кВтч - на уровне тарифов, действующих во втором полугодии 2019 года;</w:t>
      </w:r>
    </w:p>
    <w:p w:rsidR="001E7B45" w:rsidRPr="003F6656" w:rsidRDefault="001E7B45" w:rsidP="00300B7B">
      <w:pPr>
        <w:adjustRightInd w:val="0"/>
        <w:spacing w:after="0" w:line="240" w:lineRule="auto"/>
        <w:ind w:firstLine="709"/>
        <w:jc w:val="both"/>
        <w:rPr>
          <w:rFonts w:ascii="Times New Roman CYR" w:eastAsia="Times New Roman" w:hAnsi="Times New Roman CYR" w:cs="Times New Roman CYR"/>
          <w:sz w:val="28"/>
          <w:szCs w:val="28"/>
        </w:rPr>
      </w:pPr>
      <w:r w:rsidRPr="00494D0A">
        <w:rPr>
          <w:rFonts w:ascii="Times New Roman CYR" w:eastAsia="Times New Roman" w:hAnsi="Times New Roman CYR" w:cs="Times New Roman CYR"/>
          <w:sz w:val="28"/>
          <w:szCs w:val="28"/>
          <w:u w:val="single"/>
        </w:rPr>
        <w:t>на второе полугодие 2020 года</w:t>
      </w:r>
      <w:r w:rsidRPr="003F6656">
        <w:rPr>
          <w:rFonts w:ascii="Times New Roman CYR" w:eastAsia="Times New Roman" w:hAnsi="Times New Roman CYR" w:cs="Times New Roman CYR"/>
          <w:sz w:val="28"/>
          <w:szCs w:val="28"/>
        </w:rPr>
        <w:t xml:space="preserve"> в размере 224 коп/ кВтч, с ростом по отношению к действующему во втором полугодии 2019 года тарифу на 4,68%</w:t>
      </w:r>
    </w:p>
    <w:p w:rsidR="001E7B45" w:rsidRPr="003F6656" w:rsidRDefault="001E7B45" w:rsidP="00300B7B">
      <w:pPr>
        <w:adjustRightInd w:val="0"/>
        <w:spacing w:after="0" w:line="240" w:lineRule="auto"/>
        <w:ind w:firstLine="709"/>
        <w:jc w:val="both"/>
        <w:rPr>
          <w:rFonts w:ascii="Times New Roman CYR" w:eastAsia="Times New Roman" w:hAnsi="Times New Roman CYR" w:cs="Times New Roman CYR"/>
          <w:sz w:val="28"/>
          <w:szCs w:val="28"/>
        </w:rPr>
      </w:pPr>
      <w:r w:rsidRPr="003F6656">
        <w:rPr>
          <w:rFonts w:ascii="Times New Roman CYR" w:eastAsia="Times New Roman" w:hAnsi="Times New Roman CYR" w:cs="Times New Roman CYR"/>
          <w:sz w:val="28"/>
          <w:szCs w:val="28"/>
        </w:rPr>
        <w:t xml:space="preserve">Балансовые показатели планового объема полезного отпуска электрической энергии, используемые при расчете цен (тарифов) на электрическую энергию для населения и приравненным к нему категориям потребителей Новосибирской </w:t>
      </w:r>
      <w:r>
        <w:rPr>
          <w:rFonts w:ascii="Times New Roman CYR" w:eastAsia="Times New Roman" w:hAnsi="Times New Roman CYR" w:cs="Times New Roman CYR"/>
          <w:sz w:val="28"/>
          <w:szCs w:val="28"/>
        </w:rPr>
        <w:t xml:space="preserve">области учтены в соответствии с утвержденным </w:t>
      </w:r>
      <w:r w:rsidRPr="003F6656">
        <w:rPr>
          <w:rFonts w:ascii="Times New Roman CYR" w:eastAsia="Times New Roman" w:hAnsi="Times New Roman CYR" w:cs="Times New Roman CYR"/>
          <w:sz w:val="28"/>
          <w:szCs w:val="28"/>
        </w:rPr>
        <w:t xml:space="preserve">Сводным прогнозным балансом </w:t>
      </w:r>
      <w:r>
        <w:rPr>
          <w:rFonts w:ascii="Times New Roman CYR" w:eastAsia="Times New Roman" w:hAnsi="Times New Roman CYR" w:cs="Times New Roman CYR"/>
          <w:sz w:val="28"/>
          <w:szCs w:val="28"/>
        </w:rPr>
        <w:t>на 2020 год</w:t>
      </w:r>
      <w:r w:rsidRPr="003F6656">
        <w:rPr>
          <w:rFonts w:ascii="Times New Roman CYR" w:eastAsia="Times New Roman" w:hAnsi="Times New Roman CYR" w:cs="Times New Roman CYR"/>
          <w:sz w:val="28"/>
          <w:szCs w:val="28"/>
        </w:rPr>
        <w:t>.</w:t>
      </w:r>
    </w:p>
    <w:p w:rsidR="001E7B45" w:rsidRPr="003F6656" w:rsidRDefault="001E7B45" w:rsidP="00300B7B">
      <w:pPr>
        <w:spacing w:after="0" w:line="240" w:lineRule="auto"/>
        <w:ind w:firstLine="709"/>
        <w:jc w:val="both"/>
        <w:rPr>
          <w:sz w:val="28"/>
          <w:szCs w:val="28"/>
        </w:rPr>
      </w:pPr>
      <w:r w:rsidRPr="003F6656">
        <w:rPr>
          <w:sz w:val="28"/>
          <w:szCs w:val="28"/>
        </w:rPr>
        <w:t>Тарифы на электрическую энергию для населения и приравненных к нему категориям потребителей по Новосибирской области на 2020 год без дифференциации по зонам суток включают следующие составляющие (без НДС):</w:t>
      </w:r>
    </w:p>
    <w:p w:rsidR="001E7B45" w:rsidRPr="003F6656" w:rsidRDefault="001E7B45" w:rsidP="00300B7B">
      <w:pPr>
        <w:autoSpaceDE w:val="0"/>
        <w:autoSpaceDN w:val="0"/>
        <w:adjustRightInd w:val="0"/>
        <w:spacing w:after="0" w:line="240" w:lineRule="auto"/>
        <w:ind w:firstLine="709"/>
        <w:jc w:val="both"/>
        <w:rPr>
          <w:sz w:val="28"/>
          <w:szCs w:val="28"/>
        </w:rPr>
      </w:pPr>
      <w:r w:rsidRPr="003F6656">
        <w:rPr>
          <w:sz w:val="28"/>
          <w:szCs w:val="28"/>
        </w:rPr>
        <w:t>1</w:t>
      </w:r>
      <w:r w:rsidR="00986830">
        <w:rPr>
          <w:sz w:val="28"/>
          <w:szCs w:val="28"/>
        </w:rPr>
        <w:t>)</w:t>
      </w:r>
      <w:r w:rsidRPr="003F6656">
        <w:rPr>
          <w:sz w:val="28"/>
          <w:szCs w:val="28"/>
        </w:rPr>
        <w:t xml:space="preserve">. Одноставочную индикативную цену на электрическую энергию и мощность, поставляемую в ценовых зонах оптового рынка для покупателей - субъектов оптового рынка электрической энергии (мощности) по договорам, заключенным в соответствии с законодательством Российской Федерации с гарантирующими поставщиками) энергоснабжающими организациями, энергосбытовыми организациями, к числу покупателей электрической энергии </w:t>
      </w:r>
      <w:r w:rsidRPr="003F6656">
        <w:rPr>
          <w:sz w:val="28"/>
          <w:szCs w:val="28"/>
        </w:rPr>
        <w:lastRenderedPageBreak/>
        <w:t xml:space="preserve">(мощности) которых относятся население и (или) приравненные к нему категории потребителей), для обеспечения потребления электрической энергии населением и (или) приравненными к нему категориями потребителей: </w:t>
      </w:r>
    </w:p>
    <w:p w:rsidR="001E7B45" w:rsidRPr="00130D72" w:rsidRDefault="001E7B45" w:rsidP="00300B7B">
      <w:pPr>
        <w:autoSpaceDE w:val="0"/>
        <w:autoSpaceDN w:val="0"/>
        <w:adjustRightInd w:val="0"/>
        <w:spacing w:after="0" w:line="240" w:lineRule="auto"/>
        <w:ind w:firstLine="709"/>
        <w:jc w:val="both"/>
        <w:rPr>
          <w:sz w:val="28"/>
          <w:szCs w:val="28"/>
        </w:rPr>
      </w:pPr>
      <w:r w:rsidRPr="003F6656">
        <w:rPr>
          <w:sz w:val="28"/>
          <w:szCs w:val="28"/>
        </w:rPr>
        <w:t xml:space="preserve">на первое полугодие </w:t>
      </w:r>
      <w:r w:rsidRPr="00130D72">
        <w:rPr>
          <w:sz w:val="28"/>
          <w:szCs w:val="28"/>
        </w:rPr>
        <w:t xml:space="preserve">– 1,04782 руб./кВтч., </w:t>
      </w:r>
    </w:p>
    <w:p w:rsidR="001E7B45" w:rsidRPr="003F6656" w:rsidRDefault="001E7B45" w:rsidP="00300B7B">
      <w:pPr>
        <w:autoSpaceDE w:val="0"/>
        <w:autoSpaceDN w:val="0"/>
        <w:adjustRightInd w:val="0"/>
        <w:spacing w:after="0" w:line="240" w:lineRule="auto"/>
        <w:ind w:firstLine="709"/>
        <w:jc w:val="both"/>
        <w:rPr>
          <w:sz w:val="28"/>
          <w:szCs w:val="28"/>
        </w:rPr>
      </w:pPr>
      <w:r w:rsidRPr="00130D72">
        <w:rPr>
          <w:sz w:val="28"/>
          <w:szCs w:val="28"/>
        </w:rPr>
        <w:t>на второе  полугодие – 1,11373 руб./кВтч.</w:t>
      </w:r>
    </w:p>
    <w:p w:rsidR="001E7B45" w:rsidRPr="003F6656" w:rsidRDefault="001E7B45" w:rsidP="00300B7B">
      <w:pPr>
        <w:autoSpaceDE w:val="0"/>
        <w:autoSpaceDN w:val="0"/>
        <w:adjustRightInd w:val="0"/>
        <w:spacing w:after="0" w:line="240" w:lineRule="auto"/>
        <w:ind w:firstLine="709"/>
        <w:jc w:val="both"/>
        <w:rPr>
          <w:sz w:val="28"/>
          <w:szCs w:val="28"/>
        </w:rPr>
      </w:pPr>
      <w:r w:rsidRPr="003F6656">
        <w:rPr>
          <w:sz w:val="28"/>
          <w:szCs w:val="28"/>
        </w:rPr>
        <w:t>Цена определена в соответствии с приказом Ф</w:t>
      </w:r>
      <w:r w:rsidR="00494D0A">
        <w:rPr>
          <w:sz w:val="28"/>
          <w:szCs w:val="28"/>
        </w:rPr>
        <w:t>АС России</w:t>
      </w:r>
      <w:r w:rsidRPr="003F6656">
        <w:rPr>
          <w:sz w:val="28"/>
          <w:szCs w:val="28"/>
        </w:rPr>
        <w:t xml:space="preserve"> от 17.12.2019 № 1685/19 </w:t>
      </w:r>
      <w:r w:rsidR="00494D0A">
        <w:rPr>
          <w:sz w:val="28"/>
          <w:szCs w:val="28"/>
        </w:rPr>
        <w:t>«</w:t>
      </w:r>
      <w:r w:rsidRPr="003F6656">
        <w:rPr>
          <w:sz w:val="28"/>
          <w:szCs w:val="28"/>
        </w:rPr>
        <w:t>Об утверждении индикативных цен на электрическую энергию и на мощность для населения и приравненных к нему категорий потребителей, а также индикативных цен на электрическую энергию и на мощность для покупателей в отдельных частях ценовых зон оптового рынка, в которых Правительством Российской Федерации установлены особенности функционирования оптового и р</w:t>
      </w:r>
      <w:r>
        <w:rPr>
          <w:sz w:val="28"/>
          <w:szCs w:val="28"/>
        </w:rPr>
        <w:t>озничных рынков на 2020 год</w:t>
      </w:r>
      <w:r w:rsidR="00494D0A">
        <w:rPr>
          <w:sz w:val="28"/>
          <w:szCs w:val="28"/>
        </w:rPr>
        <w:t>»</w:t>
      </w:r>
      <w:r>
        <w:rPr>
          <w:sz w:val="28"/>
          <w:szCs w:val="28"/>
        </w:rPr>
        <w:t xml:space="preserve">, </w:t>
      </w:r>
      <w:r w:rsidRPr="003F6656">
        <w:rPr>
          <w:sz w:val="28"/>
          <w:szCs w:val="28"/>
        </w:rPr>
        <w:t xml:space="preserve">с учётом плановых показателей электрической энергии (мощности), в рамках утвержденного Сводного прогнозного баланса: </w:t>
      </w:r>
    </w:p>
    <w:p w:rsidR="001E7B45" w:rsidRPr="00301B24" w:rsidRDefault="00301B24" w:rsidP="00301B24">
      <w:pPr>
        <w:autoSpaceDE w:val="0"/>
        <w:autoSpaceDN w:val="0"/>
        <w:adjustRightInd w:val="0"/>
        <w:spacing w:after="0" w:line="240" w:lineRule="auto"/>
        <w:ind w:firstLine="709"/>
        <w:jc w:val="right"/>
      </w:pPr>
      <w:r w:rsidRPr="00301B24">
        <w:t>Таблица № 2.1.4.</w:t>
      </w:r>
    </w:p>
    <w:tbl>
      <w:tblPr>
        <w:tblW w:w="0" w:type="auto"/>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268"/>
        <w:gridCol w:w="1843"/>
        <w:gridCol w:w="2835"/>
        <w:gridCol w:w="2835"/>
      </w:tblGrid>
      <w:tr w:rsidR="001E7B45" w:rsidRPr="003F6656" w:rsidTr="00986830">
        <w:trPr>
          <w:trHeight w:val="1603"/>
        </w:trPr>
        <w:tc>
          <w:tcPr>
            <w:tcW w:w="2268" w:type="dxa"/>
            <w:tcBorders>
              <w:top w:val="single" w:sz="4" w:space="0" w:color="auto"/>
              <w:left w:val="single" w:sz="4" w:space="0" w:color="auto"/>
              <w:bottom w:val="single" w:sz="4" w:space="0" w:color="auto"/>
              <w:right w:val="single" w:sz="4" w:space="0" w:color="auto"/>
            </w:tcBorders>
          </w:tcPr>
          <w:p w:rsidR="001E7B45" w:rsidRPr="003F6656" w:rsidRDefault="001E7B45" w:rsidP="00BD58BF">
            <w:pPr>
              <w:autoSpaceDE w:val="0"/>
              <w:autoSpaceDN w:val="0"/>
              <w:adjustRightInd w:val="0"/>
              <w:jc w:val="both"/>
              <w:rPr>
                <w:color w:val="FF0000"/>
              </w:rPr>
            </w:pPr>
          </w:p>
        </w:tc>
        <w:tc>
          <w:tcPr>
            <w:tcW w:w="1843" w:type="dxa"/>
            <w:tcBorders>
              <w:top w:val="single" w:sz="4" w:space="0" w:color="auto"/>
              <w:left w:val="single" w:sz="4" w:space="0" w:color="auto"/>
              <w:bottom w:val="single" w:sz="4" w:space="0" w:color="auto"/>
              <w:right w:val="single" w:sz="4" w:space="0" w:color="auto"/>
            </w:tcBorders>
            <w:hideMark/>
          </w:tcPr>
          <w:p w:rsidR="001E7B45" w:rsidRPr="003F6656" w:rsidRDefault="001E7B45" w:rsidP="00986830">
            <w:pPr>
              <w:autoSpaceDE w:val="0"/>
              <w:autoSpaceDN w:val="0"/>
              <w:adjustRightInd w:val="0"/>
              <w:jc w:val="center"/>
            </w:pPr>
            <w:r w:rsidRPr="003F6656">
              <w:t>Население и приравненные к нему категории потребителей, всего</w:t>
            </w:r>
          </w:p>
        </w:tc>
        <w:tc>
          <w:tcPr>
            <w:tcW w:w="2835" w:type="dxa"/>
            <w:tcBorders>
              <w:top w:val="single" w:sz="4" w:space="0" w:color="auto"/>
              <w:left w:val="single" w:sz="4" w:space="0" w:color="auto"/>
              <w:bottom w:val="single" w:sz="4" w:space="0" w:color="auto"/>
              <w:right w:val="single" w:sz="4" w:space="0" w:color="auto"/>
            </w:tcBorders>
            <w:hideMark/>
          </w:tcPr>
          <w:p w:rsidR="001E7B45" w:rsidRPr="003F6656" w:rsidRDefault="001E7B45" w:rsidP="00986830">
            <w:pPr>
              <w:autoSpaceDE w:val="0"/>
              <w:autoSpaceDN w:val="0"/>
              <w:adjustRightInd w:val="0"/>
              <w:jc w:val="center"/>
            </w:pPr>
            <w:r w:rsidRPr="003F6656">
              <w:t>Население и приравненные к нему категории потребителей, проживающее (расположенные) в городских населённых пунктах</w:t>
            </w:r>
          </w:p>
        </w:tc>
        <w:tc>
          <w:tcPr>
            <w:tcW w:w="2835" w:type="dxa"/>
            <w:tcBorders>
              <w:top w:val="single" w:sz="4" w:space="0" w:color="auto"/>
              <w:left w:val="single" w:sz="4" w:space="0" w:color="auto"/>
              <w:bottom w:val="single" w:sz="4" w:space="0" w:color="auto"/>
              <w:right w:val="single" w:sz="4" w:space="0" w:color="auto"/>
            </w:tcBorders>
            <w:hideMark/>
          </w:tcPr>
          <w:p w:rsidR="001E7B45" w:rsidRPr="003F6656" w:rsidRDefault="001E7B45" w:rsidP="00986830">
            <w:pPr>
              <w:autoSpaceDE w:val="0"/>
              <w:autoSpaceDN w:val="0"/>
              <w:adjustRightInd w:val="0"/>
              <w:jc w:val="center"/>
            </w:pPr>
            <w:r w:rsidRPr="003F6656">
              <w:t>Население и приравненные к нему категории потребителей, проживающее (расположенные) в сельских населённых пунктах</w:t>
            </w:r>
          </w:p>
        </w:tc>
      </w:tr>
      <w:tr w:rsidR="001E7B45" w:rsidRPr="003F6656" w:rsidTr="00986830">
        <w:tc>
          <w:tcPr>
            <w:tcW w:w="2268" w:type="dxa"/>
            <w:tcBorders>
              <w:top w:val="single" w:sz="4" w:space="0" w:color="auto"/>
              <w:left w:val="single" w:sz="4" w:space="0" w:color="auto"/>
              <w:bottom w:val="single" w:sz="4" w:space="0" w:color="auto"/>
              <w:right w:val="single" w:sz="4" w:space="0" w:color="auto"/>
            </w:tcBorders>
            <w:hideMark/>
          </w:tcPr>
          <w:p w:rsidR="001E7B45" w:rsidRPr="003F6656" w:rsidRDefault="001E7B45" w:rsidP="00BD58BF">
            <w:pPr>
              <w:jc w:val="center"/>
              <w:rPr>
                <w:b/>
              </w:rPr>
            </w:pPr>
            <w:r w:rsidRPr="003F6656">
              <w:rPr>
                <w:b/>
              </w:rPr>
              <w:t xml:space="preserve">1 полугодие </w:t>
            </w:r>
          </w:p>
        </w:tc>
        <w:tc>
          <w:tcPr>
            <w:tcW w:w="1843" w:type="dxa"/>
            <w:tcBorders>
              <w:top w:val="single" w:sz="4" w:space="0" w:color="auto"/>
              <w:left w:val="single" w:sz="4" w:space="0" w:color="auto"/>
              <w:bottom w:val="single" w:sz="4" w:space="0" w:color="auto"/>
              <w:right w:val="single" w:sz="4" w:space="0" w:color="auto"/>
            </w:tcBorders>
          </w:tcPr>
          <w:p w:rsidR="001E7B45" w:rsidRPr="003F6656" w:rsidRDefault="001E7B45" w:rsidP="00BD58BF">
            <w:pPr>
              <w:autoSpaceDE w:val="0"/>
              <w:autoSpaceDN w:val="0"/>
              <w:adjustRightInd w:val="0"/>
              <w:jc w:val="both"/>
              <w:rPr>
                <w:color w:val="FF0000"/>
              </w:rPr>
            </w:pPr>
          </w:p>
        </w:tc>
        <w:tc>
          <w:tcPr>
            <w:tcW w:w="2835" w:type="dxa"/>
            <w:tcBorders>
              <w:top w:val="single" w:sz="4" w:space="0" w:color="auto"/>
              <w:left w:val="single" w:sz="4" w:space="0" w:color="auto"/>
              <w:bottom w:val="single" w:sz="4" w:space="0" w:color="auto"/>
              <w:right w:val="single" w:sz="4" w:space="0" w:color="auto"/>
            </w:tcBorders>
          </w:tcPr>
          <w:p w:rsidR="001E7B45" w:rsidRPr="003F6656" w:rsidRDefault="001E7B45" w:rsidP="00BD58BF">
            <w:pPr>
              <w:autoSpaceDE w:val="0"/>
              <w:autoSpaceDN w:val="0"/>
              <w:adjustRightInd w:val="0"/>
              <w:jc w:val="both"/>
              <w:rPr>
                <w:color w:val="FF0000"/>
              </w:rPr>
            </w:pPr>
          </w:p>
        </w:tc>
        <w:tc>
          <w:tcPr>
            <w:tcW w:w="2835" w:type="dxa"/>
            <w:tcBorders>
              <w:top w:val="single" w:sz="4" w:space="0" w:color="auto"/>
              <w:left w:val="single" w:sz="4" w:space="0" w:color="auto"/>
              <w:bottom w:val="single" w:sz="4" w:space="0" w:color="auto"/>
              <w:right w:val="single" w:sz="4" w:space="0" w:color="auto"/>
            </w:tcBorders>
          </w:tcPr>
          <w:p w:rsidR="001E7B45" w:rsidRPr="003F6656" w:rsidRDefault="001E7B45" w:rsidP="00BD58BF">
            <w:pPr>
              <w:autoSpaceDE w:val="0"/>
              <w:autoSpaceDN w:val="0"/>
              <w:adjustRightInd w:val="0"/>
              <w:jc w:val="both"/>
              <w:rPr>
                <w:color w:val="FF0000"/>
              </w:rPr>
            </w:pPr>
          </w:p>
        </w:tc>
      </w:tr>
      <w:tr w:rsidR="001E7B45" w:rsidRPr="007C0284" w:rsidTr="00986830">
        <w:tc>
          <w:tcPr>
            <w:tcW w:w="2268" w:type="dxa"/>
            <w:tcBorders>
              <w:top w:val="single" w:sz="4" w:space="0" w:color="auto"/>
              <w:left w:val="single" w:sz="4" w:space="0" w:color="auto"/>
              <w:bottom w:val="single" w:sz="4" w:space="0" w:color="auto"/>
              <w:right w:val="single" w:sz="4" w:space="0" w:color="auto"/>
            </w:tcBorders>
            <w:hideMark/>
          </w:tcPr>
          <w:p w:rsidR="001E7B45" w:rsidRPr="003F6656" w:rsidRDefault="001E7B45" w:rsidP="00BD58BF">
            <w:r w:rsidRPr="003F6656">
              <w:t>энергия, млн. кВтч.</w:t>
            </w:r>
          </w:p>
        </w:tc>
        <w:tc>
          <w:tcPr>
            <w:tcW w:w="1843" w:type="dxa"/>
            <w:tcBorders>
              <w:top w:val="single" w:sz="4" w:space="0" w:color="auto"/>
              <w:left w:val="single" w:sz="4" w:space="0" w:color="auto"/>
              <w:bottom w:val="single" w:sz="4" w:space="0" w:color="auto"/>
              <w:right w:val="single" w:sz="4" w:space="0" w:color="auto"/>
            </w:tcBorders>
            <w:hideMark/>
          </w:tcPr>
          <w:p w:rsidR="001E7B45" w:rsidRPr="007C0284" w:rsidRDefault="001E7B45" w:rsidP="00BD58BF">
            <w:pPr>
              <w:autoSpaceDE w:val="0"/>
              <w:autoSpaceDN w:val="0"/>
              <w:adjustRightInd w:val="0"/>
              <w:jc w:val="right"/>
            </w:pPr>
            <w:r w:rsidRPr="007C0284">
              <w:t>1 930,131</w:t>
            </w:r>
          </w:p>
        </w:tc>
        <w:tc>
          <w:tcPr>
            <w:tcW w:w="2835" w:type="dxa"/>
            <w:tcBorders>
              <w:top w:val="single" w:sz="4" w:space="0" w:color="auto"/>
              <w:left w:val="single" w:sz="4" w:space="0" w:color="auto"/>
              <w:bottom w:val="single" w:sz="4" w:space="0" w:color="auto"/>
              <w:right w:val="single" w:sz="4" w:space="0" w:color="auto"/>
            </w:tcBorders>
            <w:hideMark/>
          </w:tcPr>
          <w:p w:rsidR="001E7B45" w:rsidRPr="007C0284" w:rsidRDefault="001E7B45" w:rsidP="00BD58BF">
            <w:pPr>
              <w:autoSpaceDE w:val="0"/>
              <w:autoSpaceDN w:val="0"/>
              <w:adjustRightInd w:val="0"/>
              <w:jc w:val="right"/>
            </w:pPr>
            <w:r w:rsidRPr="007C0284">
              <w:t>1 354,319</w:t>
            </w:r>
          </w:p>
        </w:tc>
        <w:tc>
          <w:tcPr>
            <w:tcW w:w="2835" w:type="dxa"/>
            <w:tcBorders>
              <w:top w:val="single" w:sz="4" w:space="0" w:color="auto"/>
              <w:left w:val="single" w:sz="4" w:space="0" w:color="auto"/>
              <w:bottom w:val="single" w:sz="4" w:space="0" w:color="auto"/>
              <w:right w:val="single" w:sz="4" w:space="0" w:color="auto"/>
            </w:tcBorders>
            <w:hideMark/>
          </w:tcPr>
          <w:p w:rsidR="001E7B45" w:rsidRPr="007C0284" w:rsidRDefault="001E7B45" w:rsidP="00BD58BF">
            <w:pPr>
              <w:jc w:val="right"/>
            </w:pPr>
            <w:r w:rsidRPr="007C0284">
              <w:t>575,812</w:t>
            </w:r>
          </w:p>
        </w:tc>
      </w:tr>
      <w:tr w:rsidR="001E7B45" w:rsidRPr="007C0284" w:rsidTr="00986830">
        <w:tc>
          <w:tcPr>
            <w:tcW w:w="2268" w:type="dxa"/>
            <w:tcBorders>
              <w:top w:val="single" w:sz="4" w:space="0" w:color="auto"/>
              <w:left w:val="single" w:sz="4" w:space="0" w:color="auto"/>
              <w:bottom w:val="single" w:sz="4" w:space="0" w:color="auto"/>
              <w:right w:val="single" w:sz="4" w:space="0" w:color="auto"/>
            </w:tcBorders>
            <w:hideMark/>
          </w:tcPr>
          <w:p w:rsidR="001E7B45" w:rsidRPr="003F6656" w:rsidRDefault="001E7B45" w:rsidP="00BD58BF">
            <w:pPr>
              <w:autoSpaceDE w:val="0"/>
              <w:autoSpaceDN w:val="0"/>
              <w:adjustRightInd w:val="0"/>
            </w:pPr>
            <w:r w:rsidRPr="003F6656">
              <w:t>мощность, МВТ</w:t>
            </w:r>
          </w:p>
        </w:tc>
        <w:tc>
          <w:tcPr>
            <w:tcW w:w="1843" w:type="dxa"/>
            <w:tcBorders>
              <w:top w:val="single" w:sz="4" w:space="0" w:color="auto"/>
              <w:left w:val="single" w:sz="4" w:space="0" w:color="auto"/>
              <w:bottom w:val="single" w:sz="4" w:space="0" w:color="auto"/>
              <w:right w:val="single" w:sz="4" w:space="0" w:color="auto"/>
            </w:tcBorders>
            <w:hideMark/>
          </w:tcPr>
          <w:p w:rsidR="001E7B45" w:rsidRPr="007C0284" w:rsidRDefault="001E7B45" w:rsidP="00BD58BF">
            <w:pPr>
              <w:autoSpaceDE w:val="0"/>
              <w:autoSpaceDN w:val="0"/>
              <w:adjustRightInd w:val="0"/>
              <w:jc w:val="right"/>
            </w:pPr>
            <w:r w:rsidRPr="007C0284">
              <w:t>643,377</w:t>
            </w:r>
          </w:p>
        </w:tc>
        <w:tc>
          <w:tcPr>
            <w:tcW w:w="2835" w:type="dxa"/>
            <w:tcBorders>
              <w:top w:val="single" w:sz="4" w:space="0" w:color="auto"/>
              <w:left w:val="single" w:sz="4" w:space="0" w:color="auto"/>
              <w:bottom w:val="single" w:sz="4" w:space="0" w:color="auto"/>
              <w:right w:val="single" w:sz="4" w:space="0" w:color="auto"/>
            </w:tcBorders>
          </w:tcPr>
          <w:p w:rsidR="001E7B45" w:rsidRPr="001E7B45" w:rsidRDefault="001E7B45" w:rsidP="00BD58BF">
            <w:pPr>
              <w:autoSpaceDE w:val="0"/>
              <w:autoSpaceDN w:val="0"/>
              <w:adjustRightInd w:val="0"/>
              <w:jc w:val="right"/>
              <w:rPr>
                <w:color w:val="FF0000"/>
                <w:highlight w:val="lightGray"/>
              </w:rPr>
            </w:pPr>
          </w:p>
        </w:tc>
        <w:tc>
          <w:tcPr>
            <w:tcW w:w="2835" w:type="dxa"/>
            <w:tcBorders>
              <w:top w:val="single" w:sz="4" w:space="0" w:color="auto"/>
              <w:left w:val="single" w:sz="4" w:space="0" w:color="auto"/>
              <w:bottom w:val="single" w:sz="4" w:space="0" w:color="auto"/>
              <w:right w:val="single" w:sz="4" w:space="0" w:color="auto"/>
            </w:tcBorders>
          </w:tcPr>
          <w:p w:rsidR="001E7B45" w:rsidRPr="007C0284" w:rsidRDefault="001E7B45" w:rsidP="00BD58BF">
            <w:pPr>
              <w:autoSpaceDE w:val="0"/>
              <w:autoSpaceDN w:val="0"/>
              <w:adjustRightInd w:val="0"/>
              <w:jc w:val="right"/>
              <w:rPr>
                <w:color w:val="FF0000"/>
              </w:rPr>
            </w:pPr>
          </w:p>
        </w:tc>
      </w:tr>
      <w:tr w:rsidR="001E7B45" w:rsidRPr="007C0284" w:rsidTr="00986830">
        <w:tc>
          <w:tcPr>
            <w:tcW w:w="2268" w:type="dxa"/>
            <w:tcBorders>
              <w:top w:val="single" w:sz="4" w:space="0" w:color="auto"/>
              <w:left w:val="single" w:sz="4" w:space="0" w:color="auto"/>
              <w:bottom w:val="single" w:sz="4" w:space="0" w:color="auto"/>
              <w:right w:val="single" w:sz="4" w:space="0" w:color="auto"/>
            </w:tcBorders>
            <w:hideMark/>
          </w:tcPr>
          <w:p w:rsidR="001E7B45" w:rsidRPr="003F6656" w:rsidRDefault="001E7B45" w:rsidP="00BD58BF">
            <w:pPr>
              <w:autoSpaceDE w:val="0"/>
              <w:autoSpaceDN w:val="0"/>
              <w:adjustRightInd w:val="0"/>
              <w:jc w:val="center"/>
              <w:rPr>
                <w:b/>
              </w:rPr>
            </w:pPr>
            <w:r w:rsidRPr="003F6656">
              <w:rPr>
                <w:b/>
              </w:rPr>
              <w:t xml:space="preserve">2 полугодие </w:t>
            </w:r>
          </w:p>
        </w:tc>
        <w:tc>
          <w:tcPr>
            <w:tcW w:w="1843" w:type="dxa"/>
            <w:tcBorders>
              <w:top w:val="single" w:sz="4" w:space="0" w:color="auto"/>
              <w:left w:val="single" w:sz="4" w:space="0" w:color="auto"/>
              <w:bottom w:val="single" w:sz="4" w:space="0" w:color="auto"/>
              <w:right w:val="single" w:sz="4" w:space="0" w:color="auto"/>
            </w:tcBorders>
          </w:tcPr>
          <w:p w:rsidR="001E7B45" w:rsidRPr="001E7B45" w:rsidRDefault="001E7B45" w:rsidP="00BD58BF">
            <w:pPr>
              <w:autoSpaceDE w:val="0"/>
              <w:autoSpaceDN w:val="0"/>
              <w:adjustRightInd w:val="0"/>
              <w:jc w:val="right"/>
              <w:rPr>
                <w:color w:val="FF0000"/>
                <w:highlight w:val="lightGray"/>
              </w:rPr>
            </w:pPr>
          </w:p>
        </w:tc>
        <w:tc>
          <w:tcPr>
            <w:tcW w:w="2835" w:type="dxa"/>
            <w:tcBorders>
              <w:top w:val="single" w:sz="4" w:space="0" w:color="auto"/>
              <w:left w:val="single" w:sz="4" w:space="0" w:color="auto"/>
              <w:bottom w:val="single" w:sz="4" w:space="0" w:color="auto"/>
              <w:right w:val="single" w:sz="4" w:space="0" w:color="auto"/>
            </w:tcBorders>
          </w:tcPr>
          <w:p w:rsidR="001E7B45" w:rsidRPr="001E7B45" w:rsidRDefault="001E7B45" w:rsidP="00BD58BF">
            <w:pPr>
              <w:autoSpaceDE w:val="0"/>
              <w:autoSpaceDN w:val="0"/>
              <w:adjustRightInd w:val="0"/>
              <w:jc w:val="right"/>
              <w:rPr>
                <w:color w:val="FF0000"/>
                <w:highlight w:val="lightGray"/>
              </w:rPr>
            </w:pPr>
          </w:p>
        </w:tc>
        <w:tc>
          <w:tcPr>
            <w:tcW w:w="2835" w:type="dxa"/>
            <w:tcBorders>
              <w:top w:val="single" w:sz="4" w:space="0" w:color="auto"/>
              <w:left w:val="single" w:sz="4" w:space="0" w:color="auto"/>
              <w:bottom w:val="single" w:sz="4" w:space="0" w:color="auto"/>
              <w:right w:val="single" w:sz="4" w:space="0" w:color="auto"/>
            </w:tcBorders>
          </w:tcPr>
          <w:p w:rsidR="001E7B45" w:rsidRPr="007C0284" w:rsidRDefault="001E7B45" w:rsidP="00BD58BF">
            <w:pPr>
              <w:autoSpaceDE w:val="0"/>
              <w:autoSpaceDN w:val="0"/>
              <w:adjustRightInd w:val="0"/>
              <w:jc w:val="right"/>
              <w:rPr>
                <w:color w:val="FF0000"/>
              </w:rPr>
            </w:pPr>
          </w:p>
        </w:tc>
      </w:tr>
      <w:tr w:rsidR="001E7B45" w:rsidRPr="007C0284" w:rsidTr="00986830">
        <w:tc>
          <w:tcPr>
            <w:tcW w:w="2268" w:type="dxa"/>
            <w:tcBorders>
              <w:top w:val="single" w:sz="4" w:space="0" w:color="auto"/>
              <w:left w:val="single" w:sz="4" w:space="0" w:color="auto"/>
              <w:bottom w:val="single" w:sz="4" w:space="0" w:color="auto"/>
              <w:right w:val="single" w:sz="4" w:space="0" w:color="auto"/>
            </w:tcBorders>
            <w:hideMark/>
          </w:tcPr>
          <w:p w:rsidR="001E7B45" w:rsidRPr="003F6656" w:rsidRDefault="001E7B45" w:rsidP="00BD58BF">
            <w:r w:rsidRPr="003F6656">
              <w:t>энергия млн. кВтч.</w:t>
            </w:r>
          </w:p>
        </w:tc>
        <w:tc>
          <w:tcPr>
            <w:tcW w:w="1843" w:type="dxa"/>
            <w:tcBorders>
              <w:top w:val="single" w:sz="4" w:space="0" w:color="auto"/>
              <w:left w:val="single" w:sz="4" w:space="0" w:color="auto"/>
              <w:bottom w:val="single" w:sz="4" w:space="0" w:color="auto"/>
              <w:right w:val="single" w:sz="4" w:space="0" w:color="auto"/>
            </w:tcBorders>
            <w:hideMark/>
          </w:tcPr>
          <w:p w:rsidR="001E7B45" w:rsidRPr="00146582" w:rsidRDefault="001E7B45" w:rsidP="00BD58BF">
            <w:pPr>
              <w:autoSpaceDE w:val="0"/>
              <w:autoSpaceDN w:val="0"/>
              <w:adjustRightInd w:val="0"/>
              <w:jc w:val="right"/>
            </w:pPr>
            <w:r w:rsidRPr="00146582">
              <w:t>1 834,869</w:t>
            </w:r>
          </w:p>
        </w:tc>
        <w:tc>
          <w:tcPr>
            <w:tcW w:w="2835" w:type="dxa"/>
            <w:tcBorders>
              <w:top w:val="single" w:sz="4" w:space="0" w:color="auto"/>
              <w:left w:val="single" w:sz="4" w:space="0" w:color="auto"/>
              <w:bottom w:val="single" w:sz="4" w:space="0" w:color="auto"/>
              <w:right w:val="single" w:sz="4" w:space="0" w:color="auto"/>
            </w:tcBorders>
            <w:hideMark/>
          </w:tcPr>
          <w:p w:rsidR="001E7B45" w:rsidRPr="00146582" w:rsidRDefault="001E7B45" w:rsidP="00BD58BF">
            <w:pPr>
              <w:autoSpaceDE w:val="0"/>
              <w:autoSpaceDN w:val="0"/>
              <w:adjustRightInd w:val="0"/>
              <w:jc w:val="right"/>
              <w:rPr>
                <w:color w:val="FF0000"/>
              </w:rPr>
            </w:pPr>
            <w:r w:rsidRPr="00146582">
              <w:t>1 287,478</w:t>
            </w:r>
          </w:p>
        </w:tc>
        <w:tc>
          <w:tcPr>
            <w:tcW w:w="2835" w:type="dxa"/>
            <w:tcBorders>
              <w:top w:val="single" w:sz="4" w:space="0" w:color="auto"/>
              <w:left w:val="single" w:sz="4" w:space="0" w:color="auto"/>
              <w:bottom w:val="single" w:sz="4" w:space="0" w:color="auto"/>
              <w:right w:val="single" w:sz="4" w:space="0" w:color="auto"/>
            </w:tcBorders>
            <w:hideMark/>
          </w:tcPr>
          <w:p w:rsidR="001E7B45" w:rsidRPr="00146582" w:rsidRDefault="001E7B45" w:rsidP="00BD58BF">
            <w:pPr>
              <w:autoSpaceDE w:val="0"/>
              <w:autoSpaceDN w:val="0"/>
              <w:adjustRightInd w:val="0"/>
              <w:jc w:val="right"/>
            </w:pPr>
            <w:r w:rsidRPr="00146582">
              <w:t>547,391</w:t>
            </w:r>
          </w:p>
        </w:tc>
      </w:tr>
      <w:tr w:rsidR="001E7B45" w:rsidRPr="003F6656" w:rsidTr="00986830">
        <w:tc>
          <w:tcPr>
            <w:tcW w:w="2268" w:type="dxa"/>
            <w:tcBorders>
              <w:top w:val="single" w:sz="4" w:space="0" w:color="auto"/>
              <w:left w:val="single" w:sz="4" w:space="0" w:color="auto"/>
              <w:bottom w:val="single" w:sz="4" w:space="0" w:color="auto"/>
              <w:right w:val="single" w:sz="4" w:space="0" w:color="auto"/>
            </w:tcBorders>
            <w:hideMark/>
          </w:tcPr>
          <w:p w:rsidR="001E7B45" w:rsidRPr="003F6656" w:rsidRDefault="001E7B45" w:rsidP="00BD58BF">
            <w:pPr>
              <w:autoSpaceDE w:val="0"/>
              <w:autoSpaceDN w:val="0"/>
              <w:adjustRightInd w:val="0"/>
            </w:pPr>
            <w:r w:rsidRPr="003F6656">
              <w:t>Мощность,  МВТ</w:t>
            </w:r>
          </w:p>
        </w:tc>
        <w:tc>
          <w:tcPr>
            <w:tcW w:w="1843" w:type="dxa"/>
            <w:tcBorders>
              <w:top w:val="single" w:sz="4" w:space="0" w:color="auto"/>
              <w:left w:val="single" w:sz="4" w:space="0" w:color="auto"/>
              <w:bottom w:val="single" w:sz="4" w:space="0" w:color="auto"/>
              <w:right w:val="single" w:sz="4" w:space="0" w:color="auto"/>
            </w:tcBorders>
            <w:hideMark/>
          </w:tcPr>
          <w:p w:rsidR="001E7B45" w:rsidRPr="00146582" w:rsidRDefault="001E7B45" w:rsidP="00BD58BF">
            <w:pPr>
              <w:autoSpaceDE w:val="0"/>
              <w:autoSpaceDN w:val="0"/>
              <w:adjustRightInd w:val="0"/>
              <w:jc w:val="right"/>
              <w:rPr>
                <w:color w:val="FF0000"/>
              </w:rPr>
            </w:pPr>
            <w:r w:rsidRPr="00146582">
              <w:t>611,623</w:t>
            </w:r>
          </w:p>
        </w:tc>
        <w:tc>
          <w:tcPr>
            <w:tcW w:w="2835" w:type="dxa"/>
            <w:tcBorders>
              <w:top w:val="single" w:sz="4" w:space="0" w:color="auto"/>
              <w:left w:val="single" w:sz="4" w:space="0" w:color="auto"/>
              <w:bottom w:val="single" w:sz="4" w:space="0" w:color="auto"/>
              <w:right w:val="single" w:sz="4" w:space="0" w:color="auto"/>
            </w:tcBorders>
          </w:tcPr>
          <w:p w:rsidR="001E7B45" w:rsidRPr="00146582" w:rsidRDefault="001E7B45" w:rsidP="00BD58BF">
            <w:pPr>
              <w:autoSpaceDE w:val="0"/>
              <w:autoSpaceDN w:val="0"/>
              <w:adjustRightInd w:val="0"/>
              <w:jc w:val="right"/>
              <w:rPr>
                <w:color w:val="FF0000"/>
              </w:rPr>
            </w:pPr>
          </w:p>
        </w:tc>
        <w:tc>
          <w:tcPr>
            <w:tcW w:w="2835" w:type="dxa"/>
            <w:tcBorders>
              <w:top w:val="single" w:sz="4" w:space="0" w:color="auto"/>
              <w:left w:val="single" w:sz="4" w:space="0" w:color="auto"/>
              <w:bottom w:val="single" w:sz="4" w:space="0" w:color="auto"/>
              <w:right w:val="single" w:sz="4" w:space="0" w:color="auto"/>
            </w:tcBorders>
          </w:tcPr>
          <w:p w:rsidR="001E7B45" w:rsidRPr="00146582" w:rsidRDefault="001E7B45" w:rsidP="00BD58BF">
            <w:pPr>
              <w:autoSpaceDE w:val="0"/>
              <w:autoSpaceDN w:val="0"/>
              <w:adjustRightInd w:val="0"/>
              <w:jc w:val="right"/>
              <w:rPr>
                <w:color w:val="FF0000"/>
              </w:rPr>
            </w:pPr>
          </w:p>
        </w:tc>
      </w:tr>
    </w:tbl>
    <w:p w:rsidR="001E7B45" w:rsidRPr="003F6656" w:rsidRDefault="001E7B45" w:rsidP="00986830">
      <w:pPr>
        <w:spacing w:after="0" w:line="240" w:lineRule="auto"/>
        <w:ind w:firstLine="709"/>
        <w:jc w:val="both"/>
        <w:rPr>
          <w:sz w:val="28"/>
          <w:szCs w:val="28"/>
        </w:rPr>
      </w:pPr>
      <w:r w:rsidRPr="003F6656">
        <w:rPr>
          <w:sz w:val="28"/>
          <w:szCs w:val="28"/>
        </w:rPr>
        <w:t>2</w:t>
      </w:r>
      <w:r w:rsidR="00986830">
        <w:rPr>
          <w:sz w:val="28"/>
          <w:szCs w:val="28"/>
        </w:rPr>
        <w:t>)</w:t>
      </w:r>
      <w:r w:rsidRPr="003F6656">
        <w:rPr>
          <w:sz w:val="28"/>
          <w:szCs w:val="28"/>
        </w:rPr>
        <w:t>. Суммарную стоимость услуг: по оперативно-диспетчерскому управлению, оказываемые гарантирующему поставщику системным оператором АО «СО ЕЭС», по организации оптовой торговли электрической энергией, мощностью и иными допущенными к обращению на оптовом рынке товарами и услугами, оказываемые коммерческим оператором опто</w:t>
      </w:r>
      <w:r>
        <w:rPr>
          <w:sz w:val="28"/>
          <w:szCs w:val="28"/>
        </w:rPr>
        <w:t xml:space="preserve">вого рынка АО «АТС», по расчету </w:t>
      </w:r>
      <w:r w:rsidRPr="003F6656">
        <w:rPr>
          <w:sz w:val="28"/>
          <w:szCs w:val="28"/>
        </w:rPr>
        <w:t>требований</w:t>
      </w:r>
      <w:r>
        <w:rPr>
          <w:sz w:val="28"/>
          <w:szCs w:val="28"/>
        </w:rPr>
        <w:t xml:space="preserve"> и </w:t>
      </w:r>
      <w:r w:rsidRPr="003F6656">
        <w:rPr>
          <w:sz w:val="28"/>
          <w:szCs w:val="28"/>
        </w:rPr>
        <w:t>обязательств</w:t>
      </w:r>
      <w:r>
        <w:rPr>
          <w:sz w:val="28"/>
          <w:szCs w:val="28"/>
        </w:rPr>
        <w:t xml:space="preserve"> участников оптового </w:t>
      </w:r>
      <w:r w:rsidRPr="003F6656">
        <w:rPr>
          <w:sz w:val="28"/>
          <w:szCs w:val="28"/>
        </w:rPr>
        <w:t>ры</w:t>
      </w:r>
      <w:r>
        <w:rPr>
          <w:sz w:val="28"/>
          <w:szCs w:val="28"/>
        </w:rPr>
        <w:t xml:space="preserve">нка </w:t>
      </w:r>
      <w:r w:rsidRPr="003F6656">
        <w:rPr>
          <w:sz w:val="28"/>
          <w:szCs w:val="28"/>
        </w:rPr>
        <w:t>электроэнергии  и мощности, оказываемые АО «ЦФР», которая составит:</w:t>
      </w:r>
    </w:p>
    <w:p w:rsidR="001E7B45" w:rsidRPr="003E24B8" w:rsidRDefault="001E7B45" w:rsidP="00986830">
      <w:pPr>
        <w:spacing w:after="0" w:line="240" w:lineRule="auto"/>
        <w:ind w:firstLine="709"/>
        <w:rPr>
          <w:sz w:val="28"/>
          <w:szCs w:val="28"/>
        </w:rPr>
      </w:pPr>
      <w:r w:rsidRPr="003E24B8">
        <w:rPr>
          <w:sz w:val="28"/>
          <w:szCs w:val="28"/>
        </w:rPr>
        <w:t xml:space="preserve">на первое полугодие – 0,002911 руб./ кВтч.; </w:t>
      </w:r>
    </w:p>
    <w:p w:rsidR="001E7B45" w:rsidRPr="003F6656" w:rsidRDefault="001E7B45" w:rsidP="00986830">
      <w:pPr>
        <w:spacing w:after="0" w:line="240" w:lineRule="auto"/>
        <w:ind w:firstLine="709"/>
        <w:jc w:val="both"/>
        <w:rPr>
          <w:sz w:val="28"/>
          <w:szCs w:val="28"/>
        </w:rPr>
      </w:pPr>
      <w:r w:rsidRPr="003E24B8">
        <w:rPr>
          <w:sz w:val="28"/>
          <w:szCs w:val="28"/>
        </w:rPr>
        <w:t>на второе полугодие – 0,00</w:t>
      </w:r>
      <w:r>
        <w:rPr>
          <w:sz w:val="28"/>
          <w:szCs w:val="28"/>
        </w:rPr>
        <w:t>6</w:t>
      </w:r>
      <w:r w:rsidRPr="003E24B8">
        <w:rPr>
          <w:sz w:val="28"/>
          <w:szCs w:val="28"/>
        </w:rPr>
        <w:t>8</w:t>
      </w:r>
      <w:r>
        <w:rPr>
          <w:sz w:val="28"/>
          <w:szCs w:val="28"/>
        </w:rPr>
        <w:t>5</w:t>
      </w:r>
      <w:r w:rsidRPr="003E24B8">
        <w:rPr>
          <w:sz w:val="28"/>
          <w:szCs w:val="28"/>
        </w:rPr>
        <w:t> руб./ кВтч.</w:t>
      </w:r>
    </w:p>
    <w:p w:rsidR="001E7B45" w:rsidRPr="003F6656" w:rsidRDefault="001E7B45" w:rsidP="00986830">
      <w:pPr>
        <w:tabs>
          <w:tab w:val="center" w:pos="4677"/>
          <w:tab w:val="right" w:pos="9355"/>
        </w:tabs>
        <w:spacing w:after="0" w:line="240" w:lineRule="auto"/>
        <w:ind w:firstLine="709"/>
        <w:jc w:val="both"/>
        <w:rPr>
          <w:rFonts w:eastAsia="Calibri"/>
          <w:sz w:val="28"/>
          <w:lang w:eastAsia="en-US"/>
        </w:rPr>
      </w:pPr>
      <w:r w:rsidRPr="003F6656">
        <w:rPr>
          <w:sz w:val="28"/>
          <w:szCs w:val="28"/>
        </w:rPr>
        <w:t>3</w:t>
      </w:r>
      <w:r w:rsidR="00986830">
        <w:rPr>
          <w:sz w:val="28"/>
          <w:szCs w:val="28"/>
        </w:rPr>
        <w:t>)</w:t>
      </w:r>
      <w:r w:rsidRPr="003F6656">
        <w:rPr>
          <w:sz w:val="28"/>
          <w:szCs w:val="28"/>
        </w:rPr>
        <w:t>. Сбытовых надбавок гарантирующего поставщика ОАО "Новосибирскэнергосбыт"</w:t>
      </w:r>
      <w:r w:rsidRPr="003F6656">
        <w:rPr>
          <w:rFonts w:eastAsia="Calibri"/>
          <w:sz w:val="28"/>
          <w:lang w:eastAsia="en-US"/>
        </w:rPr>
        <w:t xml:space="preserve"> (приказ департамента от 23.12.2019 № 751-ЭЭ):</w:t>
      </w:r>
    </w:p>
    <w:p w:rsidR="001E7B45" w:rsidRPr="003F6656" w:rsidRDefault="001E7B45" w:rsidP="00986830">
      <w:pPr>
        <w:tabs>
          <w:tab w:val="center" w:pos="4677"/>
          <w:tab w:val="right" w:pos="9355"/>
        </w:tabs>
        <w:spacing w:after="0" w:line="240" w:lineRule="auto"/>
        <w:ind w:firstLine="709"/>
        <w:jc w:val="both"/>
        <w:rPr>
          <w:rFonts w:eastAsia="Calibri"/>
          <w:sz w:val="28"/>
          <w:lang w:eastAsia="en-US"/>
        </w:rPr>
      </w:pPr>
      <w:r w:rsidRPr="003F6656">
        <w:rPr>
          <w:rFonts w:eastAsia="Calibri"/>
          <w:sz w:val="28"/>
          <w:lang w:eastAsia="en-US"/>
        </w:rPr>
        <w:t>на первое полугодие – 0,37434 руб/кВт.ч;</w:t>
      </w:r>
    </w:p>
    <w:p w:rsidR="001E7B45" w:rsidRPr="003F6656" w:rsidRDefault="001E7B45" w:rsidP="001E7B45">
      <w:pPr>
        <w:tabs>
          <w:tab w:val="center" w:pos="4677"/>
          <w:tab w:val="right" w:pos="9355"/>
        </w:tabs>
        <w:ind w:firstLine="709"/>
        <w:jc w:val="both"/>
        <w:rPr>
          <w:rFonts w:eastAsia="Calibri"/>
          <w:sz w:val="28"/>
          <w:lang w:eastAsia="en-US"/>
        </w:rPr>
      </w:pPr>
      <w:r w:rsidRPr="003F6656">
        <w:rPr>
          <w:rFonts w:eastAsia="Calibri"/>
          <w:sz w:val="28"/>
          <w:lang w:eastAsia="en-US"/>
        </w:rPr>
        <w:t>на второе полугодие – 0,37704 руб/кВт.ч</w:t>
      </w:r>
    </w:p>
    <w:p w:rsidR="001E7B45" w:rsidRPr="003F6656" w:rsidRDefault="001E7B45" w:rsidP="00986830">
      <w:pPr>
        <w:spacing w:after="0" w:line="240" w:lineRule="auto"/>
        <w:ind w:firstLine="720"/>
        <w:jc w:val="both"/>
        <w:rPr>
          <w:sz w:val="28"/>
          <w:szCs w:val="28"/>
        </w:rPr>
      </w:pPr>
      <w:r w:rsidRPr="003F6656">
        <w:rPr>
          <w:sz w:val="28"/>
          <w:szCs w:val="28"/>
        </w:rPr>
        <w:t xml:space="preserve"> 4</w:t>
      </w:r>
      <w:r w:rsidR="00986830">
        <w:rPr>
          <w:sz w:val="28"/>
          <w:szCs w:val="28"/>
        </w:rPr>
        <w:t>)</w:t>
      </w:r>
      <w:r w:rsidRPr="003F6656">
        <w:rPr>
          <w:sz w:val="28"/>
          <w:szCs w:val="28"/>
        </w:rPr>
        <w:t xml:space="preserve">. Тарифы на услуги по передаче электрической энергии, поставляемой населению и приравненным к нему категориям потребителей (рассчитаны департаментом как разница между величинами конечных тарифов на электрическую </w:t>
      </w:r>
      <w:r w:rsidRPr="003F6656">
        <w:rPr>
          <w:sz w:val="28"/>
          <w:szCs w:val="28"/>
        </w:rPr>
        <w:lastRenderedPageBreak/>
        <w:t>энергию, поставляемую населению и приравненным к нему категориям потребителей, дифференцированных в зависимости от места проживания (расположения) (город, село) и составляющими, перечисленными в п.п. 1-3):</w:t>
      </w:r>
    </w:p>
    <w:p w:rsidR="001E7B45" w:rsidRPr="003F6656" w:rsidRDefault="001E7B45" w:rsidP="00986830">
      <w:pPr>
        <w:spacing w:after="0" w:line="240" w:lineRule="auto"/>
        <w:ind w:firstLine="709"/>
        <w:jc w:val="both"/>
        <w:rPr>
          <w:sz w:val="28"/>
          <w:szCs w:val="28"/>
        </w:rPr>
      </w:pPr>
      <w:r w:rsidRPr="00986830">
        <w:rPr>
          <w:sz w:val="28"/>
          <w:szCs w:val="28"/>
          <w:u w:val="single"/>
        </w:rPr>
        <w:t>на первое полугодие для проживающих (расположенных</w:t>
      </w:r>
      <w:r w:rsidRPr="003F6656">
        <w:rPr>
          <w:sz w:val="28"/>
          <w:szCs w:val="28"/>
        </w:rPr>
        <w:t>):</w:t>
      </w:r>
    </w:p>
    <w:p w:rsidR="001E7B45" w:rsidRPr="003F6656" w:rsidRDefault="001E7B45" w:rsidP="00986830">
      <w:pPr>
        <w:spacing w:after="0" w:line="240" w:lineRule="auto"/>
        <w:ind w:firstLine="709"/>
        <w:jc w:val="both"/>
        <w:rPr>
          <w:sz w:val="28"/>
          <w:szCs w:val="28"/>
        </w:rPr>
      </w:pPr>
      <w:r w:rsidRPr="003F6656">
        <w:rPr>
          <w:sz w:val="28"/>
          <w:szCs w:val="28"/>
        </w:rPr>
        <w:t xml:space="preserve">- в городских населённых пунктах </w:t>
      </w:r>
      <w:r w:rsidRPr="003F6656">
        <w:rPr>
          <w:rFonts w:eastAsia="Times New Roman"/>
          <w:sz w:val="28"/>
          <w:szCs w:val="28"/>
        </w:rPr>
        <w:t>(без учета дифференциации по зонам</w:t>
      </w:r>
      <w:r w:rsidRPr="003F6656">
        <w:rPr>
          <w:rFonts w:eastAsia="Times New Roman"/>
          <w:color w:val="FF0000"/>
          <w:sz w:val="28"/>
          <w:szCs w:val="28"/>
        </w:rPr>
        <w:t xml:space="preserve"> </w:t>
      </w:r>
      <w:r w:rsidRPr="003F6656">
        <w:rPr>
          <w:rFonts w:eastAsia="Times New Roman"/>
          <w:sz w:val="28"/>
          <w:szCs w:val="28"/>
        </w:rPr>
        <w:t xml:space="preserve">суток) </w:t>
      </w:r>
      <w:r w:rsidRPr="003F6656">
        <w:rPr>
          <w:sz w:val="28"/>
          <w:szCs w:val="28"/>
        </w:rPr>
        <w:t xml:space="preserve">– </w:t>
      </w:r>
      <w:r w:rsidRPr="003E24B8">
        <w:rPr>
          <w:sz w:val="28"/>
          <w:szCs w:val="28"/>
        </w:rPr>
        <w:t>0,80826 руб./кВтч.,</w:t>
      </w:r>
    </w:p>
    <w:p w:rsidR="001E7B45" w:rsidRPr="003F6656" w:rsidRDefault="001E7B45" w:rsidP="00986830">
      <w:pPr>
        <w:spacing w:after="0" w:line="240" w:lineRule="auto"/>
        <w:ind w:firstLine="709"/>
        <w:jc w:val="both"/>
        <w:rPr>
          <w:sz w:val="28"/>
          <w:szCs w:val="28"/>
        </w:rPr>
      </w:pPr>
      <w:r w:rsidRPr="003F6656">
        <w:rPr>
          <w:sz w:val="28"/>
          <w:szCs w:val="28"/>
        </w:rPr>
        <w:t xml:space="preserve">- в сельских населённых пунктах – </w:t>
      </w:r>
      <w:r w:rsidRPr="003E24B8">
        <w:rPr>
          <w:sz w:val="28"/>
          <w:szCs w:val="28"/>
        </w:rPr>
        <w:t>0,35826 руб./кВтч.,</w:t>
      </w:r>
      <w:r w:rsidRPr="003F6656">
        <w:rPr>
          <w:sz w:val="28"/>
          <w:szCs w:val="28"/>
        </w:rPr>
        <w:t xml:space="preserve"> </w:t>
      </w:r>
    </w:p>
    <w:p w:rsidR="001E7B45" w:rsidRPr="003F6656" w:rsidRDefault="001E7B45" w:rsidP="00986830">
      <w:pPr>
        <w:spacing w:after="0" w:line="240" w:lineRule="auto"/>
        <w:ind w:firstLine="709"/>
        <w:jc w:val="both"/>
        <w:rPr>
          <w:sz w:val="28"/>
          <w:szCs w:val="28"/>
        </w:rPr>
      </w:pPr>
      <w:r w:rsidRPr="00986830">
        <w:rPr>
          <w:sz w:val="28"/>
          <w:szCs w:val="28"/>
          <w:u w:val="single"/>
        </w:rPr>
        <w:t>на второе полугодие  года для проживающих (расположенных</w:t>
      </w:r>
      <w:r w:rsidRPr="003F6656">
        <w:rPr>
          <w:sz w:val="28"/>
          <w:szCs w:val="28"/>
        </w:rPr>
        <w:t>):</w:t>
      </w:r>
    </w:p>
    <w:p w:rsidR="001E7B45" w:rsidRPr="003F6656" w:rsidRDefault="001E7B45" w:rsidP="00986830">
      <w:pPr>
        <w:spacing w:after="0" w:line="240" w:lineRule="auto"/>
        <w:ind w:firstLine="709"/>
        <w:jc w:val="both"/>
        <w:rPr>
          <w:sz w:val="28"/>
          <w:szCs w:val="28"/>
        </w:rPr>
      </w:pPr>
      <w:r w:rsidRPr="003F6656">
        <w:rPr>
          <w:sz w:val="28"/>
          <w:szCs w:val="28"/>
        </w:rPr>
        <w:t xml:space="preserve">- в городских населённых пунктах </w:t>
      </w:r>
      <w:r w:rsidRPr="003F6656">
        <w:rPr>
          <w:rFonts w:eastAsia="Times New Roman"/>
          <w:sz w:val="28"/>
          <w:szCs w:val="28"/>
        </w:rPr>
        <w:t xml:space="preserve">(без учета дифференциации по зонам суток) </w:t>
      </w:r>
      <w:r w:rsidRPr="003E24B8">
        <w:rPr>
          <w:sz w:val="28"/>
          <w:szCs w:val="28"/>
        </w:rPr>
        <w:t>– 0,83571 руб./кВтч</w:t>
      </w:r>
      <w:r w:rsidRPr="003F6656">
        <w:rPr>
          <w:sz w:val="28"/>
          <w:szCs w:val="28"/>
        </w:rPr>
        <w:t>.,</w:t>
      </w:r>
    </w:p>
    <w:p w:rsidR="001E7B45" w:rsidRPr="003F6656" w:rsidRDefault="001E7B45" w:rsidP="00986830">
      <w:pPr>
        <w:spacing w:after="0" w:line="240" w:lineRule="auto"/>
        <w:ind w:firstLine="709"/>
        <w:jc w:val="both"/>
        <w:rPr>
          <w:sz w:val="28"/>
          <w:szCs w:val="28"/>
        </w:rPr>
      </w:pPr>
      <w:r w:rsidRPr="003F6656">
        <w:rPr>
          <w:sz w:val="28"/>
          <w:szCs w:val="28"/>
        </w:rPr>
        <w:t xml:space="preserve">- в сельских населённых пунктах </w:t>
      </w:r>
      <w:r w:rsidRPr="003E24B8">
        <w:rPr>
          <w:sz w:val="28"/>
          <w:szCs w:val="28"/>
        </w:rPr>
        <w:t>– 0,36905 руб</w:t>
      </w:r>
      <w:r w:rsidRPr="003F6656">
        <w:rPr>
          <w:sz w:val="28"/>
          <w:szCs w:val="28"/>
        </w:rPr>
        <w:t xml:space="preserve">./кВтч. </w:t>
      </w:r>
    </w:p>
    <w:p w:rsidR="001E7B45" w:rsidRPr="003F6656" w:rsidRDefault="001E7B45" w:rsidP="00986830">
      <w:pPr>
        <w:spacing w:after="0" w:line="240" w:lineRule="auto"/>
        <w:ind w:firstLine="709"/>
        <w:jc w:val="both"/>
        <w:rPr>
          <w:sz w:val="28"/>
          <w:szCs w:val="28"/>
        </w:rPr>
      </w:pPr>
      <w:r w:rsidRPr="003F6656">
        <w:rPr>
          <w:sz w:val="28"/>
          <w:szCs w:val="28"/>
        </w:rPr>
        <w:t xml:space="preserve">При этом экономически обоснованный тариф для населения и приравненных к нему категориям потребителей, рассчитанный исходя из экономически обоснованного тарифа на услуги по передаче электрической энергии на низком уровне напряжения (без НДС) составляет: </w:t>
      </w:r>
    </w:p>
    <w:p w:rsidR="001E7B45" w:rsidRPr="00AF77C4" w:rsidRDefault="001E7B45" w:rsidP="00986830">
      <w:pPr>
        <w:spacing w:after="0" w:line="240" w:lineRule="auto"/>
        <w:ind w:firstLine="709"/>
        <w:jc w:val="both"/>
        <w:rPr>
          <w:sz w:val="28"/>
          <w:szCs w:val="28"/>
        </w:rPr>
      </w:pPr>
      <w:r w:rsidRPr="003F6656">
        <w:rPr>
          <w:sz w:val="28"/>
          <w:szCs w:val="28"/>
        </w:rPr>
        <w:t xml:space="preserve">на первое полугодие </w:t>
      </w:r>
      <w:r w:rsidRPr="00AF77C4">
        <w:rPr>
          <w:sz w:val="28"/>
          <w:szCs w:val="28"/>
        </w:rPr>
        <w:t>- 3,28162 руб./кВтч. (3,94 руб./кВтч. с НДС);</w:t>
      </w:r>
    </w:p>
    <w:p w:rsidR="001E7B45" w:rsidRPr="00AF77C4" w:rsidRDefault="001E7B45" w:rsidP="00986830">
      <w:pPr>
        <w:spacing w:after="0" w:line="240" w:lineRule="auto"/>
        <w:ind w:firstLine="709"/>
        <w:jc w:val="both"/>
        <w:rPr>
          <w:sz w:val="28"/>
          <w:szCs w:val="28"/>
        </w:rPr>
      </w:pPr>
      <w:r w:rsidRPr="00AF77C4">
        <w:rPr>
          <w:sz w:val="28"/>
          <w:szCs w:val="28"/>
        </w:rPr>
        <w:t>на второе полугодие - 3,44926 руб./кВтч. (4,14 руб./кВтч. с НДС).</w:t>
      </w:r>
    </w:p>
    <w:p w:rsidR="001E7B45" w:rsidRPr="003F6656" w:rsidRDefault="001E7B45" w:rsidP="00986830">
      <w:pPr>
        <w:spacing w:after="0" w:line="240" w:lineRule="auto"/>
        <w:ind w:firstLine="709"/>
        <w:jc w:val="both"/>
      </w:pPr>
      <w:r w:rsidRPr="00130D72">
        <w:rPr>
          <w:sz w:val="28"/>
          <w:szCs w:val="28"/>
        </w:rPr>
        <w:t>Сумма перекрёстного субсидирования в 2020 году составит</w:t>
      </w:r>
      <w:r w:rsidRPr="00130D72">
        <w:rPr>
          <w:color w:val="FF0000"/>
          <w:sz w:val="28"/>
          <w:szCs w:val="28"/>
        </w:rPr>
        <w:t xml:space="preserve"> </w:t>
      </w:r>
      <w:r w:rsidRPr="00130D72">
        <w:rPr>
          <w:sz w:val="28"/>
          <w:szCs w:val="28"/>
        </w:rPr>
        <w:t>4 510,15 млн. руб.</w:t>
      </w:r>
    </w:p>
    <w:p w:rsidR="001E7B45" w:rsidRDefault="001E7B45" w:rsidP="00986830">
      <w:pPr>
        <w:spacing w:after="0" w:line="240" w:lineRule="auto"/>
        <w:ind w:firstLine="709"/>
        <w:jc w:val="both"/>
        <w:rPr>
          <w:b/>
          <w:sz w:val="28"/>
          <w:szCs w:val="28"/>
        </w:rPr>
      </w:pPr>
    </w:p>
    <w:p w:rsidR="001E7B45" w:rsidRDefault="001E7B45" w:rsidP="00986830">
      <w:pPr>
        <w:spacing w:after="0" w:line="240" w:lineRule="auto"/>
        <w:ind w:firstLine="709"/>
        <w:jc w:val="both"/>
        <w:rPr>
          <w:b/>
          <w:sz w:val="28"/>
          <w:szCs w:val="28"/>
        </w:rPr>
      </w:pPr>
      <w:r w:rsidRPr="00316AB1">
        <w:rPr>
          <w:b/>
          <w:sz w:val="28"/>
          <w:szCs w:val="28"/>
        </w:rPr>
        <w:t>2</w:t>
      </w:r>
      <w:r>
        <w:rPr>
          <w:b/>
          <w:sz w:val="28"/>
          <w:szCs w:val="28"/>
        </w:rPr>
        <w:t>.1.</w:t>
      </w:r>
      <w:r w:rsidR="00986830">
        <w:rPr>
          <w:b/>
          <w:sz w:val="28"/>
          <w:szCs w:val="28"/>
        </w:rPr>
        <w:t>4</w:t>
      </w:r>
      <w:r w:rsidRPr="00D571B7">
        <w:rPr>
          <w:b/>
          <w:sz w:val="28"/>
          <w:szCs w:val="28"/>
        </w:rPr>
        <w:t xml:space="preserve"> </w:t>
      </w:r>
      <w:r w:rsidRPr="00316AB1">
        <w:rPr>
          <w:b/>
          <w:sz w:val="28"/>
          <w:szCs w:val="28"/>
        </w:rPr>
        <w:t>Формирование (корректировка) тарифов на услуги по передаче электрической энергии для потребителей услуг, находящихся (расположенных) на т</w:t>
      </w:r>
      <w:r>
        <w:rPr>
          <w:b/>
          <w:sz w:val="28"/>
          <w:szCs w:val="28"/>
        </w:rPr>
        <w:t>ерритории Новосибирской области.</w:t>
      </w:r>
    </w:p>
    <w:p w:rsidR="001E7B45" w:rsidRPr="00642F42" w:rsidRDefault="001E7B45" w:rsidP="00986830">
      <w:pPr>
        <w:pStyle w:val="af7"/>
        <w:spacing w:after="0" w:line="240" w:lineRule="auto"/>
        <w:ind w:left="0" w:firstLine="709"/>
        <w:jc w:val="both"/>
        <w:rPr>
          <w:sz w:val="28"/>
          <w:szCs w:val="28"/>
        </w:rPr>
      </w:pPr>
      <w:r w:rsidRPr="004559CF">
        <w:rPr>
          <w:sz w:val="28"/>
          <w:szCs w:val="28"/>
        </w:rPr>
        <w:t>В соответствии с требованиями п. 49 Методических указаний по расчету регулируемых тарифов и цен на электрическую (тепловую) энергию на розничном (потр</w:t>
      </w:r>
      <w:r>
        <w:rPr>
          <w:sz w:val="28"/>
          <w:szCs w:val="28"/>
        </w:rPr>
        <w:t>ебительском) рынке, утвержденных</w:t>
      </w:r>
      <w:r w:rsidRPr="004559CF">
        <w:rPr>
          <w:sz w:val="28"/>
          <w:szCs w:val="28"/>
        </w:rPr>
        <w:t xml:space="preserve"> приказом </w:t>
      </w:r>
      <w:r w:rsidRPr="00365EB8">
        <w:rPr>
          <w:sz w:val="28"/>
          <w:szCs w:val="28"/>
        </w:rPr>
        <w:t>Ф</w:t>
      </w:r>
      <w:r w:rsidR="00494D0A">
        <w:rPr>
          <w:sz w:val="28"/>
          <w:szCs w:val="28"/>
        </w:rPr>
        <w:t>СТ России</w:t>
      </w:r>
      <w:r w:rsidRPr="00365EB8">
        <w:rPr>
          <w:sz w:val="28"/>
          <w:szCs w:val="28"/>
        </w:rPr>
        <w:t xml:space="preserve"> от 6 августа 2004г. №</w:t>
      </w:r>
      <w:r>
        <w:rPr>
          <w:sz w:val="28"/>
          <w:szCs w:val="28"/>
        </w:rPr>
        <w:t xml:space="preserve"> </w:t>
      </w:r>
      <w:r w:rsidRPr="00365EB8">
        <w:rPr>
          <w:sz w:val="28"/>
          <w:szCs w:val="28"/>
        </w:rPr>
        <w:t>20-э/2 (далее Методические указания), расчет</w:t>
      </w:r>
      <w:r w:rsidRPr="004559CF">
        <w:rPr>
          <w:sz w:val="28"/>
          <w:szCs w:val="28"/>
        </w:rPr>
        <w:t xml:space="preserve"> единых (котловых) на территории Новосибирской области тарифов на услуги по передаче электрической энергии, дифференцированных по уровням напряжения, для потребителей услуг по передаче электрической энергии (кроме сетевых организаций), независимо от того, к сетям какой сетевой организации они присоединены</w:t>
      </w:r>
      <w:r w:rsidRPr="00794B20">
        <w:rPr>
          <w:sz w:val="28"/>
          <w:szCs w:val="28"/>
        </w:rPr>
        <w:t>, произведён</w:t>
      </w:r>
      <w:r w:rsidRPr="004559CF">
        <w:rPr>
          <w:sz w:val="28"/>
          <w:szCs w:val="28"/>
        </w:rPr>
        <w:t xml:space="preserve"> на основе </w:t>
      </w:r>
      <w:r>
        <w:rPr>
          <w:sz w:val="28"/>
          <w:szCs w:val="28"/>
        </w:rPr>
        <w:t>НВВ</w:t>
      </w:r>
      <w:r w:rsidRPr="004559CF">
        <w:rPr>
          <w:sz w:val="28"/>
          <w:szCs w:val="28"/>
        </w:rPr>
        <w:t>, рассчитанной в соответствии с пунктом 47 Методических указаний для каждой сетевой организации, расположенной на территории Новосибирской области,</w:t>
      </w:r>
      <w:r w:rsidRPr="004559CF">
        <w:t xml:space="preserve"> </w:t>
      </w:r>
      <w:r w:rsidRPr="00642F42">
        <w:rPr>
          <w:sz w:val="28"/>
          <w:szCs w:val="28"/>
        </w:rPr>
        <w:t>и объема оказываемых услуг по передаче электрической энергии.</w:t>
      </w:r>
    </w:p>
    <w:p w:rsidR="001E7B45" w:rsidRPr="00766778" w:rsidRDefault="001E7B45" w:rsidP="00986830">
      <w:pPr>
        <w:spacing w:after="0" w:line="240" w:lineRule="auto"/>
        <w:ind w:firstLine="851"/>
        <w:jc w:val="both"/>
        <w:rPr>
          <w:sz w:val="28"/>
          <w:szCs w:val="28"/>
        </w:rPr>
      </w:pPr>
      <w:r w:rsidRPr="00766778">
        <w:rPr>
          <w:sz w:val="28"/>
          <w:szCs w:val="28"/>
        </w:rPr>
        <w:t>В указанной НВВ для расчёта единых (котловых) тарифов на услуги по передаче электрической энергии на 20</w:t>
      </w:r>
      <w:r>
        <w:rPr>
          <w:sz w:val="28"/>
          <w:szCs w:val="28"/>
        </w:rPr>
        <w:t>20</w:t>
      </w:r>
      <w:r w:rsidRPr="00766778">
        <w:rPr>
          <w:sz w:val="28"/>
          <w:szCs w:val="28"/>
        </w:rPr>
        <w:t xml:space="preserve"> год </w:t>
      </w:r>
      <w:r w:rsidR="00577FA1">
        <w:rPr>
          <w:sz w:val="28"/>
          <w:szCs w:val="28"/>
        </w:rPr>
        <w:t>Д</w:t>
      </w:r>
      <w:r w:rsidRPr="00766778">
        <w:rPr>
          <w:sz w:val="28"/>
          <w:szCs w:val="28"/>
        </w:rPr>
        <w:t xml:space="preserve">епартаментом учтены расходы </w:t>
      </w:r>
      <w:r>
        <w:rPr>
          <w:sz w:val="28"/>
          <w:szCs w:val="28"/>
        </w:rPr>
        <w:t>37</w:t>
      </w:r>
      <w:r w:rsidRPr="00766778">
        <w:rPr>
          <w:sz w:val="28"/>
          <w:szCs w:val="28"/>
        </w:rPr>
        <w:t xml:space="preserve"> территориальных сетевых организаций, включая АО </w:t>
      </w:r>
      <w:r>
        <w:rPr>
          <w:sz w:val="28"/>
          <w:szCs w:val="28"/>
        </w:rPr>
        <w:t>«РЭС»</w:t>
      </w:r>
      <w:r w:rsidRPr="00766778">
        <w:rPr>
          <w:sz w:val="28"/>
          <w:szCs w:val="28"/>
        </w:rPr>
        <w:t xml:space="preserve"> (в НВВ 201</w:t>
      </w:r>
      <w:r>
        <w:rPr>
          <w:sz w:val="28"/>
          <w:szCs w:val="28"/>
        </w:rPr>
        <w:t>9</w:t>
      </w:r>
      <w:r w:rsidRPr="00766778">
        <w:rPr>
          <w:sz w:val="28"/>
          <w:szCs w:val="28"/>
        </w:rPr>
        <w:t xml:space="preserve">г. – </w:t>
      </w:r>
      <w:r>
        <w:rPr>
          <w:sz w:val="28"/>
          <w:szCs w:val="28"/>
        </w:rPr>
        <w:t>38</w:t>
      </w:r>
      <w:r w:rsidRPr="00766778">
        <w:rPr>
          <w:sz w:val="28"/>
          <w:szCs w:val="28"/>
        </w:rPr>
        <w:t xml:space="preserve"> организаци</w:t>
      </w:r>
      <w:r>
        <w:rPr>
          <w:sz w:val="28"/>
          <w:szCs w:val="28"/>
        </w:rPr>
        <w:t>и</w:t>
      </w:r>
      <w:r w:rsidRPr="00766778">
        <w:rPr>
          <w:sz w:val="28"/>
          <w:szCs w:val="28"/>
        </w:rPr>
        <w:t>).</w:t>
      </w:r>
    </w:p>
    <w:p w:rsidR="001E7B45" w:rsidRPr="00766778" w:rsidRDefault="001E7B45" w:rsidP="00986830">
      <w:pPr>
        <w:spacing w:after="0" w:line="240" w:lineRule="auto"/>
        <w:ind w:firstLine="851"/>
        <w:jc w:val="both"/>
        <w:rPr>
          <w:sz w:val="28"/>
          <w:szCs w:val="28"/>
        </w:rPr>
      </w:pPr>
      <w:r w:rsidRPr="00766778">
        <w:rPr>
          <w:sz w:val="28"/>
          <w:szCs w:val="28"/>
        </w:rPr>
        <w:t>Основным поставщиком услуг по передаче электрической энергии на территории Новосибирской области является региональная сетевая компания АО «РЭС»,</w:t>
      </w:r>
      <w:r w:rsidRPr="00766778">
        <w:rPr>
          <w:bCs/>
          <w:sz w:val="28"/>
          <w:szCs w:val="28"/>
        </w:rPr>
        <w:t xml:space="preserve"> которая является котлодержателем на территории Новосибирской области</w:t>
      </w:r>
      <w:r>
        <w:rPr>
          <w:bCs/>
          <w:sz w:val="28"/>
          <w:szCs w:val="28"/>
        </w:rPr>
        <w:t>. С</w:t>
      </w:r>
      <w:r w:rsidRPr="00766778">
        <w:rPr>
          <w:bCs/>
          <w:sz w:val="28"/>
          <w:szCs w:val="28"/>
        </w:rPr>
        <w:t xml:space="preserve">огласно договору на оказание услуг по передаче электрической энергии, заключенному </w:t>
      </w:r>
      <w:r>
        <w:rPr>
          <w:bCs/>
          <w:sz w:val="28"/>
          <w:szCs w:val="28"/>
        </w:rPr>
        <w:t xml:space="preserve">между АО «РЭС» и </w:t>
      </w:r>
      <w:r w:rsidRPr="00766778">
        <w:rPr>
          <w:bCs/>
          <w:sz w:val="28"/>
          <w:szCs w:val="28"/>
        </w:rPr>
        <w:t>АО «Новосибирскэнергосбыт», взаиморасчеты между ними осуществляются по (единым) котловым тарифам на услуги по передаче электрической энергии.</w:t>
      </w:r>
      <w:r w:rsidRPr="00766778">
        <w:rPr>
          <w:sz w:val="28"/>
          <w:szCs w:val="28"/>
        </w:rPr>
        <w:t xml:space="preserve"> </w:t>
      </w:r>
    </w:p>
    <w:p w:rsidR="001E7B45" w:rsidRPr="00766778" w:rsidRDefault="001E7B45" w:rsidP="00986830">
      <w:pPr>
        <w:spacing w:after="0" w:line="240" w:lineRule="auto"/>
        <w:ind w:firstLine="851"/>
        <w:jc w:val="both"/>
        <w:rPr>
          <w:sz w:val="28"/>
          <w:szCs w:val="28"/>
        </w:rPr>
      </w:pPr>
      <w:r w:rsidRPr="00766778">
        <w:rPr>
          <w:sz w:val="28"/>
          <w:szCs w:val="28"/>
        </w:rPr>
        <w:t xml:space="preserve">Кроме того, услуги по передаче электрической энергии оказывают </w:t>
      </w:r>
      <w:r>
        <w:rPr>
          <w:sz w:val="28"/>
          <w:szCs w:val="28"/>
        </w:rPr>
        <w:t xml:space="preserve">смежные сетевые организации, у которых заключены договоры на услуги по передаче электрической энергии с </w:t>
      </w:r>
      <w:r>
        <w:rPr>
          <w:bCs/>
          <w:sz w:val="28"/>
          <w:szCs w:val="28"/>
        </w:rPr>
        <w:t xml:space="preserve">АО «РЭС» и </w:t>
      </w:r>
      <w:r w:rsidRPr="00766778">
        <w:rPr>
          <w:sz w:val="28"/>
          <w:szCs w:val="28"/>
        </w:rPr>
        <w:t>взаиморасч</w:t>
      </w:r>
      <w:r>
        <w:rPr>
          <w:sz w:val="28"/>
          <w:szCs w:val="28"/>
        </w:rPr>
        <w:t xml:space="preserve">ёты </w:t>
      </w:r>
      <w:r w:rsidRPr="00766778">
        <w:rPr>
          <w:sz w:val="28"/>
          <w:szCs w:val="28"/>
        </w:rPr>
        <w:t xml:space="preserve"> </w:t>
      </w:r>
      <w:r>
        <w:rPr>
          <w:sz w:val="28"/>
          <w:szCs w:val="28"/>
        </w:rPr>
        <w:t xml:space="preserve">осуществляются по </w:t>
      </w:r>
      <w:r>
        <w:rPr>
          <w:sz w:val="28"/>
          <w:szCs w:val="28"/>
        </w:rPr>
        <w:lastRenderedPageBreak/>
        <w:t>индивидуальным тарифам</w:t>
      </w:r>
      <w:r w:rsidRPr="00766778">
        <w:rPr>
          <w:sz w:val="28"/>
          <w:szCs w:val="28"/>
        </w:rPr>
        <w:t xml:space="preserve"> на услуги по передаче электрической</w:t>
      </w:r>
      <w:r>
        <w:rPr>
          <w:sz w:val="28"/>
          <w:szCs w:val="28"/>
        </w:rPr>
        <w:t xml:space="preserve">, установленным </w:t>
      </w:r>
      <w:r w:rsidR="00986830">
        <w:rPr>
          <w:sz w:val="28"/>
          <w:szCs w:val="28"/>
        </w:rPr>
        <w:t>Д</w:t>
      </w:r>
      <w:r w:rsidRPr="00766778">
        <w:rPr>
          <w:sz w:val="28"/>
          <w:szCs w:val="28"/>
        </w:rPr>
        <w:t>епартаменто</w:t>
      </w:r>
      <w:r>
        <w:rPr>
          <w:sz w:val="28"/>
          <w:szCs w:val="28"/>
        </w:rPr>
        <w:t>м.</w:t>
      </w:r>
      <w:r w:rsidRPr="00766778">
        <w:rPr>
          <w:sz w:val="28"/>
          <w:szCs w:val="28"/>
        </w:rPr>
        <w:t xml:space="preserve"> </w:t>
      </w:r>
    </w:p>
    <w:p w:rsidR="001E7B45" w:rsidRDefault="001E7B45" w:rsidP="00986830">
      <w:pPr>
        <w:spacing w:after="0" w:line="240" w:lineRule="auto"/>
        <w:ind w:firstLine="851"/>
        <w:jc w:val="both"/>
        <w:rPr>
          <w:bCs/>
          <w:sz w:val="28"/>
          <w:szCs w:val="28"/>
        </w:rPr>
      </w:pPr>
      <w:r w:rsidRPr="00766778">
        <w:rPr>
          <w:sz w:val="28"/>
          <w:szCs w:val="28"/>
        </w:rPr>
        <w:t xml:space="preserve">При регулировании цен (тарифов) на услуги по передаче электрической энергии по электрическим сетям, принадлежащим на праве собственности или на ином законном основании территориальным сетевым организациям, </w:t>
      </w:r>
      <w:r w:rsidR="00986830">
        <w:rPr>
          <w:sz w:val="28"/>
          <w:szCs w:val="28"/>
        </w:rPr>
        <w:t>Д</w:t>
      </w:r>
      <w:r w:rsidRPr="00766778">
        <w:rPr>
          <w:sz w:val="28"/>
          <w:szCs w:val="28"/>
        </w:rPr>
        <w:t xml:space="preserve">епартаментом применялись следующие методы регулирования: экономически </w:t>
      </w:r>
      <w:r>
        <w:rPr>
          <w:sz w:val="28"/>
          <w:szCs w:val="28"/>
        </w:rPr>
        <w:t xml:space="preserve">обоснованных расходов (затрат), </w:t>
      </w:r>
      <w:r w:rsidRPr="00766778">
        <w:rPr>
          <w:bCs/>
          <w:sz w:val="28"/>
          <w:szCs w:val="28"/>
        </w:rPr>
        <w:t>долгосрочной индексации необходимой валовой выручки</w:t>
      </w:r>
      <w:r>
        <w:rPr>
          <w:bCs/>
          <w:sz w:val="28"/>
          <w:szCs w:val="28"/>
        </w:rPr>
        <w:t xml:space="preserve"> и метод сравнения аналогов</w:t>
      </w:r>
      <w:r w:rsidRPr="00766778">
        <w:rPr>
          <w:bCs/>
          <w:sz w:val="28"/>
          <w:szCs w:val="28"/>
        </w:rPr>
        <w:t>.</w:t>
      </w:r>
    </w:p>
    <w:p w:rsidR="001E7B45" w:rsidRDefault="001E7B45" w:rsidP="00986830">
      <w:pPr>
        <w:spacing w:after="0" w:line="240" w:lineRule="auto"/>
        <w:ind w:firstLine="851"/>
        <w:jc w:val="both"/>
        <w:rPr>
          <w:bCs/>
          <w:sz w:val="28"/>
          <w:szCs w:val="28"/>
        </w:rPr>
      </w:pPr>
    </w:p>
    <w:p w:rsidR="001E7B45" w:rsidRPr="00D27718" w:rsidRDefault="001E7B45" w:rsidP="00986830">
      <w:pPr>
        <w:spacing w:after="0" w:line="240" w:lineRule="auto"/>
        <w:ind w:firstLine="851"/>
        <w:jc w:val="both"/>
        <w:rPr>
          <w:b/>
          <w:sz w:val="28"/>
          <w:szCs w:val="28"/>
        </w:rPr>
      </w:pPr>
      <w:r>
        <w:rPr>
          <w:b/>
          <w:sz w:val="28"/>
          <w:szCs w:val="28"/>
        </w:rPr>
        <w:t>2.1.</w:t>
      </w:r>
      <w:r w:rsidR="00986830">
        <w:rPr>
          <w:b/>
          <w:sz w:val="28"/>
          <w:szCs w:val="28"/>
        </w:rPr>
        <w:t>4</w:t>
      </w:r>
      <w:r>
        <w:rPr>
          <w:b/>
          <w:sz w:val="28"/>
          <w:szCs w:val="28"/>
        </w:rPr>
        <w:t>.1</w:t>
      </w:r>
      <w:r w:rsidRPr="00D27718">
        <w:rPr>
          <w:b/>
          <w:sz w:val="28"/>
          <w:szCs w:val="28"/>
        </w:rPr>
        <w:t xml:space="preserve">. Формирование (корректировка) НВВ и индивидуальных тарифов на услуги по передаче электрической энергии </w:t>
      </w:r>
      <w:r>
        <w:rPr>
          <w:b/>
          <w:sz w:val="28"/>
          <w:szCs w:val="28"/>
        </w:rPr>
        <w:t xml:space="preserve">смежных </w:t>
      </w:r>
      <w:r w:rsidRPr="00D27718">
        <w:rPr>
          <w:b/>
          <w:sz w:val="28"/>
          <w:szCs w:val="28"/>
        </w:rPr>
        <w:t>территориальных сетевых организаций</w:t>
      </w:r>
      <w:r w:rsidRPr="00D27718">
        <w:rPr>
          <w:b/>
          <w:color w:val="000000"/>
          <w:sz w:val="28"/>
          <w:szCs w:val="28"/>
        </w:rPr>
        <w:t>.</w:t>
      </w:r>
      <w:r w:rsidRPr="00D27718">
        <w:rPr>
          <w:b/>
          <w:sz w:val="28"/>
          <w:szCs w:val="28"/>
        </w:rPr>
        <w:t xml:space="preserve"> </w:t>
      </w:r>
    </w:p>
    <w:p w:rsidR="001E7B45" w:rsidRPr="00BC423B" w:rsidRDefault="001E7B45" w:rsidP="00986830">
      <w:pPr>
        <w:spacing w:after="0" w:line="240" w:lineRule="auto"/>
        <w:ind w:firstLine="709"/>
        <w:jc w:val="both"/>
        <w:rPr>
          <w:sz w:val="28"/>
          <w:szCs w:val="28"/>
        </w:rPr>
      </w:pPr>
      <w:r w:rsidRPr="00336CB2">
        <w:rPr>
          <w:sz w:val="28"/>
          <w:szCs w:val="28"/>
        </w:rPr>
        <w:t>В 201</w:t>
      </w:r>
      <w:r>
        <w:rPr>
          <w:sz w:val="28"/>
          <w:szCs w:val="28"/>
        </w:rPr>
        <w:t>9</w:t>
      </w:r>
      <w:r w:rsidRPr="00336CB2">
        <w:rPr>
          <w:sz w:val="28"/>
          <w:szCs w:val="28"/>
        </w:rPr>
        <w:t xml:space="preserve"> году в </w:t>
      </w:r>
      <w:r w:rsidR="00986830">
        <w:rPr>
          <w:sz w:val="28"/>
          <w:szCs w:val="28"/>
        </w:rPr>
        <w:t>Д</w:t>
      </w:r>
      <w:r w:rsidRPr="00336CB2">
        <w:rPr>
          <w:sz w:val="28"/>
          <w:szCs w:val="28"/>
        </w:rPr>
        <w:t xml:space="preserve">епартамент обратилось </w:t>
      </w:r>
      <w:r>
        <w:rPr>
          <w:sz w:val="28"/>
          <w:szCs w:val="28"/>
        </w:rPr>
        <w:t>3</w:t>
      </w:r>
      <w:r w:rsidRPr="00BC423B">
        <w:rPr>
          <w:sz w:val="28"/>
          <w:szCs w:val="28"/>
        </w:rPr>
        <w:t xml:space="preserve"> н</w:t>
      </w:r>
      <w:r>
        <w:rPr>
          <w:sz w:val="28"/>
          <w:szCs w:val="28"/>
        </w:rPr>
        <w:t xml:space="preserve">овых смежных сетевых </w:t>
      </w:r>
      <w:r w:rsidRPr="00336CB2">
        <w:rPr>
          <w:sz w:val="28"/>
          <w:szCs w:val="28"/>
        </w:rPr>
        <w:t>организаци</w:t>
      </w:r>
      <w:r>
        <w:rPr>
          <w:sz w:val="28"/>
          <w:szCs w:val="28"/>
        </w:rPr>
        <w:t xml:space="preserve">и по вопросу установления </w:t>
      </w:r>
      <w:r w:rsidRPr="00336CB2">
        <w:rPr>
          <w:sz w:val="28"/>
          <w:szCs w:val="28"/>
        </w:rPr>
        <w:t>индивидуальных тарифов на услуги по передаче электрической энергии</w:t>
      </w:r>
      <w:r>
        <w:rPr>
          <w:sz w:val="28"/>
          <w:szCs w:val="28"/>
        </w:rPr>
        <w:t xml:space="preserve"> для взаиморасчетов между двумя сетевыми организациями</w:t>
      </w:r>
      <w:r w:rsidRPr="00DF0679">
        <w:rPr>
          <w:sz w:val="28"/>
          <w:szCs w:val="28"/>
        </w:rPr>
        <w:t xml:space="preserve"> </w:t>
      </w:r>
      <w:r>
        <w:rPr>
          <w:sz w:val="28"/>
          <w:szCs w:val="28"/>
        </w:rPr>
        <w:t xml:space="preserve">на 2019 </w:t>
      </w:r>
      <w:r w:rsidRPr="00BC423B">
        <w:rPr>
          <w:sz w:val="28"/>
          <w:szCs w:val="28"/>
        </w:rPr>
        <w:t>год (ООО «</w:t>
      </w:r>
      <w:r>
        <w:rPr>
          <w:sz w:val="28"/>
          <w:szCs w:val="28"/>
        </w:rPr>
        <w:t>НСК Электросеть</w:t>
      </w:r>
      <w:r w:rsidRPr="00BC423B">
        <w:rPr>
          <w:sz w:val="28"/>
          <w:szCs w:val="28"/>
        </w:rPr>
        <w:t>»</w:t>
      </w:r>
      <w:r>
        <w:rPr>
          <w:sz w:val="28"/>
          <w:szCs w:val="28"/>
        </w:rPr>
        <w:t>, ООО ИЦ «Сибирьэнергия», ООО «КВТ-Сеть»</w:t>
      </w:r>
      <w:r w:rsidRPr="00BC423B">
        <w:rPr>
          <w:sz w:val="28"/>
          <w:szCs w:val="28"/>
        </w:rPr>
        <w:t>)</w:t>
      </w:r>
      <w:r>
        <w:rPr>
          <w:sz w:val="28"/>
          <w:szCs w:val="28"/>
        </w:rPr>
        <w:t xml:space="preserve">. </w:t>
      </w:r>
    </w:p>
    <w:p w:rsidR="001E7B45" w:rsidRPr="00CD0E0A" w:rsidRDefault="001E7B45" w:rsidP="00986830">
      <w:pPr>
        <w:pStyle w:val="22"/>
        <w:spacing w:after="0" w:line="240" w:lineRule="auto"/>
        <w:ind w:firstLine="709"/>
        <w:jc w:val="both"/>
        <w:rPr>
          <w:bCs/>
          <w:sz w:val="28"/>
          <w:szCs w:val="28"/>
        </w:rPr>
      </w:pPr>
      <w:r w:rsidRPr="00CD0E0A">
        <w:rPr>
          <w:sz w:val="28"/>
          <w:szCs w:val="28"/>
        </w:rPr>
        <w:t>Исходя из представленных указанными организациями о</w:t>
      </w:r>
      <w:r>
        <w:rPr>
          <w:sz w:val="28"/>
          <w:szCs w:val="28"/>
        </w:rPr>
        <w:t xml:space="preserve">босновывающих материалов следовало, что они </w:t>
      </w:r>
      <w:r w:rsidRPr="00B061DF">
        <w:rPr>
          <w:sz w:val="28"/>
          <w:szCs w:val="28"/>
        </w:rPr>
        <w:t>соответствовали Критериям</w:t>
      </w:r>
      <w:r w:rsidRPr="00CD0E0A">
        <w:rPr>
          <w:sz w:val="28"/>
          <w:szCs w:val="28"/>
        </w:rPr>
        <w:t xml:space="preserve"> отнесения владельцев объектов электросетевого хозяйства к территориальным сетевым организациям, утвержденным постановлением Правительства РФ от 28.02.2015 № 184</w:t>
      </w:r>
      <w:r>
        <w:rPr>
          <w:sz w:val="28"/>
          <w:szCs w:val="28"/>
        </w:rPr>
        <w:t xml:space="preserve"> (далее – Критерии)</w:t>
      </w:r>
      <w:r w:rsidRPr="00CD0E0A">
        <w:rPr>
          <w:sz w:val="28"/>
          <w:szCs w:val="28"/>
        </w:rPr>
        <w:t>.</w:t>
      </w:r>
    </w:p>
    <w:p w:rsidR="001E7B45" w:rsidRPr="00BE38AC" w:rsidRDefault="001E7B45" w:rsidP="00986830">
      <w:pPr>
        <w:spacing w:after="0" w:line="240" w:lineRule="auto"/>
        <w:ind w:firstLine="709"/>
        <w:jc w:val="both"/>
        <w:rPr>
          <w:sz w:val="28"/>
          <w:szCs w:val="28"/>
        </w:rPr>
      </w:pPr>
      <w:r>
        <w:rPr>
          <w:sz w:val="28"/>
          <w:szCs w:val="28"/>
        </w:rPr>
        <w:t>Департаментом утверждены соответствующие тарифы</w:t>
      </w:r>
      <w:r w:rsidRPr="006D1988">
        <w:rPr>
          <w:sz w:val="28"/>
          <w:szCs w:val="28"/>
        </w:rPr>
        <w:t xml:space="preserve"> </w:t>
      </w:r>
      <w:r>
        <w:rPr>
          <w:sz w:val="28"/>
          <w:szCs w:val="28"/>
        </w:rPr>
        <w:t xml:space="preserve">в отношении следующих сетевых организаций: </w:t>
      </w:r>
      <w:r w:rsidRPr="00021226">
        <w:rPr>
          <w:sz w:val="28"/>
          <w:szCs w:val="28"/>
        </w:rPr>
        <w:t>ООО «НСК Электросеть», ООО ИЦ «Сибирьэнергия», ООО «КВТ-Сеть»</w:t>
      </w:r>
      <w:r>
        <w:rPr>
          <w:sz w:val="28"/>
          <w:szCs w:val="28"/>
        </w:rPr>
        <w:t xml:space="preserve">. </w:t>
      </w:r>
    </w:p>
    <w:p w:rsidR="001E7B45" w:rsidRDefault="001E7B45" w:rsidP="00986830">
      <w:pPr>
        <w:spacing w:after="0" w:line="240" w:lineRule="auto"/>
        <w:ind w:firstLine="709"/>
        <w:jc w:val="both"/>
        <w:rPr>
          <w:sz w:val="28"/>
          <w:szCs w:val="28"/>
        </w:rPr>
      </w:pPr>
      <w:r>
        <w:rPr>
          <w:sz w:val="28"/>
          <w:szCs w:val="28"/>
        </w:rPr>
        <w:t>Кроме того, в</w:t>
      </w:r>
      <w:r w:rsidRPr="00336CB2">
        <w:rPr>
          <w:sz w:val="28"/>
          <w:szCs w:val="28"/>
        </w:rPr>
        <w:t xml:space="preserve"> 201</w:t>
      </w:r>
      <w:r>
        <w:rPr>
          <w:sz w:val="28"/>
          <w:szCs w:val="28"/>
        </w:rPr>
        <w:t>9</w:t>
      </w:r>
      <w:r w:rsidRPr="00336CB2">
        <w:rPr>
          <w:sz w:val="28"/>
          <w:szCs w:val="28"/>
        </w:rPr>
        <w:t xml:space="preserve"> году в</w:t>
      </w:r>
      <w:r>
        <w:rPr>
          <w:sz w:val="28"/>
          <w:szCs w:val="28"/>
        </w:rPr>
        <w:t xml:space="preserve"> департамент обратилось 17</w:t>
      </w:r>
      <w:r w:rsidRPr="00256D4E">
        <w:rPr>
          <w:sz w:val="28"/>
          <w:szCs w:val="28"/>
        </w:rPr>
        <w:t xml:space="preserve"> смежных сетевых</w:t>
      </w:r>
      <w:r>
        <w:rPr>
          <w:sz w:val="28"/>
          <w:szCs w:val="28"/>
        </w:rPr>
        <w:t xml:space="preserve"> </w:t>
      </w:r>
      <w:r w:rsidRPr="00336CB2">
        <w:rPr>
          <w:sz w:val="28"/>
          <w:szCs w:val="28"/>
        </w:rPr>
        <w:t>организаци</w:t>
      </w:r>
      <w:r>
        <w:rPr>
          <w:sz w:val="28"/>
          <w:szCs w:val="28"/>
        </w:rPr>
        <w:t>й</w:t>
      </w:r>
      <w:r w:rsidRPr="00336CB2">
        <w:rPr>
          <w:sz w:val="28"/>
          <w:szCs w:val="28"/>
        </w:rPr>
        <w:t xml:space="preserve"> по вопросу установления:</w:t>
      </w:r>
    </w:p>
    <w:p w:rsidR="001E7B45" w:rsidRPr="00B432F6" w:rsidRDefault="001E7B45" w:rsidP="00986830">
      <w:pPr>
        <w:spacing w:after="0" w:line="240" w:lineRule="auto"/>
        <w:ind w:firstLine="709"/>
        <w:jc w:val="both"/>
        <w:rPr>
          <w:color w:val="FF0000"/>
          <w:sz w:val="28"/>
          <w:szCs w:val="28"/>
        </w:rPr>
      </w:pPr>
      <w:r>
        <w:rPr>
          <w:sz w:val="28"/>
          <w:szCs w:val="28"/>
        </w:rPr>
        <w:t xml:space="preserve">- </w:t>
      </w:r>
      <w:r w:rsidRPr="00336CB2">
        <w:rPr>
          <w:sz w:val="28"/>
          <w:szCs w:val="28"/>
        </w:rPr>
        <w:t>долгосрочных параметров регулирования</w:t>
      </w:r>
      <w:r>
        <w:rPr>
          <w:sz w:val="28"/>
          <w:szCs w:val="28"/>
        </w:rPr>
        <w:t xml:space="preserve">, НВВ </w:t>
      </w:r>
      <w:r w:rsidRPr="00336CB2">
        <w:rPr>
          <w:sz w:val="28"/>
          <w:szCs w:val="28"/>
        </w:rPr>
        <w:t xml:space="preserve">и индивидуальных тарифов на услуги по передаче электрической энергии </w:t>
      </w:r>
      <w:r>
        <w:rPr>
          <w:sz w:val="28"/>
          <w:szCs w:val="28"/>
        </w:rPr>
        <w:t xml:space="preserve">на долгосрочный период 2020-2022 годов </w:t>
      </w:r>
      <w:r w:rsidRPr="00BC423B">
        <w:rPr>
          <w:sz w:val="28"/>
          <w:szCs w:val="28"/>
        </w:rPr>
        <w:t>(</w:t>
      </w:r>
      <w:r w:rsidRPr="00B00E05">
        <w:rPr>
          <w:rFonts w:eastAsia="Calibri"/>
          <w:color w:val="000000"/>
          <w:sz w:val="28"/>
          <w:szCs w:val="28"/>
          <w:lang w:eastAsia="en-US"/>
        </w:rPr>
        <w:t>ООО «НСК Электросеть», ООО ИЦ «Сибирьэнергия», ООО «КВТ-Сеть»</w:t>
      </w:r>
      <w:r w:rsidRPr="00756353">
        <w:rPr>
          <w:sz w:val="28"/>
          <w:szCs w:val="28"/>
        </w:rPr>
        <w:t>);</w:t>
      </w:r>
      <w:r w:rsidRPr="00B432F6">
        <w:rPr>
          <w:color w:val="FF0000"/>
          <w:sz w:val="28"/>
          <w:szCs w:val="28"/>
        </w:rPr>
        <w:t xml:space="preserve"> </w:t>
      </w:r>
    </w:p>
    <w:p w:rsidR="001E7B45" w:rsidRPr="00256D4E" w:rsidRDefault="001E7B45" w:rsidP="00986830">
      <w:pPr>
        <w:spacing w:after="0" w:line="240" w:lineRule="auto"/>
        <w:ind w:firstLine="709"/>
        <w:jc w:val="both"/>
        <w:rPr>
          <w:sz w:val="28"/>
          <w:szCs w:val="28"/>
        </w:rPr>
      </w:pPr>
      <w:r w:rsidRPr="00336CB2">
        <w:rPr>
          <w:sz w:val="28"/>
          <w:szCs w:val="28"/>
        </w:rPr>
        <w:t>- долгосрочных параметров регулирования</w:t>
      </w:r>
      <w:r>
        <w:rPr>
          <w:sz w:val="28"/>
          <w:szCs w:val="28"/>
        </w:rPr>
        <w:t>,</w:t>
      </w:r>
      <w:r w:rsidRPr="00336CB2">
        <w:rPr>
          <w:sz w:val="28"/>
          <w:szCs w:val="28"/>
        </w:rPr>
        <w:t xml:space="preserve"> </w:t>
      </w:r>
      <w:r>
        <w:rPr>
          <w:sz w:val="28"/>
          <w:szCs w:val="28"/>
        </w:rPr>
        <w:t xml:space="preserve">НВВ </w:t>
      </w:r>
      <w:r w:rsidRPr="00336CB2">
        <w:rPr>
          <w:sz w:val="28"/>
          <w:szCs w:val="28"/>
        </w:rPr>
        <w:t xml:space="preserve">и индивидуальных тарифов на услуги по передаче электрической энергии </w:t>
      </w:r>
      <w:r>
        <w:rPr>
          <w:sz w:val="28"/>
          <w:szCs w:val="28"/>
        </w:rPr>
        <w:t xml:space="preserve">на долгосрочный период 2020-2024 </w:t>
      </w:r>
      <w:r w:rsidRPr="00256D4E">
        <w:rPr>
          <w:sz w:val="28"/>
          <w:szCs w:val="28"/>
        </w:rPr>
        <w:t>годов (</w:t>
      </w:r>
      <w:r>
        <w:rPr>
          <w:sz w:val="28"/>
          <w:szCs w:val="28"/>
        </w:rPr>
        <w:t xml:space="preserve">ООО </w:t>
      </w:r>
      <w:r w:rsidRPr="00B00E05">
        <w:rPr>
          <w:sz w:val="28"/>
          <w:szCs w:val="28"/>
        </w:rPr>
        <w:t>«НЗХК-Энергия»</w:t>
      </w:r>
      <w:r>
        <w:rPr>
          <w:sz w:val="28"/>
          <w:szCs w:val="28"/>
        </w:rPr>
        <w:t xml:space="preserve">, АО </w:t>
      </w:r>
      <w:r w:rsidRPr="00B00E05">
        <w:rPr>
          <w:sz w:val="28"/>
          <w:szCs w:val="28"/>
        </w:rPr>
        <w:t>«Новосибирский завод искусственного волокна»</w:t>
      </w:r>
      <w:r>
        <w:rPr>
          <w:sz w:val="28"/>
          <w:szCs w:val="28"/>
        </w:rPr>
        <w:t xml:space="preserve">, </w:t>
      </w:r>
      <w:r w:rsidRPr="00B00E05">
        <w:rPr>
          <w:sz w:val="28"/>
          <w:szCs w:val="28"/>
        </w:rPr>
        <w:t>Ф</w:t>
      </w:r>
      <w:r>
        <w:rPr>
          <w:sz w:val="28"/>
          <w:szCs w:val="28"/>
        </w:rPr>
        <w:t>ГУП</w:t>
      </w:r>
      <w:r w:rsidRPr="00B00E05">
        <w:rPr>
          <w:sz w:val="28"/>
          <w:szCs w:val="28"/>
        </w:rPr>
        <w:t xml:space="preserve"> «Энергетик»</w:t>
      </w:r>
      <w:r>
        <w:rPr>
          <w:sz w:val="28"/>
          <w:szCs w:val="28"/>
        </w:rPr>
        <w:t xml:space="preserve">, </w:t>
      </w:r>
      <w:r w:rsidRPr="00B00E05">
        <w:rPr>
          <w:sz w:val="28"/>
          <w:szCs w:val="28"/>
        </w:rPr>
        <w:t>О</w:t>
      </w:r>
      <w:r>
        <w:rPr>
          <w:sz w:val="28"/>
          <w:szCs w:val="28"/>
        </w:rPr>
        <w:t>АО</w:t>
      </w:r>
      <w:r w:rsidRPr="00B00E05">
        <w:rPr>
          <w:sz w:val="28"/>
          <w:szCs w:val="28"/>
        </w:rPr>
        <w:t xml:space="preserve"> «Новосибирское производственное объединение «Сибсельмаш</w:t>
      </w:r>
      <w:r>
        <w:rPr>
          <w:sz w:val="28"/>
          <w:szCs w:val="28"/>
        </w:rPr>
        <w:t xml:space="preserve">», ООО </w:t>
      </w:r>
      <w:r w:rsidRPr="00B00E05">
        <w:rPr>
          <w:sz w:val="28"/>
          <w:szCs w:val="28"/>
        </w:rPr>
        <w:t>«Сибирские электросети»</w:t>
      </w:r>
      <w:r>
        <w:rPr>
          <w:sz w:val="28"/>
          <w:szCs w:val="28"/>
        </w:rPr>
        <w:t xml:space="preserve">, ООО </w:t>
      </w:r>
      <w:r w:rsidRPr="00B00E05">
        <w:rPr>
          <w:sz w:val="28"/>
          <w:szCs w:val="28"/>
        </w:rPr>
        <w:t>«Промстройэнерго»</w:t>
      </w:r>
      <w:r>
        <w:rPr>
          <w:sz w:val="28"/>
          <w:szCs w:val="28"/>
        </w:rPr>
        <w:t xml:space="preserve">, </w:t>
      </w:r>
      <w:r w:rsidRPr="00B00E05">
        <w:rPr>
          <w:sz w:val="28"/>
          <w:szCs w:val="28"/>
        </w:rPr>
        <w:t>А</w:t>
      </w:r>
      <w:r>
        <w:rPr>
          <w:sz w:val="28"/>
          <w:szCs w:val="28"/>
        </w:rPr>
        <w:t>О</w:t>
      </w:r>
      <w:r w:rsidRPr="00B00E05">
        <w:rPr>
          <w:sz w:val="28"/>
          <w:szCs w:val="28"/>
        </w:rPr>
        <w:t xml:space="preserve"> «Оборонэнерго» в лице филиала «Забайкальский»</w:t>
      </w:r>
      <w:r>
        <w:rPr>
          <w:sz w:val="28"/>
          <w:szCs w:val="28"/>
        </w:rPr>
        <w:t xml:space="preserve">, ЗАО </w:t>
      </w:r>
      <w:r w:rsidRPr="00B00E05">
        <w:rPr>
          <w:sz w:val="28"/>
          <w:szCs w:val="28"/>
        </w:rPr>
        <w:t>«Энергосервис «Чкаловец»</w:t>
      </w:r>
      <w:r>
        <w:rPr>
          <w:sz w:val="28"/>
          <w:szCs w:val="28"/>
        </w:rPr>
        <w:t>,</w:t>
      </w:r>
      <w:r w:rsidRPr="00B00E05">
        <w:t xml:space="preserve"> </w:t>
      </w:r>
      <w:r w:rsidRPr="00395279">
        <w:rPr>
          <w:sz w:val="28"/>
          <w:szCs w:val="28"/>
        </w:rPr>
        <w:t>МУЭП «Промтехэнерго»</w:t>
      </w:r>
      <w:r>
        <w:rPr>
          <w:sz w:val="28"/>
          <w:szCs w:val="28"/>
        </w:rPr>
        <w:t xml:space="preserve">, АО «Аэропорт Толмачево», ООО «Промышленная сетевая компания», </w:t>
      </w:r>
      <w:r w:rsidRPr="00B00E05">
        <w:rPr>
          <w:sz w:val="28"/>
          <w:szCs w:val="28"/>
        </w:rPr>
        <w:t>Ф</w:t>
      </w:r>
      <w:r>
        <w:rPr>
          <w:sz w:val="28"/>
          <w:szCs w:val="28"/>
        </w:rPr>
        <w:t>ГУП</w:t>
      </w:r>
      <w:r w:rsidRPr="00B00E05">
        <w:rPr>
          <w:sz w:val="28"/>
          <w:szCs w:val="28"/>
        </w:rPr>
        <w:t xml:space="preserve"> «Управле</w:t>
      </w:r>
      <w:r>
        <w:rPr>
          <w:sz w:val="28"/>
          <w:szCs w:val="28"/>
        </w:rPr>
        <w:t xml:space="preserve">ние энергетики и водоснабжения», </w:t>
      </w:r>
      <w:r w:rsidRPr="00B00E05">
        <w:rPr>
          <w:sz w:val="28"/>
          <w:szCs w:val="28"/>
        </w:rPr>
        <w:t>О</w:t>
      </w:r>
      <w:r>
        <w:rPr>
          <w:sz w:val="28"/>
          <w:szCs w:val="28"/>
        </w:rPr>
        <w:t xml:space="preserve">ОО «Энергоресурс», </w:t>
      </w:r>
      <w:r w:rsidRPr="00B00E05">
        <w:rPr>
          <w:sz w:val="28"/>
          <w:szCs w:val="28"/>
        </w:rPr>
        <w:t>О</w:t>
      </w:r>
      <w:r>
        <w:rPr>
          <w:sz w:val="28"/>
          <w:szCs w:val="28"/>
        </w:rPr>
        <w:t>АО</w:t>
      </w:r>
      <w:r w:rsidRPr="00B00E05">
        <w:rPr>
          <w:sz w:val="28"/>
          <w:szCs w:val="28"/>
        </w:rPr>
        <w:t xml:space="preserve"> «Российские железные дороги» в лице</w:t>
      </w:r>
      <w:r>
        <w:rPr>
          <w:sz w:val="28"/>
          <w:szCs w:val="28"/>
        </w:rPr>
        <w:t xml:space="preserve"> </w:t>
      </w:r>
      <w:r w:rsidRPr="00B00E05">
        <w:rPr>
          <w:sz w:val="28"/>
          <w:szCs w:val="28"/>
        </w:rPr>
        <w:t xml:space="preserve">Западно-Сибирской дирекции по энергообеспечению – структурного подразделения Трансэнерго – филиала </w:t>
      </w:r>
      <w:r>
        <w:rPr>
          <w:sz w:val="28"/>
          <w:szCs w:val="28"/>
        </w:rPr>
        <w:t>ОАО «РЖД»</w:t>
      </w:r>
      <w:r w:rsidRPr="00256D4E">
        <w:rPr>
          <w:rFonts w:eastAsia="Times New Roman"/>
          <w:sz w:val="28"/>
          <w:szCs w:val="28"/>
        </w:rPr>
        <w:t>)</w:t>
      </w:r>
      <w:r>
        <w:rPr>
          <w:sz w:val="28"/>
          <w:szCs w:val="28"/>
        </w:rPr>
        <w:t>.</w:t>
      </w:r>
    </w:p>
    <w:p w:rsidR="001E7B45" w:rsidRPr="00BE38AC" w:rsidRDefault="001E7B45" w:rsidP="00986830">
      <w:pPr>
        <w:spacing w:after="0" w:line="240" w:lineRule="auto"/>
        <w:ind w:firstLine="709"/>
        <w:jc w:val="both"/>
        <w:rPr>
          <w:sz w:val="28"/>
          <w:szCs w:val="28"/>
        </w:rPr>
      </w:pPr>
      <w:r>
        <w:rPr>
          <w:sz w:val="28"/>
          <w:szCs w:val="28"/>
        </w:rPr>
        <w:t>Всем обратившимся указанным организациям утверждены долгосрочные параметры регулирования и соответствующие тарифы.</w:t>
      </w:r>
    </w:p>
    <w:p w:rsidR="001E7B45" w:rsidRPr="006C6F53" w:rsidRDefault="001E7B45" w:rsidP="00986830">
      <w:pPr>
        <w:spacing w:after="0" w:line="240" w:lineRule="auto"/>
        <w:ind w:firstLine="709"/>
        <w:jc w:val="both"/>
        <w:rPr>
          <w:rFonts w:eastAsia="Calibri"/>
          <w:sz w:val="28"/>
          <w:szCs w:val="28"/>
          <w:lang w:eastAsia="en-US"/>
        </w:rPr>
      </w:pPr>
      <w:r>
        <w:rPr>
          <w:sz w:val="28"/>
          <w:szCs w:val="28"/>
        </w:rPr>
        <w:t>В</w:t>
      </w:r>
      <w:r w:rsidRPr="00543EFE">
        <w:rPr>
          <w:sz w:val="28"/>
          <w:szCs w:val="28"/>
        </w:rPr>
        <w:t xml:space="preserve"> рамках дел об установлении </w:t>
      </w:r>
      <w:r>
        <w:rPr>
          <w:sz w:val="28"/>
          <w:szCs w:val="28"/>
        </w:rPr>
        <w:t xml:space="preserve">НВВ и </w:t>
      </w:r>
      <w:r w:rsidRPr="00543EFE">
        <w:rPr>
          <w:sz w:val="28"/>
          <w:szCs w:val="28"/>
        </w:rPr>
        <w:t>индивидуальных тарифов на услуги по передаче электрической энергии на долгосрочны</w:t>
      </w:r>
      <w:r>
        <w:rPr>
          <w:sz w:val="28"/>
          <w:szCs w:val="28"/>
        </w:rPr>
        <w:t>е</w:t>
      </w:r>
      <w:r w:rsidRPr="00543EFE">
        <w:rPr>
          <w:sz w:val="28"/>
          <w:szCs w:val="28"/>
        </w:rPr>
        <w:t xml:space="preserve"> период</w:t>
      </w:r>
      <w:r>
        <w:rPr>
          <w:sz w:val="28"/>
          <w:szCs w:val="28"/>
        </w:rPr>
        <w:t>ы (</w:t>
      </w:r>
      <w:r w:rsidRPr="005D48F0">
        <w:rPr>
          <w:sz w:val="28"/>
          <w:szCs w:val="28"/>
        </w:rPr>
        <w:t>2017-2021</w:t>
      </w:r>
      <w:r>
        <w:rPr>
          <w:sz w:val="28"/>
          <w:szCs w:val="28"/>
        </w:rPr>
        <w:t xml:space="preserve"> годы</w:t>
      </w:r>
      <w:r w:rsidRPr="005D48F0">
        <w:rPr>
          <w:sz w:val="28"/>
          <w:szCs w:val="28"/>
        </w:rPr>
        <w:t>,</w:t>
      </w:r>
      <w:r>
        <w:rPr>
          <w:sz w:val="28"/>
          <w:szCs w:val="28"/>
        </w:rPr>
        <w:t xml:space="preserve"> 2018-2020 годы, 2018-2022 годы, 2019-2021 годы, 2019-2023 годы)</w:t>
      </w:r>
      <w:r w:rsidRPr="00903B7B">
        <w:rPr>
          <w:color w:val="FF0000"/>
          <w:sz w:val="28"/>
          <w:szCs w:val="28"/>
        </w:rPr>
        <w:t xml:space="preserve"> </w:t>
      </w:r>
      <w:r w:rsidRPr="00543EFE">
        <w:rPr>
          <w:sz w:val="28"/>
          <w:szCs w:val="28"/>
        </w:rPr>
        <w:t xml:space="preserve">в соответствии с п. 38 Основ ценообразования, на основании Методических указаний по расчету тарифов </w:t>
      </w:r>
      <w:r w:rsidRPr="00543EFE">
        <w:rPr>
          <w:sz w:val="28"/>
          <w:szCs w:val="28"/>
        </w:rPr>
        <w:lastRenderedPageBreak/>
        <w:t xml:space="preserve">на услуги по передаче электрической энергии, </w:t>
      </w:r>
      <w:r w:rsidRPr="00794B20">
        <w:rPr>
          <w:sz w:val="28"/>
          <w:szCs w:val="28"/>
        </w:rPr>
        <w:t xml:space="preserve">устанавливаемых с применением метода долгосрочной индексации валовой выручки, утверждённых приказом Федеральной службы по тарифам от 17.02.2012 № 98-э, </w:t>
      </w:r>
      <w:r w:rsidRPr="00F4288D">
        <w:rPr>
          <w:sz w:val="28"/>
          <w:szCs w:val="28"/>
        </w:rPr>
        <w:t xml:space="preserve">для </w:t>
      </w:r>
      <w:r>
        <w:rPr>
          <w:sz w:val="28"/>
          <w:szCs w:val="28"/>
        </w:rPr>
        <w:t>18</w:t>
      </w:r>
      <w:r w:rsidRPr="00794B20">
        <w:rPr>
          <w:sz w:val="28"/>
          <w:szCs w:val="28"/>
        </w:rPr>
        <w:t xml:space="preserve"> территориальных сетевых организаций произведена корректировка у</w:t>
      </w:r>
      <w:r w:rsidRPr="00336CB2">
        <w:rPr>
          <w:sz w:val="28"/>
          <w:szCs w:val="28"/>
        </w:rPr>
        <w:t xml:space="preserve">казанных тарифов </w:t>
      </w:r>
      <w:r>
        <w:rPr>
          <w:sz w:val="28"/>
          <w:szCs w:val="28"/>
        </w:rPr>
        <w:t xml:space="preserve">и НВВ </w:t>
      </w:r>
      <w:r w:rsidRPr="00336CB2">
        <w:rPr>
          <w:sz w:val="28"/>
          <w:szCs w:val="28"/>
        </w:rPr>
        <w:t>на 20</w:t>
      </w:r>
      <w:r>
        <w:rPr>
          <w:sz w:val="28"/>
          <w:szCs w:val="28"/>
        </w:rPr>
        <w:t xml:space="preserve">20 </w:t>
      </w:r>
      <w:r w:rsidRPr="00336CB2">
        <w:rPr>
          <w:sz w:val="28"/>
          <w:szCs w:val="28"/>
        </w:rPr>
        <w:t>г</w:t>
      </w:r>
      <w:r>
        <w:rPr>
          <w:sz w:val="28"/>
          <w:szCs w:val="28"/>
        </w:rPr>
        <w:t xml:space="preserve">од </w:t>
      </w:r>
      <w:r w:rsidRPr="00916F41">
        <w:rPr>
          <w:sz w:val="28"/>
          <w:szCs w:val="28"/>
        </w:rPr>
        <w:t>(</w:t>
      </w:r>
      <w:r>
        <w:rPr>
          <w:sz w:val="28"/>
          <w:szCs w:val="28"/>
        </w:rPr>
        <w:t xml:space="preserve">АО «УК «ПЛП», ООО «Сибирские Энергетические сети», ООО «Сервис-групп», </w:t>
      </w:r>
      <w:r w:rsidRPr="006C6F53">
        <w:rPr>
          <w:rFonts w:eastAsia="Calibri"/>
          <w:sz w:val="28"/>
          <w:szCs w:val="28"/>
          <w:lang w:eastAsia="en-US"/>
        </w:rPr>
        <w:t>ООО «Энергосети Сибири», ОАО «Объединенная энергетическая компания» в лице филиала «Сибирский», ООО «РП-10»</w:t>
      </w:r>
      <w:r>
        <w:rPr>
          <w:rFonts w:eastAsia="Calibri"/>
          <w:sz w:val="28"/>
          <w:szCs w:val="28"/>
          <w:lang w:eastAsia="en-US"/>
        </w:rPr>
        <w:t>,</w:t>
      </w:r>
      <w:r w:rsidRPr="005D48F0">
        <w:rPr>
          <w:sz w:val="28"/>
          <w:szCs w:val="28"/>
        </w:rPr>
        <w:t xml:space="preserve"> </w:t>
      </w:r>
      <w:r w:rsidRPr="00DF0679">
        <w:rPr>
          <w:sz w:val="28"/>
          <w:szCs w:val="28"/>
        </w:rPr>
        <w:t>ООО «Национальная распределительно-сетевая компания - Сибирь»</w:t>
      </w:r>
      <w:r>
        <w:rPr>
          <w:sz w:val="28"/>
          <w:szCs w:val="28"/>
        </w:rPr>
        <w:t>,</w:t>
      </w:r>
      <w:r w:rsidRPr="00DF0679">
        <w:rPr>
          <w:sz w:val="28"/>
          <w:szCs w:val="28"/>
        </w:rPr>
        <w:t xml:space="preserve"> </w:t>
      </w:r>
      <w:r>
        <w:rPr>
          <w:sz w:val="28"/>
          <w:szCs w:val="28"/>
        </w:rPr>
        <w:t xml:space="preserve">ООО </w:t>
      </w:r>
      <w:r w:rsidRPr="00DF0679">
        <w:rPr>
          <w:sz w:val="28"/>
          <w:szCs w:val="28"/>
        </w:rPr>
        <w:t xml:space="preserve">«Новосибирская городская сетевая компания», </w:t>
      </w:r>
      <w:r>
        <w:rPr>
          <w:sz w:val="28"/>
          <w:szCs w:val="28"/>
        </w:rPr>
        <w:t xml:space="preserve">ООО </w:t>
      </w:r>
      <w:r w:rsidRPr="00DF0679">
        <w:rPr>
          <w:sz w:val="28"/>
          <w:szCs w:val="28"/>
        </w:rPr>
        <w:t>«Проектно-ремонтная фирма «АльянсЭнерго»</w:t>
      </w:r>
      <w:r>
        <w:rPr>
          <w:sz w:val="28"/>
          <w:szCs w:val="28"/>
        </w:rPr>
        <w:t xml:space="preserve">, МУП </w:t>
      </w:r>
      <w:r w:rsidRPr="00671BA9">
        <w:rPr>
          <w:sz w:val="28"/>
          <w:szCs w:val="28"/>
        </w:rPr>
        <w:t>г.Новосибирска «Новосибирская энергосетевая компания»</w:t>
      </w:r>
      <w:r>
        <w:rPr>
          <w:sz w:val="28"/>
          <w:szCs w:val="28"/>
        </w:rPr>
        <w:t>,</w:t>
      </w:r>
      <w:r w:rsidRPr="005D48F0">
        <w:rPr>
          <w:rFonts w:eastAsia="Times New Roman"/>
          <w:sz w:val="28"/>
          <w:szCs w:val="28"/>
        </w:rPr>
        <w:t xml:space="preserve"> </w:t>
      </w:r>
      <w:r>
        <w:rPr>
          <w:rFonts w:eastAsia="Times New Roman"/>
          <w:sz w:val="28"/>
          <w:szCs w:val="28"/>
        </w:rPr>
        <w:t>ОО</w:t>
      </w:r>
      <w:r w:rsidRPr="00671BA9">
        <w:rPr>
          <w:rFonts w:eastAsia="Times New Roman"/>
          <w:sz w:val="28"/>
          <w:szCs w:val="28"/>
        </w:rPr>
        <w:t>О «Э</w:t>
      </w:r>
      <w:r>
        <w:rPr>
          <w:rFonts w:eastAsia="Times New Roman"/>
          <w:sz w:val="28"/>
          <w:szCs w:val="28"/>
        </w:rPr>
        <w:t>НЕРГОТРАНЗИТ</w:t>
      </w:r>
      <w:r w:rsidRPr="00671BA9">
        <w:rPr>
          <w:rFonts w:eastAsia="Times New Roman"/>
          <w:sz w:val="28"/>
          <w:szCs w:val="28"/>
        </w:rPr>
        <w:t>», ООО «БЭМЗ-Энергосервис»</w:t>
      </w:r>
      <w:r>
        <w:rPr>
          <w:rFonts w:eastAsia="Times New Roman"/>
          <w:sz w:val="28"/>
          <w:szCs w:val="28"/>
        </w:rPr>
        <w:t>, ООО «Благовещенка Электросети», ООО «ТСП-Сиб», ООО «СибЭнергоТранс 54», ООО «Электросетевая территориальная организация», ООО «М-ЭнергоСеть», ООО «Новосибирский оловянный комбинат»</w:t>
      </w:r>
      <w:r>
        <w:rPr>
          <w:rFonts w:eastAsia="Calibri"/>
          <w:sz w:val="28"/>
          <w:szCs w:val="28"/>
          <w:lang w:eastAsia="en-US"/>
        </w:rPr>
        <w:t>)</w:t>
      </w:r>
      <w:r w:rsidRPr="006C6F53">
        <w:rPr>
          <w:rFonts w:eastAsia="Calibri"/>
          <w:sz w:val="28"/>
          <w:szCs w:val="28"/>
          <w:lang w:eastAsia="en-US"/>
        </w:rPr>
        <w:t xml:space="preserve">. </w:t>
      </w:r>
    </w:p>
    <w:p w:rsidR="001E7B45" w:rsidRPr="003C53D6" w:rsidRDefault="001E7B45" w:rsidP="00986830">
      <w:pPr>
        <w:autoSpaceDE w:val="0"/>
        <w:autoSpaceDN w:val="0"/>
        <w:adjustRightInd w:val="0"/>
        <w:spacing w:after="0" w:line="240" w:lineRule="auto"/>
        <w:ind w:firstLine="708"/>
        <w:jc w:val="both"/>
        <w:rPr>
          <w:rFonts w:eastAsia="Times New Roman"/>
          <w:sz w:val="28"/>
          <w:szCs w:val="28"/>
        </w:rPr>
      </w:pPr>
      <w:r w:rsidRPr="003C53D6">
        <w:rPr>
          <w:rFonts w:eastAsia="Times New Roman"/>
          <w:sz w:val="28"/>
          <w:szCs w:val="28"/>
        </w:rPr>
        <w:t xml:space="preserve">Следует отметить, что при корректировке НВВ на 2020 год по ряду сетевых организаций по итогам регулируемой деятельности за 2018 год </w:t>
      </w:r>
      <w:r w:rsidR="00577FA1">
        <w:rPr>
          <w:rFonts w:eastAsia="Times New Roman"/>
          <w:sz w:val="28"/>
          <w:szCs w:val="28"/>
        </w:rPr>
        <w:t>Д</w:t>
      </w:r>
      <w:r w:rsidRPr="003C53D6">
        <w:rPr>
          <w:rFonts w:eastAsia="Times New Roman"/>
          <w:sz w:val="28"/>
          <w:szCs w:val="28"/>
        </w:rPr>
        <w:t>епартаментом учтены выявленные факты:</w:t>
      </w:r>
    </w:p>
    <w:p w:rsidR="001E7B45" w:rsidRPr="003C53D6" w:rsidRDefault="001E7B45" w:rsidP="00986830">
      <w:pPr>
        <w:autoSpaceDE w:val="0"/>
        <w:autoSpaceDN w:val="0"/>
        <w:adjustRightInd w:val="0"/>
        <w:spacing w:after="0" w:line="240" w:lineRule="auto"/>
        <w:ind w:firstLine="708"/>
        <w:jc w:val="both"/>
        <w:rPr>
          <w:rFonts w:eastAsia="Times New Roman"/>
          <w:color w:val="FF0000"/>
          <w:sz w:val="28"/>
          <w:szCs w:val="28"/>
        </w:rPr>
      </w:pPr>
      <w:r>
        <w:rPr>
          <w:rFonts w:eastAsia="Times New Roman"/>
          <w:sz w:val="28"/>
          <w:szCs w:val="28"/>
        </w:rPr>
        <w:t>-</w:t>
      </w:r>
      <w:r w:rsidRPr="003C53D6">
        <w:rPr>
          <w:rFonts w:eastAsia="Times New Roman"/>
          <w:sz w:val="28"/>
          <w:szCs w:val="28"/>
        </w:rPr>
        <w:t xml:space="preserve">неисполнения финансирования инвестиционных программ </w:t>
      </w:r>
      <w:r w:rsidRPr="00794B20">
        <w:rPr>
          <w:sz w:val="28"/>
          <w:szCs w:val="28"/>
        </w:rPr>
        <w:t>территориальных сетевых организаций</w:t>
      </w:r>
      <w:r>
        <w:rPr>
          <w:sz w:val="28"/>
          <w:szCs w:val="28"/>
        </w:rPr>
        <w:t>:</w:t>
      </w:r>
      <w:r w:rsidRPr="00794B20">
        <w:rPr>
          <w:sz w:val="28"/>
          <w:szCs w:val="28"/>
        </w:rPr>
        <w:t xml:space="preserve"> </w:t>
      </w:r>
      <w:r w:rsidRPr="003C53D6">
        <w:rPr>
          <w:rFonts w:eastAsia="Times New Roman"/>
          <w:sz w:val="28"/>
          <w:szCs w:val="28"/>
        </w:rPr>
        <w:t>Филиал «Сибирский» АО «Оборонэнерго», ФГУП «УЭВ»;</w:t>
      </w:r>
      <w:r w:rsidRPr="003C53D6">
        <w:rPr>
          <w:rFonts w:eastAsia="Times New Roman"/>
          <w:color w:val="FF0000"/>
          <w:sz w:val="28"/>
          <w:szCs w:val="28"/>
        </w:rPr>
        <w:t xml:space="preserve"> </w:t>
      </w:r>
    </w:p>
    <w:p w:rsidR="001E7B45" w:rsidRPr="003C53D6" w:rsidRDefault="001E7B45" w:rsidP="00986830">
      <w:pPr>
        <w:autoSpaceDE w:val="0"/>
        <w:autoSpaceDN w:val="0"/>
        <w:adjustRightInd w:val="0"/>
        <w:spacing w:after="0" w:line="240" w:lineRule="auto"/>
        <w:ind w:firstLine="708"/>
        <w:jc w:val="both"/>
        <w:rPr>
          <w:rFonts w:eastAsia="Times New Roman"/>
          <w:sz w:val="28"/>
          <w:szCs w:val="28"/>
        </w:rPr>
      </w:pPr>
      <w:r>
        <w:rPr>
          <w:rFonts w:eastAsia="Times New Roman"/>
          <w:sz w:val="28"/>
          <w:szCs w:val="28"/>
        </w:rPr>
        <w:t>-</w:t>
      </w:r>
      <w:r w:rsidRPr="003C53D6">
        <w:rPr>
          <w:sz w:val="28"/>
          <w:szCs w:val="28"/>
        </w:rPr>
        <w:t>нецелевого финансирования инвестиционной программы АО «РЭС».</w:t>
      </w:r>
    </w:p>
    <w:p w:rsidR="001E7B45" w:rsidRPr="00822654" w:rsidRDefault="001E7B45" w:rsidP="00986830">
      <w:pPr>
        <w:autoSpaceDE w:val="0"/>
        <w:autoSpaceDN w:val="0"/>
        <w:adjustRightInd w:val="0"/>
        <w:spacing w:after="0" w:line="240" w:lineRule="auto"/>
        <w:ind w:firstLine="708"/>
        <w:jc w:val="both"/>
        <w:rPr>
          <w:rFonts w:eastAsia="Times New Roman"/>
          <w:sz w:val="28"/>
          <w:szCs w:val="28"/>
        </w:rPr>
      </w:pPr>
      <w:r w:rsidRPr="004B084E">
        <w:rPr>
          <w:rFonts w:eastAsia="Times New Roman"/>
          <w:sz w:val="28"/>
          <w:szCs w:val="28"/>
        </w:rPr>
        <w:t>Из НВВ указанных орга</w:t>
      </w:r>
      <w:r>
        <w:rPr>
          <w:rFonts w:eastAsia="Times New Roman"/>
          <w:sz w:val="28"/>
          <w:szCs w:val="28"/>
        </w:rPr>
        <w:t xml:space="preserve">низаций, устанавливаемой на 2020 год, исключены расходы </w:t>
      </w:r>
      <w:r w:rsidRPr="004B084E">
        <w:rPr>
          <w:rFonts w:eastAsia="Times New Roman"/>
          <w:sz w:val="28"/>
          <w:szCs w:val="28"/>
        </w:rPr>
        <w:t>на реализацию этих про</w:t>
      </w:r>
      <w:r>
        <w:rPr>
          <w:rFonts w:eastAsia="Times New Roman"/>
          <w:sz w:val="28"/>
          <w:szCs w:val="28"/>
        </w:rPr>
        <w:t>грамм</w:t>
      </w:r>
      <w:r w:rsidRPr="004B084E">
        <w:rPr>
          <w:rFonts w:eastAsia="Times New Roman"/>
          <w:sz w:val="28"/>
          <w:szCs w:val="28"/>
        </w:rPr>
        <w:t>, финансируем</w:t>
      </w:r>
      <w:r>
        <w:rPr>
          <w:rFonts w:eastAsia="Times New Roman"/>
          <w:sz w:val="28"/>
          <w:szCs w:val="28"/>
        </w:rPr>
        <w:t>ые</w:t>
      </w:r>
      <w:r w:rsidRPr="004B084E">
        <w:rPr>
          <w:rFonts w:eastAsia="Times New Roman"/>
          <w:sz w:val="28"/>
          <w:szCs w:val="28"/>
        </w:rPr>
        <w:t xml:space="preserve"> за счет выручки от реализации товаров (услуг) по регулируемым ценам (тарифам), в суммарном </w:t>
      </w:r>
      <w:r w:rsidRPr="00071AFC">
        <w:rPr>
          <w:rFonts w:eastAsia="Times New Roman"/>
          <w:sz w:val="28"/>
          <w:szCs w:val="28"/>
        </w:rPr>
        <w:t>объеме 24,13 млн.</w:t>
      </w:r>
      <w:r w:rsidRPr="00822654">
        <w:rPr>
          <w:rFonts w:eastAsia="Times New Roman"/>
          <w:sz w:val="28"/>
          <w:szCs w:val="28"/>
        </w:rPr>
        <w:t xml:space="preserve"> руб. на основании п. 7, 27 и 32 Основ ценообразования.</w:t>
      </w:r>
    </w:p>
    <w:p w:rsidR="001E7B45" w:rsidRDefault="001E7B45" w:rsidP="00986830">
      <w:pPr>
        <w:autoSpaceDE w:val="0"/>
        <w:autoSpaceDN w:val="0"/>
        <w:adjustRightInd w:val="0"/>
        <w:spacing w:after="0" w:line="240" w:lineRule="auto"/>
        <w:ind w:firstLine="709"/>
        <w:jc w:val="both"/>
        <w:rPr>
          <w:sz w:val="28"/>
          <w:szCs w:val="28"/>
        </w:rPr>
      </w:pPr>
      <w:r w:rsidRPr="00822654">
        <w:rPr>
          <w:sz w:val="28"/>
          <w:szCs w:val="28"/>
        </w:rPr>
        <w:t>В соответствии с пунктом 30 (1)</w:t>
      </w:r>
      <w:r>
        <w:rPr>
          <w:sz w:val="28"/>
          <w:szCs w:val="28"/>
        </w:rPr>
        <w:t xml:space="preserve"> </w:t>
      </w:r>
      <w:r w:rsidRPr="00DE102C">
        <w:rPr>
          <w:sz w:val="28"/>
          <w:szCs w:val="28"/>
        </w:rPr>
        <w:t>Правил государственного регулирования</w:t>
      </w:r>
      <w:r>
        <w:rPr>
          <w:sz w:val="28"/>
          <w:szCs w:val="28"/>
        </w:rPr>
        <w:t xml:space="preserve"> </w:t>
      </w:r>
      <w:r w:rsidRPr="00E3425F">
        <w:rPr>
          <w:sz w:val="28"/>
          <w:szCs w:val="28"/>
        </w:rPr>
        <w:t xml:space="preserve">(пересмотра, применения) цен (тарифов) в </w:t>
      </w:r>
      <w:r>
        <w:rPr>
          <w:sz w:val="28"/>
          <w:szCs w:val="28"/>
        </w:rPr>
        <w:t>электроэнергетике, утвержденных</w:t>
      </w:r>
      <w:r w:rsidRPr="00E3425F">
        <w:rPr>
          <w:sz w:val="28"/>
          <w:szCs w:val="28"/>
        </w:rPr>
        <w:t xml:space="preserve"> постановлением Правительства Российской Федерации от 29</w:t>
      </w:r>
      <w:r w:rsidR="00986830">
        <w:rPr>
          <w:sz w:val="28"/>
          <w:szCs w:val="28"/>
        </w:rPr>
        <w:t>.12.</w:t>
      </w:r>
      <w:r w:rsidRPr="00E3425F">
        <w:rPr>
          <w:sz w:val="28"/>
          <w:szCs w:val="28"/>
        </w:rPr>
        <w:t>2011г. №</w:t>
      </w:r>
      <w:r>
        <w:rPr>
          <w:sz w:val="28"/>
          <w:szCs w:val="28"/>
        </w:rPr>
        <w:t xml:space="preserve"> </w:t>
      </w:r>
      <w:r w:rsidRPr="00E3425F">
        <w:rPr>
          <w:sz w:val="28"/>
          <w:szCs w:val="28"/>
        </w:rPr>
        <w:t>117</w:t>
      </w:r>
      <w:r>
        <w:rPr>
          <w:sz w:val="28"/>
          <w:szCs w:val="28"/>
        </w:rPr>
        <w:t xml:space="preserve">8, </w:t>
      </w:r>
      <w:r w:rsidR="00986830">
        <w:rPr>
          <w:sz w:val="28"/>
          <w:szCs w:val="28"/>
        </w:rPr>
        <w:t>Д</w:t>
      </w:r>
      <w:r>
        <w:rPr>
          <w:sz w:val="28"/>
          <w:szCs w:val="28"/>
        </w:rPr>
        <w:t xml:space="preserve">епартаментом </w:t>
      </w:r>
      <w:r w:rsidR="00986830">
        <w:rPr>
          <w:sz w:val="28"/>
          <w:szCs w:val="28"/>
        </w:rPr>
        <w:t xml:space="preserve">в срок </w:t>
      </w:r>
      <w:r>
        <w:rPr>
          <w:sz w:val="28"/>
          <w:szCs w:val="28"/>
        </w:rPr>
        <w:t>до 1 ноября 2019 года была опубликована следующая информация:</w:t>
      </w:r>
    </w:p>
    <w:p w:rsidR="001E7B45" w:rsidRDefault="001E7B45" w:rsidP="00986830">
      <w:pPr>
        <w:autoSpaceDE w:val="0"/>
        <w:autoSpaceDN w:val="0"/>
        <w:adjustRightInd w:val="0"/>
        <w:spacing w:after="0" w:line="240" w:lineRule="auto"/>
        <w:ind w:firstLine="709"/>
        <w:jc w:val="both"/>
        <w:rPr>
          <w:sz w:val="28"/>
          <w:szCs w:val="28"/>
          <w:lang w:eastAsia="en-US"/>
        </w:rPr>
      </w:pPr>
      <w:r>
        <w:rPr>
          <w:sz w:val="28"/>
          <w:szCs w:val="28"/>
        </w:rPr>
        <w:t xml:space="preserve">- о </w:t>
      </w:r>
      <w:r w:rsidRPr="00890983">
        <w:rPr>
          <w:sz w:val="28"/>
          <w:szCs w:val="28"/>
        </w:rPr>
        <w:t xml:space="preserve">территориальных сетевых организациях, в отношении которых </w:t>
      </w:r>
      <w:r>
        <w:rPr>
          <w:sz w:val="28"/>
          <w:szCs w:val="28"/>
        </w:rPr>
        <w:t>планировались к установлению (пересмо</w:t>
      </w:r>
      <w:r w:rsidRPr="00890983">
        <w:rPr>
          <w:sz w:val="28"/>
          <w:szCs w:val="28"/>
        </w:rPr>
        <w:t>тр</w:t>
      </w:r>
      <w:r>
        <w:rPr>
          <w:sz w:val="28"/>
          <w:szCs w:val="28"/>
        </w:rPr>
        <w:t>у</w:t>
      </w:r>
      <w:r w:rsidRPr="00890983">
        <w:rPr>
          <w:sz w:val="28"/>
          <w:szCs w:val="28"/>
        </w:rPr>
        <w:t xml:space="preserve">) цены (тарифы) на услуги по передаче электрической энергии на </w:t>
      </w:r>
      <w:r>
        <w:rPr>
          <w:sz w:val="28"/>
          <w:szCs w:val="28"/>
        </w:rPr>
        <w:t>2020 год:</w:t>
      </w:r>
      <w:r w:rsidRPr="00B7050C">
        <w:rPr>
          <w:sz w:val="28"/>
          <w:szCs w:val="28"/>
          <w:lang w:eastAsia="en-US"/>
        </w:rPr>
        <w:t xml:space="preserve"> </w:t>
      </w:r>
    </w:p>
    <w:p w:rsidR="001E7B45" w:rsidRPr="0085762A" w:rsidRDefault="001E7B45" w:rsidP="00986830">
      <w:pPr>
        <w:autoSpaceDE w:val="0"/>
        <w:autoSpaceDN w:val="0"/>
        <w:adjustRightInd w:val="0"/>
        <w:spacing w:after="0" w:line="240" w:lineRule="auto"/>
        <w:ind w:firstLine="709"/>
        <w:jc w:val="both"/>
        <w:rPr>
          <w:smallCaps/>
          <w:sz w:val="28"/>
          <w:szCs w:val="28"/>
          <w:lang w:eastAsia="en-US"/>
        </w:rPr>
      </w:pPr>
      <w:r>
        <w:rPr>
          <w:sz w:val="28"/>
          <w:szCs w:val="28"/>
          <w:lang w:eastAsia="en-US"/>
        </w:rPr>
        <w:t xml:space="preserve">- </w:t>
      </w:r>
      <w:r w:rsidRPr="0085762A">
        <w:rPr>
          <w:sz w:val="28"/>
          <w:szCs w:val="28"/>
          <w:lang w:eastAsia="en-US"/>
        </w:rPr>
        <w:t>о территориальных сетевых организациях, оказывающих услуги по пере</w:t>
      </w:r>
      <w:r>
        <w:rPr>
          <w:sz w:val="28"/>
          <w:szCs w:val="28"/>
          <w:lang w:eastAsia="en-US"/>
        </w:rPr>
        <w:t>даче электрической энергии в 2020</w:t>
      </w:r>
      <w:r w:rsidRPr="0085762A">
        <w:rPr>
          <w:sz w:val="28"/>
          <w:szCs w:val="28"/>
          <w:lang w:eastAsia="en-US"/>
        </w:rPr>
        <w:t xml:space="preserve"> году, в </w:t>
      </w:r>
      <w:r>
        <w:rPr>
          <w:sz w:val="28"/>
          <w:szCs w:val="28"/>
          <w:lang w:eastAsia="en-US"/>
        </w:rPr>
        <w:t>отношении которых не планировались</w:t>
      </w:r>
      <w:r w:rsidRPr="0085762A">
        <w:rPr>
          <w:sz w:val="28"/>
          <w:szCs w:val="28"/>
          <w:lang w:eastAsia="en-US"/>
        </w:rPr>
        <w:t xml:space="preserve"> к установлению (пересмотру) цены (тарифы) на услуги по перед</w:t>
      </w:r>
      <w:r>
        <w:rPr>
          <w:sz w:val="28"/>
          <w:szCs w:val="28"/>
          <w:lang w:eastAsia="en-US"/>
        </w:rPr>
        <w:t>аче электрической энергии на 2020</w:t>
      </w:r>
      <w:r w:rsidRPr="0085762A">
        <w:rPr>
          <w:sz w:val="28"/>
          <w:szCs w:val="28"/>
          <w:lang w:eastAsia="en-US"/>
        </w:rPr>
        <w:t xml:space="preserve"> год</w:t>
      </w:r>
      <w:r>
        <w:rPr>
          <w:sz w:val="28"/>
          <w:szCs w:val="28"/>
          <w:lang w:eastAsia="en-US"/>
        </w:rPr>
        <w:t>.</w:t>
      </w:r>
    </w:p>
    <w:p w:rsidR="001E7B45" w:rsidRDefault="001E7B45" w:rsidP="00986830">
      <w:pPr>
        <w:spacing w:after="0" w:line="240" w:lineRule="auto"/>
        <w:jc w:val="both"/>
        <w:rPr>
          <w:b/>
          <w:sz w:val="28"/>
          <w:szCs w:val="28"/>
        </w:rPr>
      </w:pPr>
      <w:r>
        <w:rPr>
          <w:sz w:val="28"/>
          <w:szCs w:val="28"/>
        </w:rPr>
        <w:tab/>
      </w:r>
    </w:p>
    <w:p w:rsidR="001E7B45" w:rsidRDefault="001E7B45" w:rsidP="00577FA1">
      <w:pPr>
        <w:spacing w:after="0" w:line="240" w:lineRule="auto"/>
        <w:ind w:firstLine="851"/>
        <w:jc w:val="both"/>
        <w:rPr>
          <w:b/>
          <w:sz w:val="28"/>
          <w:szCs w:val="28"/>
        </w:rPr>
      </w:pPr>
      <w:r>
        <w:rPr>
          <w:b/>
          <w:sz w:val="28"/>
          <w:szCs w:val="28"/>
        </w:rPr>
        <w:t>2.1.</w:t>
      </w:r>
      <w:r w:rsidR="00986830">
        <w:rPr>
          <w:b/>
          <w:sz w:val="28"/>
          <w:szCs w:val="28"/>
        </w:rPr>
        <w:t>4</w:t>
      </w:r>
      <w:r>
        <w:rPr>
          <w:b/>
          <w:sz w:val="28"/>
          <w:szCs w:val="28"/>
        </w:rPr>
        <w:t xml:space="preserve">.2. </w:t>
      </w:r>
      <w:r w:rsidRPr="00847B4C">
        <w:rPr>
          <w:b/>
          <w:sz w:val="28"/>
          <w:szCs w:val="28"/>
        </w:rPr>
        <w:t>Корректировка н</w:t>
      </w:r>
      <w:r>
        <w:rPr>
          <w:b/>
          <w:sz w:val="28"/>
          <w:szCs w:val="28"/>
        </w:rPr>
        <w:t>а 2020</w:t>
      </w:r>
      <w:r w:rsidRPr="00847B4C">
        <w:rPr>
          <w:b/>
          <w:sz w:val="28"/>
          <w:szCs w:val="28"/>
        </w:rPr>
        <w:t xml:space="preserve"> год единых (котловых) тарифов на услуги по передаче электрической энергии, оказываемые потребителям услуг на территории Новосибирской области, установленных на долгосрочный период регулирования 2016-2020 годов.</w:t>
      </w:r>
    </w:p>
    <w:p w:rsidR="001E7B45" w:rsidRPr="00C62F38" w:rsidRDefault="001E7B45" w:rsidP="00577FA1">
      <w:pPr>
        <w:pStyle w:val="a8"/>
        <w:ind w:firstLine="709"/>
        <w:jc w:val="both"/>
        <w:rPr>
          <w:sz w:val="28"/>
          <w:szCs w:val="28"/>
        </w:rPr>
      </w:pPr>
      <w:r w:rsidRPr="00C62F38">
        <w:rPr>
          <w:sz w:val="28"/>
          <w:szCs w:val="28"/>
        </w:rPr>
        <w:t>Приказом Федеральной антимонопол</w:t>
      </w:r>
      <w:r>
        <w:rPr>
          <w:sz w:val="28"/>
          <w:szCs w:val="28"/>
        </w:rPr>
        <w:t xml:space="preserve">ьной службы </w:t>
      </w:r>
      <w:r w:rsidRPr="006F32C8">
        <w:rPr>
          <w:rFonts w:eastAsia="Calibri"/>
          <w:sz w:val="28"/>
          <w:szCs w:val="28"/>
          <w:lang w:eastAsia="en-US"/>
        </w:rPr>
        <w:t>от 14.11.2019 № 1509/19</w:t>
      </w:r>
      <w:r>
        <w:rPr>
          <w:rFonts w:eastAsia="Calibri"/>
          <w:lang w:eastAsia="en-US"/>
        </w:rPr>
        <w:t xml:space="preserve"> </w:t>
      </w:r>
      <w:r w:rsidR="00986830">
        <w:rPr>
          <w:rFonts w:eastAsia="Calibri"/>
          <w:lang w:eastAsia="en-US"/>
        </w:rPr>
        <w:t>«</w:t>
      </w:r>
      <w:r w:rsidRPr="00C62F38">
        <w:rPr>
          <w:sz w:val="28"/>
          <w:szCs w:val="28"/>
        </w:rPr>
        <w:t>Об утверждении предельных минимальных и максимальных уровней тарифов на услуги по передаче электрической энергии, поставляемой населению и приравненным к нему категориям потребителей, по субъек</w:t>
      </w:r>
      <w:r>
        <w:rPr>
          <w:sz w:val="28"/>
          <w:szCs w:val="28"/>
        </w:rPr>
        <w:t>там Российской Федерации на 2020</w:t>
      </w:r>
      <w:r w:rsidRPr="00C62F38">
        <w:rPr>
          <w:sz w:val="28"/>
          <w:szCs w:val="28"/>
        </w:rPr>
        <w:t xml:space="preserve"> год</w:t>
      </w:r>
      <w:r w:rsidR="00986830">
        <w:rPr>
          <w:sz w:val="28"/>
          <w:szCs w:val="28"/>
        </w:rPr>
        <w:t>»</w:t>
      </w:r>
      <w:r w:rsidRPr="00C62F38">
        <w:rPr>
          <w:sz w:val="28"/>
          <w:szCs w:val="28"/>
        </w:rPr>
        <w:t>, по Новосибирской области установлены предельные уровни тарифов в следующих размерах без НДС:</w:t>
      </w:r>
    </w:p>
    <w:p w:rsidR="001E7B45" w:rsidRPr="00C62F38" w:rsidRDefault="001E7B45" w:rsidP="00986830">
      <w:pPr>
        <w:autoSpaceDE w:val="0"/>
        <w:autoSpaceDN w:val="0"/>
        <w:spacing w:after="0" w:line="240" w:lineRule="auto"/>
        <w:ind w:firstLine="709"/>
        <w:jc w:val="both"/>
        <w:rPr>
          <w:rFonts w:eastAsia="Times New Roman"/>
          <w:sz w:val="28"/>
          <w:szCs w:val="28"/>
        </w:rPr>
      </w:pPr>
      <w:r w:rsidRPr="00986830">
        <w:rPr>
          <w:rFonts w:eastAsia="Times New Roman"/>
          <w:sz w:val="28"/>
          <w:szCs w:val="28"/>
          <w:u w:val="single"/>
        </w:rPr>
        <w:lastRenderedPageBreak/>
        <w:t>на первое полугодие 2020 года</w:t>
      </w:r>
      <w:r w:rsidRPr="00C62F38">
        <w:rPr>
          <w:rFonts w:eastAsia="Times New Roman"/>
          <w:sz w:val="28"/>
          <w:szCs w:val="28"/>
        </w:rPr>
        <w:t>: предельный минимальный уровень - 0,30505 руб./кВтч., предельный макси</w:t>
      </w:r>
      <w:r>
        <w:rPr>
          <w:rFonts w:eastAsia="Times New Roman"/>
          <w:sz w:val="28"/>
          <w:szCs w:val="28"/>
        </w:rPr>
        <w:t>мальный уровень – 0,97102</w:t>
      </w:r>
      <w:r w:rsidRPr="00C62F38">
        <w:rPr>
          <w:rFonts w:eastAsia="Times New Roman"/>
          <w:sz w:val="28"/>
          <w:szCs w:val="28"/>
        </w:rPr>
        <w:t xml:space="preserve"> руб./кВтч.;</w:t>
      </w:r>
    </w:p>
    <w:p w:rsidR="001E7B45" w:rsidRPr="00C62F38" w:rsidRDefault="001E7B45" w:rsidP="00986830">
      <w:pPr>
        <w:autoSpaceDE w:val="0"/>
        <w:autoSpaceDN w:val="0"/>
        <w:spacing w:after="0" w:line="240" w:lineRule="auto"/>
        <w:ind w:firstLine="709"/>
        <w:jc w:val="both"/>
        <w:rPr>
          <w:rFonts w:eastAsia="Times New Roman"/>
          <w:sz w:val="28"/>
          <w:szCs w:val="28"/>
        </w:rPr>
      </w:pPr>
      <w:r w:rsidRPr="00986830">
        <w:rPr>
          <w:rFonts w:eastAsia="Times New Roman"/>
          <w:sz w:val="28"/>
          <w:szCs w:val="28"/>
          <w:u w:val="single"/>
        </w:rPr>
        <w:t>на второе полугодие 2020 года</w:t>
      </w:r>
      <w:r w:rsidRPr="00C62F38">
        <w:rPr>
          <w:rFonts w:eastAsia="Times New Roman"/>
          <w:sz w:val="28"/>
          <w:szCs w:val="28"/>
        </w:rPr>
        <w:t>: предельны</w:t>
      </w:r>
      <w:r>
        <w:rPr>
          <w:rFonts w:eastAsia="Times New Roman"/>
          <w:sz w:val="28"/>
          <w:szCs w:val="28"/>
        </w:rPr>
        <w:t>й минимальный уровень -0,3352</w:t>
      </w:r>
      <w:r w:rsidRPr="00C62F38">
        <w:rPr>
          <w:rFonts w:eastAsia="Times New Roman"/>
          <w:sz w:val="28"/>
          <w:szCs w:val="28"/>
        </w:rPr>
        <w:t>5 руб./кВтч.</w:t>
      </w:r>
      <w:r>
        <w:rPr>
          <w:rFonts w:eastAsia="Times New Roman"/>
          <w:sz w:val="28"/>
          <w:szCs w:val="28"/>
        </w:rPr>
        <w:t>,</w:t>
      </w:r>
      <w:r w:rsidRPr="00C62F38">
        <w:rPr>
          <w:rFonts w:eastAsia="Times New Roman"/>
          <w:sz w:val="28"/>
          <w:szCs w:val="28"/>
        </w:rPr>
        <w:t xml:space="preserve"> преде</w:t>
      </w:r>
      <w:r>
        <w:rPr>
          <w:rFonts w:eastAsia="Times New Roman"/>
          <w:sz w:val="28"/>
          <w:szCs w:val="28"/>
        </w:rPr>
        <w:t>льный максимальный уровень - 1,06</w:t>
      </w:r>
      <w:r w:rsidRPr="00C62F38">
        <w:rPr>
          <w:rFonts w:eastAsia="Times New Roman"/>
          <w:sz w:val="28"/>
          <w:szCs w:val="28"/>
        </w:rPr>
        <w:t>7</w:t>
      </w:r>
      <w:r>
        <w:rPr>
          <w:rFonts w:eastAsia="Times New Roman"/>
          <w:sz w:val="28"/>
          <w:szCs w:val="28"/>
        </w:rPr>
        <w:t>15</w:t>
      </w:r>
      <w:r w:rsidRPr="00C62F38">
        <w:rPr>
          <w:rFonts w:eastAsia="Times New Roman"/>
          <w:sz w:val="28"/>
          <w:szCs w:val="28"/>
        </w:rPr>
        <w:t xml:space="preserve"> руб./кВтч.</w:t>
      </w:r>
    </w:p>
    <w:p w:rsidR="001E7B45" w:rsidRPr="00847B4C" w:rsidRDefault="001E7B45" w:rsidP="00986830">
      <w:pPr>
        <w:pStyle w:val="a8"/>
        <w:ind w:firstLine="709"/>
        <w:jc w:val="both"/>
        <w:rPr>
          <w:sz w:val="28"/>
          <w:szCs w:val="28"/>
        </w:rPr>
      </w:pPr>
      <w:r w:rsidRPr="00F80C56">
        <w:rPr>
          <w:sz w:val="28"/>
          <w:szCs w:val="28"/>
        </w:rPr>
        <w:t xml:space="preserve">Приказом </w:t>
      </w:r>
      <w:r w:rsidR="00986830">
        <w:rPr>
          <w:sz w:val="28"/>
          <w:szCs w:val="28"/>
        </w:rPr>
        <w:t>Д</w:t>
      </w:r>
      <w:r w:rsidRPr="00F80C56">
        <w:rPr>
          <w:sz w:val="28"/>
          <w:szCs w:val="28"/>
        </w:rPr>
        <w:t xml:space="preserve">епартамента </w:t>
      </w:r>
      <w:r>
        <w:rPr>
          <w:sz w:val="28"/>
          <w:szCs w:val="28"/>
        </w:rPr>
        <w:t>от 30</w:t>
      </w:r>
      <w:r w:rsidR="00986830">
        <w:rPr>
          <w:sz w:val="28"/>
          <w:szCs w:val="28"/>
        </w:rPr>
        <w:t>.12.</w:t>
      </w:r>
      <w:r w:rsidRPr="00F80C56">
        <w:rPr>
          <w:sz w:val="28"/>
          <w:szCs w:val="28"/>
        </w:rPr>
        <w:t>20</w:t>
      </w:r>
      <w:r>
        <w:rPr>
          <w:sz w:val="28"/>
          <w:szCs w:val="28"/>
        </w:rPr>
        <w:t>19</w:t>
      </w:r>
      <w:r w:rsidRPr="00F80C56">
        <w:rPr>
          <w:sz w:val="28"/>
          <w:szCs w:val="28"/>
        </w:rPr>
        <w:t xml:space="preserve"> года </w:t>
      </w:r>
      <w:r w:rsidRPr="0087757D">
        <w:rPr>
          <w:sz w:val="28"/>
          <w:szCs w:val="28"/>
        </w:rPr>
        <w:t>№ 768-ЭЭ</w:t>
      </w:r>
      <w:r>
        <w:rPr>
          <w:sz w:val="28"/>
          <w:szCs w:val="28"/>
        </w:rPr>
        <w:t xml:space="preserve"> скорректированы на 2020</w:t>
      </w:r>
      <w:r w:rsidRPr="00F80C56">
        <w:rPr>
          <w:sz w:val="28"/>
          <w:szCs w:val="28"/>
        </w:rPr>
        <w:t xml:space="preserve"> год единые (котловые) тарифы на услуги по передаче электрической энергии по сетям Новосибирской области, поставляемой населению и приравненным к нему категориям потребителей, установленные на долгосрочный период регулирования 2016-2020 годов, сформированные в рамках предельных уровней </w:t>
      </w:r>
      <w:r w:rsidRPr="008E0BD1">
        <w:rPr>
          <w:sz w:val="28"/>
          <w:szCs w:val="28"/>
        </w:rPr>
        <w:t xml:space="preserve">тарифов ФАС России. </w:t>
      </w:r>
    </w:p>
    <w:p w:rsidR="001E7B45" w:rsidRPr="00713C1D" w:rsidRDefault="001E7B45" w:rsidP="00986830">
      <w:pPr>
        <w:tabs>
          <w:tab w:val="center" w:pos="4677"/>
          <w:tab w:val="right" w:pos="9355"/>
        </w:tabs>
        <w:spacing w:after="0" w:line="240" w:lineRule="auto"/>
        <w:ind w:firstLine="709"/>
        <w:jc w:val="both"/>
        <w:rPr>
          <w:rFonts w:eastAsia="Calibri"/>
          <w:sz w:val="28"/>
          <w:szCs w:val="28"/>
          <w:lang w:eastAsia="en-US"/>
        </w:rPr>
      </w:pPr>
      <w:r w:rsidRPr="00713C1D">
        <w:rPr>
          <w:rFonts w:eastAsia="Calibri"/>
          <w:sz w:val="28"/>
          <w:szCs w:val="28"/>
          <w:lang w:eastAsia="en-US"/>
        </w:rPr>
        <w:t>Расчет произведен с учетом</w:t>
      </w:r>
      <w:r>
        <w:rPr>
          <w:rFonts w:eastAsia="Calibri"/>
          <w:sz w:val="28"/>
          <w:szCs w:val="28"/>
          <w:lang w:eastAsia="en-US"/>
        </w:rPr>
        <w:t xml:space="preserve"> составляющих, порядок формирования которых изложен в разделе «Формирование тарифов для населения и приравненных к нему категорий потребителей».</w:t>
      </w:r>
    </w:p>
    <w:p w:rsidR="001E7B45" w:rsidRPr="006F32C8" w:rsidRDefault="001E7B45" w:rsidP="00986830">
      <w:pPr>
        <w:spacing w:after="0" w:line="240" w:lineRule="auto"/>
        <w:ind w:firstLine="709"/>
        <w:jc w:val="both"/>
        <w:rPr>
          <w:sz w:val="28"/>
          <w:szCs w:val="28"/>
        </w:rPr>
      </w:pPr>
      <w:r w:rsidRPr="006F32C8">
        <w:rPr>
          <w:sz w:val="28"/>
          <w:szCs w:val="28"/>
        </w:rPr>
        <w:t xml:space="preserve">Тарифы на услуги по передаче электрической энергии, поставляемой населению и приравненным к нему категориям потребителей, рассчитаны </w:t>
      </w:r>
      <w:r w:rsidR="00986830">
        <w:rPr>
          <w:sz w:val="28"/>
          <w:szCs w:val="28"/>
        </w:rPr>
        <w:t>Д</w:t>
      </w:r>
      <w:r w:rsidRPr="006F32C8">
        <w:rPr>
          <w:sz w:val="28"/>
          <w:szCs w:val="28"/>
        </w:rPr>
        <w:t>епартаментом как разница между величинами конечных тарифов на электрическую энергию, поставляемую населению и приравненным к нему категориям потребителей (дифференцированных в зависимости от места проживания (расположения) (город, село) и зонам суток), и вышеперечисленными составляющими.</w:t>
      </w:r>
    </w:p>
    <w:p w:rsidR="001E7B45" w:rsidRPr="006F32C8" w:rsidRDefault="001E7B45" w:rsidP="00986830">
      <w:pPr>
        <w:tabs>
          <w:tab w:val="center" w:pos="4677"/>
          <w:tab w:val="right" w:pos="9355"/>
        </w:tabs>
        <w:spacing w:after="0" w:line="240" w:lineRule="auto"/>
        <w:ind w:firstLine="709"/>
        <w:jc w:val="both"/>
        <w:rPr>
          <w:rFonts w:eastAsia="Calibri"/>
          <w:sz w:val="28"/>
          <w:szCs w:val="28"/>
          <w:lang w:eastAsia="en-US"/>
        </w:rPr>
      </w:pPr>
      <w:r w:rsidRPr="006F32C8">
        <w:rPr>
          <w:rFonts w:eastAsia="Calibri"/>
          <w:sz w:val="28"/>
          <w:szCs w:val="28"/>
          <w:lang w:eastAsia="en-US"/>
        </w:rPr>
        <w:t xml:space="preserve">Средневзвешенные тарифы на услуги по передаче электрической энергии населению и приравненным к нему категориям потребителей без </w:t>
      </w:r>
      <w:r w:rsidRPr="006F32C8">
        <w:rPr>
          <w:color w:val="000033"/>
          <w:sz w:val="28"/>
          <w:szCs w:val="28"/>
        </w:rPr>
        <w:t xml:space="preserve">дифференциации по зонам суток и места проживания (расположения) </w:t>
      </w:r>
      <w:r w:rsidRPr="006F32C8">
        <w:rPr>
          <w:rFonts w:eastAsia="Calibri"/>
          <w:sz w:val="28"/>
          <w:szCs w:val="28"/>
          <w:lang w:eastAsia="en-US"/>
        </w:rPr>
        <w:t>рассчитаны в следующем размере (без НДС):</w:t>
      </w:r>
    </w:p>
    <w:p w:rsidR="001E7B45" w:rsidRPr="006F32C8" w:rsidRDefault="001E7B45" w:rsidP="00986830">
      <w:pPr>
        <w:tabs>
          <w:tab w:val="center" w:pos="4677"/>
          <w:tab w:val="right" w:pos="9355"/>
        </w:tabs>
        <w:spacing w:after="0" w:line="240" w:lineRule="auto"/>
        <w:ind w:firstLine="709"/>
        <w:jc w:val="both"/>
        <w:rPr>
          <w:rFonts w:eastAsia="Calibri"/>
          <w:sz w:val="28"/>
          <w:szCs w:val="28"/>
          <w:lang w:eastAsia="en-US"/>
        </w:rPr>
      </w:pPr>
      <w:r w:rsidRPr="006F32C8">
        <w:rPr>
          <w:rFonts w:eastAsia="Calibri"/>
          <w:sz w:val="28"/>
          <w:szCs w:val="28"/>
          <w:lang w:eastAsia="en-US"/>
        </w:rPr>
        <w:t>на первое полугодие – 674,01 руб/МВт.ч;</w:t>
      </w:r>
    </w:p>
    <w:p w:rsidR="001E7B45" w:rsidRPr="006F32C8" w:rsidRDefault="001E7B45" w:rsidP="00986830">
      <w:pPr>
        <w:tabs>
          <w:tab w:val="center" w:pos="4677"/>
          <w:tab w:val="right" w:pos="9355"/>
        </w:tabs>
        <w:spacing w:after="0" w:line="240" w:lineRule="auto"/>
        <w:ind w:firstLine="709"/>
        <w:jc w:val="both"/>
        <w:rPr>
          <w:rFonts w:eastAsia="Calibri"/>
          <w:sz w:val="28"/>
          <w:szCs w:val="28"/>
          <w:lang w:eastAsia="en-US"/>
        </w:rPr>
      </w:pPr>
      <w:r w:rsidRPr="006F32C8">
        <w:rPr>
          <w:rFonts w:eastAsia="Calibri"/>
          <w:sz w:val="28"/>
          <w:szCs w:val="28"/>
          <w:lang w:eastAsia="en-US"/>
        </w:rPr>
        <w:t>на второе полугодие – 696,49 руб/МВт.ч</w:t>
      </w:r>
    </w:p>
    <w:p w:rsidR="001E7B45" w:rsidRPr="006F32C8" w:rsidRDefault="001E7B45" w:rsidP="00986830">
      <w:pPr>
        <w:tabs>
          <w:tab w:val="center" w:pos="4677"/>
          <w:tab w:val="right" w:pos="9355"/>
        </w:tabs>
        <w:spacing w:after="0" w:line="240" w:lineRule="auto"/>
        <w:ind w:firstLine="709"/>
        <w:jc w:val="both"/>
        <w:rPr>
          <w:rFonts w:eastAsia="Calibri"/>
          <w:sz w:val="28"/>
          <w:szCs w:val="28"/>
          <w:lang w:eastAsia="en-US"/>
        </w:rPr>
      </w:pPr>
      <w:r w:rsidRPr="006F32C8">
        <w:rPr>
          <w:rFonts w:eastAsia="Calibri"/>
          <w:sz w:val="28"/>
          <w:szCs w:val="28"/>
          <w:lang w:eastAsia="en-US"/>
        </w:rPr>
        <w:t xml:space="preserve">При этом средневзвешенный тариф на услуги по передаче электрической энергии населению и приравненным к нему категориям потребителей, рассчитанный на 2 полугодие 2020 года, сформирован с ростом относительно 1 полугодия 2020 года на 3,3%. </w:t>
      </w:r>
    </w:p>
    <w:p w:rsidR="001E7B45" w:rsidRDefault="001E7B45" w:rsidP="00986830">
      <w:pPr>
        <w:pStyle w:val="a8"/>
        <w:ind w:firstLine="709"/>
        <w:jc w:val="both"/>
        <w:rPr>
          <w:color w:val="000000"/>
          <w:sz w:val="28"/>
          <w:szCs w:val="28"/>
        </w:rPr>
      </w:pPr>
      <w:r w:rsidRPr="00713C1D">
        <w:rPr>
          <w:color w:val="000000"/>
          <w:sz w:val="28"/>
          <w:szCs w:val="28"/>
        </w:rPr>
        <w:t xml:space="preserve">Размеры </w:t>
      </w:r>
      <w:r w:rsidRPr="00713C1D">
        <w:rPr>
          <w:sz w:val="28"/>
          <w:szCs w:val="28"/>
        </w:rPr>
        <w:t xml:space="preserve">единых (котловых) тарифов на услуги по передаче электрической энергии по сетям Новосибирской области, поставляемой населению и приравненным к нему категориям потребителей, </w:t>
      </w:r>
      <w:r>
        <w:rPr>
          <w:color w:val="000000"/>
          <w:sz w:val="28"/>
          <w:szCs w:val="28"/>
        </w:rPr>
        <w:t>на 2020</w:t>
      </w:r>
      <w:r w:rsidRPr="00713C1D">
        <w:rPr>
          <w:color w:val="000000"/>
          <w:sz w:val="28"/>
          <w:szCs w:val="28"/>
        </w:rPr>
        <w:t xml:space="preserve"> г. с календарной разбивкой ниже приведены в таблице</w:t>
      </w:r>
      <w:r w:rsidR="00301B24">
        <w:rPr>
          <w:color w:val="000000"/>
          <w:sz w:val="28"/>
          <w:szCs w:val="28"/>
        </w:rPr>
        <w:t xml:space="preserve"> №2.1.5</w:t>
      </w:r>
      <w:r w:rsidRPr="00713C1D">
        <w:rPr>
          <w:color w:val="000000"/>
          <w:sz w:val="28"/>
          <w:szCs w:val="28"/>
        </w:rPr>
        <w:t>.</w:t>
      </w:r>
    </w:p>
    <w:p w:rsidR="00301B24" w:rsidRPr="00713C1D" w:rsidRDefault="00301B24" w:rsidP="00301B24">
      <w:pPr>
        <w:pStyle w:val="a8"/>
        <w:ind w:firstLine="709"/>
        <w:jc w:val="right"/>
        <w:rPr>
          <w:color w:val="000000"/>
          <w:sz w:val="28"/>
          <w:szCs w:val="28"/>
        </w:rPr>
      </w:pPr>
      <w:r>
        <w:rPr>
          <w:color w:val="000000"/>
        </w:rPr>
        <w:t>Таблица  № 2.1.5.</w:t>
      </w:r>
    </w:p>
    <w:tbl>
      <w:tblPr>
        <w:tblW w:w="9513" w:type="dxa"/>
        <w:tblInd w:w="93" w:type="dxa"/>
        <w:tblLayout w:type="fixed"/>
        <w:tblLook w:val="00A0" w:firstRow="1" w:lastRow="0" w:firstColumn="1" w:lastColumn="0" w:noHBand="0" w:noVBand="0"/>
      </w:tblPr>
      <w:tblGrid>
        <w:gridCol w:w="711"/>
        <w:gridCol w:w="6738"/>
        <w:gridCol w:w="74"/>
        <w:gridCol w:w="856"/>
        <w:gridCol w:w="141"/>
        <w:gridCol w:w="317"/>
        <w:gridCol w:w="676"/>
      </w:tblGrid>
      <w:tr w:rsidR="00301B24" w:rsidRPr="00B152CE" w:rsidTr="00BD58BF">
        <w:trPr>
          <w:trHeight w:val="300"/>
        </w:trPr>
        <w:tc>
          <w:tcPr>
            <w:tcW w:w="711" w:type="dxa"/>
            <w:tcBorders>
              <w:top w:val="nil"/>
              <w:left w:val="nil"/>
              <w:bottom w:val="nil"/>
              <w:right w:val="nil"/>
            </w:tcBorders>
            <w:noWrap/>
            <w:vAlign w:val="bottom"/>
          </w:tcPr>
          <w:p w:rsidR="00301B24" w:rsidRPr="00B152CE" w:rsidRDefault="00301B24" w:rsidP="00986830">
            <w:pPr>
              <w:spacing w:after="0" w:line="240" w:lineRule="auto"/>
              <w:rPr>
                <w:rFonts w:ascii="Calibri" w:hAnsi="Calibri"/>
                <w:color w:val="000000"/>
                <w:highlight w:val="yellow"/>
              </w:rPr>
            </w:pPr>
          </w:p>
        </w:tc>
        <w:tc>
          <w:tcPr>
            <w:tcW w:w="6738" w:type="dxa"/>
            <w:tcBorders>
              <w:top w:val="nil"/>
              <w:left w:val="nil"/>
              <w:bottom w:val="nil"/>
              <w:right w:val="nil"/>
            </w:tcBorders>
            <w:noWrap/>
            <w:vAlign w:val="bottom"/>
          </w:tcPr>
          <w:p w:rsidR="00301B24" w:rsidRPr="00B709FD" w:rsidRDefault="00301B24" w:rsidP="00301B24">
            <w:pPr>
              <w:spacing w:after="0" w:line="240" w:lineRule="auto"/>
              <w:jc w:val="right"/>
              <w:rPr>
                <w:color w:val="000000"/>
              </w:rPr>
            </w:pPr>
          </w:p>
        </w:tc>
        <w:tc>
          <w:tcPr>
            <w:tcW w:w="1388" w:type="dxa"/>
            <w:gridSpan w:val="4"/>
            <w:tcBorders>
              <w:top w:val="nil"/>
              <w:left w:val="nil"/>
              <w:bottom w:val="nil"/>
              <w:right w:val="nil"/>
            </w:tcBorders>
            <w:noWrap/>
            <w:vAlign w:val="bottom"/>
          </w:tcPr>
          <w:p w:rsidR="00301B24" w:rsidRPr="00B709FD" w:rsidRDefault="00301B24" w:rsidP="00301B24">
            <w:pPr>
              <w:spacing w:after="0" w:line="240" w:lineRule="auto"/>
              <w:rPr>
                <w:color w:val="000000"/>
              </w:rPr>
            </w:pPr>
            <w:r>
              <w:rPr>
                <w:color w:val="000000"/>
              </w:rPr>
              <w:t xml:space="preserve"> р</w:t>
            </w:r>
            <w:r w:rsidRPr="00B709FD">
              <w:rPr>
                <w:color w:val="000000"/>
              </w:rPr>
              <w:t>уб./кВт*ч</w:t>
            </w:r>
            <w:r>
              <w:rPr>
                <w:color w:val="000000"/>
              </w:rPr>
              <w:t xml:space="preserve">   </w:t>
            </w:r>
          </w:p>
        </w:tc>
        <w:tc>
          <w:tcPr>
            <w:tcW w:w="676" w:type="dxa"/>
            <w:tcBorders>
              <w:top w:val="nil"/>
              <w:left w:val="nil"/>
              <w:bottom w:val="nil"/>
              <w:right w:val="nil"/>
            </w:tcBorders>
            <w:noWrap/>
            <w:vAlign w:val="bottom"/>
          </w:tcPr>
          <w:p w:rsidR="00301B24" w:rsidRPr="00B709FD" w:rsidRDefault="00301B24" w:rsidP="00986830">
            <w:pPr>
              <w:spacing w:after="0" w:line="240" w:lineRule="auto"/>
              <w:ind w:left="-708"/>
              <w:jc w:val="both"/>
              <w:rPr>
                <w:color w:val="000000"/>
              </w:rPr>
            </w:pPr>
            <w:r w:rsidRPr="00B709FD">
              <w:rPr>
                <w:color w:val="000000"/>
                <w:sz w:val="22"/>
                <w:szCs w:val="22"/>
              </w:rPr>
              <w:t>руб./</w:t>
            </w:r>
          </w:p>
        </w:tc>
      </w:tr>
      <w:tr w:rsidR="00301B24" w:rsidRPr="00B152CE" w:rsidTr="00BD58BF">
        <w:trPr>
          <w:trHeight w:val="300"/>
        </w:trPr>
        <w:tc>
          <w:tcPr>
            <w:tcW w:w="711" w:type="dxa"/>
            <w:vMerge w:val="restart"/>
            <w:tcBorders>
              <w:top w:val="single" w:sz="4" w:space="0" w:color="auto"/>
              <w:left w:val="single" w:sz="4" w:space="0" w:color="auto"/>
              <w:bottom w:val="single" w:sz="4" w:space="0" w:color="auto"/>
              <w:right w:val="single" w:sz="4" w:space="0" w:color="auto"/>
            </w:tcBorders>
            <w:noWrap/>
            <w:vAlign w:val="center"/>
          </w:tcPr>
          <w:p w:rsidR="00301B24" w:rsidRPr="00E06B2D" w:rsidRDefault="00301B24" w:rsidP="00BD58BF">
            <w:pPr>
              <w:jc w:val="center"/>
              <w:rPr>
                <w:rFonts w:eastAsia="Times New Roman"/>
                <w:color w:val="000000"/>
              </w:rPr>
            </w:pPr>
            <w:r w:rsidRPr="00E06B2D">
              <w:rPr>
                <w:rFonts w:eastAsia="Times New Roman"/>
                <w:color w:val="000000"/>
                <w:sz w:val="22"/>
                <w:szCs w:val="22"/>
              </w:rPr>
              <w:t>N п/п</w:t>
            </w:r>
          </w:p>
        </w:tc>
        <w:tc>
          <w:tcPr>
            <w:tcW w:w="6738" w:type="dxa"/>
            <w:vMerge w:val="restart"/>
            <w:tcBorders>
              <w:top w:val="single" w:sz="4" w:space="0" w:color="auto"/>
              <w:left w:val="single" w:sz="4" w:space="0" w:color="auto"/>
              <w:bottom w:val="single" w:sz="4" w:space="0" w:color="000000"/>
              <w:right w:val="single" w:sz="4" w:space="0" w:color="auto"/>
            </w:tcBorders>
            <w:vAlign w:val="center"/>
          </w:tcPr>
          <w:p w:rsidR="00301B24" w:rsidRPr="00E06B2D" w:rsidRDefault="00301B24" w:rsidP="00BD58BF">
            <w:pPr>
              <w:jc w:val="center"/>
              <w:rPr>
                <w:rFonts w:eastAsia="Times New Roman"/>
                <w:b/>
                <w:bCs/>
                <w:color w:val="000000"/>
              </w:rPr>
            </w:pPr>
            <w:r w:rsidRPr="00E06B2D">
              <w:rPr>
                <w:rFonts w:eastAsia="Times New Roman"/>
                <w:b/>
                <w:bCs/>
                <w:color w:val="000000"/>
                <w:sz w:val="22"/>
                <w:szCs w:val="22"/>
              </w:rPr>
              <w:t>Тарифные группы потребителей электрической энергии (мощности)</w:t>
            </w:r>
          </w:p>
        </w:tc>
        <w:tc>
          <w:tcPr>
            <w:tcW w:w="2064" w:type="dxa"/>
            <w:gridSpan w:val="5"/>
            <w:tcBorders>
              <w:top w:val="single" w:sz="4" w:space="0" w:color="auto"/>
              <w:left w:val="nil"/>
              <w:bottom w:val="single" w:sz="4" w:space="0" w:color="auto"/>
              <w:right w:val="single" w:sz="4" w:space="0" w:color="auto"/>
            </w:tcBorders>
            <w:noWrap/>
            <w:vAlign w:val="center"/>
          </w:tcPr>
          <w:p w:rsidR="00301B24" w:rsidRPr="00E06B2D" w:rsidRDefault="00301B24" w:rsidP="00BD58BF">
            <w:pPr>
              <w:jc w:val="center"/>
              <w:rPr>
                <w:rFonts w:eastAsia="Times New Roman"/>
                <w:b/>
                <w:bCs/>
                <w:color w:val="000000"/>
              </w:rPr>
            </w:pPr>
            <w:r>
              <w:rPr>
                <w:rFonts w:eastAsia="Times New Roman"/>
                <w:b/>
                <w:bCs/>
                <w:color w:val="000000"/>
                <w:sz w:val="22"/>
                <w:szCs w:val="22"/>
              </w:rPr>
              <w:t>2020</w:t>
            </w:r>
            <w:r w:rsidRPr="00E06B2D">
              <w:rPr>
                <w:rFonts w:eastAsia="Times New Roman"/>
                <w:b/>
                <w:bCs/>
                <w:color w:val="000000"/>
                <w:sz w:val="22"/>
                <w:szCs w:val="22"/>
              </w:rPr>
              <w:t xml:space="preserve"> г.</w:t>
            </w:r>
          </w:p>
        </w:tc>
      </w:tr>
      <w:tr w:rsidR="00301B24" w:rsidRPr="00B152CE" w:rsidTr="00BD58BF">
        <w:trPr>
          <w:trHeight w:val="300"/>
        </w:trPr>
        <w:tc>
          <w:tcPr>
            <w:tcW w:w="711" w:type="dxa"/>
            <w:vMerge/>
            <w:tcBorders>
              <w:top w:val="single" w:sz="4" w:space="0" w:color="auto"/>
              <w:left w:val="single" w:sz="4" w:space="0" w:color="auto"/>
              <w:bottom w:val="single" w:sz="4" w:space="0" w:color="auto"/>
              <w:right w:val="single" w:sz="4" w:space="0" w:color="auto"/>
            </w:tcBorders>
            <w:vAlign w:val="center"/>
          </w:tcPr>
          <w:p w:rsidR="00301B24" w:rsidRPr="00E06B2D" w:rsidRDefault="00301B24" w:rsidP="00BD58BF">
            <w:pPr>
              <w:rPr>
                <w:rFonts w:eastAsia="Times New Roman"/>
                <w:color w:val="000000"/>
              </w:rPr>
            </w:pPr>
          </w:p>
        </w:tc>
        <w:tc>
          <w:tcPr>
            <w:tcW w:w="6738" w:type="dxa"/>
            <w:vMerge/>
            <w:tcBorders>
              <w:top w:val="single" w:sz="4" w:space="0" w:color="auto"/>
              <w:left w:val="single" w:sz="4" w:space="0" w:color="auto"/>
              <w:bottom w:val="single" w:sz="4" w:space="0" w:color="000000"/>
              <w:right w:val="single" w:sz="4" w:space="0" w:color="auto"/>
            </w:tcBorders>
            <w:vAlign w:val="center"/>
          </w:tcPr>
          <w:p w:rsidR="00301B24" w:rsidRPr="00E06B2D" w:rsidRDefault="00301B24" w:rsidP="00BD58BF">
            <w:pPr>
              <w:rPr>
                <w:rFonts w:eastAsia="Times New Roman"/>
                <w:b/>
                <w:bCs/>
                <w:color w:val="000000"/>
              </w:rPr>
            </w:pPr>
          </w:p>
        </w:tc>
        <w:tc>
          <w:tcPr>
            <w:tcW w:w="930" w:type="dxa"/>
            <w:gridSpan w:val="2"/>
            <w:tcBorders>
              <w:top w:val="nil"/>
              <w:left w:val="nil"/>
              <w:bottom w:val="single" w:sz="4" w:space="0" w:color="auto"/>
              <w:right w:val="single" w:sz="4" w:space="0" w:color="auto"/>
            </w:tcBorders>
            <w:noWrap/>
            <w:vAlign w:val="center"/>
          </w:tcPr>
          <w:p w:rsidR="00301B24" w:rsidRPr="00E06B2D" w:rsidRDefault="00301B24" w:rsidP="00BD58BF">
            <w:pPr>
              <w:jc w:val="center"/>
              <w:rPr>
                <w:rFonts w:eastAsia="Times New Roman"/>
                <w:b/>
                <w:bCs/>
                <w:color w:val="000000"/>
              </w:rPr>
            </w:pPr>
            <w:r w:rsidRPr="00E06B2D">
              <w:rPr>
                <w:rFonts w:eastAsia="Times New Roman"/>
                <w:b/>
                <w:bCs/>
                <w:color w:val="000000"/>
                <w:sz w:val="22"/>
                <w:szCs w:val="22"/>
              </w:rPr>
              <w:t>1 пг.</w:t>
            </w:r>
          </w:p>
        </w:tc>
        <w:tc>
          <w:tcPr>
            <w:tcW w:w="1134" w:type="dxa"/>
            <w:gridSpan w:val="3"/>
            <w:tcBorders>
              <w:top w:val="nil"/>
              <w:left w:val="nil"/>
              <w:bottom w:val="single" w:sz="4" w:space="0" w:color="auto"/>
              <w:right w:val="single" w:sz="4" w:space="0" w:color="auto"/>
            </w:tcBorders>
            <w:noWrap/>
            <w:vAlign w:val="center"/>
          </w:tcPr>
          <w:p w:rsidR="00301B24" w:rsidRPr="00E06B2D" w:rsidRDefault="00301B24" w:rsidP="00BD58BF">
            <w:pPr>
              <w:jc w:val="center"/>
              <w:rPr>
                <w:rFonts w:eastAsia="Times New Roman"/>
                <w:b/>
                <w:bCs/>
                <w:color w:val="000000"/>
              </w:rPr>
            </w:pPr>
            <w:r w:rsidRPr="00E06B2D">
              <w:rPr>
                <w:rFonts w:eastAsia="Times New Roman"/>
                <w:b/>
                <w:bCs/>
                <w:color w:val="000000"/>
                <w:sz w:val="22"/>
                <w:szCs w:val="22"/>
              </w:rPr>
              <w:t>2пг.</w:t>
            </w:r>
          </w:p>
        </w:tc>
      </w:tr>
      <w:tr w:rsidR="00301B24" w:rsidRPr="00B152CE" w:rsidTr="00BD58BF">
        <w:trPr>
          <w:trHeight w:val="555"/>
        </w:trPr>
        <w:tc>
          <w:tcPr>
            <w:tcW w:w="711" w:type="dxa"/>
            <w:vMerge/>
            <w:tcBorders>
              <w:top w:val="single" w:sz="4" w:space="0" w:color="auto"/>
              <w:left w:val="single" w:sz="4" w:space="0" w:color="auto"/>
              <w:bottom w:val="single" w:sz="4" w:space="0" w:color="auto"/>
              <w:right w:val="single" w:sz="4" w:space="0" w:color="auto"/>
            </w:tcBorders>
            <w:vAlign w:val="center"/>
          </w:tcPr>
          <w:p w:rsidR="00301B24" w:rsidRPr="00E06B2D" w:rsidRDefault="00301B24" w:rsidP="00BD58BF">
            <w:pPr>
              <w:rPr>
                <w:rFonts w:eastAsia="Times New Roman"/>
                <w:color w:val="000000"/>
              </w:rPr>
            </w:pPr>
          </w:p>
        </w:tc>
        <w:tc>
          <w:tcPr>
            <w:tcW w:w="8802" w:type="dxa"/>
            <w:gridSpan w:val="6"/>
            <w:tcBorders>
              <w:top w:val="single" w:sz="4" w:space="0" w:color="auto"/>
              <w:left w:val="nil"/>
              <w:bottom w:val="single" w:sz="4" w:space="0" w:color="auto"/>
              <w:right w:val="single" w:sz="4" w:space="0" w:color="auto"/>
            </w:tcBorders>
            <w:vAlign w:val="bottom"/>
          </w:tcPr>
          <w:p w:rsidR="00301B24" w:rsidRPr="00E06B2D" w:rsidRDefault="00301B24" w:rsidP="00BD58BF">
            <w:pPr>
              <w:jc w:val="center"/>
              <w:rPr>
                <w:rFonts w:eastAsia="Times New Roman"/>
                <w:b/>
                <w:bCs/>
                <w:color w:val="000000"/>
              </w:rPr>
            </w:pPr>
            <w:r w:rsidRPr="00E06B2D">
              <w:rPr>
                <w:rFonts w:eastAsia="Times New Roman"/>
                <w:b/>
                <w:bCs/>
                <w:color w:val="000000"/>
                <w:sz w:val="22"/>
                <w:szCs w:val="22"/>
              </w:rPr>
              <w:t>Одноставочный тариф (в том числе дифференцированный по двум и по трем зонам суток)</w:t>
            </w:r>
          </w:p>
        </w:tc>
      </w:tr>
      <w:tr w:rsidR="00301B24" w:rsidRPr="00B152CE" w:rsidTr="00BD58BF">
        <w:trPr>
          <w:trHeight w:val="300"/>
        </w:trPr>
        <w:tc>
          <w:tcPr>
            <w:tcW w:w="711" w:type="dxa"/>
            <w:tcBorders>
              <w:top w:val="nil"/>
              <w:left w:val="single" w:sz="4" w:space="0" w:color="auto"/>
              <w:bottom w:val="single" w:sz="4" w:space="0" w:color="auto"/>
              <w:right w:val="single" w:sz="4" w:space="0" w:color="auto"/>
            </w:tcBorders>
            <w:noWrap/>
            <w:vAlign w:val="bottom"/>
          </w:tcPr>
          <w:p w:rsidR="00301B24" w:rsidRPr="00E06B2D" w:rsidRDefault="00301B24" w:rsidP="00BD58BF">
            <w:pPr>
              <w:jc w:val="center"/>
              <w:rPr>
                <w:rFonts w:eastAsia="Times New Roman"/>
                <w:color w:val="000000"/>
                <w:sz w:val="20"/>
                <w:szCs w:val="20"/>
              </w:rPr>
            </w:pPr>
            <w:r w:rsidRPr="00E06B2D">
              <w:rPr>
                <w:rFonts w:eastAsia="Times New Roman"/>
                <w:color w:val="000000"/>
                <w:sz w:val="20"/>
                <w:szCs w:val="20"/>
              </w:rPr>
              <w:t>1</w:t>
            </w:r>
          </w:p>
        </w:tc>
        <w:tc>
          <w:tcPr>
            <w:tcW w:w="8802" w:type="dxa"/>
            <w:gridSpan w:val="6"/>
            <w:tcBorders>
              <w:top w:val="single" w:sz="4" w:space="0" w:color="auto"/>
              <w:left w:val="nil"/>
              <w:bottom w:val="single" w:sz="4" w:space="0" w:color="auto"/>
              <w:right w:val="single" w:sz="4" w:space="0" w:color="auto"/>
            </w:tcBorders>
            <w:noWrap/>
            <w:vAlign w:val="bottom"/>
          </w:tcPr>
          <w:p w:rsidR="00301B24" w:rsidRPr="00E06B2D" w:rsidRDefault="00301B24" w:rsidP="00BD58BF">
            <w:pPr>
              <w:jc w:val="center"/>
              <w:rPr>
                <w:rFonts w:eastAsia="Times New Roman"/>
                <w:color w:val="000000"/>
              </w:rPr>
            </w:pPr>
            <w:r w:rsidRPr="00E06B2D">
              <w:rPr>
                <w:rFonts w:eastAsia="Times New Roman"/>
                <w:color w:val="000000"/>
                <w:sz w:val="22"/>
                <w:szCs w:val="22"/>
              </w:rPr>
              <w:t>Население и приравненные к нему категории потребителей</w:t>
            </w:r>
          </w:p>
        </w:tc>
      </w:tr>
      <w:tr w:rsidR="00301B24" w:rsidRPr="0087757D" w:rsidTr="00577FA1">
        <w:trPr>
          <w:trHeight w:val="555"/>
        </w:trPr>
        <w:tc>
          <w:tcPr>
            <w:tcW w:w="711" w:type="dxa"/>
            <w:tcBorders>
              <w:top w:val="nil"/>
              <w:left w:val="single" w:sz="4" w:space="0" w:color="auto"/>
              <w:bottom w:val="single" w:sz="4" w:space="0" w:color="auto"/>
              <w:right w:val="single" w:sz="4" w:space="0" w:color="auto"/>
            </w:tcBorders>
            <w:noWrap/>
            <w:vAlign w:val="bottom"/>
          </w:tcPr>
          <w:p w:rsidR="00301B24" w:rsidRPr="00E06B2D" w:rsidRDefault="00301B24" w:rsidP="00BD58BF">
            <w:pPr>
              <w:jc w:val="center"/>
              <w:rPr>
                <w:rFonts w:eastAsia="Times New Roman"/>
                <w:color w:val="000000"/>
                <w:sz w:val="20"/>
                <w:szCs w:val="20"/>
              </w:rPr>
            </w:pPr>
            <w:r w:rsidRPr="00E06B2D">
              <w:rPr>
                <w:rFonts w:eastAsia="Times New Roman"/>
                <w:color w:val="000000"/>
                <w:sz w:val="20"/>
                <w:szCs w:val="20"/>
              </w:rPr>
              <w:t>1.1.</w:t>
            </w:r>
          </w:p>
        </w:tc>
        <w:tc>
          <w:tcPr>
            <w:tcW w:w="6738" w:type="dxa"/>
            <w:tcBorders>
              <w:top w:val="nil"/>
              <w:left w:val="nil"/>
              <w:bottom w:val="single" w:sz="4" w:space="0" w:color="auto"/>
              <w:right w:val="single" w:sz="4" w:space="0" w:color="auto"/>
            </w:tcBorders>
            <w:vAlign w:val="bottom"/>
          </w:tcPr>
          <w:p w:rsidR="00301B24" w:rsidRPr="00E06B2D" w:rsidRDefault="00301B24" w:rsidP="00BD58BF">
            <w:pPr>
              <w:jc w:val="center"/>
              <w:rPr>
                <w:rFonts w:eastAsia="Times New Roman"/>
                <w:color w:val="000000"/>
              </w:rPr>
            </w:pPr>
            <w:r w:rsidRPr="00E06B2D">
              <w:rPr>
                <w:rFonts w:eastAsia="Times New Roman"/>
                <w:color w:val="000000"/>
                <w:sz w:val="22"/>
                <w:szCs w:val="22"/>
              </w:rPr>
              <w:t>Население и приравненные к нему категории потребителей, за исключ</w:t>
            </w:r>
            <w:r>
              <w:rPr>
                <w:rFonts w:eastAsia="Times New Roman"/>
                <w:color w:val="000000"/>
                <w:sz w:val="22"/>
                <w:szCs w:val="22"/>
              </w:rPr>
              <w:t>ением указанн</w:t>
            </w:r>
            <w:r w:rsidRPr="00E06B2D">
              <w:rPr>
                <w:rFonts w:eastAsia="Times New Roman"/>
                <w:color w:val="000000"/>
                <w:sz w:val="22"/>
                <w:szCs w:val="22"/>
              </w:rPr>
              <w:t xml:space="preserve">ого в пунктах 1.2. и 1.3. </w:t>
            </w:r>
          </w:p>
        </w:tc>
        <w:tc>
          <w:tcPr>
            <w:tcW w:w="1071" w:type="dxa"/>
            <w:gridSpan w:val="3"/>
            <w:tcBorders>
              <w:top w:val="nil"/>
              <w:left w:val="nil"/>
              <w:bottom w:val="single" w:sz="4" w:space="0" w:color="auto"/>
              <w:right w:val="single" w:sz="4" w:space="0" w:color="auto"/>
            </w:tcBorders>
            <w:noWrap/>
            <w:vAlign w:val="center"/>
          </w:tcPr>
          <w:p w:rsidR="00301B24" w:rsidRPr="0087757D" w:rsidRDefault="00301B24" w:rsidP="00BD58BF">
            <w:pPr>
              <w:jc w:val="center"/>
              <w:outlineLvl w:val="1"/>
              <w:rPr>
                <w:bCs/>
                <w:sz w:val="20"/>
                <w:szCs w:val="20"/>
              </w:rPr>
            </w:pPr>
            <w:r w:rsidRPr="0087757D">
              <w:rPr>
                <w:bCs/>
                <w:sz w:val="20"/>
                <w:szCs w:val="20"/>
              </w:rPr>
              <w:t>0,80826</w:t>
            </w:r>
          </w:p>
        </w:tc>
        <w:tc>
          <w:tcPr>
            <w:tcW w:w="993" w:type="dxa"/>
            <w:gridSpan w:val="2"/>
            <w:tcBorders>
              <w:top w:val="nil"/>
              <w:left w:val="nil"/>
              <w:bottom w:val="single" w:sz="4" w:space="0" w:color="auto"/>
              <w:right w:val="single" w:sz="4" w:space="0" w:color="auto"/>
            </w:tcBorders>
            <w:noWrap/>
            <w:vAlign w:val="center"/>
          </w:tcPr>
          <w:p w:rsidR="00301B24" w:rsidRPr="0087757D" w:rsidRDefault="00301B24" w:rsidP="00BD58BF">
            <w:pPr>
              <w:jc w:val="center"/>
              <w:outlineLvl w:val="1"/>
              <w:rPr>
                <w:bCs/>
                <w:sz w:val="20"/>
                <w:szCs w:val="20"/>
              </w:rPr>
            </w:pPr>
            <w:r w:rsidRPr="0087757D">
              <w:rPr>
                <w:bCs/>
                <w:sz w:val="20"/>
                <w:szCs w:val="20"/>
              </w:rPr>
              <w:t>0,83571</w:t>
            </w:r>
          </w:p>
        </w:tc>
      </w:tr>
      <w:tr w:rsidR="00301B24" w:rsidRPr="0087757D" w:rsidTr="00577FA1">
        <w:trPr>
          <w:trHeight w:val="780"/>
        </w:trPr>
        <w:tc>
          <w:tcPr>
            <w:tcW w:w="711" w:type="dxa"/>
            <w:tcBorders>
              <w:top w:val="single" w:sz="4" w:space="0" w:color="auto"/>
              <w:left w:val="single" w:sz="4" w:space="0" w:color="auto"/>
              <w:bottom w:val="single" w:sz="4" w:space="0" w:color="auto"/>
              <w:right w:val="single" w:sz="4" w:space="0" w:color="auto"/>
            </w:tcBorders>
            <w:noWrap/>
            <w:vAlign w:val="bottom"/>
          </w:tcPr>
          <w:p w:rsidR="00301B24" w:rsidRPr="00E06B2D" w:rsidRDefault="00301B24" w:rsidP="00BD58BF">
            <w:pPr>
              <w:jc w:val="center"/>
              <w:rPr>
                <w:rFonts w:eastAsia="Times New Roman"/>
                <w:color w:val="000000"/>
                <w:sz w:val="20"/>
                <w:szCs w:val="20"/>
              </w:rPr>
            </w:pPr>
            <w:r w:rsidRPr="00E06B2D">
              <w:rPr>
                <w:rFonts w:eastAsia="Times New Roman"/>
                <w:color w:val="000000"/>
                <w:sz w:val="20"/>
                <w:szCs w:val="20"/>
              </w:rPr>
              <w:t xml:space="preserve">1.2. </w:t>
            </w:r>
          </w:p>
        </w:tc>
        <w:tc>
          <w:tcPr>
            <w:tcW w:w="6738" w:type="dxa"/>
            <w:tcBorders>
              <w:top w:val="single" w:sz="4" w:space="0" w:color="auto"/>
              <w:left w:val="nil"/>
              <w:bottom w:val="single" w:sz="4" w:space="0" w:color="auto"/>
              <w:right w:val="single" w:sz="4" w:space="0" w:color="auto"/>
            </w:tcBorders>
            <w:noWrap/>
            <w:vAlign w:val="bottom"/>
          </w:tcPr>
          <w:p w:rsidR="00301B24" w:rsidRPr="00E06B2D" w:rsidRDefault="00301B24" w:rsidP="00BD58BF">
            <w:pPr>
              <w:jc w:val="both"/>
              <w:rPr>
                <w:rFonts w:eastAsia="Times New Roman"/>
                <w:color w:val="000000"/>
              </w:rPr>
            </w:pPr>
            <w:r w:rsidRPr="00E06B2D">
              <w:rPr>
                <w:rFonts w:eastAsia="Times New Roman"/>
                <w:color w:val="000000"/>
                <w:sz w:val="22"/>
                <w:szCs w:val="22"/>
              </w:rPr>
              <w:t>Население, проживающее в городских населенных пунктах в домах, оборудованных в установленном порядке стационарными электроплитами и (или) электроотопительными</w:t>
            </w:r>
            <w:r>
              <w:rPr>
                <w:rFonts w:eastAsia="Times New Roman"/>
                <w:color w:val="000000"/>
                <w:sz w:val="22"/>
                <w:szCs w:val="22"/>
              </w:rPr>
              <w:t xml:space="preserve"> установками и </w:t>
            </w:r>
            <w:r>
              <w:rPr>
                <w:rFonts w:eastAsia="Times New Roman"/>
                <w:color w:val="000000"/>
                <w:sz w:val="22"/>
                <w:szCs w:val="22"/>
              </w:rPr>
              <w:lastRenderedPageBreak/>
              <w:t>приравненные к нему (с учетом дифференциации по зонам суток)</w:t>
            </w:r>
          </w:p>
        </w:tc>
        <w:tc>
          <w:tcPr>
            <w:tcW w:w="1071" w:type="dxa"/>
            <w:gridSpan w:val="3"/>
            <w:tcBorders>
              <w:top w:val="single" w:sz="4" w:space="0" w:color="auto"/>
              <w:left w:val="nil"/>
              <w:bottom w:val="single" w:sz="4" w:space="0" w:color="auto"/>
              <w:right w:val="single" w:sz="4" w:space="0" w:color="auto"/>
            </w:tcBorders>
            <w:noWrap/>
            <w:vAlign w:val="center"/>
          </w:tcPr>
          <w:p w:rsidR="00301B24" w:rsidRPr="0087757D" w:rsidRDefault="00301B24" w:rsidP="00BD58BF">
            <w:pPr>
              <w:widowControl w:val="0"/>
              <w:autoSpaceDE w:val="0"/>
              <w:autoSpaceDN w:val="0"/>
              <w:adjustRightInd w:val="0"/>
              <w:jc w:val="center"/>
              <w:rPr>
                <w:sz w:val="20"/>
                <w:szCs w:val="20"/>
              </w:rPr>
            </w:pPr>
            <w:r w:rsidRPr="0087757D">
              <w:rPr>
                <w:sz w:val="20"/>
                <w:szCs w:val="20"/>
              </w:rPr>
              <w:lastRenderedPageBreak/>
              <w:t>0,80824</w:t>
            </w:r>
          </w:p>
        </w:tc>
        <w:tc>
          <w:tcPr>
            <w:tcW w:w="993" w:type="dxa"/>
            <w:gridSpan w:val="2"/>
            <w:tcBorders>
              <w:top w:val="single" w:sz="4" w:space="0" w:color="auto"/>
              <w:left w:val="nil"/>
              <w:bottom w:val="single" w:sz="4" w:space="0" w:color="auto"/>
              <w:right w:val="single" w:sz="4" w:space="0" w:color="auto"/>
            </w:tcBorders>
            <w:noWrap/>
            <w:vAlign w:val="center"/>
          </w:tcPr>
          <w:p w:rsidR="00301B24" w:rsidRPr="0087757D" w:rsidRDefault="00301B24" w:rsidP="00BD58BF">
            <w:pPr>
              <w:widowControl w:val="0"/>
              <w:autoSpaceDE w:val="0"/>
              <w:autoSpaceDN w:val="0"/>
              <w:adjustRightInd w:val="0"/>
              <w:jc w:val="center"/>
              <w:rPr>
                <w:sz w:val="20"/>
                <w:szCs w:val="20"/>
              </w:rPr>
            </w:pPr>
            <w:r w:rsidRPr="0087757D">
              <w:rPr>
                <w:sz w:val="20"/>
                <w:szCs w:val="20"/>
              </w:rPr>
              <w:t>0,83570</w:t>
            </w:r>
          </w:p>
        </w:tc>
      </w:tr>
      <w:tr w:rsidR="00301B24" w:rsidRPr="0087757D" w:rsidTr="00BD58BF">
        <w:trPr>
          <w:trHeight w:val="600"/>
        </w:trPr>
        <w:tc>
          <w:tcPr>
            <w:tcW w:w="711" w:type="dxa"/>
            <w:tcBorders>
              <w:top w:val="single" w:sz="4" w:space="0" w:color="auto"/>
              <w:left w:val="single" w:sz="4" w:space="0" w:color="auto"/>
              <w:bottom w:val="single" w:sz="4" w:space="0" w:color="auto"/>
              <w:right w:val="single" w:sz="4" w:space="0" w:color="auto"/>
            </w:tcBorders>
            <w:noWrap/>
            <w:vAlign w:val="bottom"/>
          </w:tcPr>
          <w:p w:rsidR="00301B24" w:rsidRPr="00E06B2D" w:rsidRDefault="00301B24" w:rsidP="00BD58BF">
            <w:pPr>
              <w:jc w:val="center"/>
              <w:rPr>
                <w:rFonts w:eastAsia="Times New Roman"/>
                <w:color w:val="000000"/>
                <w:sz w:val="20"/>
                <w:szCs w:val="20"/>
              </w:rPr>
            </w:pPr>
            <w:r w:rsidRPr="00E06B2D">
              <w:rPr>
                <w:rFonts w:eastAsia="Times New Roman"/>
                <w:color w:val="000000"/>
                <w:sz w:val="20"/>
                <w:szCs w:val="20"/>
              </w:rPr>
              <w:lastRenderedPageBreak/>
              <w:t>1.3.</w:t>
            </w:r>
          </w:p>
        </w:tc>
        <w:tc>
          <w:tcPr>
            <w:tcW w:w="6738" w:type="dxa"/>
            <w:tcBorders>
              <w:top w:val="single" w:sz="4" w:space="0" w:color="auto"/>
              <w:left w:val="nil"/>
              <w:bottom w:val="single" w:sz="4" w:space="0" w:color="auto"/>
              <w:right w:val="single" w:sz="4" w:space="0" w:color="auto"/>
            </w:tcBorders>
            <w:vAlign w:val="bottom"/>
          </w:tcPr>
          <w:p w:rsidR="00301B24" w:rsidRPr="00E06B2D" w:rsidRDefault="00301B24" w:rsidP="00BD58BF">
            <w:pPr>
              <w:jc w:val="both"/>
              <w:rPr>
                <w:rFonts w:eastAsia="Times New Roman"/>
                <w:color w:val="000000"/>
              </w:rPr>
            </w:pPr>
            <w:r w:rsidRPr="00E06B2D">
              <w:rPr>
                <w:rFonts w:eastAsia="Times New Roman"/>
                <w:color w:val="000000"/>
                <w:sz w:val="22"/>
                <w:szCs w:val="22"/>
              </w:rPr>
              <w:t>Население, проживающее в сельских населе</w:t>
            </w:r>
            <w:r>
              <w:rPr>
                <w:rFonts w:eastAsia="Times New Roman"/>
                <w:color w:val="000000"/>
                <w:sz w:val="22"/>
                <w:szCs w:val="22"/>
              </w:rPr>
              <w:t>нных пунктах и приравненные к не</w:t>
            </w:r>
            <w:r w:rsidRPr="00E06B2D">
              <w:rPr>
                <w:rFonts w:eastAsia="Times New Roman"/>
                <w:color w:val="000000"/>
                <w:sz w:val="22"/>
                <w:szCs w:val="22"/>
              </w:rPr>
              <w:t>м</w:t>
            </w:r>
            <w:r>
              <w:rPr>
                <w:rFonts w:eastAsia="Times New Roman"/>
                <w:color w:val="000000"/>
                <w:sz w:val="22"/>
                <w:szCs w:val="22"/>
              </w:rPr>
              <w:t>у</w:t>
            </w:r>
          </w:p>
        </w:tc>
        <w:tc>
          <w:tcPr>
            <w:tcW w:w="1071" w:type="dxa"/>
            <w:gridSpan w:val="3"/>
            <w:tcBorders>
              <w:top w:val="single" w:sz="4" w:space="0" w:color="auto"/>
              <w:left w:val="nil"/>
              <w:bottom w:val="single" w:sz="4" w:space="0" w:color="auto"/>
              <w:right w:val="single" w:sz="4" w:space="0" w:color="auto"/>
            </w:tcBorders>
            <w:noWrap/>
            <w:vAlign w:val="center"/>
          </w:tcPr>
          <w:p w:rsidR="00301B24" w:rsidRPr="0087757D" w:rsidRDefault="00301B24" w:rsidP="00BD58BF">
            <w:pPr>
              <w:jc w:val="center"/>
              <w:outlineLvl w:val="1"/>
              <w:rPr>
                <w:bCs/>
                <w:sz w:val="20"/>
                <w:szCs w:val="20"/>
              </w:rPr>
            </w:pPr>
            <w:r w:rsidRPr="0087757D">
              <w:rPr>
                <w:bCs/>
                <w:sz w:val="20"/>
                <w:szCs w:val="20"/>
              </w:rPr>
              <w:t>0,35826</w:t>
            </w:r>
          </w:p>
        </w:tc>
        <w:tc>
          <w:tcPr>
            <w:tcW w:w="993" w:type="dxa"/>
            <w:gridSpan w:val="2"/>
            <w:tcBorders>
              <w:top w:val="single" w:sz="4" w:space="0" w:color="auto"/>
              <w:left w:val="nil"/>
              <w:bottom w:val="single" w:sz="4" w:space="0" w:color="auto"/>
              <w:right w:val="single" w:sz="4" w:space="0" w:color="auto"/>
            </w:tcBorders>
            <w:noWrap/>
            <w:vAlign w:val="center"/>
          </w:tcPr>
          <w:p w:rsidR="00301B24" w:rsidRPr="0087757D" w:rsidRDefault="00301B24" w:rsidP="00BD58BF">
            <w:pPr>
              <w:jc w:val="center"/>
              <w:outlineLvl w:val="1"/>
              <w:rPr>
                <w:bCs/>
                <w:sz w:val="20"/>
                <w:szCs w:val="20"/>
              </w:rPr>
            </w:pPr>
            <w:r w:rsidRPr="0087757D">
              <w:rPr>
                <w:bCs/>
                <w:sz w:val="20"/>
                <w:szCs w:val="20"/>
              </w:rPr>
              <w:t>0,36905</w:t>
            </w:r>
          </w:p>
        </w:tc>
      </w:tr>
      <w:tr w:rsidR="00301B24" w:rsidRPr="00B152CE" w:rsidTr="00BD58BF">
        <w:trPr>
          <w:trHeight w:val="645"/>
        </w:trPr>
        <w:tc>
          <w:tcPr>
            <w:tcW w:w="711" w:type="dxa"/>
            <w:tcBorders>
              <w:top w:val="nil"/>
              <w:left w:val="single" w:sz="4" w:space="0" w:color="auto"/>
              <w:bottom w:val="single" w:sz="4" w:space="0" w:color="auto"/>
              <w:right w:val="single" w:sz="4" w:space="0" w:color="auto"/>
            </w:tcBorders>
            <w:noWrap/>
            <w:vAlign w:val="bottom"/>
          </w:tcPr>
          <w:p w:rsidR="00301B24" w:rsidRPr="00E06B2D" w:rsidRDefault="00301B24" w:rsidP="00BD58BF">
            <w:pPr>
              <w:jc w:val="center"/>
              <w:rPr>
                <w:rFonts w:eastAsia="Times New Roman"/>
                <w:color w:val="000000"/>
                <w:sz w:val="20"/>
                <w:szCs w:val="20"/>
              </w:rPr>
            </w:pPr>
            <w:r w:rsidRPr="00E06B2D">
              <w:rPr>
                <w:rFonts w:eastAsia="Times New Roman"/>
                <w:color w:val="000000"/>
                <w:sz w:val="20"/>
                <w:szCs w:val="20"/>
              </w:rPr>
              <w:t>1.4.</w:t>
            </w:r>
          </w:p>
        </w:tc>
        <w:tc>
          <w:tcPr>
            <w:tcW w:w="8802" w:type="dxa"/>
            <w:gridSpan w:val="6"/>
            <w:tcBorders>
              <w:top w:val="single" w:sz="4" w:space="0" w:color="auto"/>
              <w:left w:val="nil"/>
              <w:bottom w:val="single" w:sz="4" w:space="0" w:color="auto"/>
              <w:right w:val="single" w:sz="4" w:space="0" w:color="auto"/>
            </w:tcBorders>
            <w:vAlign w:val="bottom"/>
          </w:tcPr>
          <w:p w:rsidR="00301B24" w:rsidRPr="00E06B2D" w:rsidRDefault="00301B24" w:rsidP="00BD58BF">
            <w:pPr>
              <w:jc w:val="center"/>
              <w:rPr>
                <w:rFonts w:eastAsia="Times New Roman"/>
                <w:color w:val="000000"/>
              </w:rPr>
            </w:pPr>
            <w:r w:rsidRPr="00E06B2D">
              <w:rPr>
                <w:rFonts w:eastAsia="Times New Roman"/>
                <w:color w:val="000000"/>
                <w:sz w:val="22"/>
                <w:szCs w:val="22"/>
              </w:rPr>
              <w:t>Приравненные к населению категории потребителей, за исключением указанных в пункте 71(1) Основ ценообразования</w:t>
            </w:r>
          </w:p>
        </w:tc>
      </w:tr>
      <w:tr w:rsidR="00301B24" w:rsidRPr="00B152CE" w:rsidTr="00BD58BF">
        <w:trPr>
          <w:trHeight w:val="1273"/>
        </w:trPr>
        <w:tc>
          <w:tcPr>
            <w:tcW w:w="711" w:type="dxa"/>
            <w:tcBorders>
              <w:top w:val="nil"/>
              <w:left w:val="single" w:sz="4" w:space="0" w:color="auto"/>
              <w:bottom w:val="single" w:sz="4" w:space="0" w:color="auto"/>
              <w:right w:val="single" w:sz="4" w:space="0" w:color="auto"/>
            </w:tcBorders>
            <w:noWrap/>
            <w:vAlign w:val="bottom"/>
          </w:tcPr>
          <w:p w:rsidR="00301B24" w:rsidRPr="00E06B2D" w:rsidRDefault="00301B24" w:rsidP="00BD58BF">
            <w:pPr>
              <w:jc w:val="center"/>
              <w:rPr>
                <w:rFonts w:eastAsia="Times New Roman"/>
                <w:color w:val="000000"/>
                <w:sz w:val="20"/>
                <w:szCs w:val="20"/>
              </w:rPr>
            </w:pPr>
            <w:r w:rsidRPr="00E06B2D">
              <w:rPr>
                <w:rFonts w:eastAsia="Times New Roman"/>
                <w:color w:val="000000"/>
                <w:sz w:val="20"/>
                <w:szCs w:val="20"/>
              </w:rPr>
              <w:t>1.4.1.</w:t>
            </w:r>
          </w:p>
        </w:tc>
        <w:tc>
          <w:tcPr>
            <w:tcW w:w="6812" w:type="dxa"/>
            <w:gridSpan w:val="2"/>
            <w:tcBorders>
              <w:top w:val="nil"/>
              <w:left w:val="nil"/>
              <w:bottom w:val="single" w:sz="4" w:space="0" w:color="auto"/>
              <w:right w:val="single" w:sz="4" w:space="0" w:color="auto"/>
            </w:tcBorders>
            <w:vAlign w:val="bottom"/>
          </w:tcPr>
          <w:p w:rsidR="00301B24" w:rsidRPr="00E06B2D" w:rsidRDefault="00301B24" w:rsidP="00BD58BF">
            <w:pPr>
              <w:jc w:val="both"/>
              <w:rPr>
                <w:rFonts w:eastAsia="Times New Roman"/>
                <w:color w:val="000000"/>
              </w:rPr>
            </w:pPr>
            <w:r w:rsidRPr="00E06B2D">
              <w:rPr>
                <w:rFonts w:eastAsia="Times New Roman"/>
                <w:color w:val="000000"/>
                <w:sz w:val="22"/>
                <w:szCs w:val="22"/>
              </w:rPr>
              <w:t>Садоводческие, огороднические или дачные некоммерческие объединения граждан - некоммерческие организации, учрежденные гражданами на добровольных началах для содействия ее членам в решении общих социально-хозяйственных задач ведения садоводства, огородничества и дачного хозяйства</w:t>
            </w:r>
          </w:p>
        </w:tc>
        <w:tc>
          <w:tcPr>
            <w:tcW w:w="997" w:type="dxa"/>
            <w:gridSpan w:val="2"/>
            <w:tcBorders>
              <w:top w:val="nil"/>
              <w:left w:val="nil"/>
              <w:bottom w:val="single" w:sz="4" w:space="0" w:color="auto"/>
              <w:right w:val="single" w:sz="4" w:space="0" w:color="auto"/>
            </w:tcBorders>
            <w:noWrap/>
            <w:vAlign w:val="center"/>
          </w:tcPr>
          <w:p w:rsidR="00301B24" w:rsidRPr="0087757D" w:rsidRDefault="00301B24" w:rsidP="00BD58BF">
            <w:pPr>
              <w:jc w:val="center"/>
              <w:outlineLvl w:val="1"/>
              <w:rPr>
                <w:bCs/>
                <w:sz w:val="20"/>
                <w:szCs w:val="20"/>
              </w:rPr>
            </w:pPr>
            <w:r w:rsidRPr="0087757D">
              <w:rPr>
                <w:bCs/>
                <w:sz w:val="20"/>
                <w:szCs w:val="20"/>
              </w:rPr>
              <w:t>0,35826</w:t>
            </w:r>
          </w:p>
        </w:tc>
        <w:tc>
          <w:tcPr>
            <w:tcW w:w="993" w:type="dxa"/>
            <w:gridSpan w:val="2"/>
            <w:tcBorders>
              <w:top w:val="nil"/>
              <w:left w:val="nil"/>
              <w:bottom w:val="single" w:sz="4" w:space="0" w:color="auto"/>
              <w:right w:val="single" w:sz="4" w:space="0" w:color="auto"/>
            </w:tcBorders>
            <w:noWrap/>
            <w:vAlign w:val="center"/>
          </w:tcPr>
          <w:p w:rsidR="00301B24" w:rsidRPr="0087757D" w:rsidRDefault="00301B24" w:rsidP="00BD58BF">
            <w:pPr>
              <w:jc w:val="center"/>
              <w:outlineLvl w:val="1"/>
              <w:rPr>
                <w:bCs/>
                <w:sz w:val="20"/>
                <w:szCs w:val="20"/>
              </w:rPr>
            </w:pPr>
            <w:r w:rsidRPr="0087757D">
              <w:rPr>
                <w:bCs/>
                <w:sz w:val="20"/>
                <w:szCs w:val="20"/>
              </w:rPr>
              <w:t>0,36905</w:t>
            </w:r>
          </w:p>
        </w:tc>
      </w:tr>
      <w:tr w:rsidR="00301B24" w:rsidRPr="00B152CE" w:rsidTr="00BD58BF">
        <w:trPr>
          <w:trHeight w:val="1042"/>
        </w:trPr>
        <w:tc>
          <w:tcPr>
            <w:tcW w:w="711" w:type="dxa"/>
            <w:tcBorders>
              <w:top w:val="single" w:sz="4" w:space="0" w:color="auto"/>
              <w:left w:val="single" w:sz="4" w:space="0" w:color="auto"/>
              <w:bottom w:val="single" w:sz="4" w:space="0" w:color="auto"/>
              <w:right w:val="single" w:sz="4" w:space="0" w:color="auto"/>
            </w:tcBorders>
            <w:noWrap/>
            <w:vAlign w:val="bottom"/>
          </w:tcPr>
          <w:p w:rsidR="00301B24" w:rsidRPr="00E06B2D" w:rsidRDefault="00301B24" w:rsidP="00BD58BF">
            <w:pPr>
              <w:jc w:val="center"/>
              <w:rPr>
                <w:rFonts w:eastAsia="Times New Roman"/>
                <w:color w:val="000000"/>
                <w:sz w:val="20"/>
                <w:szCs w:val="20"/>
              </w:rPr>
            </w:pPr>
            <w:r w:rsidRPr="00E06B2D">
              <w:rPr>
                <w:rFonts w:eastAsia="Times New Roman"/>
                <w:color w:val="000000"/>
                <w:sz w:val="20"/>
                <w:szCs w:val="20"/>
              </w:rPr>
              <w:t>1.4.2.</w:t>
            </w:r>
          </w:p>
        </w:tc>
        <w:tc>
          <w:tcPr>
            <w:tcW w:w="6812" w:type="dxa"/>
            <w:gridSpan w:val="2"/>
            <w:tcBorders>
              <w:top w:val="single" w:sz="4" w:space="0" w:color="auto"/>
              <w:left w:val="nil"/>
              <w:bottom w:val="single" w:sz="4" w:space="0" w:color="auto"/>
              <w:right w:val="single" w:sz="4" w:space="0" w:color="auto"/>
            </w:tcBorders>
            <w:noWrap/>
            <w:vAlign w:val="bottom"/>
          </w:tcPr>
          <w:p w:rsidR="00301B24" w:rsidRPr="00E06B2D" w:rsidRDefault="00301B24" w:rsidP="00BD58BF">
            <w:pPr>
              <w:jc w:val="both"/>
              <w:rPr>
                <w:rFonts w:eastAsia="Times New Roman"/>
                <w:color w:val="000000"/>
              </w:rPr>
            </w:pPr>
            <w:r w:rsidRPr="00E06B2D">
              <w:rPr>
                <w:rFonts w:eastAsia="Times New Roman"/>
                <w:color w:val="000000"/>
                <w:sz w:val="22"/>
                <w:szCs w:val="22"/>
              </w:rPr>
              <w:t>Юридические лица, приобретающие электрическую энергию (мощность) в целях потребления осужденными в помещениях для их содержания при условии наличия раздельного учета электрической энергии для указанных помещений.</w:t>
            </w:r>
          </w:p>
        </w:tc>
        <w:tc>
          <w:tcPr>
            <w:tcW w:w="997" w:type="dxa"/>
            <w:gridSpan w:val="2"/>
            <w:tcBorders>
              <w:top w:val="single" w:sz="4" w:space="0" w:color="auto"/>
              <w:left w:val="nil"/>
              <w:bottom w:val="single" w:sz="4" w:space="0" w:color="auto"/>
              <w:right w:val="single" w:sz="4" w:space="0" w:color="auto"/>
            </w:tcBorders>
            <w:noWrap/>
            <w:vAlign w:val="center"/>
          </w:tcPr>
          <w:p w:rsidR="00301B24" w:rsidRPr="0087757D" w:rsidRDefault="00301B24" w:rsidP="00BD58BF">
            <w:pPr>
              <w:jc w:val="center"/>
              <w:outlineLvl w:val="1"/>
              <w:rPr>
                <w:bCs/>
                <w:sz w:val="20"/>
                <w:szCs w:val="20"/>
              </w:rPr>
            </w:pPr>
            <w:r w:rsidRPr="0087757D">
              <w:rPr>
                <w:bCs/>
                <w:sz w:val="20"/>
                <w:szCs w:val="20"/>
              </w:rPr>
              <w:t>0,80826</w:t>
            </w:r>
          </w:p>
        </w:tc>
        <w:tc>
          <w:tcPr>
            <w:tcW w:w="993" w:type="dxa"/>
            <w:gridSpan w:val="2"/>
            <w:tcBorders>
              <w:top w:val="single" w:sz="4" w:space="0" w:color="auto"/>
              <w:left w:val="nil"/>
              <w:bottom w:val="single" w:sz="4" w:space="0" w:color="auto"/>
              <w:right w:val="single" w:sz="4" w:space="0" w:color="auto"/>
            </w:tcBorders>
            <w:noWrap/>
            <w:vAlign w:val="center"/>
          </w:tcPr>
          <w:p w:rsidR="00301B24" w:rsidRPr="0087757D" w:rsidRDefault="00301B24" w:rsidP="00BD58BF">
            <w:pPr>
              <w:jc w:val="center"/>
              <w:outlineLvl w:val="1"/>
              <w:rPr>
                <w:bCs/>
                <w:sz w:val="20"/>
                <w:szCs w:val="20"/>
              </w:rPr>
            </w:pPr>
            <w:r w:rsidRPr="0087757D">
              <w:rPr>
                <w:bCs/>
                <w:sz w:val="20"/>
                <w:szCs w:val="20"/>
              </w:rPr>
              <w:t>0,83571</w:t>
            </w:r>
          </w:p>
        </w:tc>
      </w:tr>
      <w:tr w:rsidR="00301B24" w:rsidRPr="00B152CE" w:rsidTr="00BD58BF">
        <w:trPr>
          <w:trHeight w:val="374"/>
        </w:trPr>
        <w:tc>
          <w:tcPr>
            <w:tcW w:w="711" w:type="dxa"/>
            <w:tcBorders>
              <w:top w:val="nil"/>
              <w:left w:val="single" w:sz="4" w:space="0" w:color="auto"/>
              <w:bottom w:val="single" w:sz="4" w:space="0" w:color="auto"/>
              <w:right w:val="single" w:sz="4" w:space="0" w:color="auto"/>
            </w:tcBorders>
            <w:noWrap/>
            <w:vAlign w:val="bottom"/>
          </w:tcPr>
          <w:p w:rsidR="00301B24" w:rsidRPr="00E06B2D" w:rsidRDefault="00301B24" w:rsidP="00BD58BF">
            <w:pPr>
              <w:jc w:val="center"/>
              <w:rPr>
                <w:rFonts w:eastAsia="Times New Roman"/>
                <w:color w:val="000000"/>
                <w:sz w:val="20"/>
                <w:szCs w:val="20"/>
              </w:rPr>
            </w:pPr>
            <w:r w:rsidRPr="00E06B2D">
              <w:rPr>
                <w:rFonts w:eastAsia="Times New Roman"/>
                <w:color w:val="000000"/>
                <w:sz w:val="20"/>
                <w:szCs w:val="20"/>
              </w:rPr>
              <w:t>1.4.3.</w:t>
            </w:r>
          </w:p>
        </w:tc>
        <w:tc>
          <w:tcPr>
            <w:tcW w:w="6812" w:type="dxa"/>
            <w:gridSpan w:val="2"/>
            <w:tcBorders>
              <w:top w:val="nil"/>
              <w:left w:val="nil"/>
              <w:bottom w:val="single" w:sz="4" w:space="0" w:color="auto"/>
              <w:right w:val="single" w:sz="4" w:space="0" w:color="auto"/>
            </w:tcBorders>
            <w:vAlign w:val="bottom"/>
          </w:tcPr>
          <w:p w:rsidR="00301B24" w:rsidRPr="00E06B2D" w:rsidRDefault="00301B24" w:rsidP="00BD58BF">
            <w:pPr>
              <w:rPr>
                <w:rFonts w:eastAsia="Times New Roman"/>
                <w:color w:val="000000"/>
              </w:rPr>
            </w:pPr>
            <w:r w:rsidRPr="00E06B2D">
              <w:rPr>
                <w:rFonts w:eastAsia="Times New Roman"/>
                <w:color w:val="000000"/>
                <w:sz w:val="22"/>
                <w:szCs w:val="22"/>
              </w:rPr>
              <w:t>Содержащиеся за счет прихожан религиозные организации</w:t>
            </w:r>
          </w:p>
        </w:tc>
        <w:tc>
          <w:tcPr>
            <w:tcW w:w="997" w:type="dxa"/>
            <w:gridSpan w:val="2"/>
            <w:tcBorders>
              <w:top w:val="nil"/>
              <w:left w:val="nil"/>
              <w:bottom w:val="single" w:sz="4" w:space="0" w:color="auto"/>
              <w:right w:val="single" w:sz="4" w:space="0" w:color="auto"/>
            </w:tcBorders>
            <w:noWrap/>
            <w:vAlign w:val="center"/>
          </w:tcPr>
          <w:p w:rsidR="00301B24" w:rsidRPr="0087757D" w:rsidRDefault="00301B24" w:rsidP="00BD58BF">
            <w:pPr>
              <w:jc w:val="center"/>
              <w:outlineLvl w:val="1"/>
              <w:rPr>
                <w:bCs/>
                <w:sz w:val="20"/>
                <w:szCs w:val="20"/>
              </w:rPr>
            </w:pPr>
            <w:r w:rsidRPr="0087757D">
              <w:rPr>
                <w:bCs/>
                <w:sz w:val="20"/>
                <w:szCs w:val="20"/>
              </w:rPr>
              <w:t>0,80826</w:t>
            </w:r>
          </w:p>
        </w:tc>
        <w:tc>
          <w:tcPr>
            <w:tcW w:w="993" w:type="dxa"/>
            <w:gridSpan w:val="2"/>
            <w:tcBorders>
              <w:top w:val="nil"/>
              <w:left w:val="nil"/>
              <w:bottom w:val="single" w:sz="4" w:space="0" w:color="auto"/>
              <w:right w:val="single" w:sz="4" w:space="0" w:color="auto"/>
            </w:tcBorders>
            <w:noWrap/>
            <w:vAlign w:val="center"/>
          </w:tcPr>
          <w:p w:rsidR="00301B24" w:rsidRPr="0087757D" w:rsidRDefault="00301B24" w:rsidP="00BD58BF">
            <w:pPr>
              <w:jc w:val="center"/>
              <w:outlineLvl w:val="1"/>
              <w:rPr>
                <w:bCs/>
                <w:sz w:val="20"/>
                <w:szCs w:val="20"/>
              </w:rPr>
            </w:pPr>
            <w:r w:rsidRPr="0087757D">
              <w:rPr>
                <w:bCs/>
                <w:sz w:val="20"/>
                <w:szCs w:val="20"/>
              </w:rPr>
              <w:t>0,83571</w:t>
            </w:r>
          </w:p>
        </w:tc>
      </w:tr>
      <w:tr w:rsidR="00301B24" w:rsidRPr="00B152CE" w:rsidTr="00BD58BF">
        <w:trPr>
          <w:trHeight w:val="2085"/>
        </w:trPr>
        <w:tc>
          <w:tcPr>
            <w:tcW w:w="711" w:type="dxa"/>
            <w:tcBorders>
              <w:top w:val="nil"/>
              <w:left w:val="single" w:sz="4" w:space="0" w:color="auto"/>
              <w:bottom w:val="single" w:sz="4" w:space="0" w:color="auto"/>
              <w:right w:val="single" w:sz="4" w:space="0" w:color="auto"/>
            </w:tcBorders>
            <w:noWrap/>
            <w:vAlign w:val="bottom"/>
          </w:tcPr>
          <w:p w:rsidR="00301B24" w:rsidRPr="00E06B2D" w:rsidRDefault="00301B24" w:rsidP="00BD58BF">
            <w:pPr>
              <w:jc w:val="center"/>
              <w:rPr>
                <w:rFonts w:eastAsia="Times New Roman"/>
                <w:color w:val="000000"/>
                <w:sz w:val="20"/>
                <w:szCs w:val="20"/>
              </w:rPr>
            </w:pPr>
            <w:r w:rsidRPr="00E06B2D">
              <w:rPr>
                <w:rFonts w:eastAsia="Times New Roman"/>
                <w:color w:val="000000"/>
                <w:sz w:val="20"/>
                <w:szCs w:val="20"/>
              </w:rPr>
              <w:t>1.4.4.</w:t>
            </w:r>
          </w:p>
        </w:tc>
        <w:tc>
          <w:tcPr>
            <w:tcW w:w="6812" w:type="dxa"/>
            <w:gridSpan w:val="2"/>
            <w:tcBorders>
              <w:top w:val="nil"/>
              <w:left w:val="nil"/>
              <w:bottom w:val="single" w:sz="4" w:space="0" w:color="auto"/>
              <w:right w:val="single" w:sz="4" w:space="0" w:color="auto"/>
            </w:tcBorders>
            <w:noWrap/>
            <w:vAlign w:val="bottom"/>
          </w:tcPr>
          <w:p w:rsidR="00301B24" w:rsidRPr="00E06B2D" w:rsidRDefault="00301B24" w:rsidP="00BD58BF">
            <w:pPr>
              <w:jc w:val="both"/>
              <w:rPr>
                <w:rFonts w:eastAsia="Times New Roman"/>
                <w:color w:val="000000"/>
              </w:rPr>
            </w:pPr>
            <w:r w:rsidRPr="00E06B2D">
              <w:rPr>
                <w:rFonts w:eastAsia="Times New Roman"/>
                <w:color w:val="000000"/>
                <w:sz w:val="22"/>
                <w:szCs w:val="22"/>
              </w:rPr>
              <w:t>Объединения граждан, приобретающих электрическую энергию (мощность) для использования в принадлежащих им хозяйственных постройках (погреба, сараи): некоммерческие объединения граждан (гаражно-строительные, гаражные кооперативы) и граждане, владеющие отдельно стоящими гаражами, приобретающие электрическую энергию (мощность) в целях потребления на коммунально-бытовые нужды и не используемую для осуществления коммерческой деятельности.</w:t>
            </w:r>
          </w:p>
        </w:tc>
        <w:tc>
          <w:tcPr>
            <w:tcW w:w="997" w:type="dxa"/>
            <w:gridSpan w:val="2"/>
            <w:tcBorders>
              <w:top w:val="nil"/>
              <w:left w:val="nil"/>
              <w:bottom w:val="single" w:sz="4" w:space="0" w:color="auto"/>
              <w:right w:val="single" w:sz="4" w:space="0" w:color="auto"/>
            </w:tcBorders>
            <w:noWrap/>
            <w:vAlign w:val="center"/>
          </w:tcPr>
          <w:p w:rsidR="00301B24" w:rsidRPr="0087757D" w:rsidRDefault="00301B24" w:rsidP="00BD58BF">
            <w:pPr>
              <w:jc w:val="center"/>
              <w:outlineLvl w:val="1"/>
              <w:rPr>
                <w:bCs/>
                <w:sz w:val="20"/>
                <w:szCs w:val="20"/>
              </w:rPr>
            </w:pPr>
            <w:r w:rsidRPr="0087757D">
              <w:rPr>
                <w:bCs/>
                <w:sz w:val="20"/>
                <w:szCs w:val="20"/>
              </w:rPr>
              <w:t>0,80826</w:t>
            </w:r>
          </w:p>
        </w:tc>
        <w:tc>
          <w:tcPr>
            <w:tcW w:w="993" w:type="dxa"/>
            <w:gridSpan w:val="2"/>
            <w:tcBorders>
              <w:top w:val="nil"/>
              <w:left w:val="nil"/>
              <w:bottom w:val="single" w:sz="4" w:space="0" w:color="auto"/>
              <w:right w:val="single" w:sz="4" w:space="0" w:color="auto"/>
            </w:tcBorders>
            <w:noWrap/>
            <w:vAlign w:val="center"/>
          </w:tcPr>
          <w:p w:rsidR="00301B24" w:rsidRPr="0087757D" w:rsidRDefault="00301B24" w:rsidP="00BD58BF">
            <w:pPr>
              <w:jc w:val="center"/>
              <w:outlineLvl w:val="1"/>
              <w:rPr>
                <w:bCs/>
                <w:sz w:val="20"/>
                <w:szCs w:val="20"/>
              </w:rPr>
            </w:pPr>
            <w:r w:rsidRPr="0087757D">
              <w:rPr>
                <w:bCs/>
                <w:sz w:val="20"/>
                <w:szCs w:val="20"/>
              </w:rPr>
              <w:t>0,83571</w:t>
            </w:r>
          </w:p>
        </w:tc>
      </w:tr>
    </w:tbl>
    <w:p w:rsidR="001E7B45" w:rsidRPr="00B152CE" w:rsidRDefault="001E7B45" w:rsidP="00AD3C83">
      <w:pPr>
        <w:pStyle w:val="a8"/>
        <w:ind w:firstLine="709"/>
        <w:jc w:val="both"/>
        <w:rPr>
          <w:sz w:val="28"/>
          <w:szCs w:val="28"/>
          <w:highlight w:val="yellow"/>
        </w:rPr>
      </w:pPr>
    </w:p>
    <w:p w:rsidR="001E7B45" w:rsidRPr="009E536C" w:rsidRDefault="001E7B45" w:rsidP="00AD3C83">
      <w:pPr>
        <w:autoSpaceDE w:val="0"/>
        <w:autoSpaceDN w:val="0"/>
        <w:spacing w:line="240" w:lineRule="auto"/>
        <w:ind w:firstLine="709"/>
        <w:jc w:val="both"/>
        <w:rPr>
          <w:rFonts w:eastAsia="Times New Roman"/>
          <w:sz w:val="28"/>
          <w:szCs w:val="28"/>
        </w:rPr>
      </w:pPr>
      <w:r w:rsidRPr="009E536C">
        <w:rPr>
          <w:rFonts w:eastAsia="Times New Roman"/>
          <w:sz w:val="28"/>
          <w:szCs w:val="28"/>
        </w:rPr>
        <w:t>Приказом Ф</w:t>
      </w:r>
      <w:r w:rsidR="00577FA1">
        <w:rPr>
          <w:rFonts w:eastAsia="Times New Roman"/>
          <w:sz w:val="28"/>
          <w:szCs w:val="28"/>
        </w:rPr>
        <w:t>АС России</w:t>
      </w:r>
      <w:r w:rsidRPr="009E536C">
        <w:rPr>
          <w:rFonts w:eastAsia="Times New Roman"/>
          <w:sz w:val="28"/>
          <w:szCs w:val="28"/>
        </w:rPr>
        <w:t xml:space="preserve"> </w:t>
      </w:r>
      <w:r>
        <w:rPr>
          <w:rFonts w:eastAsia="Times New Roman"/>
          <w:sz w:val="28"/>
          <w:szCs w:val="28"/>
        </w:rPr>
        <w:t>от 14.11.2019</w:t>
      </w:r>
      <w:r w:rsidRPr="004B5024">
        <w:rPr>
          <w:rFonts w:eastAsia="Times New Roman"/>
          <w:sz w:val="28"/>
          <w:szCs w:val="28"/>
        </w:rPr>
        <w:t xml:space="preserve"> года № 1</w:t>
      </w:r>
      <w:r>
        <w:rPr>
          <w:rFonts w:eastAsia="Times New Roman"/>
          <w:sz w:val="28"/>
          <w:szCs w:val="28"/>
        </w:rPr>
        <w:t>508/19</w:t>
      </w:r>
      <w:r>
        <w:rPr>
          <w:rFonts w:eastAsia="Times New Roman"/>
        </w:rPr>
        <w:t xml:space="preserve"> </w:t>
      </w:r>
      <w:r w:rsidRPr="009E536C">
        <w:rPr>
          <w:rFonts w:eastAsia="Times New Roman"/>
          <w:sz w:val="28"/>
          <w:szCs w:val="28"/>
        </w:rPr>
        <w:t>«Об утверждении предельных минимальных и максимальных уровней тарифов на услуги по передаче электрической энергии, оказываемые потребителям, не относящимся к населению и приравненным к нему категориям потребителей, по субъек</w:t>
      </w:r>
      <w:r>
        <w:rPr>
          <w:rFonts w:eastAsia="Times New Roman"/>
          <w:sz w:val="28"/>
          <w:szCs w:val="28"/>
        </w:rPr>
        <w:t>там Российской Федерации на 2020</w:t>
      </w:r>
      <w:r w:rsidRPr="009E536C">
        <w:rPr>
          <w:rFonts w:eastAsia="Times New Roman"/>
          <w:sz w:val="28"/>
          <w:szCs w:val="28"/>
        </w:rPr>
        <w:t xml:space="preserve"> год</w:t>
      </w:r>
      <w:r w:rsidR="00577FA1">
        <w:rPr>
          <w:rFonts w:eastAsia="Times New Roman"/>
          <w:sz w:val="28"/>
          <w:szCs w:val="28"/>
        </w:rPr>
        <w:t>»</w:t>
      </w:r>
      <w:r w:rsidRPr="009E536C">
        <w:rPr>
          <w:rFonts w:eastAsia="Times New Roman"/>
          <w:sz w:val="28"/>
          <w:szCs w:val="28"/>
        </w:rPr>
        <w:t>, по Новосибирской области установлены предельные уровни тарифов в следующих размерах без НДС:</w:t>
      </w:r>
    </w:p>
    <w:p w:rsidR="001E7B45" w:rsidRPr="00301B24" w:rsidRDefault="001E7B45" w:rsidP="00301B24">
      <w:pPr>
        <w:spacing w:line="240" w:lineRule="auto"/>
        <w:ind w:firstLine="720"/>
        <w:jc w:val="right"/>
        <w:rPr>
          <w:rFonts w:eastAsia="Times New Roman"/>
        </w:rPr>
      </w:pPr>
      <w:r w:rsidRPr="00BC4B98">
        <w:rPr>
          <w:rFonts w:eastAsia="Times New Roman"/>
          <w:b/>
        </w:rPr>
        <w:t>Минимальные уровни тарифов</w:t>
      </w:r>
      <w:r w:rsidR="00301B24">
        <w:rPr>
          <w:rFonts w:eastAsia="Times New Roman"/>
          <w:b/>
        </w:rPr>
        <w:t xml:space="preserve">                                                                        </w:t>
      </w:r>
      <w:r w:rsidR="00301B24" w:rsidRPr="00301B24">
        <w:rPr>
          <w:rFonts w:eastAsia="Times New Roman"/>
        </w:rPr>
        <w:t>Таблица №2.1.6</w:t>
      </w:r>
    </w:p>
    <w:tbl>
      <w:tblPr>
        <w:tblW w:w="9498" w:type="dxa"/>
        <w:tblInd w:w="108" w:type="dxa"/>
        <w:tblLayout w:type="fixed"/>
        <w:tblLook w:val="00A0" w:firstRow="1" w:lastRow="0" w:firstColumn="1" w:lastColumn="0" w:noHBand="0" w:noVBand="0"/>
      </w:tblPr>
      <w:tblGrid>
        <w:gridCol w:w="851"/>
        <w:gridCol w:w="2551"/>
        <w:gridCol w:w="1418"/>
        <w:gridCol w:w="1276"/>
        <w:gridCol w:w="1134"/>
        <w:gridCol w:w="1134"/>
        <w:gridCol w:w="1134"/>
      </w:tblGrid>
      <w:tr w:rsidR="001E7B45" w:rsidRPr="009E536C" w:rsidTr="00BD58BF">
        <w:trPr>
          <w:trHeight w:val="455"/>
        </w:trPr>
        <w:tc>
          <w:tcPr>
            <w:tcW w:w="851" w:type="dxa"/>
            <w:vMerge w:val="restart"/>
            <w:tcBorders>
              <w:top w:val="single" w:sz="4" w:space="0" w:color="auto"/>
              <w:left w:val="single" w:sz="4" w:space="0" w:color="auto"/>
              <w:bottom w:val="single" w:sz="4" w:space="0" w:color="000000"/>
              <w:right w:val="single" w:sz="4" w:space="0" w:color="auto"/>
            </w:tcBorders>
          </w:tcPr>
          <w:p w:rsidR="001E7B45" w:rsidRPr="009E536C" w:rsidRDefault="001E7B45" w:rsidP="00AD3C83">
            <w:pPr>
              <w:spacing w:after="0" w:line="240" w:lineRule="auto"/>
              <w:jc w:val="center"/>
              <w:rPr>
                <w:rFonts w:eastAsia="Times New Roman"/>
                <w:b/>
                <w:bCs/>
                <w:sz w:val="20"/>
                <w:szCs w:val="20"/>
              </w:rPr>
            </w:pPr>
            <w:r w:rsidRPr="009E536C">
              <w:rPr>
                <w:rFonts w:eastAsia="Times New Roman"/>
                <w:b/>
                <w:bCs/>
                <w:sz w:val="20"/>
                <w:szCs w:val="20"/>
              </w:rPr>
              <w:t>N п/п</w:t>
            </w:r>
          </w:p>
        </w:tc>
        <w:tc>
          <w:tcPr>
            <w:tcW w:w="2551" w:type="dxa"/>
            <w:vMerge w:val="restart"/>
            <w:tcBorders>
              <w:top w:val="single" w:sz="4" w:space="0" w:color="auto"/>
              <w:left w:val="single" w:sz="4" w:space="0" w:color="auto"/>
              <w:bottom w:val="single" w:sz="4" w:space="0" w:color="000000"/>
              <w:right w:val="single" w:sz="4" w:space="0" w:color="auto"/>
            </w:tcBorders>
          </w:tcPr>
          <w:p w:rsidR="001E7B45" w:rsidRPr="009E536C" w:rsidRDefault="001E7B45" w:rsidP="00AD3C83">
            <w:pPr>
              <w:spacing w:after="0" w:line="240" w:lineRule="auto"/>
              <w:jc w:val="center"/>
              <w:rPr>
                <w:rFonts w:eastAsia="Times New Roman"/>
                <w:b/>
                <w:bCs/>
                <w:sz w:val="20"/>
                <w:szCs w:val="20"/>
              </w:rPr>
            </w:pPr>
            <w:r w:rsidRPr="009E536C">
              <w:rPr>
                <w:rFonts w:eastAsia="Times New Roman"/>
                <w:b/>
                <w:bCs/>
                <w:sz w:val="20"/>
                <w:szCs w:val="20"/>
              </w:rPr>
              <w:t>Показатель</w:t>
            </w:r>
          </w:p>
        </w:tc>
        <w:tc>
          <w:tcPr>
            <w:tcW w:w="1418" w:type="dxa"/>
            <w:vMerge w:val="restart"/>
            <w:tcBorders>
              <w:top w:val="single" w:sz="4" w:space="0" w:color="auto"/>
              <w:left w:val="nil"/>
              <w:right w:val="single" w:sz="4" w:space="0" w:color="auto"/>
            </w:tcBorders>
            <w:vAlign w:val="center"/>
          </w:tcPr>
          <w:p w:rsidR="001E7B45" w:rsidRPr="009E536C" w:rsidRDefault="001E7B45" w:rsidP="00AD3C83">
            <w:pPr>
              <w:spacing w:after="0" w:line="240" w:lineRule="auto"/>
              <w:jc w:val="center"/>
              <w:rPr>
                <w:rFonts w:eastAsia="Times New Roman"/>
                <w:b/>
                <w:bCs/>
                <w:sz w:val="20"/>
                <w:szCs w:val="20"/>
              </w:rPr>
            </w:pPr>
            <w:r w:rsidRPr="009E536C">
              <w:rPr>
                <w:rFonts w:eastAsia="Times New Roman"/>
                <w:b/>
                <w:bCs/>
                <w:sz w:val="20"/>
                <w:szCs w:val="20"/>
              </w:rPr>
              <w:t>Единица измерения</w:t>
            </w:r>
          </w:p>
        </w:tc>
        <w:tc>
          <w:tcPr>
            <w:tcW w:w="4678" w:type="dxa"/>
            <w:gridSpan w:val="4"/>
            <w:tcBorders>
              <w:top w:val="single" w:sz="4" w:space="0" w:color="auto"/>
              <w:left w:val="nil"/>
              <w:bottom w:val="single" w:sz="4" w:space="0" w:color="auto"/>
              <w:right w:val="single" w:sz="4" w:space="0" w:color="auto"/>
            </w:tcBorders>
            <w:noWrap/>
            <w:vAlign w:val="bottom"/>
          </w:tcPr>
          <w:p w:rsidR="001E7B45" w:rsidRPr="009E536C" w:rsidRDefault="001E7B45" w:rsidP="00AD3C83">
            <w:pPr>
              <w:spacing w:after="0" w:line="240" w:lineRule="auto"/>
              <w:jc w:val="center"/>
              <w:rPr>
                <w:rFonts w:eastAsia="Times New Roman"/>
                <w:sz w:val="20"/>
                <w:szCs w:val="20"/>
              </w:rPr>
            </w:pPr>
            <w:r w:rsidRPr="009E536C">
              <w:rPr>
                <w:rFonts w:eastAsia="Times New Roman"/>
                <w:b/>
                <w:bCs/>
                <w:sz w:val="20"/>
                <w:szCs w:val="20"/>
              </w:rPr>
              <w:t>Диапазоны напряжения</w:t>
            </w:r>
          </w:p>
        </w:tc>
      </w:tr>
      <w:tr w:rsidR="001E7B45" w:rsidRPr="009E536C" w:rsidTr="00BD58BF">
        <w:trPr>
          <w:trHeight w:val="60"/>
        </w:trPr>
        <w:tc>
          <w:tcPr>
            <w:tcW w:w="851" w:type="dxa"/>
            <w:vMerge/>
            <w:tcBorders>
              <w:top w:val="single" w:sz="4" w:space="0" w:color="auto"/>
              <w:left w:val="single" w:sz="4" w:space="0" w:color="auto"/>
              <w:bottom w:val="single" w:sz="4" w:space="0" w:color="000000"/>
              <w:right w:val="single" w:sz="4" w:space="0" w:color="auto"/>
            </w:tcBorders>
            <w:vAlign w:val="center"/>
          </w:tcPr>
          <w:p w:rsidR="001E7B45" w:rsidRPr="009E536C" w:rsidRDefault="001E7B45" w:rsidP="00AD3C83">
            <w:pPr>
              <w:spacing w:after="0" w:line="240" w:lineRule="auto"/>
              <w:rPr>
                <w:rFonts w:eastAsia="Times New Roman"/>
                <w:b/>
                <w:bCs/>
                <w:sz w:val="20"/>
                <w:szCs w:val="20"/>
              </w:rPr>
            </w:pPr>
          </w:p>
        </w:tc>
        <w:tc>
          <w:tcPr>
            <w:tcW w:w="2551" w:type="dxa"/>
            <w:vMerge/>
            <w:tcBorders>
              <w:top w:val="single" w:sz="4" w:space="0" w:color="auto"/>
              <w:left w:val="single" w:sz="4" w:space="0" w:color="auto"/>
              <w:bottom w:val="single" w:sz="4" w:space="0" w:color="000000"/>
              <w:right w:val="single" w:sz="4" w:space="0" w:color="auto"/>
            </w:tcBorders>
            <w:vAlign w:val="center"/>
          </w:tcPr>
          <w:p w:rsidR="001E7B45" w:rsidRPr="009E536C" w:rsidRDefault="001E7B45" w:rsidP="00AD3C83">
            <w:pPr>
              <w:spacing w:after="0" w:line="240" w:lineRule="auto"/>
              <w:rPr>
                <w:rFonts w:eastAsia="Times New Roman"/>
                <w:b/>
                <w:bCs/>
                <w:sz w:val="20"/>
                <w:szCs w:val="20"/>
              </w:rPr>
            </w:pPr>
          </w:p>
        </w:tc>
        <w:tc>
          <w:tcPr>
            <w:tcW w:w="1418" w:type="dxa"/>
            <w:vMerge/>
            <w:tcBorders>
              <w:left w:val="single" w:sz="4" w:space="0" w:color="auto"/>
              <w:bottom w:val="single" w:sz="4" w:space="0" w:color="auto"/>
              <w:right w:val="single" w:sz="4" w:space="0" w:color="auto"/>
            </w:tcBorders>
            <w:vAlign w:val="center"/>
          </w:tcPr>
          <w:p w:rsidR="001E7B45" w:rsidRPr="009E536C" w:rsidRDefault="001E7B45" w:rsidP="00AD3C83">
            <w:pPr>
              <w:spacing w:after="0" w:line="240" w:lineRule="auto"/>
              <w:rPr>
                <w:rFonts w:eastAsia="Times New Roman"/>
                <w:b/>
                <w:bCs/>
                <w:sz w:val="20"/>
                <w:szCs w:val="20"/>
              </w:rPr>
            </w:pPr>
          </w:p>
        </w:tc>
        <w:tc>
          <w:tcPr>
            <w:tcW w:w="1276" w:type="dxa"/>
            <w:tcBorders>
              <w:top w:val="single" w:sz="4" w:space="0" w:color="auto"/>
              <w:left w:val="nil"/>
              <w:bottom w:val="single" w:sz="4" w:space="0" w:color="auto"/>
              <w:right w:val="single" w:sz="4" w:space="0" w:color="auto"/>
            </w:tcBorders>
            <w:vAlign w:val="center"/>
          </w:tcPr>
          <w:p w:rsidR="001E7B45" w:rsidRPr="009E536C" w:rsidRDefault="001E7B45" w:rsidP="00AD3C83">
            <w:pPr>
              <w:spacing w:after="0" w:line="240" w:lineRule="auto"/>
              <w:jc w:val="center"/>
              <w:rPr>
                <w:rFonts w:eastAsia="Times New Roman"/>
                <w:b/>
                <w:bCs/>
                <w:sz w:val="20"/>
                <w:szCs w:val="20"/>
              </w:rPr>
            </w:pPr>
            <w:r w:rsidRPr="009E536C">
              <w:rPr>
                <w:rFonts w:eastAsia="Times New Roman"/>
                <w:b/>
                <w:bCs/>
                <w:sz w:val="20"/>
                <w:szCs w:val="20"/>
              </w:rPr>
              <w:t>ВН</w:t>
            </w:r>
          </w:p>
        </w:tc>
        <w:tc>
          <w:tcPr>
            <w:tcW w:w="1134" w:type="dxa"/>
            <w:tcBorders>
              <w:top w:val="single" w:sz="4" w:space="0" w:color="auto"/>
              <w:left w:val="nil"/>
              <w:bottom w:val="single" w:sz="4" w:space="0" w:color="auto"/>
              <w:right w:val="single" w:sz="4" w:space="0" w:color="auto"/>
            </w:tcBorders>
            <w:vAlign w:val="center"/>
          </w:tcPr>
          <w:p w:rsidR="001E7B45" w:rsidRPr="009E536C" w:rsidRDefault="001E7B45" w:rsidP="00AD3C83">
            <w:pPr>
              <w:spacing w:after="0" w:line="240" w:lineRule="auto"/>
              <w:jc w:val="center"/>
              <w:rPr>
                <w:rFonts w:eastAsia="Times New Roman"/>
                <w:b/>
                <w:bCs/>
                <w:sz w:val="20"/>
                <w:szCs w:val="20"/>
              </w:rPr>
            </w:pPr>
            <w:r w:rsidRPr="009E536C">
              <w:rPr>
                <w:rFonts w:eastAsia="Times New Roman"/>
                <w:b/>
                <w:bCs/>
                <w:sz w:val="20"/>
                <w:szCs w:val="20"/>
              </w:rPr>
              <w:t>СН-I</w:t>
            </w:r>
          </w:p>
        </w:tc>
        <w:tc>
          <w:tcPr>
            <w:tcW w:w="1134" w:type="dxa"/>
            <w:tcBorders>
              <w:top w:val="single" w:sz="4" w:space="0" w:color="auto"/>
              <w:left w:val="nil"/>
              <w:bottom w:val="single" w:sz="4" w:space="0" w:color="auto"/>
              <w:right w:val="single" w:sz="4" w:space="0" w:color="auto"/>
            </w:tcBorders>
            <w:vAlign w:val="center"/>
          </w:tcPr>
          <w:p w:rsidR="001E7B45" w:rsidRPr="009E536C" w:rsidRDefault="001E7B45" w:rsidP="00AD3C83">
            <w:pPr>
              <w:spacing w:after="0" w:line="240" w:lineRule="auto"/>
              <w:jc w:val="center"/>
              <w:rPr>
                <w:rFonts w:eastAsia="Times New Roman"/>
                <w:b/>
                <w:bCs/>
                <w:sz w:val="20"/>
                <w:szCs w:val="20"/>
              </w:rPr>
            </w:pPr>
            <w:r w:rsidRPr="009E536C">
              <w:rPr>
                <w:rFonts w:eastAsia="Times New Roman"/>
                <w:b/>
                <w:bCs/>
                <w:sz w:val="20"/>
                <w:szCs w:val="20"/>
              </w:rPr>
              <w:t>CH-II</w:t>
            </w:r>
          </w:p>
        </w:tc>
        <w:tc>
          <w:tcPr>
            <w:tcW w:w="1134" w:type="dxa"/>
            <w:tcBorders>
              <w:top w:val="single" w:sz="4" w:space="0" w:color="auto"/>
              <w:left w:val="nil"/>
              <w:bottom w:val="single" w:sz="4" w:space="0" w:color="auto"/>
              <w:right w:val="single" w:sz="4" w:space="0" w:color="auto"/>
            </w:tcBorders>
            <w:vAlign w:val="center"/>
          </w:tcPr>
          <w:p w:rsidR="001E7B45" w:rsidRPr="009E536C" w:rsidRDefault="001E7B45" w:rsidP="00AD3C83">
            <w:pPr>
              <w:spacing w:after="0" w:line="240" w:lineRule="auto"/>
              <w:jc w:val="center"/>
              <w:rPr>
                <w:rFonts w:eastAsia="Times New Roman"/>
                <w:b/>
                <w:bCs/>
                <w:sz w:val="20"/>
                <w:szCs w:val="20"/>
              </w:rPr>
            </w:pPr>
            <w:r w:rsidRPr="009E536C">
              <w:rPr>
                <w:rFonts w:eastAsia="Times New Roman"/>
                <w:b/>
                <w:bCs/>
                <w:sz w:val="20"/>
                <w:szCs w:val="20"/>
              </w:rPr>
              <w:t>НН</w:t>
            </w:r>
          </w:p>
        </w:tc>
      </w:tr>
      <w:tr w:rsidR="001E7B45" w:rsidRPr="009E536C" w:rsidTr="00BD58BF">
        <w:trPr>
          <w:trHeight w:val="240"/>
        </w:trPr>
        <w:tc>
          <w:tcPr>
            <w:tcW w:w="851" w:type="dxa"/>
            <w:tcBorders>
              <w:top w:val="nil"/>
              <w:left w:val="single" w:sz="4" w:space="0" w:color="auto"/>
              <w:bottom w:val="single" w:sz="4" w:space="0" w:color="auto"/>
              <w:right w:val="single" w:sz="4" w:space="0" w:color="auto"/>
            </w:tcBorders>
          </w:tcPr>
          <w:p w:rsidR="001E7B45" w:rsidRPr="009E536C" w:rsidRDefault="001E7B45" w:rsidP="00AD3C83">
            <w:pPr>
              <w:spacing w:after="0" w:line="240" w:lineRule="auto"/>
              <w:jc w:val="center"/>
              <w:rPr>
                <w:rFonts w:eastAsia="Times New Roman"/>
                <w:sz w:val="20"/>
                <w:szCs w:val="20"/>
              </w:rPr>
            </w:pPr>
            <w:r w:rsidRPr="009E536C">
              <w:rPr>
                <w:rFonts w:eastAsia="Times New Roman"/>
                <w:sz w:val="20"/>
                <w:szCs w:val="20"/>
              </w:rPr>
              <w:t>1</w:t>
            </w:r>
          </w:p>
        </w:tc>
        <w:tc>
          <w:tcPr>
            <w:tcW w:w="2551" w:type="dxa"/>
            <w:tcBorders>
              <w:top w:val="nil"/>
              <w:left w:val="nil"/>
              <w:bottom w:val="single" w:sz="4" w:space="0" w:color="auto"/>
              <w:right w:val="single" w:sz="4" w:space="0" w:color="auto"/>
            </w:tcBorders>
          </w:tcPr>
          <w:p w:rsidR="001E7B45" w:rsidRPr="009E536C" w:rsidRDefault="001E7B45" w:rsidP="00AD3C83">
            <w:pPr>
              <w:spacing w:after="0" w:line="240" w:lineRule="auto"/>
              <w:jc w:val="center"/>
              <w:rPr>
                <w:rFonts w:eastAsia="Times New Roman"/>
                <w:sz w:val="20"/>
                <w:szCs w:val="20"/>
              </w:rPr>
            </w:pPr>
            <w:r w:rsidRPr="009E536C">
              <w:rPr>
                <w:rFonts w:eastAsia="Times New Roman"/>
                <w:sz w:val="20"/>
                <w:szCs w:val="20"/>
              </w:rPr>
              <w:t>2</w:t>
            </w:r>
          </w:p>
        </w:tc>
        <w:tc>
          <w:tcPr>
            <w:tcW w:w="1418" w:type="dxa"/>
            <w:tcBorders>
              <w:top w:val="nil"/>
              <w:left w:val="nil"/>
              <w:bottom w:val="single" w:sz="4" w:space="0" w:color="auto"/>
              <w:right w:val="single" w:sz="4" w:space="0" w:color="auto"/>
            </w:tcBorders>
          </w:tcPr>
          <w:p w:rsidR="001E7B45" w:rsidRPr="009E536C" w:rsidRDefault="001E7B45" w:rsidP="00AD3C83">
            <w:pPr>
              <w:spacing w:after="0" w:line="240" w:lineRule="auto"/>
              <w:jc w:val="center"/>
              <w:rPr>
                <w:rFonts w:eastAsia="Times New Roman"/>
                <w:sz w:val="20"/>
                <w:szCs w:val="20"/>
              </w:rPr>
            </w:pPr>
            <w:r w:rsidRPr="009E536C">
              <w:rPr>
                <w:rFonts w:eastAsia="Times New Roman"/>
                <w:sz w:val="20"/>
                <w:szCs w:val="20"/>
              </w:rPr>
              <w:t>3</w:t>
            </w:r>
          </w:p>
        </w:tc>
        <w:tc>
          <w:tcPr>
            <w:tcW w:w="1276" w:type="dxa"/>
            <w:tcBorders>
              <w:top w:val="nil"/>
              <w:left w:val="nil"/>
              <w:bottom w:val="single" w:sz="4" w:space="0" w:color="auto"/>
              <w:right w:val="single" w:sz="4" w:space="0" w:color="auto"/>
            </w:tcBorders>
          </w:tcPr>
          <w:p w:rsidR="001E7B45" w:rsidRPr="009E536C" w:rsidRDefault="001E7B45" w:rsidP="00AD3C83">
            <w:pPr>
              <w:spacing w:after="0" w:line="240" w:lineRule="auto"/>
              <w:jc w:val="center"/>
              <w:rPr>
                <w:rFonts w:eastAsia="Times New Roman"/>
                <w:sz w:val="20"/>
                <w:szCs w:val="20"/>
              </w:rPr>
            </w:pPr>
            <w:r w:rsidRPr="009E536C">
              <w:rPr>
                <w:rFonts w:eastAsia="Times New Roman"/>
                <w:sz w:val="20"/>
                <w:szCs w:val="20"/>
              </w:rPr>
              <w:t>4</w:t>
            </w:r>
          </w:p>
        </w:tc>
        <w:tc>
          <w:tcPr>
            <w:tcW w:w="1134" w:type="dxa"/>
            <w:tcBorders>
              <w:top w:val="nil"/>
              <w:left w:val="nil"/>
              <w:bottom w:val="single" w:sz="4" w:space="0" w:color="auto"/>
              <w:right w:val="single" w:sz="4" w:space="0" w:color="auto"/>
            </w:tcBorders>
          </w:tcPr>
          <w:p w:rsidR="001E7B45" w:rsidRPr="009E536C" w:rsidRDefault="001E7B45" w:rsidP="00AD3C83">
            <w:pPr>
              <w:spacing w:after="0" w:line="240" w:lineRule="auto"/>
              <w:jc w:val="center"/>
              <w:rPr>
                <w:rFonts w:eastAsia="Times New Roman"/>
                <w:sz w:val="20"/>
                <w:szCs w:val="20"/>
              </w:rPr>
            </w:pPr>
            <w:r w:rsidRPr="009E536C">
              <w:rPr>
                <w:rFonts w:eastAsia="Times New Roman"/>
                <w:sz w:val="20"/>
                <w:szCs w:val="20"/>
              </w:rPr>
              <w:t>5</w:t>
            </w:r>
          </w:p>
        </w:tc>
        <w:tc>
          <w:tcPr>
            <w:tcW w:w="1134" w:type="dxa"/>
            <w:tcBorders>
              <w:top w:val="nil"/>
              <w:left w:val="nil"/>
              <w:bottom w:val="single" w:sz="4" w:space="0" w:color="auto"/>
              <w:right w:val="single" w:sz="4" w:space="0" w:color="auto"/>
            </w:tcBorders>
          </w:tcPr>
          <w:p w:rsidR="001E7B45" w:rsidRPr="009E536C" w:rsidRDefault="001E7B45" w:rsidP="00AD3C83">
            <w:pPr>
              <w:spacing w:after="0" w:line="240" w:lineRule="auto"/>
              <w:jc w:val="center"/>
              <w:rPr>
                <w:rFonts w:eastAsia="Times New Roman"/>
                <w:sz w:val="20"/>
                <w:szCs w:val="20"/>
              </w:rPr>
            </w:pPr>
            <w:r w:rsidRPr="009E536C">
              <w:rPr>
                <w:rFonts w:eastAsia="Times New Roman"/>
                <w:sz w:val="20"/>
                <w:szCs w:val="20"/>
              </w:rPr>
              <w:t>6</w:t>
            </w:r>
          </w:p>
        </w:tc>
        <w:tc>
          <w:tcPr>
            <w:tcW w:w="1134" w:type="dxa"/>
            <w:tcBorders>
              <w:top w:val="nil"/>
              <w:left w:val="nil"/>
              <w:bottom w:val="single" w:sz="4" w:space="0" w:color="auto"/>
              <w:right w:val="single" w:sz="4" w:space="0" w:color="auto"/>
            </w:tcBorders>
          </w:tcPr>
          <w:p w:rsidR="001E7B45" w:rsidRPr="009E536C" w:rsidRDefault="001E7B45" w:rsidP="00AD3C83">
            <w:pPr>
              <w:spacing w:after="0" w:line="240" w:lineRule="auto"/>
              <w:jc w:val="center"/>
              <w:rPr>
                <w:rFonts w:eastAsia="Times New Roman"/>
                <w:sz w:val="20"/>
                <w:szCs w:val="20"/>
              </w:rPr>
            </w:pPr>
            <w:r w:rsidRPr="009E536C">
              <w:rPr>
                <w:rFonts w:eastAsia="Times New Roman"/>
                <w:sz w:val="20"/>
                <w:szCs w:val="20"/>
              </w:rPr>
              <w:t>7</w:t>
            </w:r>
          </w:p>
        </w:tc>
      </w:tr>
      <w:tr w:rsidR="001E7B45" w:rsidRPr="009E536C" w:rsidTr="00BD58BF">
        <w:trPr>
          <w:trHeight w:val="240"/>
        </w:trPr>
        <w:tc>
          <w:tcPr>
            <w:tcW w:w="851" w:type="dxa"/>
            <w:tcBorders>
              <w:top w:val="nil"/>
              <w:left w:val="single" w:sz="4" w:space="0" w:color="auto"/>
              <w:bottom w:val="single" w:sz="4" w:space="0" w:color="auto"/>
              <w:right w:val="single" w:sz="4" w:space="0" w:color="auto"/>
            </w:tcBorders>
          </w:tcPr>
          <w:p w:rsidR="001E7B45" w:rsidRPr="009E536C" w:rsidRDefault="001E7B45" w:rsidP="00AD3C83">
            <w:pPr>
              <w:spacing w:after="0" w:line="240" w:lineRule="auto"/>
              <w:jc w:val="center"/>
              <w:rPr>
                <w:rFonts w:eastAsia="Times New Roman"/>
                <w:sz w:val="20"/>
                <w:szCs w:val="20"/>
              </w:rPr>
            </w:pPr>
            <w:r w:rsidRPr="009E536C">
              <w:rPr>
                <w:rFonts w:eastAsia="Times New Roman"/>
                <w:sz w:val="20"/>
                <w:szCs w:val="20"/>
              </w:rPr>
              <w:t>1</w:t>
            </w:r>
          </w:p>
        </w:tc>
        <w:tc>
          <w:tcPr>
            <w:tcW w:w="8647" w:type="dxa"/>
            <w:gridSpan w:val="6"/>
            <w:tcBorders>
              <w:top w:val="nil"/>
              <w:left w:val="nil"/>
              <w:bottom w:val="single" w:sz="4" w:space="0" w:color="auto"/>
              <w:right w:val="single" w:sz="4" w:space="0" w:color="auto"/>
            </w:tcBorders>
          </w:tcPr>
          <w:p w:rsidR="001E7B45" w:rsidRPr="00577FA1" w:rsidRDefault="001E7B45" w:rsidP="00AD3C83">
            <w:pPr>
              <w:spacing w:after="0" w:line="240" w:lineRule="auto"/>
              <w:jc w:val="center"/>
              <w:rPr>
                <w:rFonts w:eastAsia="Times New Roman"/>
                <w:b/>
                <w:bCs/>
                <w:sz w:val="20"/>
                <w:szCs w:val="20"/>
              </w:rPr>
            </w:pPr>
            <w:r w:rsidRPr="00577FA1">
              <w:rPr>
                <w:rFonts w:eastAsia="Times New Roman"/>
                <w:b/>
                <w:bCs/>
                <w:sz w:val="20"/>
                <w:szCs w:val="20"/>
              </w:rPr>
              <w:t>1 полугодие 2020 года</w:t>
            </w:r>
          </w:p>
        </w:tc>
      </w:tr>
      <w:tr w:rsidR="001E7B45" w:rsidRPr="002B4913" w:rsidTr="00BD58BF">
        <w:trPr>
          <w:trHeight w:val="240"/>
        </w:trPr>
        <w:tc>
          <w:tcPr>
            <w:tcW w:w="851" w:type="dxa"/>
            <w:tcBorders>
              <w:top w:val="nil"/>
              <w:left w:val="single" w:sz="4" w:space="0" w:color="auto"/>
              <w:bottom w:val="single" w:sz="4" w:space="0" w:color="auto"/>
              <w:right w:val="single" w:sz="4" w:space="0" w:color="auto"/>
            </w:tcBorders>
          </w:tcPr>
          <w:p w:rsidR="001E7B45" w:rsidRPr="009E536C" w:rsidRDefault="001E7B45" w:rsidP="00AD3C83">
            <w:pPr>
              <w:spacing w:after="0" w:line="240" w:lineRule="auto"/>
              <w:jc w:val="center"/>
              <w:rPr>
                <w:rFonts w:eastAsia="Times New Roman"/>
                <w:sz w:val="20"/>
                <w:szCs w:val="20"/>
              </w:rPr>
            </w:pPr>
            <w:r w:rsidRPr="009E536C">
              <w:rPr>
                <w:rFonts w:eastAsia="Times New Roman"/>
                <w:sz w:val="20"/>
                <w:szCs w:val="20"/>
              </w:rPr>
              <w:t>1.1</w:t>
            </w:r>
          </w:p>
        </w:tc>
        <w:tc>
          <w:tcPr>
            <w:tcW w:w="2551" w:type="dxa"/>
            <w:tcBorders>
              <w:top w:val="nil"/>
              <w:left w:val="nil"/>
              <w:bottom w:val="single" w:sz="4" w:space="0" w:color="auto"/>
              <w:right w:val="single" w:sz="4" w:space="0" w:color="auto"/>
            </w:tcBorders>
          </w:tcPr>
          <w:p w:rsidR="001E7B45" w:rsidRPr="009E536C" w:rsidRDefault="001E7B45" w:rsidP="00AD3C83">
            <w:pPr>
              <w:spacing w:after="0" w:line="240" w:lineRule="auto"/>
              <w:jc w:val="both"/>
              <w:rPr>
                <w:rFonts w:eastAsia="Times New Roman"/>
                <w:sz w:val="20"/>
                <w:szCs w:val="20"/>
              </w:rPr>
            </w:pPr>
            <w:r w:rsidRPr="009E536C">
              <w:rPr>
                <w:rFonts w:eastAsia="Times New Roman"/>
                <w:sz w:val="20"/>
                <w:szCs w:val="20"/>
              </w:rPr>
              <w:t>Одноставочный тариф</w:t>
            </w:r>
          </w:p>
        </w:tc>
        <w:tc>
          <w:tcPr>
            <w:tcW w:w="1418" w:type="dxa"/>
            <w:tcBorders>
              <w:top w:val="nil"/>
              <w:left w:val="nil"/>
              <w:bottom w:val="single" w:sz="4" w:space="0" w:color="auto"/>
              <w:right w:val="single" w:sz="4" w:space="0" w:color="auto"/>
            </w:tcBorders>
          </w:tcPr>
          <w:p w:rsidR="001E7B45" w:rsidRPr="009E536C" w:rsidRDefault="001E7B45" w:rsidP="00AD3C83">
            <w:pPr>
              <w:spacing w:after="0" w:line="240" w:lineRule="auto"/>
              <w:jc w:val="center"/>
              <w:rPr>
                <w:rFonts w:eastAsia="Times New Roman"/>
                <w:sz w:val="20"/>
                <w:szCs w:val="20"/>
              </w:rPr>
            </w:pPr>
            <w:r w:rsidRPr="009E536C">
              <w:rPr>
                <w:rFonts w:eastAsia="Times New Roman"/>
                <w:sz w:val="20"/>
                <w:szCs w:val="20"/>
              </w:rPr>
              <w:t>руб./кВт·ч</w:t>
            </w:r>
          </w:p>
        </w:tc>
        <w:tc>
          <w:tcPr>
            <w:tcW w:w="1276" w:type="dxa"/>
            <w:tcBorders>
              <w:top w:val="nil"/>
              <w:left w:val="nil"/>
              <w:bottom w:val="single" w:sz="4" w:space="0" w:color="auto"/>
              <w:right w:val="single" w:sz="4" w:space="0" w:color="auto"/>
            </w:tcBorders>
          </w:tcPr>
          <w:p w:rsidR="001E7B45" w:rsidRPr="002B4913" w:rsidRDefault="001E7B45" w:rsidP="00AD3C83">
            <w:pPr>
              <w:spacing w:after="0" w:line="240" w:lineRule="auto"/>
              <w:jc w:val="center"/>
              <w:rPr>
                <w:sz w:val="18"/>
                <w:szCs w:val="18"/>
              </w:rPr>
            </w:pPr>
            <w:r w:rsidRPr="002B4913">
              <w:rPr>
                <w:sz w:val="18"/>
                <w:szCs w:val="18"/>
              </w:rPr>
              <w:t>0,93156</w:t>
            </w:r>
          </w:p>
        </w:tc>
        <w:tc>
          <w:tcPr>
            <w:tcW w:w="1134" w:type="dxa"/>
            <w:tcBorders>
              <w:top w:val="nil"/>
              <w:left w:val="nil"/>
              <w:bottom w:val="single" w:sz="4" w:space="0" w:color="auto"/>
              <w:right w:val="single" w:sz="4" w:space="0" w:color="auto"/>
            </w:tcBorders>
          </w:tcPr>
          <w:p w:rsidR="001E7B45" w:rsidRPr="002B4913" w:rsidRDefault="001E7B45" w:rsidP="00AD3C83">
            <w:pPr>
              <w:spacing w:after="0" w:line="240" w:lineRule="auto"/>
              <w:jc w:val="center"/>
              <w:rPr>
                <w:sz w:val="18"/>
                <w:szCs w:val="18"/>
              </w:rPr>
            </w:pPr>
            <w:r w:rsidRPr="002B4913">
              <w:rPr>
                <w:sz w:val="18"/>
                <w:szCs w:val="18"/>
              </w:rPr>
              <w:t>1,28652</w:t>
            </w:r>
          </w:p>
        </w:tc>
        <w:tc>
          <w:tcPr>
            <w:tcW w:w="1134" w:type="dxa"/>
            <w:tcBorders>
              <w:top w:val="nil"/>
              <w:left w:val="nil"/>
              <w:bottom w:val="single" w:sz="4" w:space="0" w:color="auto"/>
              <w:right w:val="single" w:sz="4" w:space="0" w:color="auto"/>
            </w:tcBorders>
          </w:tcPr>
          <w:p w:rsidR="001E7B45" w:rsidRPr="002B4913" w:rsidRDefault="001E7B45" w:rsidP="00AD3C83">
            <w:pPr>
              <w:spacing w:after="0" w:line="240" w:lineRule="auto"/>
              <w:jc w:val="center"/>
              <w:rPr>
                <w:sz w:val="18"/>
                <w:szCs w:val="18"/>
              </w:rPr>
            </w:pPr>
            <w:r w:rsidRPr="002B4913">
              <w:rPr>
                <w:sz w:val="18"/>
                <w:szCs w:val="18"/>
              </w:rPr>
              <w:t>1,33033</w:t>
            </w:r>
          </w:p>
        </w:tc>
        <w:tc>
          <w:tcPr>
            <w:tcW w:w="1134" w:type="dxa"/>
            <w:tcBorders>
              <w:top w:val="nil"/>
              <w:left w:val="nil"/>
              <w:bottom w:val="single" w:sz="4" w:space="0" w:color="auto"/>
              <w:right w:val="single" w:sz="4" w:space="0" w:color="auto"/>
            </w:tcBorders>
          </w:tcPr>
          <w:p w:rsidR="001E7B45" w:rsidRPr="002B4913" w:rsidRDefault="001E7B45" w:rsidP="00AD3C83">
            <w:pPr>
              <w:spacing w:after="0" w:line="240" w:lineRule="auto"/>
              <w:jc w:val="center"/>
              <w:rPr>
                <w:sz w:val="18"/>
                <w:szCs w:val="18"/>
              </w:rPr>
            </w:pPr>
            <w:r w:rsidRPr="002B4913">
              <w:rPr>
                <w:sz w:val="18"/>
                <w:szCs w:val="18"/>
              </w:rPr>
              <w:t>1,54045</w:t>
            </w:r>
          </w:p>
        </w:tc>
      </w:tr>
      <w:tr w:rsidR="001E7B45" w:rsidRPr="009E536C" w:rsidTr="00BD58BF">
        <w:trPr>
          <w:trHeight w:val="264"/>
        </w:trPr>
        <w:tc>
          <w:tcPr>
            <w:tcW w:w="851" w:type="dxa"/>
            <w:tcBorders>
              <w:top w:val="single" w:sz="4" w:space="0" w:color="auto"/>
              <w:left w:val="single" w:sz="4" w:space="0" w:color="auto"/>
              <w:bottom w:val="single" w:sz="4" w:space="0" w:color="auto"/>
              <w:right w:val="single" w:sz="4" w:space="0" w:color="auto"/>
            </w:tcBorders>
          </w:tcPr>
          <w:p w:rsidR="001E7B45" w:rsidRPr="009E536C" w:rsidRDefault="001E7B45" w:rsidP="00AD3C83">
            <w:pPr>
              <w:spacing w:after="0" w:line="240" w:lineRule="auto"/>
              <w:jc w:val="center"/>
              <w:rPr>
                <w:rFonts w:eastAsia="Times New Roman"/>
                <w:sz w:val="20"/>
                <w:szCs w:val="20"/>
              </w:rPr>
            </w:pPr>
            <w:r w:rsidRPr="009E536C">
              <w:rPr>
                <w:rFonts w:eastAsia="Times New Roman"/>
                <w:sz w:val="20"/>
                <w:szCs w:val="20"/>
              </w:rPr>
              <w:t>1.2.</w:t>
            </w:r>
          </w:p>
        </w:tc>
        <w:tc>
          <w:tcPr>
            <w:tcW w:w="8647" w:type="dxa"/>
            <w:gridSpan w:val="6"/>
            <w:tcBorders>
              <w:top w:val="single" w:sz="4" w:space="0" w:color="auto"/>
              <w:left w:val="nil"/>
              <w:bottom w:val="single" w:sz="4" w:space="0" w:color="auto"/>
              <w:right w:val="single" w:sz="4" w:space="0" w:color="auto"/>
            </w:tcBorders>
          </w:tcPr>
          <w:p w:rsidR="001E7B45" w:rsidRPr="009E536C" w:rsidRDefault="001E7B45" w:rsidP="00AD3C83">
            <w:pPr>
              <w:spacing w:after="0" w:line="240" w:lineRule="auto"/>
              <w:rPr>
                <w:rFonts w:eastAsia="Times New Roman"/>
                <w:sz w:val="20"/>
                <w:szCs w:val="20"/>
                <w:highlight w:val="yellow"/>
              </w:rPr>
            </w:pPr>
            <w:r w:rsidRPr="009E536C">
              <w:rPr>
                <w:rFonts w:eastAsia="Times New Roman"/>
                <w:sz w:val="20"/>
                <w:szCs w:val="20"/>
              </w:rPr>
              <w:t xml:space="preserve">Двухставочный тариф </w:t>
            </w:r>
          </w:p>
        </w:tc>
      </w:tr>
      <w:tr w:rsidR="00577FA1" w:rsidRPr="009E536C" w:rsidTr="00BD58BF">
        <w:trPr>
          <w:trHeight w:val="384"/>
        </w:trPr>
        <w:tc>
          <w:tcPr>
            <w:tcW w:w="851" w:type="dxa"/>
            <w:vMerge w:val="restart"/>
            <w:tcBorders>
              <w:top w:val="nil"/>
              <w:left w:val="single" w:sz="4" w:space="0" w:color="auto"/>
              <w:bottom w:val="single" w:sz="4" w:space="0" w:color="auto"/>
              <w:right w:val="single" w:sz="4" w:space="0" w:color="auto"/>
            </w:tcBorders>
          </w:tcPr>
          <w:p w:rsidR="00577FA1" w:rsidRPr="009E536C" w:rsidRDefault="00577FA1" w:rsidP="00AD3C83">
            <w:pPr>
              <w:spacing w:after="0" w:line="240" w:lineRule="auto"/>
              <w:jc w:val="center"/>
              <w:rPr>
                <w:rFonts w:eastAsia="Times New Roman"/>
                <w:sz w:val="20"/>
                <w:szCs w:val="20"/>
              </w:rPr>
            </w:pPr>
            <w:r w:rsidRPr="009E536C">
              <w:rPr>
                <w:rFonts w:eastAsia="Times New Roman"/>
                <w:sz w:val="20"/>
                <w:szCs w:val="20"/>
              </w:rPr>
              <w:t>1.2.1.</w:t>
            </w:r>
          </w:p>
        </w:tc>
        <w:tc>
          <w:tcPr>
            <w:tcW w:w="2551" w:type="dxa"/>
            <w:vMerge w:val="restart"/>
            <w:tcBorders>
              <w:top w:val="nil"/>
              <w:left w:val="single" w:sz="4" w:space="0" w:color="auto"/>
              <w:bottom w:val="single" w:sz="4" w:space="0" w:color="auto"/>
              <w:right w:val="single" w:sz="4" w:space="0" w:color="auto"/>
            </w:tcBorders>
          </w:tcPr>
          <w:p w:rsidR="00577FA1" w:rsidRPr="009E536C" w:rsidRDefault="00577FA1" w:rsidP="00577FA1">
            <w:pPr>
              <w:spacing w:after="0" w:line="240" w:lineRule="auto"/>
              <w:jc w:val="both"/>
              <w:rPr>
                <w:rFonts w:eastAsia="Times New Roman"/>
                <w:sz w:val="20"/>
                <w:szCs w:val="20"/>
              </w:rPr>
            </w:pPr>
            <w:r w:rsidRPr="009E536C">
              <w:rPr>
                <w:rFonts w:eastAsia="Times New Roman"/>
                <w:sz w:val="20"/>
                <w:szCs w:val="20"/>
              </w:rPr>
              <w:t>- ставка за содержание электрических сетей</w:t>
            </w:r>
          </w:p>
        </w:tc>
        <w:tc>
          <w:tcPr>
            <w:tcW w:w="1418" w:type="dxa"/>
            <w:vMerge w:val="restart"/>
            <w:tcBorders>
              <w:top w:val="nil"/>
              <w:left w:val="single" w:sz="4" w:space="0" w:color="auto"/>
              <w:bottom w:val="single" w:sz="4" w:space="0" w:color="auto"/>
              <w:right w:val="single" w:sz="4" w:space="0" w:color="auto"/>
            </w:tcBorders>
          </w:tcPr>
          <w:p w:rsidR="00577FA1" w:rsidRPr="009E536C" w:rsidRDefault="00577FA1" w:rsidP="00AD3C83">
            <w:pPr>
              <w:spacing w:after="0" w:line="240" w:lineRule="auto"/>
              <w:jc w:val="center"/>
              <w:rPr>
                <w:rFonts w:eastAsia="Times New Roman"/>
                <w:sz w:val="20"/>
                <w:szCs w:val="20"/>
              </w:rPr>
            </w:pPr>
            <w:r w:rsidRPr="009E536C">
              <w:rPr>
                <w:rFonts w:eastAsia="Times New Roman"/>
                <w:sz w:val="20"/>
                <w:szCs w:val="20"/>
              </w:rPr>
              <w:t>руб./МВт· мес.</w:t>
            </w:r>
          </w:p>
        </w:tc>
        <w:tc>
          <w:tcPr>
            <w:tcW w:w="1276" w:type="dxa"/>
            <w:vMerge w:val="restart"/>
            <w:tcBorders>
              <w:top w:val="nil"/>
              <w:left w:val="single" w:sz="4" w:space="0" w:color="auto"/>
              <w:bottom w:val="single" w:sz="4" w:space="0" w:color="auto"/>
              <w:right w:val="single" w:sz="4" w:space="0" w:color="auto"/>
            </w:tcBorders>
            <w:vAlign w:val="center"/>
          </w:tcPr>
          <w:p w:rsidR="00577FA1" w:rsidRPr="002B4913" w:rsidRDefault="00577FA1" w:rsidP="001B72FD">
            <w:pPr>
              <w:spacing w:after="0" w:line="240" w:lineRule="auto"/>
              <w:jc w:val="center"/>
              <w:rPr>
                <w:sz w:val="18"/>
                <w:szCs w:val="18"/>
              </w:rPr>
            </w:pPr>
            <w:r w:rsidRPr="002B4913">
              <w:rPr>
                <w:sz w:val="18"/>
                <w:szCs w:val="18"/>
              </w:rPr>
              <w:t>545</w:t>
            </w:r>
            <w:r>
              <w:rPr>
                <w:sz w:val="18"/>
                <w:szCs w:val="18"/>
              </w:rPr>
              <w:t xml:space="preserve"> </w:t>
            </w:r>
            <w:r w:rsidRPr="002B4913">
              <w:rPr>
                <w:sz w:val="18"/>
                <w:szCs w:val="18"/>
              </w:rPr>
              <w:t>201,30</w:t>
            </w:r>
          </w:p>
        </w:tc>
        <w:tc>
          <w:tcPr>
            <w:tcW w:w="1134" w:type="dxa"/>
            <w:vMerge w:val="restart"/>
            <w:tcBorders>
              <w:top w:val="nil"/>
              <w:left w:val="single" w:sz="4" w:space="0" w:color="auto"/>
              <w:bottom w:val="single" w:sz="4" w:space="0" w:color="auto"/>
              <w:right w:val="single" w:sz="4" w:space="0" w:color="auto"/>
            </w:tcBorders>
            <w:vAlign w:val="center"/>
          </w:tcPr>
          <w:p w:rsidR="00577FA1" w:rsidRPr="002B4913" w:rsidRDefault="00577FA1" w:rsidP="001B72FD">
            <w:pPr>
              <w:spacing w:after="0" w:line="240" w:lineRule="auto"/>
              <w:jc w:val="center"/>
              <w:rPr>
                <w:sz w:val="18"/>
                <w:szCs w:val="18"/>
              </w:rPr>
            </w:pPr>
            <w:r w:rsidRPr="002B4913">
              <w:rPr>
                <w:sz w:val="18"/>
                <w:szCs w:val="18"/>
              </w:rPr>
              <w:t>741</w:t>
            </w:r>
            <w:r>
              <w:rPr>
                <w:sz w:val="18"/>
                <w:szCs w:val="18"/>
              </w:rPr>
              <w:t xml:space="preserve"> </w:t>
            </w:r>
            <w:r w:rsidRPr="002B4913">
              <w:rPr>
                <w:sz w:val="18"/>
                <w:szCs w:val="18"/>
              </w:rPr>
              <w:t>736,64</w:t>
            </w:r>
          </w:p>
        </w:tc>
        <w:tc>
          <w:tcPr>
            <w:tcW w:w="1134" w:type="dxa"/>
            <w:vMerge w:val="restart"/>
            <w:tcBorders>
              <w:top w:val="nil"/>
              <w:left w:val="single" w:sz="4" w:space="0" w:color="auto"/>
              <w:bottom w:val="single" w:sz="4" w:space="0" w:color="auto"/>
              <w:right w:val="single" w:sz="4" w:space="0" w:color="auto"/>
            </w:tcBorders>
            <w:vAlign w:val="center"/>
          </w:tcPr>
          <w:p w:rsidR="00577FA1" w:rsidRPr="002B4913" w:rsidRDefault="00577FA1" w:rsidP="001B72FD">
            <w:pPr>
              <w:spacing w:after="0" w:line="240" w:lineRule="auto"/>
              <w:jc w:val="center"/>
              <w:rPr>
                <w:sz w:val="18"/>
                <w:szCs w:val="18"/>
              </w:rPr>
            </w:pPr>
            <w:r w:rsidRPr="002B4913">
              <w:rPr>
                <w:sz w:val="18"/>
                <w:szCs w:val="18"/>
              </w:rPr>
              <w:t>704</w:t>
            </w:r>
            <w:r>
              <w:rPr>
                <w:sz w:val="18"/>
                <w:szCs w:val="18"/>
              </w:rPr>
              <w:t xml:space="preserve"> </w:t>
            </w:r>
            <w:r w:rsidRPr="002B4913">
              <w:rPr>
                <w:sz w:val="18"/>
                <w:szCs w:val="18"/>
              </w:rPr>
              <w:t>690,09</w:t>
            </w:r>
          </w:p>
        </w:tc>
        <w:tc>
          <w:tcPr>
            <w:tcW w:w="1134" w:type="dxa"/>
            <w:vMerge w:val="restart"/>
            <w:tcBorders>
              <w:top w:val="nil"/>
              <w:left w:val="single" w:sz="4" w:space="0" w:color="auto"/>
              <w:bottom w:val="single" w:sz="4" w:space="0" w:color="000000"/>
              <w:right w:val="single" w:sz="4" w:space="0" w:color="auto"/>
            </w:tcBorders>
            <w:vAlign w:val="center"/>
          </w:tcPr>
          <w:p w:rsidR="00577FA1" w:rsidRPr="002B4913" w:rsidRDefault="00577FA1" w:rsidP="001B72FD">
            <w:pPr>
              <w:spacing w:after="0" w:line="240" w:lineRule="auto"/>
              <w:jc w:val="center"/>
              <w:rPr>
                <w:sz w:val="18"/>
                <w:szCs w:val="18"/>
              </w:rPr>
            </w:pPr>
            <w:r w:rsidRPr="002B4913">
              <w:rPr>
                <w:sz w:val="18"/>
                <w:szCs w:val="18"/>
              </w:rPr>
              <w:t>681</w:t>
            </w:r>
            <w:r>
              <w:rPr>
                <w:sz w:val="18"/>
                <w:szCs w:val="18"/>
              </w:rPr>
              <w:t xml:space="preserve"> </w:t>
            </w:r>
            <w:r w:rsidRPr="002B4913">
              <w:rPr>
                <w:sz w:val="18"/>
                <w:szCs w:val="18"/>
              </w:rPr>
              <w:t>894,49</w:t>
            </w:r>
          </w:p>
        </w:tc>
      </w:tr>
      <w:tr w:rsidR="00577FA1" w:rsidRPr="009E536C" w:rsidTr="00577FA1">
        <w:trPr>
          <w:trHeight w:val="230"/>
        </w:trPr>
        <w:tc>
          <w:tcPr>
            <w:tcW w:w="851" w:type="dxa"/>
            <w:vMerge/>
            <w:tcBorders>
              <w:top w:val="nil"/>
              <w:left w:val="single" w:sz="4" w:space="0" w:color="auto"/>
              <w:bottom w:val="single" w:sz="4" w:space="0" w:color="auto"/>
              <w:right w:val="single" w:sz="4" w:space="0" w:color="auto"/>
            </w:tcBorders>
            <w:vAlign w:val="center"/>
          </w:tcPr>
          <w:p w:rsidR="00577FA1" w:rsidRPr="009E536C" w:rsidRDefault="00577FA1" w:rsidP="00AD3C83">
            <w:pPr>
              <w:spacing w:after="0" w:line="240" w:lineRule="auto"/>
              <w:jc w:val="center"/>
              <w:rPr>
                <w:rFonts w:eastAsia="Times New Roman"/>
                <w:sz w:val="20"/>
                <w:szCs w:val="20"/>
              </w:rPr>
            </w:pPr>
          </w:p>
        </w:tc>
        <w:tc>
          <w:tcPr>
            <w:tcW w:w="2551" w:type="dxa"/>
            <w:vMerge/>
            <w:tcBorders>
              <w:top w:val="nil"/>
              <w:left w:val="single" w:sz="4" w:space="0" w:color="auto"/>
              <w:bottom w:val="single" w:sz="4" w:space="0" w:color="auto"/>
              <w:right w:val="single" w:sz="4" w:space="0" w:color="auto"/>
            </w:tcBorders>
            <w:vAlign w:val="center"/>
          </w:tcPr>
          <w:p w:rsidR="00577FA1" w:rsidRPr="009E536C" w:rsidRDefault="00577FA1" w:rsidP="00577FA1">
            <w:pPr>
              <w:spacing w:after="0" w:line="240" w:lineRule="auto"/>
              <w:rPr>
                <w:rFonts w:eastAsia="Times New Roman"/>
                <w:sz w:val="20"/>
                <w:szCs w:val="20"/>
              </w:rPr>
            </w:pPr>
          </w:p>
        </w:tc>
        <w:tc>
          <w:tcPr>
            <w:tcW w:w="1418" w:type="dxa"/>
            <w:vMerge/>
            <w:tcBorders>
              <w:top w:val="nil"/>
              <w:left w:val="single" w:sz="4" w:space="0" w:color="auto"/>
              <w:bottom w:val="single" w:sz="4" w:space="0" w:color="auto"/>
              <w:right w:val="single" w:sz="4" w:space="0" w:color="auto"/>
            </w:tcBorders>
            <w:vAlign w:val="center"/>
          </w:tcPr>
          <w:p w:rsidR="00577FA1" w:rsidRPr="009E536C" w:rsidRDefault="00577FA1" w:rsidP="00AD3C83">
            <w:pPr>
              <w:spacing w:after="0" w:line="240" w:lineRule="auto"/>
              <w:rPr>
                <w:rFonts w:eastAsia="Times New Roman"/>
                <w:sz w:val="20"/>
                <w:szCs w:val="20"/>
              </w:rPr>
            </w:pPr>
          </w:p>
        </w:tc>
        <w:tc>
          <w:tcPr>
            <w:tcW w:w="1276" w:type="dxa"/>
            <w:vMerge/>
            <w:tcBorders>
              <w:top w:val="nil"/>
              <w:left w:val="single" w:sz="4" w:space="0" w:color="auto"/>
              <w:bottom w:val="single" w:sz="4" w:space="0" w:color="auto"/>
              <w:right w:val="single" w:sz="4" w:space="0" w:color="auto"/>
            </w:tcBorders>
            <w:vAlign w:val="center"/>
          </w:tcPr>
          <w:p w:rsidR="00577FA1" w:rsidRPr="009E536C" w:rsidRDefault="00577FA1" w:rsidP="00AD3C83">
            <w:pPr>
              <w:spacing w:after="0" w:line="240" w:lineRule="auto"/>
              <w:jc w:val="center"/>
              <w:rPr>
                <w:rFonts w:eastAsia="Times New Roman"/>
                <w:sz w:val="20"/>
                <w:szCs w:val="20"/>
                <w:highlight w:val="yellow"/>
              </w:rPr>
            </w:pPr>
          </w:p>
        </w:tc>
        <w:tc>
          <w:tcPr>
            <w:tcW w:w="1134" w:type="dxa"/>
            <w:vMerge/>
            <w:tcBorders>
              <w:top w:val="nil"/>
              <w:left w:val="single" w:sz="4" w:space="0" w:color="auto"/>
              <w:bottom w:val="single" w:sz="4" w:space="0" w:color="auto"/>
              <w:right w:val="single" w:sz="4" w:space="0" w:color="auto"/>
            </w:tcBorders>
            <w:vAlign w:val="center"/>
          </w:tcPr>
          <w:p w:rsidR="00577FA1" w:rsidRPr="009E536C" w:rsidRDefault="00577FA1" w:rsidP="00AD3C83">
            <w:pPr>
              <w:spacing w:after="0" w:line="240" w:lineRule="auto"/>
              <w:jc w:val="center"/>
              <w:rPr>
                <w:rFonts w:eastAsia="Times New Roman"/>
                <w:sz w:val="20"/>
                <w:szCs w:val="20"/>
                <w:highlight w:val="yellow"/>
              </w:rPr>
            </w:pPr>
          </w:p>
        </w:tc>
        <w:tc>
          <w:tcPr>
            <w:tcW w:w="1134" w:type="dxa"/>
            <w:vMerge/>
            <w:tcBorders>
              <w:top w:val="nil"/>
              <w:left w:val="single" w:sz="4" w:space="0" w:color="auto"/>
              <w:bottom w:val="single" w:sz="4" w:space="0" w:color="auto"/>
              <w:right w:val="single" w:sz="4" w:space="0" w:color="auto"/>
            </w:tcBorders>
            <w:vAlign w:val="center"/>
          </w:tcPr>
          <w:p w:rsidR="00577FA1" w:rsidRPr="009E536C" w:rsidRDefault="00577FA1" w:rsidP="00AD3C83">
            <w:pPr>
              <w:spacing w:after="0" w:line="240" w:lineRule="auto"/>
              <w:jc w:val="center"/>
              <w:rPr>
                <w:rFonts w:eastAsia="Times New Roman"/>
                <w:sz w:val="20"/>
                <w:szCs w:val="20"/>
                <w:highlight w:val="yellow"/>
              </w:rPr>
            </w:pPr>
          </w:p>
        </w:tc>
        <w:tc>
          <w:tcPr>
            <w:tcW w:w="1134" w:type="dxa"/>
            <w:vMerge/>
            <w:tcBorders>
              <w:top w:val="nil"/>
              <w:left w:val="single" w:sz="4" w:space="0" w:color="auto"/>
              <w:bottom w:val="single" w:sz="4" w:space="0" w:color="auto"/>
              <w:right w:val="single" w:sz="4" w:space="0" w:color="auto"/>
            </w:tcBorders>
            <w:vAlign w:val="center"/>
          </w:tcPr>
          <w:p w:rsidR="00577FA1" w:rsidRPr="009E536C" w:rsidRDefault="00577FA1" w:rsidP="00AD3C83">
            <w:pPr>
              <w:spacing w:after="0" w:line="240" w:lineRule="auto"/>
              <w:jc w:val="center"/>
              <w:rPr>
                <w:rFonts w:eastAsia="Times New Roman"/>
                <w:sz w:val="20"/>
                <w:szCs w:val="20"/>
                <w:highlight w:val="yellow"/>
              </w:rPr>
            </w:pPr>
          </w:p>
        </w:tc>
      </w:tr>
      <w:tr w:rsidR="00577FA1" w:rsidRPr="009E536C" w:rsidTr="00577FA1">
        <w:trPr>
          <w:trHeight w:val="384"/>
        </w:trPr>
        <w:tc>
          <w:tcPr>
            <w:tcW w:w="851" w:type="dxa"/>
            <w:vMerge w:val="restart"/>
            <w:tcBorders>
              <w:top w:val="single" w:sz="4" w:space="0" w:color="auto"/>
              <w:left w:val="single" w:sz="4" w:space="0" w:color="auto"/>
              <w:bottom w:val="single" w:sz="4" w:space="0" w:color="auto"/>
              <w:right w:val="single" w:sz="4" w:space="0" w:color="auto"/>
            </w:tcBorders>
          </w:tcPr>
          <w:p w:rsidR="00577FA1" w:rsidRPr="009E536C" w:rsidRDefault="00577FA1" w:rsidP="00AD3C83">
            <w:pPr>
              <w:spacing w:after="0" w:line="240" w:lineRule="auto"/>
              <w:jc w:val="center"/>
              <w:rPr>
                <w:rFonts w:eastAsia="Times New Roman"/>
                <w:sz w:val="20"/>
                <w:szCs w:val="20"/>
              </w:rPr>
            </w:pPr>
            <w:r w:rsidRPr="009E536C">
              <w:rPr>
                <w:rFonts w:eastAsia="Times New Roman"/>
                <w:sz w:val="20"/>
                <w:szCs w:val="20"/>
              </w:rPr>
              <w:t>1.2.2.</w:t>
            </w:r>
          </w:p>
        </w:tc>
        <w:tc>
          <w:tcPr>
            <w:tcW w:w="2551" w:type="dxa"/>
            <w:vMerge w:val="restart"/>
            <w:tcBorders>
              <w:top w:val="single" w:sz="4" w:space="0" w:color="auto"/>
              <w:left w:val="single" w:sz="4" w:space="0" w:color="auto"/>
              <w:bottom w:val="single" w:sz="4" w:space="0" w:color="auto"/>
              <w:right w:val="single" w:sz="4" w:space="0" w:color="auto"/>
            </w:tcBorders>
          </w:tcPr>
          <w:p w:rsidR="00577FA1" w:rsidRDefault="00577FA1" w:rsidP="00577FA1">
            <w:pPr>
              <w:spacing w:after="0" w:line="240" w:lineRule="auto"/>
              <w:jc w:val="both"/>
              <w:rPr>
                <w:rFonts w:eastAsia="Times New Roman"/>
                <w:sz w:val="20"/>
                <w:szCs w:val="20"/>
              </w:rPr>
            </w:pPr>
            <w:r w:rsidRPr="009E536C">
              <w:rPr>
                <w:rFonts w:eastAsia="Times New Roman"/>
                <w:sz w:val="20"/>
                <w:szCs w:val="20"/>
              </w:rPr>
              <w:t>- ставка на оплату технологического расхода (потерь) в электрических сетях</w:t>
            </w:r>
          </w:p>
          <w:p w:rsidR="00577FA1" w:rsidRDefault="00577FA1" w:rsidP="00577FA1">
            <w:pPr>
              <w:spacing w:after="0" w:line="240" w:lineRule="auto"/>
              <w:jc w:val="both"/>
              <w:rPr>
                <w:rFonts w:eastAsia="Times New Roman"/>
                <w:sz w:val="20"/>
                <w:szCs w:val="20"/>
              </w:rPr>
            </w:pPr>
          </w:p>
          <w:p w:rsidR="00577FA1" w:rsidRPr="009E536C" w:rsidRDefault="00577FA1" w:rsidP="00577FA1">
            <w:pPr>
              <w:spacing w:after="0" w:line="240" w:lineRule="auto"/>
              <w:jc w:val="both"/>
              <w:rPr>
                <w:rFonts w:eastAsia="Times New Roman"/>
                <w:sz w:val="20"/>
                <w:szCs w:val="20"/>
              </w:rPr>
            </w:pPr>
          </w:p>
        </w:tc>
        <w:tc>
          <w:tcPr>
            <w:tcW w:w="1418" w:type="dxa"/>
            <w:vMerge w:val="restart"/>
            <w:tcBorders>
              <w:top w:val="single" w:sz="4" w:space="0" w:color="auto"/>
              <w:left w:val="single" w:sz="4" w:space="0" w:color="auto"/>
              <w:bottom w:val="single" w:sz="4" w:space="0" w:color="auto"/>
              <w:right w:val="single" w:sz="4" w:space="0" w:color="auto"/>
            </w:tcBorders>
          </w:tcPr>
          <w:p w:rsidR="00577FA1" w:rsidRPr="009E536C" w:rsidRDefault="00577FA1" w:rsidP="00AD3C83">
            <w:pPr>
              <w:spacing w:after="0" w:line="240" w:lineRule="auto"/>
              <w:jc w:val="center"/>
              <w:rPr>
                <w:rFonts w:eastAsia="Times New Roman"/>
                <w:sz w:val="20"/>
                <w:szCs w:val="20"/>
              </w:rPr>
            </w:pPr>
            <w:r w:rsidRPr="009E536C">
              <w:rPr>
                <w:rFonts w:eastAsia="Times New Roman"/>
                <w:sz w:val="20"/>
                <w:szCs w:val="20"/>
              </w:rPr>
              <w:t>руб./МВт·ч</w:t>
            </w:r>
          </w:p>
        </w:tc>
        <w:tc>
          <w:tcPr>
            <w:tcW w:w="1276" w:type="dxa"/>
            <w:vMerge w:val="restart"/>
            <w:tcBorders>
              <w:top w:val="single" w:sz="4" w:space="0" w:color="auto"/>
              <w:left w:val="single" w:sz="4" w:space="0" w:color="auto"/>
              <w:bottom w:val="single" w:sz="4" w:space="0" w:color="auto"/>
              <w:right w:val="single" w:sz="4" w:space="0" w:color="auto"/>
            </w:tcBorders>
            <w:vAlign w:val="center"/>
          </w:tcPr>
          <w:p w:rsidR="00577FA1" w:rsidRPr="002B4913" w:rsidRDefault="00577FA1" w:rsidP="00AD3C83">
            <w:pPr>
              <w:spacing w:after="0" w:line="240" w:lineRule="auto"/>
              <w:jc w:val="center"/>
              <w:rPr>
                <w:sz w:val="18"/>
                <w:szCs w:val="18"/>
              </w:rPr>
            </w:pPr>
            <w:r w:rsidRPr="002B4913">
              <w:rPr>
                <w:sz w:val="18"/>
                <w:szCs w:val="18"/>
              </w:rPr>
              <w:t>115,17</w:t>
            </w:r>
          </w:p>
        </w:tc>
        <w:tc>
          <w:tcPr>
            <w:tcW w:w="1134" w:type="dxa"/>
            <w:vMerge w:val="restart"/>
            <w:tcBorders>
              <w:top w:val="single" w:sz="4" w:space="0" w:color="auto"/>
              <w:left w:val="single" w:sz="4" w:space="0" w:color="auto"/>
              <w:bottom w:val="single" w:sz="4" w:space="0" w:color="auto"/>
              <w:right w:val="single" w:sz="4" w:space="0" w:color="auto"/>
            </w:tcBorders>
            <w:vAlign w:val="center"/>
          </w:tcPr>
          <w:p w:rsidR="00577FA1" w:rsidRPr="002B4913" w:rsidRDefault="00577FA1" w:rsidP="00AD3C83">
            <w:pPr>
              <w:spacing w:after="0" w:line="240" w:lineRule="auto"/>
              <w:jc w:val="center"/>
              <w:rPr>
                <w:sz w:val="18"/>
                <w:szCs w:val="18"/>
              </w:rPr>
            </w:pPr>
            <w:r w:rsidRPr="002B4913">
              <w:rPr>
                <w:sz w:val="18"/>
                <w:szCs w:val="18"/>
              </w:rPr>
              <w:t>163,60</w:t>
            </w:r>
          </w:p>
        </w:tc>
        <w:tc>
          <w:tcPr>
            <w:tcW w:w="1134" w:type="dxa"/>
            <w:vMerge w:val="restart"/>
            <w:tcBorders>
              <w:top w:val="single" w:sz="4" w:space="0" w:color="auto"/>
              <w:left w:val="single" w:sz="4" w:space="0" w:color="auto"/>
              <w:bottom w:val="single" w:sz="4" w:space="0" w:color="auto"/>
              <w:right w:val="single" w:sz="4" w:space="0" w:color="auto"/>
            </w:tcBorders>
            <w:vAlign w:val="center"/>
          </w:tcPr>
          <w:p w:rsidR="00577FA1" w:rsidRPr="002B4913" w:rsidRDefault="00577FA1" w:rsidP="00AD3C83">
            <w:pPr>
              <w:spacing w:after="0" w:line="240" w:lineRule="auto"/>
              <w:jc w:val="center"/>
              <w:rPr>
                <w:sz w:val="18"/>
                <w:szCs w:val="18"/>
              </w:rPr>
            </w:pPr>
            <w:r w:rsidRPr="002B4913">
              <w:rPr>
                <w:sz w:val="18"/>
                <w:szCs w:val="18"/>
              </w:rPr>
              <w:t>259,47</w:t>
            </w:r>
          </w:p>
        </w:tc>
        <w:tc>
          <w:tcPr>
            <w:tcW w:w="1134" w:type="dxa"/>
            <w:vMerge w:val="restart"/>
            <w:tcBorders>
              <w:top w:val="single" w:sz="4" w:space="0" w:color="auto"/>
              <w:left w:val="single" w:sz="4" w:space="0" w:color="auto"/>
              <w:bottom w:val="single" w:sz="4" w:space="0" w:color="auto"/>
              <w:right w:val="single" w:sz="4" w:space="0" w:color="auto"/>
            </w:tcBorders>
            <w:vAlign w:val="center"/>
          </w:tcPr>
          <w:p w:rsidR="00577FA1" w:rsidRPr="002B4913" w:rsidRDefault="00577FA1" w:rsidP="00AD3C83">
            <w:pPr>
              <w:spacing w:after="0" w:line="240" w:lineRule="auto"/>
              <w:jc w:val="center"/>
              <w:rPr>
                <w:sz w:val="18"/>
                <w:szCs w:val="18"/>
              </w:rPr>
            </w:pPr>
            <w:r w:rsidRPr="002B4913">
              <w:rPr>
                <w:sz w:val="18"/>
                <w:szCs w:val="18"/>
              </w:rPr>
              <w:t>455,14</w:t>
            </w:r>
          </w:p>
        </w:tc>
      </w:tr>
      <w:tr w:rsidR="00577FA1" w:rsidRPr="009E536C" w:rsidTr="00577FA1">
        <w:trPr>
          <w:trHeight w:val="384"/>
        </w:trPr>
        <w:tc>
          <w:tcPr>
            <w:tcW w:w="851" w:type="dxa"/>
            <w:vMerge/>
            <w:tcBorders>
              <w:top w:val="single" w:sz="4" w:space="0" w:color="auto"/>
              <w:left w:val="single" w:sz="4" w:space="0" w:color="auto"/>
              <w:bottom w:val="single" w:sz="4" w:space="0" w:color="auto"/>
              <w:right w:val="single" w:sz="4" w:space="0" w:color="auto"/>
            </w:tcBorders>
          </w:tcPr>
          <w:p w:rsidR="00577FA1" w:rsidRPr="009E536C" w:rsidRDefault="00577FA1" w:rsidP="00AD3C83">
            <w:pPr>
              <w:spacing w:after="0" w:line="240" w:lineRule="auto"/>
              <w:jc w:val="center"/>
              <w:rPr>
                <w:rFonts w:eastAsia="Times New Roman"/>
                <w:sz w:val="20"/>
                <w:szCs w:val="20"/>
              </w:rPr>
            </w:pPr>
          </w:p>
        </w:tc>
        <w:tc>
          <w:tcPr>
            <w:tcW w:w="2551" w:type="dxa"/>
            <w:vMerge/>
            <w:tcBorders>
              <w:top w:val="single" w:sz="4" w:space="0" w:color="auto"/>
              <w:left w:val="single" w:sz="4" w:space="0" w:color="auto"/>
              <w:bottom w:val="single" w:sz="4" w:space="0" w:color="auto"/>
              <w:right w:val="single" w:sz="4" w:space="0" w:color="auto"/>
            </w:tcBorders>
          </w:tcPr>
          <w:p w:rsidR="00577FA1" w:rsidRPr="009E536C" w:rsidRDefault="00577FA1" w:rsidP="00AD3C83">
            <w:pPr>
              <w:spacing w:after="0" w:line="240" w:lineRule="auto"/>
              <w:jc w:val="both"/>
              <w:rPr>
                <w:rFonts w:eastAsia="Times New Roman"/>
                <w:sz w:val="20"/>
                <w:szCs w:val="20"/>
              </w:rPr>
            </w:pPr>
          </w:p>
        </w:tc>
        <w:tc>
          <w:tcPr>
            <w:tcW w:w="1418" w:type="dxa"/>
            <w:vMerge/>
            <w:tcBorders>
              <w:top w:val="single" w:sz="4" w:space="0" w:color="auto"/>
              <w:left w:val="single" w:sz="4" w:space="0" w:color="auto"/>
              <w:bottom w:val="single" w:sz="4" w:space="0" w:color="auto"/>
              <w:right w:val="single" w:sz="4" w:space="0" w:color="auto"/>
            </w:tcBorders>
          </w:tcPr>
          <w:p w:rsidR="00577FA1" w:rsidRPr="009E536C" w:rsidRDefault="00577FA1" w:rsidP="00AD3C83">
            <w:pPr>
              <w:spacing w:after="0" w:line="240" w:lineRule="auto"/>
              <w:jc w:val="center"/>
              <w:rPr>
                <w:rFonts w:eastAsia="Times New Roman"/>
                <w:sz w:val="20"/>
                <w:szCs w:val="20"/>
              </w:rPr>
            </w:pPr>
          </w:p>
        </w:tc>
        <w:tc>
          <w:tcPr>
            <w:tcW w:w="1276" w:type="dxa"/>
            <w:vMerge/>
            <w:tcBorders>
              <w:top w:val="single" w:sz="4" w:space="0" w:color="auto"/>
              <w:left w:val="single" w:sz="4" w:space="0" w:color="auto"/>
              <w:bottom w:val="single" w:sz="4" w:space="0" w:color="auto"/>
              <w:right w:val="single" w:sz="4" w:space="0" w:color="auto"/>
            </w:tcBorders>
            <w:vAlign w:val="center"/>
          </w:tcPr>
          <w:p w:rsidR="00577FA1" w:rsidRPr="009E536C" w:rsidRDefault="00577FA1" w:rsidP="00AD3C83">
            <w:pPr>
              <w:spacing w:after="0" w:line="240" w:lineRule="auto"/>
              <w:jc w:val="right"/>
              <w:rPr>
                <w:rFonts w:eastAsia="Times New Roman"/>
                <w:bCs/>
                <w:sz w:val="20"/>
                <w:szCs w:val="20"/>
              </w:rPr>
            </w:pPr>
          </w:p>
        </w:tc>
        <w:tc>
          <w:tcPr>
            <w:tcW w:w="1134" w:type="dxa"/>
            <w:vMerge/>
            <w:tcBorders>
              <w:top w:val="single" w:sz="4" w:space="0" w:color="auto"/>
              <w:left w:val="single" w:sz="4" w:space="0" w:color="auto"/>
              <w:bottom w:val="single" w:sz="4" w:space="0" w:color="auto"/>
              <w:right w:val="single" w:sz="4" w:space="0" w:color="auto"/>
            </w:tcBorders>
            <w:vAlign w:val="center"/>
          </w:tcPr>
          <w:p w:rsidR="00577FA1" w:rsidRPr="009E536C" w:rsidRDefault="00577FA1" w:rsidP="00AD3C83">
            <w:pPr>
              <w:spacing w:after="0" w:line="240" w:lineRule="auto"/>
              <w:jc w:val="right"/>
              <w:rPr>
                <w:rFonts w:eastAsia="Times New Roman"/>
                <w:bCs/>
                <w:sz w:val="20"/>
                <w:szCs w:val="20"/>
              </w:rPr>
            </w:pPr>
          </w:p>
        </w:tc>
        <w:tc>
          <w:tcPr>
            <w:tcW w:w="1134" w:type="dxa"/>
            <w:vMerge/>
            <w:tcBorders>
              <w:top w:val="single" w:sz="4" w:space="0" w:color="auto"/>
              <w:left w:val="single" w:sz="4" w:space="0" w:color="auto"/>
              <w:bottom w:val="single" w:sz="4" w:space="0" w:color="auto"/>
              <w:right w:val="single" w:sz="4" w:space="0" w:color="auto"/>
            </w:tcBorders>
            <w:vAlign w:val="center"/>
          </w:tcPr>
          <w:p w:rsidR="00577FA1" w:rsidRPr="009E536C" w:rsidRDefault="00577FA1" w:rsidP="00AD3C83">
            <w:pPr>
              <w:spacing w:after="0" w:line="240" w:lineRule="auto"/>
              <w:jc w:val="right"/>
              <w:rPr>
                <w:rFonts w:eastAsia="Times New Roman"/>
                <w:bCs/>
                <w:sz w:val="20"/>
                <w:szCs w:val="20"/>
              </w:rPr>
            </w:pPr>
          </w:p>
        </w:tc>
        <w:tc>
          <w:tcPr>
            <w:tcW w:w="1134" w:type="dxa"/>
            <w:vMerge/>
            <w:tcBorders>
              <w:top w:val="single" w:sz="4" w:space="0" w:color="auto"/>
              <w:left w:val="single" w:sz="4" w:space="0" w:color="auto"/>
              <w:bottom w:val="single" w:sz="4" w:space="0" w:color="auto"/>
              <w:right w:val="single" w:sz="4" w:space="0" w:color="auto"/>
            </w:tcBorders>
            <w:vAlign w:val="center"/>
          </w:tcPr>
          <w:p w:rsidR="00577FA1" w:rsidRPr="009E536C" w:rsidRDefault="00577FA1" w:rsidP="00AD3C83">
            <w:pPr>
              <w:spacing w:after="0" w:line="240" w:lineRule="auto"/>
              <w:jc w:val="right"/>
              <w:rPr>
                <w:rFonts w:eastAsia="Times New Roman"/>
                <w:bCs/>
                <w:sz w:val="20"/>
                <w:szCs w:val="20"/>
              </w:rPr>
            </w:pPr>
          </w:p>
        </w:tc>
      </w:tr>
      <w:tr w:rsidR="00577FA1" w:rsidRPr="009E536C" w:rsidTr="00577FA1">
        <w:trPr>
          <w:trHeight w:val="384"/>
        </w:trPr>
        <w:tc>
          <w:tcPr>
            <w:tcW w:w="851" w:type="dxa"/>
            <w:vMerge/>
            <w:tcBorders>
              <w:top w:val="single" w:sz="4" w:space="0" w:color="auto"/>
              <w:left w:val="single" w:sz="4" w:space="0" w:color="auto"/>
              <w:bottom w:val="single" w:sz="4" w:space="0" w:color="auto"/>
              <w:right w:val="single" w:sz="4" w:space="0" w:color="auto"/>
            </w:tcBorders>
          </w:tcPr>
          <w:p w:rsidR="00577FA1" w:rsidRPr="009E536C" w:rsidRDefault="00577FA1" w:rsidP="00AD3C83">
            <w:pPr>
              <w:spacing w:after="0" w:line="240" w:lineRule="auto"/>
              <w:jc w:val="center"/>
              <w:rPr>
                <w:rFonts w:eastAsia="Times New Roman"/>
                <w:sz w:val="20"/>
                <w:szCs w:val="20"/>
              </w:rPr>
            </w:pPr>
          </w:p>
        </w:tc>
        <w:tc>
          <w:tcPr>
            <w:tcW w:w="2551" w:type="dxa"/>
            <w:vMerge/>
            <w:tcBorders>
              <w:top w:val="single" w:sz="4" w:space="0" w:color="auto"/>
              <w:left w:val="single" w:sz="4" w:space="0" w:color="auto"/>
              <w:bottom w:val="single" w:sz="4" w:space="0" w:color="auto"/>
              <w:right w:val="single" w:sz="4" w:space="0" w:color="auto"/>
            </w:tcBorders>
          </w:tcPr>
          <w:p w:rsidR="00577FA1" w:rsidRPr="009E536C" w:rsidRDefault="00577FA1" w:rsidP="00AD3C83">
            <w:pPr>
              <w:spacing w:after="0" w:line="240" w:lineRule="auto"/>
              <w:jc w:val="both"/>
              <w:rPr>
                <w:rFonts w:eastAsia="Times New Roman"/>
                <w:sz w:val="20"/>
                <w:szCs w:val="20"/>
              </w:rPr>
            </w:pPr>
          </w:p>
        </w:tc>
        <w:tc>
          <w:tcPr>
            <w:tcW w:w="1418" w:type="dxa"/>
            <w:vMerge/>
            <w:tcBorders>
              <w:top w:val="single" w:sz="4" w:space="0" w:color="auto"/>
              <w:left w:val="single" w:sz="4" w:space="0" w:color="auto"/>
              <w:bottom w:val="single" w:sz="4" w:space="0" w:color="auto"/>
              <w:right w:val="single" w:sz="4" w:space="0" w:color="auto"/>
            </w:tcBorders>
          </w:tcPr>
          <w:p w:rsidR="00577FA1" w:rsidRPr="009E536C" w:rsidRDefault="00577FA1" w:rsidP="00AD3C83">
            <w:pPr>
              <w:spacing w:after="0" w:line="240" w:lineRule="auto"/>
              <w:jc w:val="center"/>
              <w:rPr>
                <w:rFonts w:eastAsia="Times New Roman"/>
                <w:sz w:val="20"/>
                <w:szCs w:val="20"/>
              </w:rPr>
            </w:pPr>
          </w:p>
        </w:tc>
        <w:tc>
          <w:tcPr>
            <w:tcW w:w="1276" w:type="dxa"/>
            <w:vMerge/>
            <w:tcBorders>
              <w:top w:val="single" w:sz="4" w:space="0" w:color="auto"/>
              <w:left w:val="single" w:sz="4" w:space="0" w:color="auto"/>
              <w:bottom w:val="single" w:sz="4" w:space="0" w:color="auto"/>
              <w:right w:val="single" w:sz="4" w:space="0" w:color="auto"/>
            </w:tcBorders>
            <w:vAlign w:val="center"/>
          </w:tcPr>
          <w:p w:rsidR="00577FA1" w:rsidRPr="009E536C" w:rsidRDefault="00577FA1" w:rsidP="00AD3C83">
            <w:pPr>
              <w:spacing w:after="0" w:line="240" w:lineRule="auto"/>
              <w:jc w:val="right"/>
              <w:rPr>
                <w:rFonts w:eastAsia="Times New Roman"/>
                <w:bCs/>
                <w:sz w:val="20"/>
                <w:szCs w:val="20"/>
              </w:rPr>
            </w:pPr>
          </w:p>
        </w:tc>
        <w:tc>
          <w:tcPr>
            <w:tcW w:w="1134" w:type="dxa"/>
            <w:vMerge/>
            <w:tcBorders>
              <w:top w:val="single" w:sz="4" w:space="0" w:color="auto"/>
              <w:left w:val="single" w:sz="4" w:space="0" w:color="auto"/>
              <w:bottom w:val="single" w:sz="4" w:space="0" w:color="auto"/>
              <w:right w:val="single" w:sz="4" w:space="0" w:color="auto"/>
            </w:tcBorders>
            <w:vAlign w:val="center"/>
          </w:tcPr>
          <w:p w:rsidR="00577FA1" w:rsidRPr="009E536C" w:rsidRDefault="00577FA1" w:rsidP="00AD3C83">
            <w:pPr>
              <w:spacing w:after="0" w:line="240" w:lineRule="auto"/>
              <w:jc w:val="right"/>
              <w:rPr>
                <w:rFonts w:eastAsia="Times New Roman"/>
                <w:bCs/>
                <w:sz w:val="20"/>
                <w:szCs w:val="20"/>
              </w:rPr>
            </w:pPr>
          </w:p>
        </w:tc>
        <w:tc>
          <w:tcPr>
            <w:tcW w:w="1134" w:type="dxa"/>
            <w:vMerge/>
            <w:tcBorders>
              <w:top w:val="single" w:sz="4" w:space="0" w:color="auto"/>
              <w:left w:val="single" w:sz="4" w:space="0" w:color="auto"/>
              <w:bottom w:val="single" w:sz="4" w:space="0" w:color="auto"/>
              <w:right w:val="single" w:sz="4" w:space="0" w:color="auto"/>
            </w:tcBorders>
            <w:vAlign w:val="center"/>
          </w:tcPr>
          <w:p w:rsidR="00577FA1" w:rsidRPr="009E536C" w:rsidRDefault="00577FA1" w:rsidP="00AD3C83">
            <w:pPr>
              <w:spacing w:after="0" w:line="240" w:lineRule="auto"/>
              <w:jc w:val="right"/>
              <w:rPr>
                <w:rFonts w:eastAsia="Times New Roman"/>
                <w:bCs/>
                <w:sz w:val="20"/>
                <w:szCs w:val="20"/>
              </w:rPr>
            </w:pPr>
          </w:p>
        </w:tc>
        <w:tc>
          <w:tcPr>
            <w:tcW w:w="1134" w:type="dxa"/>
            <w:vMerge/>
            <w:tcBorders>
              <w:top w:val="single" w:sz="4" w:space="0" w:color="auto"/>
              <w:left w:val="single" w:sz="4" w:space="0" w:color="auto"/>
              <w:bottom w:val="single" w:sz="4" w:space="0" w:color="auto"/>
              <w:right w:val="single" w:sz="4" w:space="0" w:color="auto"/>
            </w:tcBorders>
            <w:vAlign w:val="center"/>
          </w:tcPr>
          <w:p w:rsidR="00577FA1" w:rsidRPr="009E536C" w:rsidRDefault="00577FA1" w:rsidP="00AD3C83">
            <w:pPr>
              <w:spacing w:after="0" w:line="240" w:lineRule="auto"/>
              <w:jc w:val="right"/>
              <w:rPr>
                <w:rFonts w:eastAsia="Times New Roman"/>
                <w:bCs/>
                <w:sz w:val="20"/>
                <w:szCs w:val="20"/>
              </w:rPr>
            </w:pPr>
          </w:p>
        </w:tc>
      </w:tr>
      <w:tr w:rsidR="00577FA1" w:rsidRPr="009E536C" w:rsidTr="00BD58BF">
        <w:trPr>
          <w:trHeight w:val="240"/>
        </w:trPr>
        <w:tc>
          <w:tcPr>
            <w:tcW w:w="851" w:type="dxa"/>
            <w:tcBorders>
              <w:top w:val="nil"/>
              <w:left w:val="single" w:sz="4" w:space="0" w:color="auto"/>
              <w:bottom w:val="single" w:sz="4" w:space="0" w:color="auto"/>
              <w:right w:val="single" w:sz="4" w:space="0" w:color="auto"/>
            </w:tcBorders>
          </w:tcPr>
          <w:p w:rsidR="00577FA1" w:rsidRPr="009E536C" w:rsidRDefault="00577FA1" w:rsidP="00AD3C83">
            <w:pPr>
              <w:spacing w:after="0" w:line="240" w:lineRule="auto"/>
              <w:jc w:val="center"/>
              <w:rPr>
                <w:rFonts w:eastAsia="Times New Roman"/>
                <w:sz w:val="20"/>
                <w:szCs w:val="20"/>
              </w:rPr>
            </w:pPr>
            <w:r w:rsidRPr="009E536C">
              <w:rPr>
                <w:rFonts w:eastAsia="Times New Roman"/>
                <w:sz w:val="20"/>
                <w:szCs w:val="20"/>
              </w:rPr>
              <w:t>2</w:t>
            </w:r>
          </w:p>
        </w:tc>
        <w:tc>
          <w:tcPr>
            <w:tcW w:w="8647" w:type="dxa"/>
            <w:gridSpan w:val="6"/>
            <w:tcBorders>
              <w:top w:val="nil"/>
              <w:left w:val="nil"/>
              <w:bottom w:val="single" w:sz="4" w:space="0" w:color="auto"/>
              <w:right w:val="single" w:sz="4" w:space="0" w:color="auto"/>
            </w:tcBorders>
          </w:tcPr>
          <w:p w:rsidR="00577FA1" w:rsidRPr="00577FA1" w:rsidRDefault="00577FA1" w:rsidP="00AD3C83">
            <w:pPr>
              <w:spacing w:after="0" w:line="240" w:lineRule="auto"/>
              <w:jc w:val="center"/>
              <w:rPr>
                <w:rFonts w:eastAsia="Times New Roman"/>
                <w:b/>
                <w:sz w:val="20"/>
                <w:szCs w:val="20"/>
              </w:rPr>
            </w:pPr>
            <w:r w:rsidRPr="00577FA1">
              <w:rPr>
                <w:rFonts w:eastAsia="Times New Roman"/>
                <w:b/>
                <w:bCs/>
                <w:sz w:val="20"/>
                <w:szCs w:val="20"/>
              </w:rPr>
              <w:t>2 полугодие 2020 года</w:t>
            </w:r>
          </w:p>
        </w:tc>
      </w:tr>
      <w:tr w:rsidR="00577FA1" w:rsidRPr="009E536C" w:rsidTr="00BD58BF">
        <w:trPr>
          <w:trHeight w:val="293"/>
        </w:trPr>
        <w:tc>
          <w:tcPr>
            <w:tcW w:w="851" w:type="dxa"/>
            <w:tcBorders>
              <w:top w:val="nil"/>
              <w:left w:val="single" w:sz="4" w:space="0" w:color="auto"/>
              <w:bottom w:val="single" w:sz="4" w:space="0" w:color="auto"/>
              <w:right w:val="single" w:sz="4" w:space="0" w:color="auto"/>
            </w:tcBorders>
          </w:tcPr>
          <w:p w:rsidR="00577FA1" w:rsidRPr="009E536C" w:rsidRDefault="00577FA1" w:rsidP="00AD3C83">
            <w:pPr>
              <w:spacing w:after="0" w:line="240" w:lineRule="auto"/>
              <w:jc w:val="center"/>
              <w:rPr>
                <w:rFonts w:eastAsia="Times New Roman"/>
                <w:sz w:val="20"/>
                <w:szCs w:val="20"/>
              </w:rPr>
            </w:pPr>
            <w:r w:rsidRPr="009E536C">
              <w:rPr>
                <w:rFonts w:eastAsia="Times New Roman"/>
                <w:sz w:val="20"/>
                <w:szCs w:val="20"/>
              </w:rPr>
              <w:t>2.1.</w:t>
            </w:r>
          </w:p>
        </w:tc>
        <w:tc>
          <w:tcPr>
            <w:tcW w:w="2551" w:type="dxa"/>
            <w:tcBorders>
              <w:top w:val="nil"/>
              <w:left w:val="nil"/>
              <w:bottom w:val="single" w:sz="4" w:space="0" w:color="auto"/>
              <w:right w:val="single" w:sz="4" w:space="0" w:color="auto"/>
            </w:tcBorders>
          </w:tcPr>
          <w:p w:rsidR="00577FA1" w:rsidRPr="009E536C" w:rsidRDefault="00577FA1" w:rsidP="00AD3C83">
            <w:pPr>
              <w:spacing w:after="0" w:line="240" w:lineRule="auto"/>
              <w:jc w:val="both"/>
              <w:rPr>
                <w:rFonts w:eastAsia="Times New Roman"/>
                <w:sz w:val="20"/>
                <w:szCs w:val="20"/>
              </w:rPr>
            </w:pPr>
            <w:r w:rsidRPr="009E536C">
              <w:rPr>
                <w:rFonts w:eastAsia="Times New Roman"/>
                <w:sz w:val="20"/>
                <w:szCs w:val="20"/>
              </w:rPr>
              <w:t>Одноставочный тариф</w:t>
            </w:r>
          </w:p>
        </w:tc>
        <w:tc>
          <w:tcPr>
            <w:tcW w:w="1418" w:type="dxa"/>
            <w:tcBorders>
              <w:top w:val="nil"/>
              <w:left w:val="nil"/>
              <w:bottom w:val="single" w:sz="4" w:space="0" w:color="auto"/>
              <w:right w:val="single" w:sz="4" w:space="0" w:color="auto"/>
            </w:tcBorders>
          </w:tcPr>
          <w:p w:rsidR="00577FA1" w:rsidRPr="009E536C" w:rsidRDefault="00577FA1" w:rsidP="00AD3C83">
            <w:pPr>
              <w:spacing w:after="0" w:line="240" w:lineRule="auto"/>
              <w:jc w:val="center"/>
              <w:rPr>
                <w:rFonts w:eastAsia="Times New Roman"/>
                <w:sz w:val="20"/>
                <w:szCs w:val="20"/>
              </w:rPr>
            </w:pPr>
            <w:r w:rsidRPr="009E536C">
              <w:rPr>
                <w:rFonts w:eastAsia="Times New Roman"/>
                <w:sz w:val="20"/>
                <w:szCs w:val="20"/>
              </w:rPr>
              <w:t>руб./кВт·ч</w:t>
            </w:r>
          </w:p>
        </w:tc>
        <w:tc>
          <w:tcPr>
            <w:tcW w:w="1276" w:type="dxa"/>
            <w:tcBorders>
              <w:top w:val="nil"/>
              <w:left w:val="nil"/>
              <w:bottom w:val="single" w:sz="4" w:space="0" w:color="auto"/>
              <w:right w:val="single" w:sz="4" w:space="0" w:color="auto"/>
            </w:tcBorders>
          </w:tcPr>
          <w:p w:rsidR="00577FA1" w:rsidRPr="002B4913" w:rsidRDefault="00577FA1" w:rsidP="00AD3C83">
            <w:pPr>
              <w:spacing w:after="0" w:line="240" w:lineRule="auto"/>
              <w:jc w:val="center"/>
              <w:rPr>
                <w:sz w:val="18"/>
                <w:szCs w:val="18"/>
              </w:rPr>
            </w:pPr>
            <w:r w:rsidRPr="002B4913">
              <w:rPr>
                <w:sz w:val="18"/>
                <w:szCs w:val="18"/>
              </w:rPr>
              <w:t>0,95951</w:t>
            </w:r>
          </w:p>
        </w:tc>
        <w:tc>
          <w:tcPr>
            <w:tcW w:w="1134" w:type="dxa"/>
            <w:tcBorders>
              <w:top w:val="nil"/>
              <w:left w:val="nil"/>
              <w:bottom w:val="single" w:sz="4" w:space="0" w:color="auto"/>
              <w:right w:val="single" w:sz="4" w:space="0" w:color="auto"/>
            </w:tcBorders>
          </w:tcPr>
          <w:p w:rsidR="00577FA1" w:rsidRPr="002B4913" w:rsidRDefault="00577FA1" w:rsidP="00AD3C83">
            <w:pPr>
              <w:spacing w:after="0" w:line="240" w:lineRule="auto"/>
              <w:jc w:val="center"/>
              <w:rPr>
                <w:sz w:val="18"/>
                <w:szCs w:val="18"/>
              </w:rPr>
            </w:pPr>
            <w:r w:rsidRPr="002B4913">
              <w:rPr>
                <w:sz w:val="18"/>
                <w:szCs w:val="18"/>
              </w:rPr>
              <w:t>1,32512</w:t>
            </w:r>
          </w:p>
        </w:tc>
        <w:tc>
          <w:tcPr>
            <w:tcW w:w="1134" w:type="dxa"/>
            <w:tcBorders>
              <w:top w:val="nil"/>
              <w:left w:val="nil"/>
              <w:bottom w:val="single" w:sz="4" w:space="0" w:color="auto"/>
              <w:right w:val="single" w:sz="4" w:space="0" w:color="auto"/>
            </w:tcBorders>
          </w:tcPr>
          <w:p w:rsidR="00577FA1" w:rsidRPr="002B4913" w:rsidRDefault="00577FA1" w:rsidP="00AD3C83">
            <w:pPr>
              <w:spacing w:after="0" w:line="240" w:lineRule="auto"/>
              <w:jc w:val="center"/>
              <w:rPr>
                <w:sz w:val="18"/>
                <w:szCs w:val="18"/>
              </w:rPr>
            </w:pPr>
            <w:r w:rsidRPr="002B4913">
              <w:rPr>
                <w:sz w:val="18"/>
                <w:szCs w:val="18"/>
              </w:rPr>
              <w:t>1,37024</w:t>
            </w:r>
          </w:p>
        </w:tc>
        <w:tc>
          <w:tcPr>
            <w:tcW w:w="1134" w:type="dxa"/>
            <w:tcBorders>
              <w:top w:val="nil"/>
              <w:left w:val="nil"/>
              <w:bottom w:val="single" w:sz="4" w:space="0" w:color="auto"/>
              <w:right w:val="single" w:sz="4" w:space="0" w:color="auto"/>
            </w:tcBorders>
          </w:tcPr>
          <w:p w:rsidR="00577FA1" w:rsidRPr="002B4913" w:rsidRDefault="00577FA1" w:rsidP="00AD3C83">
            <w:pPr>
              <w:spacing w:after="0" w:line="240" w:lineRule="auto"/>
              <w:jc w:val="center"/>
              <w:rPr>
                <w:sz w:val="18"/>
                <w:szCs w:val="18"/>
              </w:rPr>
            </w:pPr>
            <w:r w:rsidRPr="002B4913">
              <w:rPr>
                <w:sz w:val="18"/>
                <w:szCs w:val="18"/>
              </w:rPr>
              <w:t>1,58666</w:t>
            </w:r>
          </w:p>
        </w:tc>
      </w:tr>
      <w:tr w:rsidR="00577FA1" w:rsidRPr="009E536C" w:rsidTr="00BD58BF">
        <w:trPr>
          <w:trHeight w:val="268"/>
        </w:trPr>
        <w:tc>
          <w:tcPr>
            <w:tcW w:w="851" w:type="dxa"/>
            <w:tcBorders>
              <w:top w:val="single" w:sz="4" w:space="0" w:color="auto"/>
              <w:left w:val="single" w:sz="4" w:space="0" w:color="auto"/>
              <w:bottom w:val="single" w:sz="4" w:space="0" w:color="auto"/>
              <w:right w:val="single" w:sz="4" w:space="0" w:color="auto"/>
            </w:tcBorders>
          </w:tcPr>
          <w:p w:rsidR="00577FA1" w:rsidRPr="009E536C" w:rsidRDefault="00577FA1" w:rsidP="00AD3C83">
            <w:pPr>
              <w:spacing w:after="0" w:line="240" w:lineRule="auto"/>
              <w:jc w:val="center"/>
              <w:rPr>
                <w:rFonts w:eastAsia="Times New Roman"/>
                <w:sz w:val="20"/>
                <w:szCs w:val="20"/>
              </w:rPr>
            </w:pPr>
            <w:r w:rsidRPr="009E536C">
              <w:rPr>
                <w:rFonts w:eastAsia="Times New Roman"/>
                <w:sz w:val="20"/>
                <w:szCs w:val="20"/>
              </w:rPr>
              <w:lastRenderedPageBreak/>
              <w:t>2.2.</w:t>
            </w:r>
          </w:p>
        </w:tc>
        <w:tc>
          <w:tcPr>
            <w:tcW w:w="8647" w:type="dxa"/>
            <w:gridSpan w:val="6"/>
            <w:tcBorders>
              <w:top w:val="single" w:sz="4" w:space="0" w:color="auto"/>
              <w:left w:val="nil"/>
              <w:bottom w:val="single" w:sz="4" w:space="0" w:color="auto"/>
              <w:right w:val="single" w:sz="4" w:space="0" w:color="auto"/>
            </w:tcBorders>
          </w:tcPr>
          <w:p w:rsidR="00577FA1" w:rsidRPr="009E536C" w:rsidRDefault="00577FA1" w:rsidP="00AD3C83">
            <w:pPr>
              <w:spacing w:after="0" w:line="240" w:lineRule="auto"/>
              <w:rPr>
                <w:rFonts w:eastAsia="Times New Roman"/>
                <w:sz w:val="20"/>
                <w:szCs w:val="20"/>
              </w:rPr>
            </w:pPr>
          </w:p>
        </w:tc>
      </w:tr>
      <w:tr w:rsidR="00577FA1" w:rsidRPr="009E536C" w:rsidTr="00BD58BF">
        <w:trPr>
          <w:trHeight w:val="384"/>
        </w:trPr>
        <w:tc>
          <w:tcPr>
            <w:tcW w:w="851" w:type="dxa"/>
            <w:vMerge w:val="restart"/>
            <w:tcBorders>
              <w:top w:val="nil"/>
              <w:left w:val="single" w:sz="4" w:space="0" w:color="auto"/>
              <w:bottom w:val="single" w:sz="4" w:space="0" w:color="auto"/>
              <w:right w:val="single" w:sz="4" w:space="0" w:color="auto"/>
            </w:tcBorders>
          </w:tcPr>
          <w:p w:rsidR="00577FA1" w:rsidRPr="009E536C" w:rsidRDefault="00577FA1" w:rsidP="00AD3C83">
            <w:pPr>
              <w:spacing w:after="0" w:line="240" w:lineRule="auto"/>
              <w:jc w:val="center"/>
              <w:rPr>
                <w:rFonts w:eastAsia="Times New Roman"/>
                <w:sz w:val="20"/>
                <w:szCs w:val="20"/>
              </w:rPr>
            </w:pPr>
            <w:r w:rsidRPr="009E536C">
              <w:rPr>
                <w:rFonts w:eastAsia="Times New Roman"/>
                <w:sz w:val="20"/>
                <w:szCs w:val="20"/>
              </w:rPr>
              <w:t>2.2.1</w:t>
            </w:r>
          </w:p>
        </w:tc>
        <w:tc>
          <w:tcPr>
            <w:tcW w:w="2551" w:type="dxa"/>
            <w:vMerge w:val="restart"/>
            <w:tcBorders>
              <w:top w:val="nil"/>
              <w:left w:val="single" w:sz="4" w:space="0" w:color="auto"/>
              <w:bottom w:val="single" w:sz="4" w:space="0" w:color="auto"/>
              <w:right w:val="single" w:sz="4" w:space="0" w:color="auto"/>
            </w:tcBorders>
          </w:tcPr>
          <w:p w:rsidR="00577FA1" w:rsidRPr="009E536C" w:rsidRDefault="00577FA1" w:rsidP="00AD3C83">
            <w:pPr>
              <w:spacing w:after="0" w:line="240" w:lineRule="auto"/>
              <w:jc w:val="both"/>
              <w:rPr>
                <w:rFonts w:eastAsia="Times New Roman"/>
                <w:sz w:val="20"/>
                <w:szCs w:val="20"/>
              </w:rPr>
            </w:pPr>
            <w:r w:rsidRPr="009E536C">
              <w:rPr>
                <w:rFonts w:eastAsia="Times New Roman"/>
                <w:sz w:val="20"/>
                <w:szCs w:val="20"/>
              </w:rPr>
              <w:t>- ставка за содержание электрических сетей</w:t>
            </w:r>
          </w:p>
        </w:tc>
        <w:tc>
          <w:tcPr>
            <w:tcW w:w="1418" w:type="dxa"/>
            <w:vMerge w:val="restart"/>
            <w:tcBorders>
              <w:top w:val="nil"/>
              <w:left w:val="single" w:sz="4" w:space="0" w:color="auto"/>
              <w:bottom w:val="single" w:sz="4" w:space="0" w:color="auto"/>
              <w:right w:val="single" w:sz="4" w:space="0" w:color="auto"/>
            </w:tcBorders>
          </w:tcPr>
          <w:p w:rsidR="00577FA1" w:rsidRPr="009E536C" w:rsidRDefault="00577FA1" w:rsidP="00AD3C83">
            <w:pPr>
              <w:spacing w:after="0" w:line="240" w:lineRule="auto"/>
              <w:jc w:val="center"/>
              <w:rPr>
                <w:rFonts w:eastAsia="Times New Roman"/>
                <w:sz w:val="20"/>
                <w:szCs w:val="20"/>
              </w:rPr>
            </w:pPr>
            <w:r w:rsidRPr="009E536C">
              <w:rPr>
                <w:rFonts w:eastAsia="Times New Roman"/>
                <w:sz w:val="20"/>
                <w:szCs w:val="20"/>
              </w:rPr>
              <w:t>руб./МВт· мес.</w:t>
            </w:r>
          </w:p>
        </w:tc>
        <w:tc>
          <w:tcPr>
            <w:tcW w:w="1276" w:type="dxa"/>
            <w:vMerge w:val="restart"/>
            <w:tcBorders>
              <w:top w:val="nil"/>
              <w:left w:val="single" w:sz="4" w:space="0" w:color="auto"/>
              <w:bottom w:val="single" w:sz="4" w:space="0" w:color="auto"/>
              <w:right w:val="single" w:sz="4" w:space="0" w:color="auto"/>
            </w:tcBorders>
            <w:vAlign w:val="center"/>
          </w:tcPr>
          <w:p w:rsidR="00577FA1" w:rsidRPr="002B4913" w:rsidRDefault="00577FA1" w:rsidP="00AD3C83">
            <w:pPr>
              <w:spacing w:after="0" w:line="240" w:lineRule="auto"/>
              <w:jc w:val="center"/>
              <w:rPr>
                <w:sz w:val="18"/>
                <w:szCs w:val="18"/>
              </w:rPr>
            </w:pPr>
            <w:r w:rsidRPr="002B4913">
              <w:rPr>
                <w:sz w:val="18"/>
                <w:szCs w:val="18"/>
              </w:rPr>
              <w:t>561</w:t>
            </w:r>
            <w:r>
              <w:rPr>
                <w:sz w:val="18"/>
                <w:szCs w:val="18"/>
              </w:rPr>
              <w:t xml:space="preserve"> </w:t>
            </w:r>
            <w:r w:rsidRPr="002B4913">
              <w:rPr>
                <w:sz w:val="18"/>
                <w:szCs w:val="18"/>
              </w:rPr>
              <w:t>557,34</w:t>
            </w:r>
          </w:p>
        </w:tc>
        <w:tc>
          <w:tcPr>
            <w:tcW w:w="1134" w:type="dxa"/>
            <w:vMerge w:val="restart"/>
            <w:tcBorders>
              <w:top w:val="nil"/>
              <w:left w:val="single" w:sz="4" w:space="0" w:color="auto"/>
              <w:bottom w:val="single" w:sz="4" w:space="0" w:color="auto"/>
              <w:right w:val="single" w:sz="4" w:space="0" w:color="auto"/>
            </w:tcBorders>
            <w:vAlign w:val="center"/>
          </w:tcPr>
          <w:p w:rsidR="00577FA1" w:rsidRPr="002B4913" w:rsidRDefault="00577FA1" w:rsidP="00AD3C83">
            <w:pPr>
              <w:spacing w:after="0" w:line="240" w:lineRule="auto"/>
              <w:jc w:val="center"/>
              <w:rPr>
                <w:sz w:val="18"/>
                <w:szCs w:val="18"/>
              </w:rPr>
            </w:pPr>
            <w:r w:rsidRPr="002B4913">
              <w:rPr>
                <w:sz w:val="18"/>
                <w:szCs w:val="18"/>
              </w:rPr>
              <w:t>763</w:t>
            </w:r>
            <w:r>
              <w:rPr>
                <w:sz w:val="18"/>
                <w:szCs w:val="18"/>
              </w:rPr>
              <w:t xml:space="preserve"> </w:t>
            </w:r>
            <w:r w:rsidRPr="002B4913">
              <w:rPr>
                <w:sz w:val="18"/>
                <w:szCs w:val="18"/>
              </w:rPr>
              <w:t>988,74</w:t>
            </w:r>
          </w:p>
        </w:tc>
        <w:tc>
          <w:tcPr>
            <w:tcW w:w="1134" w:type="dxa"/>
            <w:vMerge w:val="restart"/>
            <w:tcBorders>
              <w:top w:val="nil"/>
              <w:left w:val="single" w:sz="4" w:space="0" w:color="auto"/>
              <w:bottom w:val="single" w:sz="4" w:space="0" w:color="auto"/>
              <w:right w:val="single" w:sz="4" w:space="0" w:color="auto"/>
            </w:tcBorders>
            <w:vAlign w:val="center"/>
          </w:tcPr>
          <w:p w:rsidR="00577FA1" w:rsidRPr="002B4913" w:rsidRDefault="00577FA1" w:rsidP="00AD3C83">
            <w:pPr>
              <w:spacing w:after="0" w:line="240" w:lineRule="auto"/>
              <w:jc w:val="center"/>
              <w:rPr>
                <w:sz w:val="18"/>
                <w:szCs w:val="18"/>
              </w:rPr>
            </w:pPr>
            <w:r w:rsidRPr="002B4913">
              <w:rPr>
                <w:sz w:val="18"/>
                <w:szCs w:val="18"/>
              </w:rPr>
              <w:t>725</w:t>
            </w:r>
            <w:r>
              <w:rPr>
                <w:sz w:val="18"/>
                <w:szCs w:val="18"/>
              </w:rPr>
              <w:t xml:space="preserve"> </w:t>
            </w:r>
            <w:r w:rsidRPr="002B4913">
              <w:rPr>
                <w:sz w:val="18"/>
                <w:szCs w:val="18"/>
              </w:rPr>
              <w:t>830,79</w:t>
            </w:r>
          </w:p>
        </w:tc>
        <w:tc>
          <w:tcPr>
            <w:tcW w:w="1134" w:type="dxa"/>
            <w:vMerge w:val="restart"/>
            <w:tcBorders>
              <w:top w:val="nil"/>
              <w:left w:val="single" w:sz="4" w:space="0" w:color="auto"/>
              <w:bottom w:val="single" w:sz="4" w:space="0" w:color="000000"/>
              <w:right w:val="single" w:sz="4" w:space="0" w:color="auto"/>
            </w:tcBorders>
            <w:vAlign w:val="center"/>
          </w:tcPr>
          <w:p w:rsidR="00577FA1" w:rsidRPr="002B4913" w:rsidRDefault="00577FA1" w:rsidP="00AD3C83">
            <w:pPr>
              <w:spacing w:after="0" w:line="240" w:lineRule="auto"/>
              <w:jc w:val="center"/>
              <w:rPr>
                <w:sz w:val="18"/>
                <w:szCs w:val="18"/>
              </w:rPr>
            </w:pPr>
            <w:r w:rsidRPr="002B4913">
              <w:rPr>
                <w:sz w:val="18"/>
                <w:szCs w:val="18"/>
              </w:rPr>
              <w:t>702</w:t>
            </w:r>
            <w:r>
              <w:rPr>
                <w:sz w:val="18"/>
                <w:szCs w:val="18"/>
              </w:rPr>
              <w:t xml:space="preserve"> </w:t>
            </w:r>
            <w:r w:rsidRPr="002B4913">
              <w:rPr>
                <w:sz w:val="18"/>
                <w:szCs w:val="18"/>
              </w:rPr>
              <w:t>351,32</w:t>
            </w:r>
          </w:p>
        </w:tc>
      </w:tr>
      <w:tr w:rsidR="00577FA1" w:rsidRPr="009E536C" w:rsidTr="00BD58BF">
        <w:trPr>
          <w:trHeight w:val="384"/>
        </w:trPr>
        <w:tc>
          <w:tcPr>
            <w:tcW w:w="851" w:type="dxa"/>
            <w:vMerge/>
            <w:tcBorders>
              <w:top w:val="nil"/>
              <w:left w:val="single" w:sz="4" w:space="0" w:color="auto"/>
              <w:bottom w:val="single" w:sz="4" w:space="0" w:color="auto"/>
              <w:right w:val="single" w:sz="4" w:space="0" w:color="auto"/>
            </w:tcBorders>
            <w:vAlign w:val="center"/>
          </w:tcPr>
          <w:p w:rsidR="00577FA1" w:rsidRPr="009E536C" w:rsidRDefault="00577FA1" w:rsidP="00AD3C83">
            <w:pPr>
              <w:spacing w:after="0" w:line="240" w:lineRule="auto"/>
              <w:jc w:val="center"/>
              <w:rPr>
                <w:rFonts w:eastAsia="Times New Roman"/>
                <w:sz w:val="20"/>
                <w:szCs w:val="20"/>
              </w:rPr>
            </w:pPr>
          </w:p>
        </w:tc>
        <w:tc>
          <w:tcPr>
            <w:tcW w:w="2551" w:type="dxa"/>
            <w:vMerge/>
            <w:tcBorders>
              <w:top w:val="nil"/>
              <w:left w:val="single" w:sz="4" w:space="0" w:color="auto"/>
              <w:bottom w:val="single" w:sz="4" w:space="0" w:color="auto"/>
              <w:right w:val="single" w:sz="4" w:space="0" w:color="auto"/>
            </w:tcBorders>
            <w:vAlign w:val="center"/>
          </w:tcPr>
          <w:p w:rsidR="00577FA1" w:rsidRPr="009E536C" w:rsidRDefault="00577FA1" w:rsidP="00AD3C83">
            <w:pPr>
              <w:spacing w:after="0" w:line="240" w:lineRule="auto"/>
              <w:rPr>
                <w:rFonts w:eastAsia="Times New Roman"/>
                <w:sz w:val="20"/>
                <w:szCs w:val="20"/>
              </w:rPr>
            </w:pPr>
          </w:p>
        </w:tc>
        <w:tc>
          <w:tcPr>
            <w:tcW w:w="1418" w:type="dxa"/>
            <w:vMerge/>
            <w:tcBorders>
              <w:top w:val="nil"/>
              <w:left w:val="single" w:sz="4" w:space="0" w:color="auto"/>
              <w:bottom w:val="single" w:sz="4" w:space="0" w:color="auto"/>
              <w:right w:val="single" w:sz="4" w:space="0" w:color="auto"/>
            </w:tcBorders>
            <w:vAlign w:val="center"/>
          </w:tcPr>
          <w:p w:rsidR="00577FA1" w:rsidRPr="009E536C" w:rsidRDefault="00577FA1" w:rsidP="00AD3C83">
            <w:pPr>
              <w:spacing w:after="0" w:line="240" w:lineRule="auto"/>
              <w:rPr>
                <w:rFonts w:eastAsia="Times New Roman"/>
                <w:sz w:val="20"/>
                <w:szCs w:val="20"/>
              </w:rPr>
            </w:pPr>
          </w:p>
        </w:tc>
        <w:tc>
          <w:tcPr>
            <w:tcW w:w="1276" w:type="dxa"/>
            <w:vMerge/>
            <w:tcBorders>
              <w:top w:val="nil"/>
              <w:left w:val="single" w:sz="4" w:space="0" w:color="auto"/>
              <w:bottom w:val="single" w:sz="4" w:space="0" w:color="auto"/>
              <w:right w:val="single" w:sz="4" w:space="0" w:color="auto"/>
            </w:tcBorders>
            <w:vAlign w:val="center"/>
          </w:tcPr>
          <w:p w:rsidR="00577FA1" w:rsidRPr="009E536C" w:rsidRDefault="00577FA1" w:rsidP="00AD3C83">
            <w:pPr>
              <w:spacing w:after="0" w:line="240" w:lineRule="auto"/>
              <w:jc w:val="center"/>
              <w:rPr>
                <w:rFonts w:eastAsia="Times New Roman"/>
                <w:sz w:val="20"/>
                <w:szCs w:val="20"/>
                <w:highlight w:val="yellow"/>
              </w:rPr>
            </w:pPr>
          </w:p>
        </w:tc>
        <w:tc>
          <w:tcPr>
            <w:tcW w:w="1134" w:type="dxa"/>
            <w:vMerge/>
            <w:tcBorders>
              <w:top w:val="nil"/>
              <w:left w:val="single" w:sz="4" w:space="0" w:color="auto"/>
              <w:bottom w:val="single" w:sz="4" w:space="0" w:color="auto"/>
              <w:right w:val="single" w:sz="4" w:space="0" w:color="auto"/>
            </w:tcBorders>
            <w:vAlign w:val="center"/>
          </w:tcPr>
          <w:p w:rsidR="00577FA1" w:rsidRPr="009E536C" w:rsidRDefault="00577FA1" w:rsidP="00AD3C83">
            <w:pPr>
              <w:spacing w:after="0" w:line="240" w:lineRule="auto"/>
              <w:jc w:val="center"/>
              <w:rPr>
                <w:rFonts w:eastAsia="Times New Roman"/>
                <w:sz w:val="20"/>
                <w:szCs w:val="20"/>
                <w:highlight w:val="yellow"/>
              </w:rPr>
            </w:pPr>
          </w:p>
        </w:tc>
        <w:tc>
          <w:tcPr>
            <w:tcW w:w="1134" w:type="dxa"/>
            <w:vMerge/>
            <w:tcBorders>
              <w:top w:val="nil"/>
              <w:left w:val="single" w:sz="4" w:space="0" w:color="auto"/>
              <w:bottom w:val="single" w:sz="4" w:space="0" w:color="auto"/>
              <w:right w:val="single" w:sz="4" w:space="0" w:color="auto"/>
            </w:tcBorders>
            <w:vAlign w:val="center"/>
          </w:tcPr>
          <w:p w:rsidR="00577FA1" w:rsidRPr="009E536C" w:rsidRDefault="00577FA1" w:rsidP="00AD3C83">
            <w:pPr>
              <w:spacing w:after="0" w:line="240" w:lineRule="auto"/>
              <w:jc w:val="center"/>
              <w:rPr>
                <w:rFonts w:eastAsia="Times New Roman"/>
                <w:sz w:val="20"/>
                <w:szCs w:val="20"/>
                <w:highlight w:val="yellow"/>
              </w:rPr>
            </w:pPr>
          </w:p>
        </w:tc>
        <w:tc>
          <w:tcPr>
            <w:tcW w:w="1134" w:type="dxa"/>
            <w:vMerge/>
            <w:tcBorders>
              <w:top w:val="nil"/>
              <w:left w:val="single" w:sz="4" w:space="0" w:color="auto"/>
              <w:bottom w:val="single" w:sz="4" w:space="0" w:color="000000"/>
              <w:right w:val="single" w:sz="4" w:space="0" w:color="auto"/>
            </w:tcBorders>
            <w:vAlign w:val="center"/>
          </w:tcPr>
          <w:p w:rsidR="00577FA1" w:rsidRPr="009E536C" w:rsidRDefault="00577FA1" w:rsidP="00AD3C83">
            <w:pPr>
              <w:spacing w:after="0" w:line="240" w:lineRule="auto"/>
              <w:jc w:val="center"/>
              <w:rPr>
                <w:rFonts w:eastAsia="Times New Roman"/>
                <w:sz w:val="20"/>
                <w:szCs w:val="20"/>
                <w:highlight w:val="yellow"/>
              </w:rPr>
            </w:pPr>
          </w:p>
        </w:tc>
      </w:tr>
      <w:tr w:rsidR="00577FA1" w:rsidRPr="009E536C" w:rsidTr="00BD58BF">
        <w:trPr>
          <w:trHeight w:val="315"/>
        </w:trPr>
        <w:tc>
          <w:tcPr>
            <w:tcW w:w="851" w:type="dxa"/>
            <w:tcBorders>
              <w:top w:val="nil"/>
              <w:left w:val="single" w:sz="4" w:space="0" w:color="auto"/>
              <w:bottom w:val="single" w:sz="4" w:space="0" w:color="auto"/>
              <w:right w:val="single" w:sz="4" w:space="0" w:color="auto"/>
            </w:tcBorders>
          </w:tcPr>
          <w:p w:rsidR="00577FA1" w:rsidRPr="009E536C" w:rsidRDefault="00577FA1" w:rsidP="00AD3C83">
            <w:pPr>
              <w:spacing w:after="0" w:line="240" w:lineRule="auto"/>
              <w:jc w:val="center"/>
              <w:rPr>
                <w:rFonts w:eastAsia="Times New Roman"/>
                <w:sz w:val="20"/>
                <w:szCs w:val="20"/>
              </w:rPr>
            </w:pPr>
            <w:r w:rsidRPr="009E536C">
              <w:rPr>
                <w:rFonts w:eastAsia="Times New Roman"/>
                <w:sz w:val="20"/>
                <w:szCs w:val="20"/>
              </w:rPr>
              <w:t>2.2.2</w:t>
            </w:r>
          </w:p>
        </w:tc>
        <w:tc>
          <w:tcPr>
            <w:tcW w:w="2551" w:type="dxa"/>
            <w:tcBorders>
              <w:top w:val="nil"/>
              <w:left w:val="single" w:sz="4" w:space="0" w:color="auto"/>
              <w:bottom w:val="single" w:sz="4" w:space="0" w:color="auto"/>
              <w:right w:val="single" w:sz="4" w:space="0" w:color="auto"/>
            </w:tcBorders>
          </w:tcPr>
          <w:p w:rsidR="00577FA1" w:rsidRPr="009E536C" w:rsidRDefault="00577FA1" w:rsidP="00AD3C83">
            <w:pPr>
              <w:spacing w:after="0" w:line="240" w:lineRule="auto"/>
              <w:jc w:val="both"/>
              <w:rPr>
                <w:rFonts w:eastAsia="Times New Roman"/>
                <w:sz w:val="20"/>
                <w:szCs w:val="20"/>
              </w:rPr>
            </w:pPr>
            <w:r w:rsidRPr="009E536C">
              <w:rPr>
                <w:rFonts w:eastAsia="Times New Roman"/>
                <w:sz w:val="20"/>
                <w:szCs w:val="20"/>
              </w:rPr>
              <w:t>- ставка на оплату технологического расхода (потерь) в электрических сетях</w:t>
            </w:r>
          </w:p>
        </w:tc>
        <w:tc>
          <w:tcPr>
            <w:tcW w:w="1418" w:type="dxa"/>
            <w:tcBorders>
              <w:top w:val="nil"/>
              <w:left w:val="single" w:sz="4" w:space="0" w:color="auto"/>
              <w:bottom w:val="single" w:sz="4" w:space="0" w:color="auto"/>
              <w:right w:val="single" w:sz="4" w:space="0" w:color="auto"/>
            </w:tcBorders>
          </w:tcPr>
          <w:p w:rsidR="00577FA1" w:rsidRPr="009E536C" w:rsidRDefault="00577FA1" w:rsidP="00AD3C83">
            <w:pPr>
              <w:spacing w:after="0" w:line="240" w:lineRule="auto"/>
              <w:jc w:val="center"/>
              <w:rPr>
                <w:rFonts w:eastAsia="Times New Roman"/>
                <w:sz w:val="20"/>
                <w:szCs w:val="20"/>
              </w:rPr>
            </w:pPr>
            <w:r w:rsidRPr="009E536C">
              <w:rPr>
                <w:rFonts w:eastAsia="Times New Roman"/>
                <w:sz w:val="20"/>
                <w:szCs w:val="20"/>
              </w:rPr>
              <w:t>руб./МВт·ч</w:t>
            </w:r>
          </w:p>
        </w:tc>
        <w:tc>
          <w:tcPr>
            <w:tcW w:w="1276" w:type="dxa"/>
            <w:tcBorders>
              <w:top w:val="nil"/>
              <w:left w:val="single" w:sz="4" w:space="0" w:color="auto"/>
              <w:bottom w:val="single" w:sz="4" w:space="0" w:color="auto"/>
              <w:right w:val="single" w:sz="4" w:space="0" w:color="auto"/>
            </w:tcBorders>
            <w:vAlign w:val="center"/>
          </w:tcPr>
          <w:p w:rsidR="00577FA1" w:rsidRPr="002B4913" w:rsidRDefault="00577FA1" w:rsidP="00AD3C83">
            <w:pPr>
              <w:spacing w:after="0" w:line="240" w:lineRule="auto"/>
              <w:jc w:val="center"/>
              <w:rPr>
                <w:sz w:val="18"/>
                <w:szCs w:val="18"/>
              </w:rPr>
            </w:pPr>
            <w:r w:rsidRPr="002B4913">
              <w:rPr>
                <w:sz w:val="18"/>
                <w:szCs w:val="18"/>
              </w:rPr>
              <w:t>118,63</w:t>
            </w:r>
          </w:p>
        </w:tc>
        <w:tc>
          <w:tcPr>
            <w:tcW w:w="1134" w:type="dxa"/>
            <w:tcBorders>
              <w:top w:val="nil"/>
              <w:left w:val="single" w:sz="4" w:space="0" w:color="auto"/>
              <w:bottom w:val="single" w:sz="4" w:space="0" w:color="auto"/>
              <w:right w:val="single" w:sz="4" w:space="0" w:color="auto"/>
            </w:tcBorders>
            <w:vAlign w:val="center"/>
          </w:tcPr>
          <w:p w:rsidR="00577FA1" w:rsidRPr="002B4913" w:rsidRDefault="00577FA1" w:rsidP="00AD3C83">
            <w:pPr>
              <w:spacing w:after="0" w:line="240" w:lineRule="auto"/>
              <w:jc w:val="center"/>
              <w:rPr>
                <w:sz w:val="18"/>
                <w:szCs w:val="18"/>
              </w:rPr>
            </w:pPr>
            <w:r w:rsidRPr="002B4913">
              <w:rPr>
                <w:sz w:val="18"/>
                <w:szCs w:val="18"/>
              </w:rPr>
              <w:t>168,51</w:t>
            </w:r>
          </w:p>
        </w:tc>
        <w:tc>
          <w:tcPr>
            <w:tcW w:w="1134" w:type="dxa"/>
            <w:tcBorders>
              <w:top w:val="nil"/>
              <w:left w:val="single" w:sz="4" w:space="0" w:color="auto"/>
              <w:bottom w:val="single" w:sz="4" w:space="0" w:color="auto"/>
              <w:right w:val="single" w:sz="4" w:space="0" w:color="auto"/>
            </w:tcBorders>
            <w:vAlign w:val="center"/>
          </w:tcPr>
          <w:p w:rsidR="00577FA1" w:rsidRPr="002B4913" w:rsidRDefault="00577FA1" w:rsidP="00AD3C83">
            <w:pPr>
              <w:spacing w:after="0" w:line="240" w:lineRule="auto"/>
              <w:jc w:val="center"/>
              <w:rPr>
                <w:sz w:val="18"/>
                <w:szCs w:val="18"/>
              </w:rPr>
            </w:pPr>
            <w:r w:rsidRPr="002B4913">
              <w:rPr>
                <w:sz w:val="18"/>
                <w:szCs w:val="18"/>
              </w:rPr>
              <w:t>267,25</w:t>
            </w:r>
          </w:p>
        </w:tc>
        <w:tc>
          <w:tcPr>
            <w:tcW w:w="1134" w:type="dxa"/>
            <w:tcBorders>
              <w:top w:val="nil"/>
              <w:left w:val="single" w:sz="4" w:space="0" w:color="auto"/>
              <w:bottom w:val="single" w:sz="4" w:space="0" w:color="auto"/>
              <w:right w:val="single" w:sz="4" w:space="0" w:color="auto"/>
            </w:tcBorders>
            <w:vAlign w:val="center"/>
          </w:tcPr>
          <w:p w:rsidR="00577FA1" w:rsidRPr="002B4913" w:rsidRDefault="00577FA1" w:rsidP="00AD3C83">
            <w:pPr>
              <w:spacing w:after="0" w:line="240" w:lineRule="auto"/>
              <w:jc w:val="center"/>
              <w:rPr>
                <w:sz w:val="18"/>
                <w:szCs w:val="18"/>
              </w:rPr>
            </w:pPr>
            <w:r w:rsidRPr="002B4913">
              <w:rPr>
                <w:sz w:val="18"/>
                <w:szCs w:val="18"/>
              </w:rPr>
              <w:t>468,79</w:t>
            </w:r>
          </w:p>
        </w:tc>
      </w:tr>
    </w:tbl>
    <w:p w:rsidR="001E7B45" w:rsidRPr="00BC4B98" w:rsidRDefault="001E7B45" w:rsidP="001E7B45">
      <w:pPr>
        <w:ind w:firstLine="720"/>
        <w:jc w:val="both"/>
        <w:rPr>
          <w:rFonts w:eastAsia="Times New Roman"/>
          <w:b/>
        </w:rPr>
      </w:pPr>
      <w:r w:rsidRPr="00BC4B98">
        <w:rPr>
          <w:rFonts w:eastAsia="Times New Roman"/>
          <w:b/>
        </w:rPr>
        <w:t>Максимальные уровни тарифов</w:t>
      </w:r>
    </w:p>
    <w:tbl>
      <w:tblPr>
        <w:tblW w:w="9498" w:type="dxa"/>
        <w:tblInd w:w="108" w:type="dxa"/>
        <w:tblLayout w:type="fixed"/>
        <w:tblLook w:val="00A0" w:firstRow="1" w:lastRow="0" w:firstColumn="1" w:lastColumn="0" w:noHBand="0" w:noVBand="0"/>
      </w:tblPr>
      <w:tblGrid>
        <w:gridCol w:w="851"/>
        <w:gridCol w:w="2551"/>
        <w:gridCol w:w="1418"/>
        <w:gridCol w:w="1276"/>
        <w:gridCol w:w="1134"/>
        <w:gridCol w:w="1134"/>
        <w:gridCol w:w="1134"/>
      </w:tblGrid>
      <w:tr w:rsidR="001E7B45" w:rsidRPr="009E536C" w:rsidTr="00BD58BF">
        <w:trPr>
          <w:trHeight w:val="640"/>
        </w:trPr>
        <w:tc>
          <w:tcPr>
            <w:tcW w:w="851" w:type="dxa"/>
            <w:vMerge w:val="restart"/>
            <w:tcBorders>
              <w:top w:val="single" w:sz="4" w:space="0" w:color="auto"/>
              <w:left w:val="single" w:sz="4" w:space="0" w:color="auto"/>
              <w:bottom w:val="single" w:sz="4" w:space="0" w:color="000000"/>
              <w:right w:val="single" w:sz="4" w:space="0" w:color="auto"/>
            </w:tcBorders>
          </w:tcPr>
          <w:p w:rsidR="001E7B45" w:rsidRPr="009E536C" w:rsidRDefault="001E7B45" w:rsidP="00AD3C83">
            <w:pPr>
              <w:spacing w:after="0" w:line="240" w:lineRule="auto"/>
              <w:jc w:val="center"/>
              <w:rPr>
                <w:rFonts w:eastAsia="Times New Roman"/>
                <w:b/>
                <w:bCs/>
                <w:sz w:val="20"/>
                <w:szCs w:val="20"/>
              </w:rPr>
            </w:pPr>
            <w:r w:rsidRPr="009E536C">
              <w:rPr>
                <w:rFonts w:eastAsia="Times New Roman"/>
                <w:b/>
                <w:bCs/>
                <w:sz w:val="20"/>
                <w:szCs w:val="20"/>
              </w:rPr>
              <w:t>N п/п</w:t>
            </w:r>
          </w:p>
        </w:tc>
        <w:tc>
          <w:tcPr>
            <w:tcW w:w="2551" w:type="dxa"/>
            <w:vMerge w:val="restart"/>
            <w:tcBorders>
              <w:top w:val="single" w:sz="4" w:space="0" w:color="auto"/>
              <w:left w:val="single" w:sz="4" w:space="0" w:color="auto"/>
              <w:bottom w:val="single" w:sz="4" w:space="0" w:color="000000"/>
              <w:right w:val="single" w:sz="4" w:space="0" w:color="auto"/>
            </w:tcBorders>
            <w:vAlign w:val="center"/>
          </w:tcPr>
          <w:p w:rsidR="001E7B45" w:rsidRPr="009E536C" w:rsidRDefault="001E7B45" w:rsidP="00AD3C83">
            <w:pPr>
              <w:spacing w:after="0" w:line="240" w:lineRule="auto"/>
              <w:jc w:val="center"/>
              <w:rPr>
                <w:rFonts w:eastAsia="Times New Roman"/>
                <w:b/>
                <w:bCs/>
                <w:sz w:val="20"/>
                <w:szCs w:val="20"/>
              </w:rPr>
            </w:pPr>
            <w:r w:rsidRPr="009E536C">
              <w:rPr>
                <w:rFonts w:eastAsia="Times New Roman"/>
                <w:b/>
                <w:bCs/>
                <w:sz w:val="20"/>
                <w:szCs w:val="20"/>
              </w:rPr>
              <w:t>Тарифные групп потребителей электрической энергии (мощности)</w:t>
            </w:r>
          </w:p>
        </w:tc>
        <w:tc>
          <w:tcPr>
            <w:tcW w:w="1418" w:type="dxa"/>
            <w:vMerge w:val="restart"/>
            <w:tcBorders>
              <w:top w:val="single" w:sz="4" w:space="0" w:color="auto"/>
              <w:left w:val="nil"/>
              <w:right w:val="single" w:sz="4" w:space="0" w:color="auto"/>
            </w:tcBorders>
            <w:vAlign w:val="center"/>
          </w:tcPr>
          <w:p w:rsidR="001E7B45" w:rsidRPr="009E536C" w:rsidRDefault="001E7B45" w:rsidP="00AD3C83">
            <w:pPr>
              <w:spacing w:after="0" w:line="240" w:lineRule="auto"/>
              <w:jc w:val="center"/>
              <w:rPr>
                <w:rFonts w:eastAsia="Times New Roman"/>
                <w:b/>
                <w:bCs/>
                <w:sz w:val="20"/>
                <w:szCs w:val="20"/>
              </w:rPr>
            </w:pPr>
            <w:r w:rsidRPr="009E536C">
              <w:rPr>
                <w:rFonts w:eastAsia="Times New Roman"/>
                <w:b/>
                <w:bCs/>
                <w:sz w:val="20"/>
                <w:szCs w:val="20"/>
              </w:rPr>
              <w:t>Единица измерения</w:t>
            </w:r>
          </w:p>
        </w:tc>
        <w:tc>
          <w:tcPr>
            <w:tcW w:w="4678" w:type="dxa"/>
            <w:gridSpan w:val="4"/>
            <w:tcBorders>
              <w:top w:val="single" w:sz="4" w:space="0" w:color="auto"/>
              <w:left w:val="nil"/>
              <w:bottom w:val="single" w:sz="4" w:space="0" w:color="auto"/>
              <w:right w:val="single" w:sz="4" w:space="0" w:color="auto"/>
            </w:tcBorders>
            <w:noWrap/>
            <w:vAlign w:val="center"/>
          </w:tcPr>
          <w:p w:rsidR="001E7B45" w:rsidRPr="009E536C" w:rsidRDefault="001E7B45" w:rsidP="00AD3C83">
            <w:pPr>
              <w:spacing w:after="0" w:line="240" w:lineRule="auto"/>
              <w:jc w:val="center"/>
              <w:rPr>
                <w:rFonts w:eastAsia="Times New Roman"/>
                <w:sz w:val="20"/>
                <w:szCs w:val="20"/>
              </w:rPr>
            </w:pPr>
            <w:r w:rsidRPr="009E536C">
              <w:rPr>
                <w:rFonts w:eastAsia="Times New Roman"/>
                <w:b/>
                <w:bCs/>
                <w:sz w:val="20"/>
                <w:szCs w:val="20"/>
              </w:rPr>
              <w:t>Диапазоны напряжения</w:t>
            </w:r>
          </w:p>
        </w:tc>
      </w:tr>
      <w:tr w:rsidR="001E7B45" w:rsidRPr="009E536C" w:rsidTr="00BD58BF">
        <w:trPr>
          <w:trHeight w:val="189"/>
        </w:trPr>
        <w:tc>
          <w:tcPr>
            <w:tcW w:w="851" w:type="dxa"/>
            <w:vMerge/>
            <w:tcBorders>
              <w:top w:val="single" w:sz="4" w:space="0" w:color="auto"/>
              <w:left w:val="single" w:sz="4" w:space="0" w:color="auto"/>
              <w:bottom w:val="single" w:sz="4" w:space="0" w:color="000000"/>
              <w:right w:val="single" w:sz="4" w:space="0" w:color="auto"/>
            </w:tcBorders>
            <w:vAlign w:val="center"/>
          </w:tcPr>
          <w:p w:rsidR="001E7B45" w:rsidRPr="009E536C" w:rsidRDefault="001E7B45" w:rsidP="00AD3C83">
            <w:pPr>
              <w:spacing w:after="0" w:line="240" w:lineRule="auto"/>
              <w:rPr>
                <w:rFonts w:eastAsia="Times New Roman"/>
                <w:b/>
                <w:bCs/>
                <w:sz w:val="20"/>
                <w:szCs w:val="20"/>
              </w:rPr>
            </w:pPr>
          </w:p>
        </w:tc>
        <w:tc>
          <w:tcPr>
            <w:tcW w:w="2551" w:type="dxa"/>
            <w:vMerge/>
            <w:tcBorders>
              <w:top w:val="single" w:sz="4" w:space="0" w:color="auto"/>
              <w:left w:val="single" w:sz="4" w:space="0" w:color="auto"/>
              <w:bottom w:val="single" w:sz="4" w:space="0" w:color="000000"/>
              <w:right w:val="single" w:sz="4" w:space="0" w:color="auto"/>
            </w:tcBorders>
            <w:vAlign w:val="center"/>
          </w:tcPr>
          <w:p w:rsidR="001E7B45" w:rsidRPr="009E536C" w:rsidRDefault="001E7B45" w:rsidP="00AD3C83">
            <w:pPr>
              <w:spacing w:after="0" w:line="240" w:lineRule="auto"/>
              <w:rPr>
                <w:rFonts w:eastAsia="Times New Roman"/>
                <w:b/>
                <w:bCs/>
                <w:sz w:val="20"/>
                <w:szCs w:val="20"/>
              </w:rPr>
            </w:pPr>
          </w:p>
        </w:tc>
        <w:tc>
          <w:tcPr>
            <w:tcW w:w="1418" w:type="dxa"/>
            <w:vMerge/>
            <w:tcBorders>
              <w:left w:val="single" w:sz="4" w:space="0" w:color="auto"/>
              <w:bottom w:val="single" w:sz="4" w:space="0" w:color="auto"/>
              <w:right w:val="single" w:sz="4" w:space="0" w:color="auto"/>
            </w:tcBorders>
            <w:vAlign w:val="center"/>
          </w:tcPr>
          <w:p w:rsidR="001E7B45" w:rsidRPr="009E536C" w:rsidRDefault="001E7B45" w:rsidP="00AD3C83">
            <w:pPr>
              <w:spacing w:after="0" w:line="240" w:lineRule="auto"/>
              <w:rPr>
                <w:rFonts w:eastAsia="Times New Roman"/>
                <w:b/>
                <w:bCs/>
                <w:sz w:val="20"/>
                <w:szCs w:val="20"/>
              </w:rPr>
            </w:pPr>
          </w:p>
        </w:tc>
        <w:tc>
          <w:tcPr>
            <w:tcW w:w="1276" w:type="dxa"/>
            <w:tcBorders>
              <w:top w:val="single" w:sz="4" w:space="0" w:color="auto"/>
              <w:left w:val="nil"/>
              <w:bottom w:val="single" w:sz="4" w:space="0" w:color="auto"/>
              <w:right w:val="single" w:sz="4" w:space="0" w:color="auto"/>
            </w:tcBorders>
            <w:vAlign w:val="center"/>
          </w:tcPr>
          <w:p w:rsidR="001E7B45" w:rsidRPr="009E536C" w:rsidRDefault="001E7B45" w:rsidP="00AD3C83">
            <w:pPr>
              <w:spacing w:after="0" w:line="240" w:lineRule="auto"/>
              <w:jc w:val="center"/>
              <w:rPr>
                <w:rFonts w:eastAsia="Times New Roman"/>
                <w:b/>
                <w:bCs/>
                <w:sz w:val="20"/>
                <w:szCs w:val="20"/>
              </w:rPr>
            </w:pPr>
            <w:r w:rsidRPr="009E536C">
              <w:rPr>
                <w:rFonts w:eastAsia="Times New Roman"/>
                <w:b/>
                <w:bCs/>
                <w:sz w:val="20"/>
                <w:szCs w:val="20"/>
              </w:rPr>
              <w:t>ВН</w:t>
            </w:r>
          </w:p>
        </w:tc>
        <w:tc>
          <w:tcPr>
            <w:tcW w:w="1134" w:type="dxa"/>
            <w:tcBorders>
              <w:top w:val="single" w:sz="4" w:space="0" w:color="auto"/>
              <w:left w:val="nil"/>
              <w:bottom w:val="single" w:sz="4" w:space="0" w:color="auto"/>
              <w:right w:val="single" w:sz="4" w:space="0" w:color="auto"/>
            </w:tcBorders>
            <w:vAlign w:val="center"/>
          </w:tcPr>
          <w:p w:rsidR="001E7B45" w:rsidRPr="009E536C" w:rsidRDefault="001E7B45" w:rsidP="00AD3C83">
            <w:pPr>
              <w:spacing w:after="0" w:line="240" w:lineRule="auto"/>
              <w:jc w:val="center"/>
              <w:rPr>
                <w:rFonts w:eastAsia="Times New Roman"/>
                <w:b/>
                <w:bCs/>
                <w:sz w:val="20"/>
                <w:szCs w:val="20"/>
              </w:rPr>
            </w:pPr>
            <w:r w:rsidRPr="009E536C">
              <w:rPr>
                <w:rFonts w:eastAsia="Times New Roman"/>
                <w:b/>
                <w:bCs/>
                <w:sz w:val="20"/>
                <w:szCs w:val="20"/>
              </w:rPr>
              <w:t>СН-I</w:t>
            </w:r>
          </w:p>
        </w:tc>
        <w:tc>
          <w:tcPr>
            <w:tcW w:w="1134" w:type="dxa"/>
            <w:tcBorders>
              <w:top w:val="single" w:sz="4" w:space="0" w:color="auto"/>
              <w:left w:val="nil"/>
              <w:bottom w:val="single" w:sz="4" w:space="0" w:color="auto"/>
              <w:right w:val="single" w:sz="4" w:space="0" w:color="auto"/>
            </w:tcBorders>
            <w:vAlign w:val="center"/>
          </w:tcPr>
          <w:p w:rsidR="001E7B45" w:rsidRPr="009E536C" w:rsidRDefault="001E7B45" w:rsidP="00AD3C83">
            <w:pPr>
              <w:spacing w:after="0" w:line="240" w:lineRule="auto"/>
              <w:jc w:val="center"/>
              <w:rPr>
                <w:rFonts w:eastAsia="Times New Roman"/>
                <w:b/>
                <w:bCs/>
                <w:sz w:val="20"/>
                <w:szCs w:val="20"/>
              </w:rPr>
            </w:pPr>
            <w:r w:rsidRPr="009E536C">
              <w:rPr>
                <w:rFonts w:eastAsia="Times New Roman"/>
                <w:b/>
                <w:bCs/>
                <w:sz w:val="20"/>
                <w:szCs w:val="20"/>
              </w:rPr>
              <w:t>CH-II</w:t>
            </w:r>
          </w:p>
        </w:tc>
        <w:tc>
          <w:tcPr>
            <w:tcW w:w="1134" w:type="dxa"/>
            <w:tcBorders>
              <w:top w:val="single" w:sz="4" w:space="0" w:color="auto"/>
              <w:left w:val="nil"/>
              <w:bottom w:val="single" w:sz="4" w:space="0" w:color="auto"/>
              <w:right w:val="single" w:sz="4" w:space="0" w:color="auto"/>
            </w:tcBorders>
            <w:vAlign w:val="center"/>
          </w:tcPr>
          <w:p w:rsidR="001E7B45" w:rsidRPr="009E536C" w:rsidRDefault="001E7B45" w:rsidP="00AD3C83">
            <w:pPr>
              <w:spacing w:after="0" w:line="240" w:lineRule="auto"/>
              <w:jc w:val="center"/>
              <w:rPr>
                <w:rFonts w:eastAsia="Times New Roman"/>
                <w:b/>
                <w:bCs/>
                <w:sz w:val="20"/>
                <w:szCs w:val="20"/>
              </w:rPr>
            </w:pPr>
            <w:r w:rsidRPr="009E536C">
              <w:rPr>
                <w:rFonts w:eastAsia="Times New Roman"/>
                <w:b/>
                <w:bCs/>
                <w:sz w:val="20"/>
                <w:szCs w:val="20"/>
              </w:rPr>
              <w:t>НН</w:t>
            </w:r>
          </w:p>
        </w:tc>
      </w:tr>
      <w:tr w:rsidR="001E7B45" w:rsidRPr="009E536C" w:rsidTr="00BD58BF">
        <w:trPr>
          <w:trHeight w:val="240"/>
        </w:trPr>
        <w:tc>
          <w:tcPr>
            <w:tcW w:w="851" w:type="dxa"/>
            <w:tcBorders>
              <w:top w:val="single" w:sz="4" w:space="0" w:color="auto"/>
              <w:left w:val="single" w:sz="4" w:space="0" w:color="auto"/>
              <w:bottom w:val="single" w:sz="4" w:space="0" w:color="auto"/>
              <w:right w:val="single" w:sz="4" w:space="0" w:color="auto"/>
            </w:tcBorders>
          </w:tcPr>
          <w:p w:rsidR="001E7B45" w:rsidRPr="009E536C" w:rsidRDefault="001E7B45" w:rsidP="00AD3C83">
            <w:pPr>
              <w:spacing w:after="0" w:line="240" w:lineRule="auto"/>
              <w:jc w:val="center"/>
              <w:rPr>
                <w:rFonts w:eastAsia="Times New Roman"/>
                <w:sz w:val="20"/>
                <w:szCs w:val="20"/>
              </w:rPr>
            </w:pPr>
            <w:r w:rsidRPr="009E536C">
              <w:rPr>
                <w:rFonts w:eastAsia="Times New Roman"/>
                <w:sz w:val="20"/>
                <w:szCs w:val="20"/>
              </w:rPr>
              <w:t>1</w:t>
            </w:r>
          </w:p>
        </w:tc>
        <w:tc>
          <w:tcPr>
            <w:tcW w:w="2551" w:type="dxa"/>
            <w:tcBorders>
              <w:top w:val="single" w:sz="4" w:space="0" w:color="auto"/>
              <w:left w:val="nil"/>
              <w:bottom w:val="single" w:sz="4" w:space="0" w:color="auto"/>
              <w:right w:val="single" w:sz="4" w:space="0" w:color="auto"/>
            </w:tcBorders>
          </w:tcPr>
          <w:p w:rsidR="001E7B45" w:rsidRPr="009E536C" w:rsidRDefault="001E7B45" w:rsidP="00AD3C83">
            <w:pPr>
              <w:spacing w:after="0" w:line="240" w:lineRule="auto"/>
              <w:jc w:val="center"/>
              <w:rPr>
                <w:rFonts w:eastAsia="Times New Roman"/>
                <w:sz w:val="20"/>
                <w:szCs w:val="20"/>
              </w:rPr>
            </w:pPr>
            <w:r w:rsidRPr="009E536C">
              <w:rPr>
                <w:rFonts w:eastAsia="Times New Roman"/>
                <w:sz w:val="20"/>
                <w:szCs w:val="20"/>
              </w:rPr>
              <w:t>2</w:t>
            </w:r>
          </w:p>
        </w:tc>
        <w:tc>
          <w:tcPr>
            <w:tcW w:w="1418" w:type="dxa"/>
            <w:tcBorders>
              <w:top w:val="single" w:sz="4" w:space="0" w:color="auto"/>
              <w:left w:val="nil"/>
              <w:bottom w:val="single" w:sz="4" w:space="0" w:color="auto"/>
              <w:right w:val="single" w:sz="4" w:space="0" w:color="auto"/>
            </w:tcBorders>
          </w:tcPr>
          <w:p w:rsidR="001E7B45" w:rsidRPr="009E536C" w:rsidRDefault="001E7B45" w:rsidP="00AD3C83">
            <w:pPr>
              <w:spacing w:after="0" w:line="240" w:lineRule="auto"/>
              <w:jc w:val="center"/>
              <w:rPr>
                <w:rFonts w:eastAsia="Times New Roman"/>
                <w:sz w:val="20"/>
                <w:szCs w:val="20"/>
              </w:rPr>
            </w:pPr>
            <w:r w:rsidRPr="009E536C">
              <w:rPr>
                <w:rFonts w:eastAsia="Times New Roman"/>
                <w:sz w:val="20"/>
                <w:szCs w:val="20"/>
              </w:rPr>
              <w:t>3</w:t>
            </w:r>
          </w:p>
        </w:tc>
        <w:tc>
          <w:tcPr>
            <w:tcW w:w="1276" w:type="dxa"/>
            <w:tcBorders>
              <w:top w:val="single" w:sz="4" w:space="0" w:color="auto"/>
              <w:left w:val="nil"/>
              <w:bottom w:val="single" w:sz="4" w:space="0" w:color="auto"/>
              <w:right w:val="single" w:sz="4" w:space="0" w:color="auto"/>
            </w:tcBorders>
          </w:tcPr>
          <w:p w:rsidR="001E7B45" w:rsidRPr="009E536C" w:rsidRDefault="001E7B45" w:rsidP="00AD3C83">
            <w:pPr>
              <w:spacing w:after="0" w:line="240" w:lineRule="auto"/>
              <w:jc w:val="center"/>
              <w:rPr>
                <w:rFonts w:eastAsia="Times New Roman"/>
                <w:sz w:val="20"/>
                <w:szCs w:val="20"/>
              </w:rPr>
            </w:pPr>
            <w:r w:rsidRPr="009E536C">
              <w:rPr>
                <w:rFonts w:eastAsia="Times New Roman"/>
                <w:sz w:val="20"/>
                <w:szCs w:val="20"/>
              </w:rPr>
              <w:t>4</w:t>
            </w:r>
          </w:p>
        </w:tc>
        <w:tc>
          <w:tcPr>
            <w:tcW w:w="1134" w:type="dxa"/>
            <w:tcBorders>
              <w:top w:val="single" w:sz="4" w:space="0" w:color="auto"/>
              <w:left w:val="nil"/>
              <w:bottom w:val="single" w:sz="4" w:space="0" w:color="auto"/>
              <w:right w:val="single" w:sz="4" w:space="0" w:color="auto"/>
            </w:tcBorders>
          </w:tcPr>
          <w:p w:rsidR="001E7B45" w:rsidRPr="009E536C" w:rsidRDefault="001E7B45" w:rsidP="00AD3C83">
            <w:pPr>
              <w:spacing w:after="0" w:line="240" w:lineRule="auto"/>
              <w:jc w:val="center"/>
              <w:rPr>
                <w:rFonts w:eastAsia="Times New Roman"/>
                <w:sz w:val="20"/>
                <w:szCs w:val="20"/>
              </w:rPr>
            </w:pPr>
            <w:r w:rsidRPr="009E536C">
              <w:rPr>
                <w:rFonts w:eastAsia="Times New Roman"/>
                <w:sz w:val="20"/>
                <w:szCs w:val="20"/>
              </w:rPr>
              <w:t>5</w:t>
            </w:r>
          </w:p>
        </w:tc>
        <w:tc>
          <w:tcPr>
            <w:tcW w:w="1134" w:type="dxa"/>
            <w:tcBorders>
              <w:top w:val="single" w:sz="4" w:space="0" w:color="auto"/>
              <w:left w:val="nil"/>
              <w:bottom w:val="single" w:sz="4" w:space="0" w:color="auto"/>
              <w:right w:val="single" w:sz="4" w:space="0" w:color="auto"/>
            </w:tcBorders>
          </w:tcPr>
          <w:p w:rsidR="001E7B45" w:rsidRPr="009E536C" w:rsidRDefault="001E7B45" w:rsidP="00AD3C83">
            <w:pPr>
              <w:spacing w:after="0" w:line="240" w:lineRule="auto"/>
              <w:jc w:val="center"/>
              <w:rPr>
                <w:rFonts w:eastAsia="Times New Roman"/>
                <w:sz w:val="20"/>
                <w:szCs w:val="20"/>
              </w:rPr>
            </w:pPr>
            <w:r w:rsidRPr="009E536C">
              <w:rPr>
                <w:rFonts w:eastAsia="Times New Roman"/>
                <w:sz w:val="20"/>
                <w:szCs w:val="20"/>
              </w:rPr>
              <w:t>6</w:t>
            </w:r>
          </w:p>
        </w:tc>
        <w:tc>
          <w:tcPr>
            <w:tcW w:w="1134" w:type="dxa"/>
            <w:tcBorders>
              <w:top w:val="single" w:sz="4" w:space="0" w:color="auto"/>
              <w:left w:val="nil"/>
              <w:bottom w:val="single" w:sz="4" w:space="0" w:color="auto"/>
              <w:right w:val="single" w:sz="4" w:space="0" w:color="auto"/>
            </w:tcBorders>
          </w:tcPr>
          <w:p w:rsidR="001E7B45" w:rsidRPr="009E536C" w:rsidRDefault="001E7B45" w:rsidP="00AD3C83">
            <w:pPr>
              <w:spacing w:after="0" w:line="240" w:lineRule="auto"/>
              <w:jc w:val="center"/>
              <w:rPr>
                <w:rFonts w:eastAsia="Times New Roman"/>
                <w:sz w:val="20"/>
                <w:szCs w:val="20"/>
              </w:rPr>
            </w:pPr>
            <w:r w:rsidRPr="009E536C">
              <w:rPr>
                <w:rFonts w:eastAsia="Times New Roman"/>
                <w:sz w:val="20"/>
                <w:szCs w:val="20"/>
              </w:rPr>
              <w:t>7</w:t>
            </w:r>
          </w:p>
        </w:tc>
      </w:tr>
      <w:tr w:rsidR="001E7B45" w:rsidRPr="009E536C" w:rsidTr="00BD58BF">
        <w:trPr>
          <w:trHeight w:val="240"/>
        </w:trPr>
        <w:tc>
          <w:tcPr>
            <w:tcW w:w="851" w:type="dxa"/>
            <w:tcBorders>
              <w:top w:val="single" w:sz="4" w:space="0" w:color="auto"/>
              <w:left w:val="single" w:sz="4" w:space="0" w:color="auto"/>
              <w:bottom w:val="single" w:sz="4" w:space="0" w:color="auto"/>
              <w:right w:val="single" w:sz="4" w:space="0" w:color="auto"/>
            </w:tcBorders>
          </w:tcPr>
          <w:p w:rsidR="001E7B45" w:rsidRPr="009E536C" w:rsidRDefault="001E7B45" w:rsidP="00AD3C83">
            <w:pPr>
              <w:spacing w:after="0" w:line="240" w:lineRule="auto"/>
              <w:jc w:val="center"/>
              <w:rPr>
                <w:rFonts w:eastAsia="Times New Roman"/>
                <w:sz w:val="20"/>
                <w:szCs w:val="20"/>
              </w:rPr>
            </w:pPr>
            <w:r w:rsidRPr="009E536C">
              <w:rPr>
                <w:rFonts w:eastAsia="Times New Roman"/>
                <w:sz w:val="20"/>
                <w:szCs w:val="20"/>
              </w:rPr>
              <w:t>1</w:t>
            </w:r>
          </w:p>
        </w:tc>
        <w:tc>
          <w:tcPr>
            <w:tcW w:w="8647" w:type="dxa"/>
            <w:gridSpan w:val="6"/>
            <w:tcBorders>
              <w:top w:val="single" w:sz="4" w:space="0" w:color="auto"/>
              <w:left w:val="nil"/>
              <w:bottom w:val="single" w:sz="4" w:space="0" w:color="auto"/>
              <w:right w:val="single" w:sz="4" w:space="0" w:color="auto"/>
            </w:tcBorders>
          </w:tcPr>
          <w:p w:rsidR="001E7B45" w:rsidRPr="00577FA1" w:rsidRDefault="00577FA1" w:rsidP="00AD3C83">
            <w:pPr>
              <w:spacing w:after="0" w:line="240" w:lineRule="auto"/>
              <w:jc w:val="center"/>
              <w:rPr>
                <w:rFonts w:eastAsia="Times New Roman"/>
                <w:b/>
                <w:bCs/>
                <w:sz w:val="20"/>
                <w:szCs w:val="20"/>
              </w:rPr>
            </w:pPr>
            <w:r>
              <w:rPr>
                <w:rFonts w:eastAsia="Times New Roman"/>
                <w:b/>
                <w:bCs/>
                <w:sz w:val="20"/>
                <w:szCs w:val="20"/>
              </w:rPr>
              <w:t>1</w:t>
            </w:r>
            <w:r w:rsidR="001E7B45" w:rsidRPr="00577FA1">
              <w:rPr>
                <w:rFonts w:eastAsia="Times New Roman"/>
                <w:b/>
                <w:bCs/>
                <w:sz w:val="20"/>
                <w:szCs w:val="20"/>
              </w:rPr>
              <w:t xml:space="preserve"> полугодие 2020 года</w:t>
            </w:r>
          </w:p>
        </w:tc>
      </w:tr>
      <w:tr w:rsidR="001E7B45" w:rsidRPr="00983954" w:rsidTr="00BD58BF">
        <w:trPr>
          <w:trHeight w:val="451"/>
        </w:trPr>
        <w:tc>
          <w:tcPr>
            <w:tcW w:w="851" w:type="dxa"/>
            <w:tcBorders>
              <w:top w:val="nil"/>
              <w:left w:val="single" w:sz="4" w:space="0" w:color="auto"/>
              <w:bottom w:val="single" w:sz="4" w:space="0" w:color="auto"/>
              <w:right w:val="single" w:sz="4" w:space="0" w:color="auto"/>
            </w:tcBorders>
          </w:tcPr>
          <w:p w:rsidR="001E7B45" w:rsidRPr="009E536C" w:rsidRDefault="001E7B45" w:rsidP="00AD3C83">
            <w:pPr>
              <w:spacing w:after="0" w:line="240" w:lineRule="auto"/>
              <w:jc w:val="center"/>
              <w:rPr>
                <w:rFonts w:eastAsia="Times New Roman"/>
                <w:sz w:val="20"/>
                <w:szCs w:val="20"/>
              </w:rPr>
            </w:pPr>
            <w:r w:rsidRPr="009E536C">
              <w:rPr>
                <w:rFonts w:eastAsia="Times New Roman"/>
                <w:sz w:val="20"/>
                <w:szCs w:val="20"/>
              </w:rPr>
              <w:t>1.1</w:t>
            </w:r>
          </w:p>
        </w:tc>
        <w:tc>
          <w:tcPr>
            <w:tcW w:w="2551" w:type="dxa"/>
            <w:tcBorders>
              <w:top w:val="nil"/>
              <w:left w:val="nil"/>
              <w:bottom w:val="single" w:sz="4" w:space="0" w:color="auto"/>
              <w:right w:val="single" w:sz="4" w:space="0" w:color="auto"/>
            </w:tcBorders>
          </w:tcPr>
          <w:p w:rsidR="001E7B45" w:rsidRPr="009E536C" w:rsidRDefault="001E7B45" w:rsidP="00AD3C83">
            <w:pPr>
              <w:spacing w:after="0" w:line="240" w:lineRule="auto"/>
              <w:jc w:val="both"/>
              <w:rPr>
                <w:rFonts w:eastAsia="Times New Roman"/>
                <w:sz w:val="20"/>
                <w:szCs w:val="20"/>
              </w:rPr>
            </w:pPr>
            <w:r w:rsidRPr="009E536C">
              <w:rPr>
                <w:rFonts w:eastAsia="Times New Roman"/>
                <w:sz w:val="20"/>
                <w:szCs w:val="20"/>
              </w:rPr>
              <w:t>Одноставочный тариф</w:t>
            </w:r>
          </w:p>
        </w:tc>
        <w:tc>
          <w:tcPr>
            <w:tcW w:w="1418" w:type="dxa"/>
            <w:tcBorders>
              <w:top w:val="nil"/>
              <w:left w:val="nil"/>
              <w:bottom w:val="single" w:sz="4" w:space="0" w:color="auto"/>
              <w:right w:val="single" w:sz="4" w:space="0" w:color="auto"/>
            </w:tcBorders>
          </w:tcPr>
          <w:p w:rsidR="001E7B45" w:rsidRPr="009E536C" w:rsidRDefault="001E7B45" w:rsidP="00AD3C83">
            <w:pPr>
              <w:spacing w:after="0" w:line="240" w:lineRule="auto"/>
              <w:jc w:val="center"/>
              <w:rPr>
                <w:rFonts w:eastAsia="Times New Roman"/>
                <w:sz w:val="20"/>
                <w:szCs w:val="20"/>
              </w:rPr>
            </w:pPr>
            <w:r w:rsidRPr="009E536C">
              <w:rPr>
                <w:rFonts w:eastAsia="Times New Roman"/>
                <w:sz w:val="20"/>
                <w:szCs w:val="20"/>
              </w:rPr>
              <w:t>руб./кВт·ч</w:t>
            </w:r>
          </w:p>
        </w:tc>
        <w:tc>
          <w:tcPr>
            <w:tcW w:w="1276" w:type="dxa"/>
            <w:tcBorders>
              <w:top w:val="nil"/>
              <w:left w:val="nil"/>
              <w:bottom w:val="single" w:sz="4" w:space="0" w:color="auto"/>
              <w:right w:val="single" w:sz="4" w:space="0" w:color="auto"/>
            </w:tcBorders>
            <w:vAlign w:val="center"/>
          </w:tcPr>
          <w:p w:rsidR="001E7B45" w:rsidRPr="009509F0" w:rsidRDefault="001E7B45" w:rsidP="00AD3C83">
            <w:pPr>
              <w:spacing w:after="0" w:line="240" w:lineRule="auto"/>
              <w:jc w:val="center"/>
              <w:rPr>
                <w:sz w:val="18"/>
                <w:szCs w:val="18"/>
              </w:rPr>
            </w:pPr>
            <w:r w:rsidRPr="009509F0">
              <w:rPr>
                <w:sz w:val="18"/>
                <w:szCs w:val="18"/>
              </w:rPr>
              <w:t>1,11265</w:t>
            </w:r>
          </w:p>
        </w:tc>
        <w:tc>
          <w:tcPr>
            <w:tcW w:w="1134" w:type="dxa"/>
            <w:tcBorders>
              <w:top w:val="nil"/>
              <w:left w:val="nil"/>
              <w:bottom w:val="single" w:sz="4" w:space="0" w:color="auto"/>
              <w:right w:val="single" w:sz="4" w:space="0" w:color="auto"/>
            </w:tcBorders>
            <w:vAlign w:val="center"/>
          </w:tcPr>
          <w:p w:rsidR="001E7B45" w:rsidRPr="009509F0" w:rsidRDefault="001E7B45" w:rsidP="00AD3C83">
            <w:pPr>
              <w:spacing w:after="0" w:line="240" w:lineRule="auto"/>
              <w:jc w:val="center"/>
              <w:rPr>
                <w:sz w:val="18"/>
                <w:szCs w:val="18"/>
              </w:rPr>
            </w:pPr>
            <w:r w:rsidRPr="009509F0">
              <w:rPr>
                <w:sz w:val="18"/>
                <w:szCs w:val="18"/>
              </w:rPr>
              <w:t>1,53614</w:t>
            </w:r>
          </w:p>
        </w:tc>
        <w:tc>
          <w:tcPr>
            <w:tcW w:w="1134" w:type="dxa"/>
            <w:tcBorders>
              <w:top w:val="nil"/>
              <w:left w:val="nil"/>
              <w:bottom w:val="single" w:sz="4" w:space="0" w:color="auto"/>
              <w:right w:val="single" w:sz="4" w:space="0" w:color="auto"/>
            </w:tcBorders>
            <w:vAlign w:val="center"/>
          </w:tcPr>
          <w:p w:rsidR="001E7B45" w:rsidRPr="009509F0" w:rsidRDefault="001E7B45" w:rsidP="00AD3C83">
            <w:pPr>
              <w:spacing w:after="0" w:line="240" w:lineRule="auto"/>
              <w:jc w:val="center"/>
              <w:rPr>
                <w:sz w:val="18"/>
                <w:szCs w:val="18"/>
              </w:rPr>
            </w:pPr>
            <w:r w:rsidRPr="009509F0">
              <w:rPr>
                <w:sz w:val="18"/>
                <w:szCs w:val="18"/>
              </w:rPr>
              <w:t>1,58062</w:t>
            </w:r>
          </w:p>
        </w:tc>
        <w:tc>
          <w:tcPr>
            <w:tcW w:w="1134" w:type="dxa"/>
            <w:tcBorders>
              <w:top w:val="nil"/>
              <w:left w:val="nil"/>
              <w:bottom w:val="single" w:sz="4" w:space="0" w:color="auto"/>
              <w:right w:val="single" w:sz="4" w:space="0" w:color="auto"/>
            </w:tcBorders>
            <w:vAlign w:val="center"/>
          </w:tcPr>
          <w:p w:rsidR="001E7B45" w:rsidRPr="009509F0" w:rsidRDefault="001E7B45" w:rsidP="00AD3C83">
            <w:pPr>
              <w:spacing w:after="0" w:line="240" w:lineRule="auto"/>
              <w:jc w:val="center"/>
              <w:rPr>
                <w:sz w:val="18"/>
                <w:szCs w:val="18"/>
              </w:rPr>
            </w:pPr>
            <w:r w:rsidRPr="009509F0">
              <w:rPr>
                <w:sz w:val="18"/>
                <w:szCs w:val="18"/>
              </w:rPr>
              <w:t>1,82306</w:t>
            </w:r>
          </w:p>
        </w:tc>
      </w:tr>
      <w:tr w:rsidR="001E7B45" w:rsidRPr="009E536C" w:rsidTr="00BD58BF">
        <w:trPr>
          <w:trHeight w:val="375"/>
        </w:trPr>
        <w:tc>
          <w:tcPr>
            <w:tcW w:w="851" w:type="dxa"/>
            <w:tcBorders>
              <w:top w:val="single" w:sz="4" w:space="0" w:color="auto"/>
              <w:left w:val="single" w:sz="4" w:space="0" w:color="auto"/>
              <w:bottom w:val="single" w:sz="4" w:space="0" w:color="auto"/>
              <w:right w:val="single" w:sz="4" w:space="0" w:color="auto"/>
            </w:tcBorders>
          </w:tcPr>
          <w:p w:rsidR="001E7B45" w:rsidRPr="009E536C" w:rsidRDefault="001E7B45" w:rsidP="00AD3C83">
            <w:pPr>
              <w:spacing w:after="0" w:line="240" w:lineRule="auto"/>
              <w:jc w:val="center"/>
              <w:rPr>
                <w:rFonts w:eastAsia="Times New Roman"/>
                <w:sz w:val="20"/>
                <w:szCs w:val="20"/>
              </w:rPr>
            </w:pPr>
            <w:r w:rsidRPr="009E536C">
              <w:rPr>
                <w:rFonts w:eastAsia="Times New Roman"/>
                <w:sz w:val="20"/>
                <w:szCs w:val="20"/>
              </w:rPr>
              <w:t>1.2.</w:t>
            </w:r>
          </w:p>
        </w:tc>
        <w:tc>
          <w:tcPr>
            <w:tcW w:w="8647" w:type="dxa"/>
            <w:gridSpan w:val="6"/>
            <w:tcBorders>
              <w:top w:val="single" w:sz="4" w:space="0" w:color="auto"/>
              <w:left w:val="nil"/>
              <w:bottom w:val="single" w:sz="4" w:space="0" w:color="auto"/>
              <w:right w:val="single" w:sz="4" w:space="0" w:color="auto"/>
            </w:tcBorders>
          </w:tcPr>
          <w:p w:rsidR="001E7B45" w:rsidRPr="002F5804" w:rsidRDefault="001E7B45" w:rsidP="00AD3C83">
            <w:pPr>
              <w:spacing w:after="0" w:line="240" w:lineRule="auto"/>
              <w:jc w:val="center"/>
              <w:rPr>
                <w:rFonts w:eastAsia="Times New Roman"/>
                <w:sz w:val="20"/>
                <w:szCs w:val="20"/>
              </w:rPr>
            </w:pPr>
            <w:r w:rsidRPr="002F5804">
              <w:rPr>
                <w:rFonts w:eastAsia="Times New Roman"/>
                <w:sz w:val="20"/>
                <w:szCs w:val="20"/>
              </w:rPr>
              <w:t>Двухставочный тариф</w:t>
            </w:r>
          </w:p>
        </w:tc>
      </w:tr>
      <w:tr w:rsidR="001E7B45" w:rsidRPr="009E536C" w:rsidTr="00BD58BF">
        <w:trPr>
          <w:trHeight w:val="384"/>
        </w:trPr>
        <w:tc>
          <w:tcPr>
            <w:tcW w:w="851" w:type="dxa"/>
            <w:vMerge w:val="restart"/>
            <w:tcBorders>
              <w:top w:val="single" w:sz="4" w:space="0" w:color="auto"/>
              <w:left w:val="single" w:sz="4" w:space="0" w:color="auto"/>
              <w:bottom w:val="single" w:sz="4" w:space="0" w:color="auto"/>
              <w:right w:val="single" w:sz="4" w:space="0" w:color="auto"/>
            </w:tcBorders>
          </w:tcPr>
          <w:p w:rsidR="001E7B45" w:rsidRPr="009E536C" w:rsidRDefault="001E7B45" w:rsidP="00AD3C83">
            <w:pPr>
              <w:spacing w:after="0" w:line="240" w:lineRule="auto"/>
              <w:jc w:val="center"/>
              <w:rPr>
                <w:rFonts w:eastAsia="Times New Roman"/>
                <w:sz w:val="20"/>
                <w:szCs w:val="20"/>
              </w:rPr>
            </w:pPr>
            <w:r w:rsidRPr="009E536C">
              <w:rPr>
                <w:rFonts w:eastAsia="Times New Roman"/>
                <w:sz w:val="20"/>
                <w:szCs w:val="20"/>
              </w:rPr>
              <w:t>1.2.1.</w:t>
            </w:r>
          </w:p>
        </w:tc>
        <w:tc>
          <w:tcPr>
            <w:tcW w:w="2551" w:type="dxa"/>
            <w:vMerge w:val="restart"/>
            <w:tcBorders>
              <w:top w:val="single" w:sz="4" w:space="0" w:color="auto"/>
              <w:left w:val="single" w:sz="4" w:space="0" w:color="auto"/>
              <w:bottom w:val="single" w:sz="4" w:space="0" w:color="auto"/>
              <w:right w:val="single" w:sz="4" w:space="0" w:color="auto"/>
            </w:tcBorders>
          </w:tcPr>
          <w:p w:rsidR="001E7B45" w:rsidRPr="009E536C" w:rsidRDefault="001E7B45" w:rsidP="00AD3C83">
            <w:pPr>
              <w:spacing w:after="0" w:line="240" w:lineRule="auto"/>
              <w:jc w:val="both"/>
              <w:rPr>
                <w:rFonts w:eastAsia="Times New Roman"/>
                <w:sz w:val="20"/>
                <w:szCs w:val="20"/>
              </w:rPr>
            </w:pPr>
            <w:r w:rsidRPr="009E536C">
              <w:rPr>
                <w:rFonts w:eastAsia="Times New Roman"/>
                <w:sz w:val="20"/>
                <w:szCs w:val="20"/>
              </w:rPr>
              <w:t>- ставка за содержание электрических сетей</w:t>
            </w:r>
          </w:p>
        </w:tc>
        <w:tc>
          <w:tcPr>
            <w:tcW w:w="1418" w:type="dxa"/>
            <w:vMerge w:val="restart"/>
            <w:tcBorders>
              <w:top w:val="single" w:sz="4" w:space="0" w:color="auto"/>
              <w:left w:val="single" w:sz="4" w:space="0" w:color="auto"/>
              <w:bottom w:val="single" w:sz="4" w:space="0" w:color="auto"/>
              <w:right w:val="single" w:sz="4" w:space="0" w:color="auto"/>
            </w:tcBorders>
          </w:tcPr>
          <w:p w:rsidR="001E7B45" w:rsidRPr="009E536C" w:rsidRDefault="001E7B45" w:rsidP="00AD3C83">
            <w:pPr>
              <w:spacing w:after="0" w:line="240" w:lineRule="auto"/>
              <w:jc w:val="center"/>
              <w:rPr>
                <w:rFonts w:eastAsia="Times New Roman"/>
                <w:sz w:val="20"/>
                <w:szCs w:val="20"/>
              </w:rPr>
            </w:pPr>
            <w:r w:rsidRPr="009E536C">
              <w:rPr>
                <w:rFonts w:eastAsia="Times New Roman"/>
                <w:sz w:val="20"/>
                <w:szCs w:val="20"/>
              </w:rPr>
              <w:t>руб./МВт· мес.</w:t>
            </w:r>
          </w:p>
        </w:tc>
        <w:tc>
          <w:tcPr>
            <w:tcW w:w="1276" w:type="dxa"/>
            <w:vMerge w:val="restart"/>
            <w:tcBorders>
              <w:top w:val="single" w:sz="4" w:space="0" w:color="auto"/>
              <w:left w:val="single" w:sz="4" w:space="0" w:color="auto"/>
              <w:bottom w:val="single" w:sz="4" w:space="0" w:color="auto"/>
              <w:right w:val="single" w:sz="4" w:space="0" w:color="auto"/>
            </w:tcBorders>
            <w:vAlign w:val="center"/>
          </w:tcPr>
          <w:p w:rsidR="001E7B45" w:rsidRPr="009509F0" w:rsidRDefault="001E7B45" w:rsidP="00AD3C83">
            <w:pPr>
              <w:spacing w:after="0" w:line="240" w:lineRule="auto"/>
              <w:jc w:val="center"/>
              <w:rPr>
                <w:sz w:val="18"/>
                <w:szCs w:val="18"/>
              </w:rPr>
            </w:pPr>
            <w:r w:rsidRPr="009509F0">
              <w:rPr>
                <w:sz w:val="18"/>
                <w:szCs w:val="18"/>
              </w:rPr>
              <w:t>656</w:t>
            </w:r>
            <w:r>
              <w:rPr>
                <w:sz w:val="18"/>
                <w:szCs w:val="18"/>
              </w:rPr>
              <w:t xml:space="preserve"> </w:t>
            </w:r>
            <w:r w:rsidRPr="009509F0">
              <w:rPr>
                <w:sz w:val="18"/>
                <w:szCs w:val="18"/>
              </w:rPr>
              <w:t>217,57</w:t>
            </w:r>
          </w:p>
        </w:tc>
        <w:tc>
          <w:tcPr>
            <w:tcW w:w="1134" w:type="dxa"/>
            <w:vMerge w:val="restart"/>
            <w:tcBorders>
              <w:top w:val="single" w:sz="4" w:space="0" w:color="auto"/>
              <w:left w:val="single" w:sz="4" w:space="0" w:color="auto"/>
              <w:bottom w:val="single" w:sz="4" w:space="0" w:color="auto"/>
              <w:right w:val="single" w:sz="4" w:space="0" w:color="auto"/>
            </w:tcBorders>
            <w:vAlign w:val="center"/>
          </w:tcPr>
          <w:p w:rsidR="001E7B45" w:rsidRPr="009509F0" w:rsidRDefault="001E7B45" w:rsidP="00AD3C83">
            <w:pPr>
              <w:spacing w:after="0" w:line="240" w:lineRule="auto"/>
              <w:jc w:val="center"/>
              <w:rPr>
                <w:sz w:val="18"/>
                <w:szCs w:val="18"/>
              </w:rPr>
            </w:pPr>
            <w:r w:rsidRPr="009509F0">
              <w:rPr>
                <w:sz w:val="18"/>
                <w:szCs w:val="18"/>
              </w:rPr>
              <w:t>891</w:t>
            </w:r>
            <w:r>
              <w:rPr>
                <w:sz w:val="18"/>
                <w:szCs w:val="18"/>
              </w:rPr>
              <w:t xml:space="preserve"> </w:t>
            </w:r>
            <w:r w:rsidRPr="009509F0">
              <w:rPr>
                <w:sz w:val="18"/>
                <w:szCs w:val="18"/>
              </w:rPr>
              <w:t>322,49</w:t>
            </w:r>
          </w:p>
        </w:tc>
        <w:tc>
          <w:tcPr>
            <w:tcW w:w="1134" w:type="dxa"/>
            <w:vMerge w:val="restart"/>
            <w:tcBorders>
              <w:top w:val="single" w:sz="4" w:space="0" w:color="auto"/>
              <w:left w:val="single" w:sz="4" w:space="0" w:color="auto"/>
              <w:bottom w:val="single" w:sz="4" w:space="0" w:color="auto"/>
              <w:right w:val="single" w:sz="4" w:space="0" w:color="auto"/>
            </w:tcBorders>
            <w:vAlign w:val="center"/>
          </w:tcPr>
          <w:p w:rsidR="001E7B45" w:rsidRPr="009509F0" w:rsidRDefault="001E7B45" w:rsidP="00AD3C83">
            <w:pPr>
              <w:spacing w:after="0" w:line="240" w:lineRule="auto"/>
              <w:jc w:val="center"/>
              <w:rPr>
                <w:sz w:val="18"/>
                <w:szCs w:val="18"/>
              </w:rPr>
            </w:pPr>
            <w:r w:rsidRPr="009509F0">
              <w:rPr>
                <w:sz w:val="18"/>
                <w:szCs w:val="18"/>
              </w:rPr>
              <w:t>849</w:t>
            </w:r>
            <w:r>
              <w:rPr>
                <w:sz w:val="18"/>
                <w:szCs w:val="18"/>
              </w:rPr>
              <w:t xml:space="preserve"> </w:t>
            </w:r>
            <w:r w:rsidRPr="009509F0">
              <w:rPr>
                <w:sz w:val="18"/>
                <w:szCs w:val="18"/>
              </w:rPr>
              <w:t>989,13</w:t>
            </w:r>
          </w:p>
        </w:tc>
        <w:tc>
          <w:tcPr>
            <w:tcW w:w="1134" w:type="dxa"/>
            <w:vMerge w:val="restart"/>
            <w:tcBorders>
              <w:top w:val="single" w:sz="4" w:space="0" w:color="auto"/>
              <w:left w:val="single" w:sz="4" w:space="0" w:color="auto"/>
              <w:bottom w:val="single" w:sz="4" w:space="0" w:color="000000"/>
              <w:right w:val="single" w:sz="4" w:space="0" w:color="auto"/>
            </w:tcBorders>
            <w:vAlign w:val="center"/>
          </w:tcPr>
          <w:p w:rsidR="001E7B45" w:rsidRPr="009509F0" w:rsidRDefault="001E7B45" w:rsidP="00AD3C83">
            <w:pPr>
              <w:spacing w:after="0" w:line="240" w:lineRule="auto"/>
              <w:jc w:val="center"/>
              <w:rPr>
                <w:sz w:val="18"/>
                <w:szCs w:val="18"/>
              </w:rPr>
            </w:pPr>
            <w:r w:rsidRPr="009509F0">
              <w:rPr>
                <w:sz w:val="18"/>
                <w:szCs w:val="18"/>
              </w:rPr>
              <w:t>829</w:t>
            </w:r>
            <w:r>
              <w:rPr>
                <w:sz w:val="18"/>
                <w:szCs w:val="18"/>
              </w:rPr>
              <w:t xml:space="preserve"> </w:t>
            </w:r>
            <w:r w:rsidRPr="009509F0">
              <w:rPr>
                <w:sz w:val="18"/>
                <w:szCs w:val="18"/>
              </w:rPr>
              <w:t>394,23</w:t>
            </w:r>
          </w:p>
        </w:tc>
      </w:tr>
      <w:tr w:rsidR="001E7B45" w:rsidRPr="009E536C" w:rsidTr="00BD58BF">
        <w:trPr>
          <w:trHeight w:val="384"/>
        </w:trPr>
        <w:tc>
          <w:tcPr>
            <w:tcW w:w="851" w:type="dxa"/>
            <w:vMerge/>
            <w:tcBorders>
              <w:top w:val="nil"/>
              <w:left w:val="single" w:sz="4" w:space="0" w:color="auto"/>
              <w:bottom w:val="single" w:sz="4" w:space="0" w:color="auto"/>
              <w:right w:val="single" w:sz="4" w:space="0" w:color="auto"/>
            </w:tcBorders>
            <w:vAlign w:val="center"/>
          </w:tcPr>
          <w:p w:rsidR="001E7B45" w:rsidRPr="009E536C" w:rsidRDefault="001E7B45" w:rsidP="00AD3C83">
            <w:pPr>
              <w:spacing w:after="0" w:line="240" w:lineRule="auto"/>
              <w:jc w:val="center"/>
              <w:rPr>
                <w:rFonts w:eastAsia="Times New Roman"/>
                <w:sz w:val="20"/>
                <w:szCs w:val="20"/>
              </w:rPr>
            </w:pPr>
          </w:p>
        </w:tc>
        <w:tc>
          <w:tcPr>
            <w:tcW w:w="2551" w:type="dxa"/>
            <w:vMerge/>
            <w:tcBorders>
              <w:top w:val="nil"/>
              <w:left w:val="single" w:sz="4" w:space="0" w:color="auto"/>
              <w:bottom w:val="single" w:sz="4" w:space="0" w:color="auto"/>
              <w:right w:val="single" w:sz="4" w:space="0" w:color="auto"/>
            </w:tcBorders>
            <w:vAlign w:val="center"/>
          </w:tcPr>
          <w:p w:rsidR="001E7B45" w:rsidRPr="009E536C" w:rsidRDefault="001E7B45" w:rsidP="00AD3C83">
            <w:pPr>
              <w:spacing w:after="0" w:line="240" w:lineRule="auto"/>
              <w:rPr>
                <w:rFonts w:eastAsia="Times New Roman"/>
                <w:sz w:val="20"/>
                <w:szCs w:val="20"/>
              </w:rPr>
            </w:pPr>
          </w:p>
        </w:tc>
        <w:tc>
          <w:tcPr>
            <w:tcW w:w="1418" w:type="dxa"/>
            <w:vMerge/>
            <w:tcBorders>
              <w:top w:val="nil"/>
              <w:left w:val="single" w:sz="4" w:space="0" w:color="auto"/>
              <w:bottom w:val="single" w:sz="4" w:space="0" w:color="auto"/>
              <w:right w:val="single" w:sz="4" w:space="0" w:color="auto"/>
            </w:tcBorders>
            <w:vAlign w:val="center"/>
          </w:tcPr>
          <w:p w:rsidR="001E7B45" w:rsidRPr="009E536C" w:rsidRDefault="001E7B45" w:rsidP="00AD3C83">
            <w:pPr>
              <w:spacing w:after="0" w:line="240" w:lineRule="auto"/>
              <w:rPr>
                <w:rFonts w:eastAsia="Times New Roman"/>
                <w:sz w:val="20"/>
                <w:szCs w:val="20"/>
              </w:rPr>
            </w:pPr>
          </w:p>
        </w:tc>
        <w:tc>
          <w:tcPr>
            <w:tcW w:w="1276" w:type="dxa"/>
            <w:vMerge/>
            <w:tcBorders>
              <w:top w:val="nil"/>
              <w:left w:val="single" w:sz="4" w:space="0" w:color="auto"/>
              <w:bottom w:val="single" w:sz="4" w:space="0" w:color="auto"/>
              <w:right w:val="single" w:sz="4" w:space="0" w:color="auto"/>
            </w:tcBorders>
            <w:vAlign w:val="center"/>
          </w:tcPr>
          <w:p w:rsidR="001E7B45" w:rsidRPr="002F5804" w:rsidRDefault="001E7B45" w:rsidP="00AD3C83">
            <w:pPr>
              <w:spacing w:after="0" w:line="240" w:lineRule="auto"/>
              <w:jc w:val="center"/>
              <w:rPr>
                <w:rFonts w:eastAsia="Times New Roman"/>
                <w:sz w:val="20"/>
                <w:szCs w:val="20"/>
              </w:rPr>
            </w:pPr>
          </w:p>
        </w:tc>
        <w:tc>
          <w:tcPr>
            <w:tcW w:w="1134" w:type="dxa"/>
            <w:vMerge/>
            <w:tcBorders>
              <w:top w:val="nil"/>
              <w:left w:val="single" w:sz="4" w:space="0" w:color="auto"/>
              <w:bottom w:val="single" w:sz="4" w:space="0" w:color="auto"/>
              <w:right w:val="single" w:sz="4" w:space="0" w:color="auto"/>
            </w:tcBorders>
            <w:vAlign w:val="center"/>
          </w:tcPr>
          <w:p w:rsidR="001E7B45" w:rsidRPr="002F5804" w:rsidRDefault="001E7B45" w:rsidP="00AD3C83">
            <w:pPr>
              <w:spacing w:after="0" w:line="240" w:lineRule="auto"/>
              <w:jc w:val="center"/>
              <w:rPr>
                <w:rFonts w:eastAsia="Times New Roman"/>
                <w:sz w:val="20"/>
                <w:szCs w:val="20"/>
              </w:rPr>
            </w:pPr>
          </w:p>
        </w:tc>
        <w:tc>
          <w:tcPr>
            <w:tcW w:w="1134" w:type="dxa"/>
            <w:vMerge/>
            <w:tcBorders>
              <w:top w:val="nil"/>
              <w:left w:val="single" w:sz="4" w:space="0" w:color="auto"/>
              <w:bottom w:val="single" w:sz="4" w:space="0" w:color="auto"/>
              <w:right w:val="single" w:sz="4" w:space="0" w:color="auto"/>
            </w:tcBorders>
            <w:vAlign w:val="center"/>
          </w:tcPr>
          <w:p w:rsidR="001E7B45" w:rsidRPr="002F5804" w:rsidRDefault="001E7B45" w:rsidP="00AD3C83">
            <w:pPr>
              <w:spacing w:after="0" w:line="240" w:lineRule="auto"/>
              <w:jc w:val="center"/>
              <w:rPr>
                <w:rFonts w:eastAsia="Times New Roman"/>
                <w:sz w:val="20"/>
                <w:szCs w:val="20"/>
              </w:rPr>
            </w:pPr>
          </w:p>
        </w:tc>
        <w:tc>
          <w:tcPr>
            <w:tcW w:w="1134" w:type="dxa"/>
            <w:vMerge/>
            <w:tcBorders>
              <w:top w:val="nil"/>
              <w:left w:val="single" w:sz="4" w:space="0" w:color="auto"/>
              <w:bottom w:val="single" w:sz="4" w:space="0" w:color="000000"/>
              <w:right w:val="single" w:sz="4" w:space="0" w:color="auto"/>
            </w:tcBorders>
            <w:vAlign w:val="center"/>
          </w:tcPr>
          <w:p w:rsidR="001E7B45" w:rsidRPr="002F5804" w:rsidRDefault="001E7B45" w:rsidP="00AD3C83">
            <w:pPr>
              <w:spacing w:after="0" w:line="240" w:lineRule="auto"/>
              <w:jc w:val="center"/>
              <w:rPr>
                <w:rFonts w:eastAsia="Times New Roman"/>
                <w:sz w:val="20"/>
                <w:szCs w:val="20"/>
              </w:rPr>
            </w:pPr>
          </w:p>
        </w:tc>
      </w:tr>
      <w:tr w:rsidR="001E7B45" w:rsidRPr="009509F0" w:rsidTr="00BD58BF">
        <w:trPr>
          <w:trHeight w:val="384"/>
        </w:trPr>
        <w:tc>
          <w:tcPr>
            <w:tcW w:w="851" w:type="dxa"/>
            <w:vMerge w:val="restart"/>
            <w:tcBorders>
              <w:top w:val="nil"/>
              <w:left w:val="single" w:sz="4" w:space="0" w:color="auto"/>
              <w:bottom w:val="single" w:sz="4" w:space="0" w:color="auto"/>
              <w:right w:val="single" w:sz="4" w:space="0" w:color="auto"/>
            </w:tcBorders>
          </w:tcPr>
          <w:p w:rsidR="001E7B45" w:rsidRPr="009E536C" w:rsidRDefault="001E7B45" w:rsidP="00AD3C83">
            <w:pPr>
              <w:spacing w:after="0" w:line="240" w:lineRule="auto"/>
              <w:jc w:val="center"/>
              <w:rPr>
                <w:rFonts w:eastAsia="Times New Roman"/>
                <w:sz w:val="20"/>
                <w:szCs w:val="20"/>
              </w:rPr>
            </w:pPr>
            <w:r w:rsidRPr="009E536C">
              <w:rPr>
                <w:rFonts w:eastAsia="Times New Roman"/>
                <w:sz w:val="20"/>
                <w:szCs w:val="20"/>
              </w:rPr>
              <w:t>1.2.2.</w:t>
            </w:r>
          </w:p>
        </w:tc>
        <w:tc>
          <w:tcPr>
            <w:tcW w:w="2551" w:type="dxa"/>
            <w:vMerge w:val="restart"/>
            <w:tcBorders>
              <w:top w:val="nil"/>
              <w:left w:val="single" w:sz="4" w:space="0" w:color="auto"/>
              <w:bottom w:val="single" w:sz="4" w:space="0" w:color="auto"/>
              <w:right w:val="single" w:sz="4" w:space="0" w:color="auto"/>
            </w:tcBorders>
          </w:tcPr>
          <w:p w:rsidR="001E7B45" w:rsidRPr="009E536C" w:rsidRDefault="001E7B45" w:rsidP="00AD3C83">
            <w:pPr>
              <w:spacing w:after="0" w:line="240" w:lineRule="auto"/>
              <w:jc w:val="both"/>
              <w:rPr>
                <w:rFonts w:eastAsia="Times New Roman"/>
                <w:sz w:val="20"/>
                <w:szCs w:val="20"/>
              </w:rPr>
            </w:pPr>
            <w:r w:rsidRPr="009E536C">
              <w:rPr>
                <w:rFonts w:eastAsia="Times New Roman"/>
                <w:sz w:val="20"/>
                <w:szCs w:val="20"/>
              </w:rPr>
              <w:t>- ставка на оплату технологического расхода (потерь) в электрических сетях</w:t>
            </w:r>
          </w:p>
        </w:tc>
        <w:tc>
          <w:tcPr>
            <w:tcW w:w="1418" w:type="dxa"/>
            <w:vMerge w:val="restart"/>
            <w:tcBorders>
              <w:top w:val="nil"/>
              <w:left w:val="single" w:sz="4" w:space="0" w:color="auto"/>
              <w:bottom w:val="single" w:sz="4" w:space="0" w:color="auto"/>
              <w:right w:val="single" w:sz="4" w:space="0" w:color="auto"/>
            </w:tcBorders>
            <w:vAlign w:val="center"/>
          </w:tcPr>
          <w:p w:rsidR="001E7B45" w:rsidRPr="009E536C" w:rsidRDefault="001E7B45" w:rsidP="00AD3C83">
            <w:pPr>
              <w:spacing w:after="0" w:line="240" w:lineRule="auto"/>
              <w:jc w:val="center"/>
              <w:rPr>
                <w:rFonts w:eastAsia="Times New Roman"/>
                <w:sz w:val="20"/>
                <w:szCs w:val="20"/>
              </w:rPr>
            </w:pPr>
            <w:r w:rsidRPr="009E536C">
              <w:rPr>
                <w:rFonts w:eastAsia="Times New Roman"/>
                <w:sz w:val="20"/>
                <w:szCs w:val="20"/>
              </w:rPr>
              <w:t>руб./МВт·ч</w:t>
            </w:r>
          </w:p>
        </w:tc>
        <w:tc>
          <w:tcPr>
            <w:tcW w:w="1276" w:type="dxa"/>
            <w:vMerge w:val="restart"/>
            <w:tcBorders>
              <w:top w:val="nil"/>
              <w:left w:val="single" w:sz="4" w:space="0" w:color="auto"/>
              <w:bottom w:val="single" w:sz="4" w:space="0" w:color="auto"/>
              <w:right w:val="single" w:sz="4" w:space="0" w:color="auto"/>
            </w:tcBorders>
            <w:vAlign w:val="center"/>
          </w:tcPr>
          <w:p w:rsidR="001E7B45" w:rsidRPr="009509F0" w:rsidRDefault="001E7B45" w:rsidP="00AD3C83">
            <w:pPr>
              <w:spacing w:after="0" w:line="240" w:lineRule="auto"/>
              <w:jc w:val="center"/>
              <w:rPr>
                <w:sz w:val="18"/>
                <w:szCs w:val="18"/>
              </w:rPr>
            </w:pPr>
            <w:r w:rsidRPr="009509F0">
              <w:rPr>
                <w:sz w:val="18"/>
                <w:szCs w:val="18"/>
              </w:rPr>
              <w:t>124,56</w:t>
            </w:r>
          </w:p>
        </w:tc>
        <w:tc>
          <w:tcPr>
            <w:tcW w:w="1134" w:type="dxa"/>
            <w:vMerge w:val="restart"/>
            <w:tcBorders>
              <w:top w:val="nil"/>
              <w:left w:val="single" w:sz="4" w:space="0" w:color="auto"/>
              <w:bottom w:val="single" w:sz="4" w:space="0" w:color="auto"/>
              <w:right w:val="single" w:sz="4" w:space="0" w:color="auto"/>
            </w:tcBorders>
            <w:vAlign w:val="center"/>
          </w:tcPr>
          <w:p w:rsidR="001E7B45" w:rsidRPr="009509F0" w:rsidRDefault="001E7B45" w:rsidP="00AD3C83">
            <w:pPr>
              <w:spacing w:after="0" w:line="240" w:lineRule="auto"/>
              <w:jc w:val="center"/>
              <w:rPr>
                <w:sz w:val="18"/>
                <w:szCs w:val="18"/>
              </w:rPr>
            </w:pPr>
            <w:r w:rsidRPr="009509F0">
              <w:rPr>
                <w:sz w:val="18"/>
                <w:szCs w:val="18"/>
              </w:rPr>
              <w:t>180,09</w:t>
            </w:r>
          </w:p>
        </w:tc>
        <w:tc>
          <w:tcPr>
            <w:tcW w:w="1134" w:type="dxa"/>
            <w:vMerge w:val="restart"/>
            <w:tcBorders>
              <w:top w:val="nil"/>
              <w:left w:val="single" w:sz="4" w:space="0" w:color="auto"/>
              <w:bottom w:val="single" w:sz="4" w:space="0" w:color="auto"/>
              <w:right w:val="single" w:sz="4" w:space="0" w:color="auto"/>
            </w:tcBorders>
            <w:vAlign w:val="center"/>
          </w:tcPr>
          <w:p w:rsidR="001E7B45" w:rsidRPr="009509F0" w:rsidRDefault="001E7B45" w:rsidP="00AD3C83">
            <w:pPr>
              <w:spacing w:after="0" w:line="240" w:lineRule="auto"/>
              <w:jc w:val="center"/>
              <w:rPr>
                <w:sz w:val="18"/>
                <w:szCs w:val="18"/>
              </w:rPr>
            </w:pPr>
            <w:r w:rsidRPr="009509F0">
              <w:rPr>
                <w:sz w:val="18"/>
                <w:szCs w:val="18"/>
              </w:rPr>
              <w:t>285,10</w:t>
            </w:r>
          </w:p>
        </w:tc>
        <w:tc>
          <w:tcPr>
            <w:tcW w:w="1134" w:type="dxa"/>
            <w:vMerge w:val="restart"/>
            <w:tcBorders>
              <w:top w:val="nil"/>
              <w:left w:val="single" w:sz="4" w:space="0" w:color="auto"/>
              <w:bottom w:val="nil"/>
              <w:right w:val="single" w:sz="4" w:space="0" w:color="auto"/>
            </w:tcBorders>
            <w:vAlign w:val="center"/>
          </w:tcPr>
          <w:p w:rsidR="001E7B45" w:rsidRPr="009509F0" w:rsidRDefault="001E7B45" w:rsidP="00AD3C83">
            <w:pPr>
              <w:spacing w:after="0" w:line="240" w:lineRule="auto"/>
              <w:jc w:val="center"/>
              <w:rPr>
                <w:sz w:val="18"/>
                <w:szCs w:val="18"/>
              </w:rPr>
            </w:pPr>
            <w:r w:rsidRPr="009509F0">
              <w:rPr>
                <w:sz w:val="18"/>
                <w:szCs w:val="18"/>
              </w:rPr>
              <w:t>503,80</w:t>
            </w:r>
          </w:p>
        </w:tc>
      </w:tr>
      <w:tr w:rsidR="001E7B45" w:rsidRPr="009E536C" w:rsidTr="00BD58BF">
        <w:trPr>
          <w:trHeight w:val="384"/>
        </w:trPr>
        <w:tc>
          <w:tcPr>
            <w:tcW w:w="851" w:type="dxa"/>
            <w:vMerge/>
            <w:tcBorders>
              <w:top w:val="nil"/>
              <w:left w:val="single" w:sz="4" w:space="0" w:color="auto"/>
              <w:bottom w:val="single" w:sz="4" w:space="0" w:color="auto"/>
              <w:right w:val="single" w:sz="4" w:space="0" w:color="auto"/>
            </w:tcBorders>
          </w:tcPr>
          <w:p w:rsidR="001E7B45" w:rsidRPr="009E536C" w:rsidRDefault="001E7B45" w:rsidP="00AD3C83">
            <w:pPr>
              <w:spacing w:after="0" w:line="240" w:lineRule="auto"/>
              <w:jc w:val="center"/>
              <w:rPr>
                <w:rFonts w:eastAsia="Times New Roman"/>
                <w:sz w:val="20"/>
                <w:szCs w:val="20"/>
              </w:rPr>
            </w:pPr>
          </w:p>
        </w:tc>
        <w:tc>
          <w:tcPr>
            <w:tcW w:w="2551" w:type="dxa"/>
            <w:vMerge/>
            <w:tcBorders>
              <w:top w:val="nil"/>
              <w:left w:val="single" w:sz="4" w:space="0" w:color="auto"/>
              <w:bottom w:val="single" w:sz="4" w:space="0" w:color="auto"/>
              <w:right w:val="single" w:sz="4" w:space="0" w:color="auto"/>
            </w:tcBorders>
          </w:tcPr>
          <w:p w:rsidR="001E7B45" w:rsidRPr="009E536C" w:rsidRDefault="001E7B45" w:rsidP="00AD3C83">
            <w:pPr>
              <w:spacing w:after="0" w:line="240" w:lineRule="auto"/>
              <w:jc w:val="both"/>
              <w:rPr>
                <w:rFonts w:eastAsia="Times New Roman"/>
                <w:sz w:val="20"/>
                <w:szCs w:val="20"/>
              </w:rPr>
            </w:pPr>
          </w:p>
        </w:tc>
        <w:tc>
          <w:tcPr>
            <w:tcW w:w="1418" w:type="dxa"/>
            <w:vMerge/>
            <w:tcBorders>
              <w:top w:val="nil"/>
              <w:left w:val="single" w:sz="4" w:space="0" w:color="auto"/>
              <w:bottom w:val="single" w:sz="4" w:space="0" w:color="auto"/>
              <w:right w:val="single" w:sz="4" w:space="0" w:color="auto"/>
            </w:tcBorders>
          </w:tcPr>
          <w:p w:rsidR="001E7B45" w:rsidRPr="009E536C" w:rsidRDefault="001E7B45" w:rsidP="00AD3C83">
            <w:pPr>
              <w:spacing w:after="0" w:line="240" w:lineRule="auto"/>
              <w:jc w:val="center"/>
              <w:rPr>
                <w:rFonts w:eastAsia="Times New Roman"/>
                <w:sz w:val="20"/>
                <w:szCs w:val="20"/>
              </w:rPr>
            </w:pPr>
          </w:p>
        </w:tc>
        <w:tc>
          <w:tcPr>
            <w:tcW w:w="1276" w:type="dxa"/>
            <w:vMerge/>
            <w:tcBorders>
              <w:top w:val="nil"/>
              <w:left w:val="single" w:sz="4" w:space="0" w:color="auto"/>
              <w:bottom w:val="single" w:sz="4" w:space="0" w:color="auto"/>
              <w:right w:val="single" w:sz="4" w:space="0" w:color="auto"/>
            </w:tcBorders>
            <w:vAlign w:val="center"/>
          </w:tcPr>
          <w:p w:rsidR="001E7B45" w:rsidRPr="002F5804" w:rsidRDefault="001E7B45" w:rsidP="00AD3C83">
            <w:pPr>
              <w:spacing w:after="0" w:line="240" w:lineRule="auto"/>
              <w:jc w:val="center"/>
              <w:rPr>
                <w:rFonts w:eastAsia="Times New Roman"/>
                <w:bCs/>
                <w:sz w:val="20"/>
                <w:szCs w:val="20"/>
              </w:rPr>
            </w:pPr>
          </w:p>
        </w:tc>
        <w:tc>
          <w:tcPr>
            <w:tcW w:w="1134" w:type="dxa"/>
            <w:vMerge/>
            <w:tcBorders>
              <w:top w:val="nil"/>
              <w:left w:val="single" w:sz="4" w:space="0" w:color="auto"/>
              <w:bottom w:val="single" w:sz="4" w:space="0" w:color="auto"/>
              <w:right w:val="single" w:sz="4" w:space="0" w:color="auto"/>
            </w:tcBorders>
            <w:vAlign w:val="center"/>
          </w:tcPr>
          <w:p w:rsidR="001E7B45" w:rsidRPr="002F5804" w:rsidRDefault="001E7B45" w:rsidP="00AD3C83">
            <w:pPr>
              <w:spacing w:after="0" w:line="240" w:lineRule="auto"/>
              <w:jc w:val="center"/>
              <w:rPr>
                <w:rFonts w:eastAsia="Times New Roman"/>
                <w:bCs/>
                <w:sz w:val="20"/>
                <w:szCs w:val="20"/>
              </w:rPr>
            </w:pPr>
          </w:p>
        </w:tc>
        <w:tc>
          <w:tcPr>
            <w:tcW w:w="1134" w:type="dxa"/>
            <w:vMerge/>
            <w:tcBorders>
              <w:top w:val="nil"/>
              <w:left w:val="single" w:sz="4" w:space="0" w:color="auto"/>
              <w:bottom w:val="single" w:sz="4" w:space="0" w:color="auto"/>
              <w:right w:val="single" w:sz="4" w:space="0" w:color="auto"/>
            </w:tcBorders>
            <w:vAlign w:val="center"/>
          </w:tcPr>
          <w:p w:rsidR="001E7B45" w:rsidRPr="002F5804" w:rsidRDefault="001E7B45" w:rsidP="00AD3C83">
            <w:pPr>
              <w:spacing w:after="0" w:line="240" w:lineRule="auto"/>
              <w:jc w:val="center"/>
              <w:rPr>
                <w:rFonts w:eastAsia="Times New Roman"/>
                <w:bCs/>
                <w:sz w:val="20"/>
                <w:szCs w:val="20"/>
              </w:rPr>
            </w:pPr>
          </w:p>
        </w:tc>
        <w:tc>
          <w:tcPr>
            <w:tcW w:w="1134" w:type="dxa"/>
            <w:vMerge/>
            <w:tcBorders>
              <w:top w:val="nil"/>
              <w:left w:val="single" w:sz="4" w:space="0" w:color="auto"/>
              <w:bottom w:val="nil"/>
              <w:right w:val="single" w:sz="4" w:space="0" w:color="auto"/>
            </w:tcBorders>
            <w:vAlign w:val="center"/>
          </w:tcPr>
          <w:p w:rsidR="001E7B45" w:rsidRPr="002F5804" w:rsidRDefault="001E7B45" w:rsidP="00AD3C83">
            <w:pPr>
              <w:spacing w:after="0" w:line="240" w:lineRule="auto"/>
              <w:jc w:val="center"/>
              <w:rPr>
                <w:rFonts w:eastAsia="Times New Roman"/>
                <w:bCs/>
                <w:sz w:val="20"/>
                <w:szCs w:val="20"/>
              </w:rPr>
            </w:pPr>
          </w:p>
        </w:tc>
      </w:tr>
      <w:tr w:rsidR="001E7B45" w:rsidRPr="009E536C" w:rsidTr="00BD58BF">
        <w:trPr>
          <w:trHeight w:val="384"/>
        </w:trPr>
        <w:tc>
          <w:tcPr>
            <w:tcW w:w="851" w:type="dxa"/>
            <w:vMerge/>
            <w:tcBorders>
              <w:top w:val="nil"/>
              <w:left w:val="single" w:sz="4" w:space="0" w:color="auto"/>
              <w:bottom w:val="single" w:sz="4" w:space="0" w:color="auto"/>
              <w:right w:val="single" w:sz="4" w:space="0" w:color="auto"/>
            </w:tcBorders>
          </w:tcPr>
          <w:p w:rsidR="001E7B45" w:rsidRPr="009E536C" w:rsidRDefault="001E7B45" w:rsidP="00AD3C83">
            <w:pPr>
              <w:spacing w:after="0" w:line="240" w:lineRule="auto"/>
              <w:jc w:val="center"/>
              <w:rPr>
                <w:rFonts w:eastAsia="Times New Roman"/>
                <w:sz w:val="20"/>
                <w:szCs w:val="20"/>
              </w:rPr>
            </w:pPr>
          </w:p>
        </w:tc>
        <w:tc>
          <w:tcPr>
            <w:tcW w:w="2551" w:type="dxa"/>
            <w:vMerge/>
            <w:tcBorders>
              <w:top w:val="nil"/>
              <w:left w:val="single" w:sz="4" w:space="0" w:color="auto"/>
              <w:bottom w:val="single" w:sz="4" w:space="0" w:color="auto"/>
              <w:right w:val="single" w:sz="4" w:space="0" w:color="auto"/>
            </w:tcBorders>
          </w:tcPr>
          <w:p w:rsidR="001E7B45" w:rsidRPr="009E536C" w:rsidRDefault="001E7B45" w:rsidP="00AD3C83">
            <w:pPr>
              <w:spacing w:after="0" w:line="240" w:lineRule="auto"/>
              <w:jc w:val="both"/>
              <w:rPr>
                <w:rFonts w:eastAsia="Times New Roman"/>
                <w:sz w:val="20"/>
                <w:szCs w:val="20"/>
              </w:rPr>
            </w:pPr>
          </w:p>
        </w:tc>
        <w:tc>
          <w:tcPr>
            <w:tcW w:w="1418" w:type="dxa"/>
            <w:vMerge/>
            <w:tcBorders>
              <w:top w:val="nil"/>
              <w:left w:val="single" w:sz="4" w:space="0" w:color="auto"/>
              <w:bottom w:val="single" w:sz="4" w:space="0" w:color="auto"/>
              <w:right w:val="single" w:sz="4" w:space="0" w:color="auto"/>
            </w:tcBorders>
          </w:tcPr>
          <w:p w:rsidR="001E7B45" w:rsidRPr="009E536C" w:rsidRDefault="001E7B45" w:rsidP="00AD3C83">
            <w:pPr>
              <w:spacing w:after="0" w:line="240" w:lineRule="auto"/>
              <w:jc w:val="center"/>
              <w:rPr>
                <w:rFonts w:eastAsia="Times New Roman"/>
                <w:sz w:val="20"/>
                <w:szCs w:val="20"/>
              </w:rPr>
            </w:pPr>
          </w:p>
        </w:tc>
        <w:tc>
          <w:tcPr>
            <w:tcW w:w="1276" w:type="dxa"/>
            <w:vMerge/>
            <w:tcBorders>
              <w:top w:val="nil"/>
              <w:left w:val="single" w:sz="4" w:space="0" w:color="auto"/>
              <w:bottom w:val="single" w:sz="4" w:space="0" w:color="auto"/>
              <w:right w:val="single" w:sz="4" w:space="0" w:color="auto"/>
            </w:tcBorders>
            <w:vAlign w:val="center"/>
          </w:tcPr>
          <w:p w:rsidR="001E7B45" w:rsidRPr="002F5804" w:rsidRDefault="001E7B45" w:rsidP="00AD3C83">
            <w:pPr>
              <w:spacing w:after="0" w:line="240" w:lineRule="auto"/>
              <w:jc w:val="center"/>
              <w:rPr>
                <w:rFonts w:eastAsia="Times New Roman"/>
                <w:bCs/>
                <w:sz w:val="20"/>
                <w:szCs w:val="20"/>
              </w:rPr>
            </w:pPr>
          </w:p>
        </w:tc>
        <w:tc>
          <w:tcPr>
            <w:tcW w:w="1134" w:type="dxa"/>
            <w:vMerge/>
            <w:tcBorders>
              <w:top w:val="nil"/>
              <w:left w:val="single" w:sz="4" w:space="0" w:color="auto"/>
              <w:bottom w:val="single" w:sz="4" w:space="0" w:color="auto"/>
              <w:right w:val="single" w:sz="4" w:space="0" w:color="auto"/>
            </w:tcBorders>
            <w:vAlign w:val="center"/>
          </w:tcPr>
          <w:p w:rsidR="001E7B45" w:rsidRPr="002F5804" w:rsidRDefault="001E7B45" w:rsidP="00AD3C83">
            <w:pPr>
              <w:spacing w:after="0" w:line="240" w:lineRule="auto"/>
              <w:jc w:val="center"/>
              <w:rPr>
                <w:rFonts w:eastAsia="Times New Roman"/>
                <w:bCs/>
                <w:sz w:val="20"/>
                <w:szCs w:val="20"/>
              </w:rPr>
            </w:pPr>
          </w:p>
        </w:tc>
        <w:tc>
          <w:tcPr>
            <w:tcW w:w="1134" w:type="dxa"/>
            <w:vMerge/>
            <w:tcBorders>
              <w:top w:val="nil"/>
              <w:left w:val="single" w:sz="4" w:space="0" w:color="auto"/>
              <w:bottom w:val="single" w:sz="4" w:space="0" w:color="auto"/>
              <w:right w:val="single" w:sz="4" w:space="0" w:color="auto"/>
            </w:tcBorders>
            <w:vAlign w:val="center"/>
          </w:tcPr>
          <w:p w:rsidR="001E7B45" w:rsidRPr="002F5804" w:rsidRDefault="001E7B45" w:rsidP="00AD3C83">
            <w:pPr>
              <w:spacing w:after="0" w:line="240" w:lineRule="auto"/>
              <w:jc w:val="center"/>
              <w:rPr>
                <w:rFonts w:eastAsia="Times New Roman"/>
                <w:bCs/>
                <w:sz w:val="20"/>
                <w:szCs w:val="20"/>
              </w:rPr>
            </w:pPr>
          </w:p>
        </w:tc>
        <w:tc>
          <w:tcPr>
            <w:tcW w:w="1134" w:type="dxa"/>
            <w:vMerge/>
            <w:tcBorders>
              <w:top w:val="nil"/>
              <w:left w:val="single" w:sz="4" w:space="0" w:color="auto"/>
              <w:bottom w:val="single" w:sz="4" w:space="0" w:color="auto"/>
              <w:right w:val="single" w:sz="4" w:space="0" w:color="auto"/>
            </w:tcBorders>
            <w:vAlign w:val="center"/>
          </w:tcPr>
          <w:p w:rsidR="001E7B45" w:rsidRPr="002F5804" w:rsidRDefault="001E7B45" w:rsidP="00AD3C83">
            <w:pPr>
              <w:spacing w:after="0" w:line="240" w:lineRule="auto"/>
              <w:jc w:val="center"/>
              <w:rPr>
                <w:rFonts w:eastAsia="Times New Roman"/>
                <w:bCs/>
                <w:sz w:val="20"/>
                <w:szCs w:val="20"/>
              </w:rPr>
            </w:pPr>
          </w:p>
        </w:tc>
      </w:tr>
      <w:tr w:rsidR="001E7B45" w:rsidRPr="009E536C" w:rsidTr="00BD58BF">
        <w:trPr>
          <w:trHeight w:val="240"/>
        </w:trPr>
        <w:tc>
          <w:tcPr>
            <w:tcW w:w="851" w:type="dxa"/>
            <w:tcBorders>
              <w:top w:val="nil"/>
              <w:left w:val="single" w:sz="4" w:space="0" w:color="auto"/>
              <w:bottom w:val="single" w:sz="4" w:space="0" w:color="auto"/>
              <w:right w:val="single" w:sz="4" w:space="0" w:color="auto"/>
            </w:tcBorders>
          </w:tcPr>
          <w:p w:rsidR="001E7B45" w:rsidRPr="009E536C" w:rsidRDefault="001E7B45" w:rsidP="00AD3C83">
            <w:pPr>
              <w:spacing w:after="0" w:line="240" w:lineRule="auto"/>
              <w:jc w:val="center"/>
              <w:rPr>
                <w:rFonts w:eastAsia="Times New Roman"/>
                <w:sz w:val="20"/>
                <w:szCs w:val="20"/>
              </w:rPr>
            </w:pPr>
            <w:r w:rsidRPr="009E536C">
              <w:rPr>
                <w:rFonts w:eastAsia="Times New Roman"/>
                <w:sz w:val="20"/>
                <w:szCs w:val="20"/>
              </w:rPr>
              <w:t>2</w:t>
            </w:r>
          </w:p>
        </w:tc>
        <w:tc>
          <w:tcPr>
            <w:tcW w:w="8647" w:type="dxa"/>
            <w:gridSpan w:val="6"/>
            <w:tcBorders>
              <w:top w:val="nil"/>
              <w:left w:val="nil"/>
              <w:bottom w:val="single" w:sz="4" w:space="0" w:color="auto"/>
              <w:right w:val="single" w:sz="4" w:space="0" w:color="auto"/>
            </w:tcBorders>
          </w:tcPr>
          <w:p w:rsidR="001E7B45" w:rsidRPr="00577FA1" w:rsidRDefault="001E7B45" w:rsidP="00AD3C83">
            <w:pPr>
              <w:spacing w:after="0" w:line="240" w:lineRule="auto"/>
              <w:jc w:val="center"/>
              <w:rPr>
                <w:rFonts w:eastAsia="Times New Roman"/>
                <w:b/>
                <w:sz w:val="20"/>
                <w:szCs w:val="20"/>
              </w:rPr>
            </w:pPr>
            <w:r w:rsidRPr="00577FA1">
              <w:rPr>
                <w:rFonts w:eastAsia="Times New Roman"/>
                <w:b/>
                <w:bCs/>
                <w:sz w:val="20"/>
                <w:szCs w:val="20"/>
              </w:rPr>
              <w:t>2 полугодие 2020 года</w:t>
            </w:r>
          </w:p>
        </w:tc>
      </w:tr>
      <w:tr w:rsidR="001E7B45" w:rsidRPr="009E536C" w:rsidTr="00BD58BF">
        <w:trPr>
          <w:trHeight w:val="349"/>
        </w:trPr>
        <w:tc>
          <w:tcPr>
            <w:tcW w:w="851" w:type="dxa"/>
            <w:tcBorders>
              <w:top w:val="nil"/>
              <w:left w:val="single" w:sz="4" w:space="0" w:color="auto"/>
              <w:bottom w:val="single" w:sz="4" w:space="0" w:color="auto"/>
              <w:right w:val="single" w:sz="4" w:space="0" w:color="auto"/>
            </w:tcBorders>
          </w:tcPr>
          <w:p w:rsidR="001E7B45" w:rsidRPr="009E536C" w:rsidRDefault="001E7B45" w:rsidP="00AD3C83">
            <w:pPr>
              <w:spacing w:after="0" w:line="240" w:lineRule="auto"/>
              <w:jc w:val="center"/>
              <w:rPr>
                <w:rFonts w:eastAsia="Times New Roman"/>
                <w:sz w:val="20"/>
                <w:szCs w:val="20"/>
              </w:rPr>
            </w:pPr>
            <w:r w:rsidRPr="009E536C">
              <w:rPr>
                <w:rFonts w:eastAsia="Times New Roman"/>
                <w:sz w:val="20"/>
                <w:szCs w:val="20"/>
              </w:rPr>
              <w:t>2.1.</w:t>
            </w:r>
          </w:p>
        </w:tc>
        <w:tc>
          <w:tcPr>
            <w:tcW w:w="2551" w:type="dxa"/>
            <w:tcBorders>
              <w:top w:val="nil"/>
              <w:left w:val="nil"/>
              <w:bottom w:val="single" w:sz="4" w:space="0" w:color="auto"/>
              <w:right w:val="single" w:sz="4" w:space="0" w:color="auto"/>
            </w:tcBorders>
          </w:tcPr>
          <w:p w:rsidR="001E7B45" w:rsidRPr="009E536C" w:rsidRDefault="001E7B45" w:rsidP="00AD3C83">
            <w:pPr>
              <w:spacing w:after="0" w:line="240" w:lineRule="auto"/>
              <w:jc w:val="both"/>
              <w:rPr>
                <w:rFonts w:eastAsia="Times New Roman"/>
                <w:sz w:val="20"/>
                <w:szCs w:val="20"/>
              </w:rPr>
            </w:pPr>
            <w:r w:rsidRPr="009E536C">
              <w:rPr>
                <w:rFonts w:eastAsia="Times New Roman"/>
                <w:sz w:val="20"/>
                <w:szCs w:val="20"/>
              </w:rPr>
              <w:t>Одноставочный тариф</w:t>
            </w:r>
          </w:p>
        </w:tc>
        <w:tc>
          <w:tcPr>
            <w:tcW w:w="1418" w:type="dxa"/>
            <w:tcBorders>
              <w:top w:val="nil"/>
              <w:left w:val="nil"/>
              <w:bottom w:val="single" w:sz="4" w:space="0" w:color="auto"/>
              <w:right w:val="single" w:sz="4" w:space="0" w:color="auto"/>
            </w:tcBorders>
          </w:tcPr>
          <w:p w:rsidR="001E7B45" w:rsidRPr="009E536C" w:rsidRDefault="001E7B45" w:rsidP="00AD3C83">
            <w:pPr>
              <w:spacing w:after="0" w:line="240" w:lineRule="auto"/>
              <w:jc w:val="center"/>
              <w:rPr>
                <w:rFonts w:eastAsia="Times New Roman"/>
                <w:sz w:val="20"/>
                <w:szCs w:val="20"/>
              </w:rPr>
            </w:pPr>
            <w:r w:rsidRPr="009E536C">
              <w:rPr>
                <w:rFonts w:eastAsia="Times New Roman"/>
                <w:sz w:val="20"/>
                <w:szCs w:val="20"/>
              </w:rPr>
              <w:t>руб./кВт·ч</w:t>
            </w:r>
          </w:p>
        </w:tc>
        <w:tc>
          <w:tcPr>
            <w:tcW w:w="1276" w:type="dxa"/>
            <w:tcBorders>
              <w:top w:val="nil"/>
              <w:left w:val="nil"/>
              <w:bottom w:val="single" w:sz="4" w:space="0" w:color="auto"/>
              <w:right w:val="single" w:sz="4" w:space="0" w:color="auto"/>
            </w:tcBorders>
          </w:tcPr>
          <w:p w:rsidR="001E7B45" w:rsidRPr="009509F0" w:rsidRDefault="001E7B45" w:rsidP="00AD3C83">
            <w:pPr>
              <w:spacing w:after="0" w:line="240" w:lineRule="auto"/>
              <w:jc w:val="center"/>
              <w:rPr>
                <w:sz w:val="18"/>
                <w:szCs w:val="18"/>
              </w:rPr>
            </w:pPr>
            <w:r w:rsidRPr="009509F0">
              <w:rPr>
                <w:sz w:val="18"/>
                <w:szCs w:val="18"/>
              </w:rPr>
              <w:t>1,11265</w:t>
            </w:r>
          </w:p>
        </w:tc>
        <w:tc>
          <w:tcPr>
            <w:tcW w:w="1134" w:type="dxa"/>
            <w:tcBorders>
              <w:top w:val="nil"/>
              <w:left w:val="nil"/>
              <w:bottom w:val="single" w:sz="4" w:space="0" w:color="auto"/>
              <w:right w:val="single" w:sz="4" w:space="0" w:color="auto"/>
            </w:tcBorders>
          </w:tcPr>
          <w:p w:rsidR="001E7B45" w:rsidRPr="009509F0" w:rsidRDefault="001E7B45" w:rsidP="00AD3C83">
            <w:pPr>
              <w:spacing w:after="0" w:line="240" w:lineRule="auto"/>
              <w:jc w:val="center"/>
              <w:rPr>
                <w:sz w:val="18"/>
                <w:szCs w:val="18"/>
              </w:rPr>
            </w:pPr>
            <w:r w:rsidRPr="009509F0">
              <w:rPr>
                <w:sz w:val="18"/>
                <w:szCs w:val="18"/>
              </w:rPr>
              <w:t>1,53614</w:t>
            </w:r>
          </w:p>
        </w:tc>
        <w:tc>
          <w:tcPr>
            <w:tcW w:w="1134" w:type="dxa"/>
            <w:tcBorders>
              <w:top w:val="nil"/>
              <w:left w:val="nil"/>
              <w:bottom w:val="single" w:sz="4" w:space="0" w:color="auto"/>
              <w:right w:val="single" w:sz="4" w:space="0" w:color="auto"/>
            </w:tcBorders>
          </w:tcPr>
          <w:p w:rsidR="001E7B45" w:rsidRPr="009509F0" w:rsidRDefault="001E7B45" w:rsidP="00AD3C83">
            <w:pPr>
              <w:spacing w:after="0" w:line="240" w:lineRule="auto"/>
              <w:jc w:val="center"/>
              <w:rPr>
                <w:sz w:val="18"/>
                <w:szCs w:val="18"/>
              </w:rPr>
            </w:pPr>
            <w:r w:rsidRPr="009509F0">
              <w:rPr>
                <w:sz w:val="18"/>
                <w:szCs w:val="18"/>
              </w:rPr>
              <w:t>1,58062</w:t>
            </w:r>
          </w:p>
        </w:tc>
        <w:tc>
          <w:tcPr>
            <w:tcW w:w="1134" w:type="dxa"/>
            <w:tcBorders>
              <w:top w:val="nil"/>
              <w:left w:val="nil"/>
              <w:bottom w:val="single" w:sz="4" w:space="0" w:color="auto"/>
              <w:right w:val="single" w:sz="4" w:space="0" w:color="auto"/>
            </w:tcBorders>
          </w:tcPr>
          <w:p w:rsidR="001E7B45" w:rsidRPr="009509F0" w:rsidRDefault="001E7B45" w:rsidP="00AD3C83">
            <w:pPr>
              <w:spacing w:after="0" w:line="240" w:lineRule="auto"/>
              <w:jc w:val="center"/>
              <w:rPr>
                <w:sz w:val="18"/>
                <w:szCs w:val="18"/>
              </w:rPr>
            </w:pPr>
            <w:r w:rsidRPr="009509F0">
              <w:rPr>
                <w:sz w:val="18"/>
                <w:szCs w:val="18"/>
              </w:rPr>
              <w:t>1,82306</w:t>
            </w:r>
          </w:p>
        </w:tc>
      </w:tr>
      <w:tr w:rsidR="001E7B45" w:rsidRPr="009E536C" w:rsidTr="00BD58BF">
        <w:trPr>
          <w:trHeight w:val="375"/>
        </w:trPr>
        <w:tc>
          <w:tcPr>
            <w:tcW w:w="851" w:type="dxa"/>
            <w:tcBorders>
              <w:top w:val="nil"/>
              <w:left w:val="single" w:sz="4" w:space="0" w:color="auto"/>
              <w:bottom w:val="single" w:sz="4" w:space="0" w:color="auto"/>
              <w:right w:val="single" w:sz="4" w:space="0" w:color="auto"/>
            </w:tcBorders>
          </w:tcPr>
          <w:p w:rsidR="001E7B45" w:rsidRPr="009E536C" w:rsidRDefault="001E7B45" w:rsidP="00AD3C83">
            <w:pPr>
              <w:spacing w:after="0" w:line="240" w:lineRule="auto"/>
              <w:jc w:val="center"/>
              <w:rPr>
                <w:rFonts w:eastAsia="Times New Roman"/>
                <w:sz w:val="20"/>
                <w:szCs w:val="20"/>
              </w:rPr>
            </w:pPr>
            <w:r w:rsidRPr="009E536C">
              <w:rPr>
                <w:rFonts w:eastAsia="Times New Roman"/>
                <w:sz w:val="20"/>
                <w:szCs w:val="20"/>
              </w:rPr>
              <w:t>2.2.</w:t>
            </w:r>
          </w:p>
        </w:tc>
        <w:tc>
          <w:tcPr>
            <w:tcW w:w="8647" w:type="dxa"/>
            <w:gridSpan w:val="6"/>
            <w:tcBorders>
              <w:top w:val="single" w:sz="4" w:space="0" w:color="auto"/>
              <w:left w:val="nil"/>
              <w:bottom w:val="single" w:sz="4" w:space="0" w:color="auto"/>
              <w:right w:val="single" w:sz="4" w:space="0" w:color="auto"/>
            </w:tcBorders>
          </w:tcPr>
          <w:p w:rsidR="001E7B45" w:rsidRPr="002F5804" w:rsidRDefault="001E7B45" w:rsidP="00AD3C83">
            <w:pPr>
              <w:spacing w:after="0" w:line="240" w:lineRule="auto"/>
              <w:jc w:val="center"/>
              <w:rPr>
                <w:rFonts w:eastAsia="Times New Roman"/>
                <w:sz w:val="20"/>
                <w:szCs w:val="20"/>
              </w:rPr>
            </w:pPr>
            <w:r w:rsidRPr="002F5804">
              <w:rPr>
                <w:rFonts w:eastAsia="Times New Roman"/>
                <w:sz w:val="20"/>
                <w:szCs w:val="20"/>
              </w:rPr>
              <w:t>Двухставочный тариф</w:t>
            </w:r>
          </w:p>
        </w:tc>
      </w:tr>
      <w:tr w:rsidR="001E7B45" w:rsidRPr="009E536C" w:rsidTr="00BD58BF">
        <w:trPr>
          <w:trHeight w:val="384"/>
        </w:trPr>
        <w:tc>
          <w:tcPr>
            <w:tcW w:w="851" w:type="dxa"/>
            <w:vMerge w:val="restart"/>
            <w:tcBorders>
              <w:top w:val="nil"/>
              <w:left w:val="single" w:sz="4" w:space="0" w:color="auto"/>
              <w:bottom w:val="single" w:sz="4" w:space="0" w:color="auto"/>
              <w:right w:val="single" w:sz="4" w:space="0" w:color="auto"/>
            </w:tcBorders>
          </w:tcPr>
          <w:p w:rsidR="001E7B45" w:rsidRPr="009E536C" w:rsidRDefault="001E7B45" w:rsidP="00AD3C83">
            <w:pPr>
              <w:spacing w:after="0" w:line="240" w:lineRule="auto"/>
              <w:jc w:val="center"/>
              <w:rPr>
                <w:rFonts w:eastAsia="Times New Roman"/>
                <w:sz w:val="20"/>
                <w:szCs w:val="20"/>
              </w:rPr>
            </w:pPr>
            <w:r w:rsidRPr="009E536C">
              <w:rPr>
                <w:rFonts w:eastAsia="Times New Roman"/>
                <w:sz w:val="20"/>
                <w:szCs w:val="20"/>
              </w:rPr>
              <w:t>2.2.1</w:t>
            </w:r>
          </w:p>
        </w:tc>
        <w:tc>
          <w:tcPr>
            <w:tcW w:w="2551" w:type="dxa"/>
            <w:vMerge w:val="restart"/>
            <w:tcBorders>
              <w:top w:val="nil"/>
              <w:left w:val="single" w:sz="4" w:space="0" w:color="auto"/>
              <w:bottom w:val="single" w:sz="4" w:space="0" w:color="auto"/>
              <w:right w:val="single" w:sz="4" w:space="0" w:color="auto"/>
            </w:tcBorders>
          </w:tcPr>
          <w:p w:rsidR="001E7B45" w:rsidRPr="009E536C" w:rsidRDefault="001E7B45" w:rsidP="00AD3C83">
            <w:pPr>
              <w:spacing w:after="0" w:line="240" w:lineRule="auto"/>
              <w:jc w:val="both"/>
              <w:rPr>
                <w:rFonts w:eastAsia="Times New Roman"/>
                <w:sz w:val="20"/>
                <w:szCs w:val="20"/>
              </w:rPr>
            </w:pPr>
            <w:r w:rsidRPr="009E536C">
              <w:rPr>
                <w:rFonts w:eastAsia="Times New Roman"/>
                <w:sz w:val="20"/>
                <w:szCs w:val="20"/>
              </w:rPr>
              <w:t>- ставка за содержание электрических сетей</w:t>
            </w:r>
          </w:p>
        </w:tc>
        <w:tc>
          <w:tcPr>
            <w:tcW w:w="1418" w:type="dxa"/>
            <w:vMerge w:val="restart"/>
            <w:tcBorders>
              <w:top w:val="nil"/>
              <w:left w:val="single" w:sz="4" w:space="0" w:color="auto"/>
              <w:bottom w:val="single" w:sz="4" w:space="0" w:color="auto"/>
              <w:right w:val="single" w:sz="4" w:space="0" w:color="auto"/>
            </w:tcBorders>
          </w:tcPr>
          <w:p w:rsidR="001E7B45" w:rsidRPr="009E536C" w:rsidRDefault="001E7B45" w:rsidP="00AD3C83">
            <w:pPr>
              <w:spacing w:after="0" w:line="240" w:lineRule="auto"/>
              <w:jc w:val="center"/>
              <w:rPr>
                <w:rFonts w:eastAsia="Times New Roman"/>
                <w:sz w:val="20"/>
                <w:szCs w:val="20"/>
              </w:rPr>
            </w:pPr>
            <w:r w:rsidRPr="009E536C">
              <w:rPr>
                <w:rFonts w:eastAsia="Times New Roman"/>
                <w:sz w:val="20"/>
                <w:szCs w:val="20"/>
              </w:rPr>
              <w:t>руб./МВт· мес.</w:t>
            </w:r>
          </w:p>
        </w:tc>
        <w:tc>
          <w:tcPr>
            <w:tcW w:w="1276" w:type="dxa"/>
            <w:vMerge w:val="restart"/>
            <w:tcBorders>
              <w:top w:val="nil"/>
              <w:left w:val="single" w:sz="4" w:space="0" w:color="auto"/>
              <w:bottom w:val="single" w:sz="4" w:space="0" w:color="auto"/>
              <w:right w:val="single" w:sz="4" w:space="0" w:color="auto"/>
            </w:tcBorders>
            <w:vAlign w:val="center"/>
          </w:tcPr>
          <w:p w:rsidR="001E7B45" w:rsidRPr="009509F0" w:rsidRDefault="001E7B45" w:rsidP="00AD3C83">
            <w:pPr>
              <w:spacing w:after="0" w:line="240" w:lineRule="auto"/>
              <w:jc w:val="center"/>
              <w:rPr>
                <w:sz w:val="18"/>
                <w:szCs w:val="18"/>
              </w:rPr>
            </w:pPr>
            <w:r w:rsidRPr="009509F0">
              <w:rPr>
                <w:sz w:val="18"/>
                <w:szCs w:val="18"/>
              </w:rPr>
              <w:t>656 217,57</w:t>
            </w:r>
          </w:p>
        </w:tc>
        <w:tc>
          <w:tcPr>
            <w:tcW w:w="1134" w:type="dxa"/>
            <w:vMerge w:val="restart"/>
            <w:tcBorders>
              <w:top w:val="nil"/>
              <w:left w:val="single" w:sz="4" w:space="0" w:color="auto"/>
              <w:bottom w:val="single" w:sz="4" w:space="0" w:color="auto"/>
              <w:right w:val="single" w:sz="4" w:space="0" w:color="auto"/>
            </w:tcBorders>
            <w:vAlign w:val="center"/>
          </w:tcPr>
          <w:p w:rsidR="001E7B45" w:rsidRPr="009509F0" w:rsidRDefault="001E7B45" w:rsidP="00AD3C83">
            <w:pPr>
              <w:spacing w:after="0" w:line="240" w:lineRule="auto"/>
              <w:jc w:val="center"/>
              <w:rPr>
                <w:sz w:val="18"/>
                <w:szCs w:val="18"/>
              </w:rPr>
            </w:pPr>
            <w:r w:rsidRPr="009509F0">
              <w:rPr>
                <w:sz w:val="18"/>
                <w:szCs w:val="18"/>
              </w:rPr>
              <w:t>891 322,49</w:t>
            </w:r>
          </w:p>
        </w:tc>
        <w:tc>
          <w:tcPr>
            <w:tcW w:w="1134" w:type="dxa"/>
            <w:vMerge w:val="restart"/>
            <w:tcBorders>
              <w:top w:val="nil"/>
              <w:left w:val="single" w:sz="4" w:space="0" w:color="auto"/>
              <w:bottom w:val="single" w:sz="4" w:space="0" w:color="auto"/>
              <w:right w:val="single" w:sz="4" w:space="0" w:color="auto"/>
            </w:tcBorders>
            <w:vAlign w:val="center"/>
          </w:tcPr>
          <w:p w:rsidR="001E7B45" w:rsidRPr="009509F0" w:rsidRDefault="001E7B45" w:rsidP="00AD3C83">
            <w:pPr>
              <w:spacing w:after="0" w:line="240" w:lineRule="auto"/>
              <w:jc w:val="center"/>
              <w:rPr>
                <w:sz w:val="18"/>
                <w:szCs w:val="18"/>
              </w:rPr>
            </w:pPr>
            <w:r w:rsidRPr="009509F0">
              <w:rPr>
                <w:sz w:val="18"/>
                <w:szCs w:val="18"/>
              </w:rPr>
              <w:t>849 989,13</w:t>
            </w:r>
          </w:p>
        </w:tc>
        <w:tc>
          <w:tcPr>
            <w:tcW w:w="1134" w:type="dxa"/>
            <w:vMerge w:val="restart"/>
            <w:tcBorders>
              <w:top w:val="nil"/>
              <w:left w:val="single" w:sz="4" w:space="0" w:color="auto"/>
              <w:bottom w:val="single" w:sz="4" w:space="0" w:color="000000"/>
              <w:right w:val="single" w:sz="4" w:space="0" w:color="auto"/>
            </w:tcBorders>
            <w:vAlign w:val="center"/>
          </w:tcPr>
          <w:p w:rsidR="001E7B45" w:rsidRPr="009509F0" w:rsidRDefault="001E7B45" w:rsidP="00AD3C83">
            <w:pPr>
              <w:spacing w:after="0" w:line="240" w:lineRule="auto"/>
              <w:jc w:val="center"/>
              <w:rPr>
                <w:sz w:val="18"/>
                <w:szCs w:val="18"/>
              </w:rPr>
            </w:pPr>
            <w:r w:rsidRPr="009509F0">
              <w:rPr>
                <w:sz w:val="18"/>
                <w:szCs w:val="18"/>
              </w:rPr>
              <w:t>829 394,23</w:t>
            </w:r>
          </w:p>
        </w:tc>
      </w:tr>
      <w:tr w:rsidR="001E7B45" w:rsidRPr="009E536C" w:rsidTr="00BD58BF">
        <w:trPr>
          <w:trHeight w:val="384"/>
        </w:trPr>
        <w:tc>
          <w:tcPr>
            <w:tcW w:w="851" w:type="dxa"/>
            <w:vMerge/>
            <w:tcBorders>
              <w:top w:val="nil"/>
              <w:left w:val="single" w:sz="4" w:space="0" w:color="auto"/>
              <w:bottom w:val="single" w:sz="4" w:space="0" w:color="auto"/>
              <w:right w:val="single" w:sz="4" w:space="0" w:color="auto"/>
            </w:tcBorders>
            <w:vAlign w:val="center"/>
          </w:tcPr>
          <w:p w:rsidR="001E7B45" w:rsidRPr="009E536C" w:rsidRDefault="001E7B45" w:rsidP="00AD3C83">
            <w:pPr>
              <w:spacing w:after="0" w:line="240" w:lineRule="auto"/>
              <w:jc w:val="center"/>
              <w:rPr>
                <w:rFonts w:eastAsia="Times New Roman"/>
                <w:sz w:val="20"/>
                <w:szCs w:val="20"/>
              </w:rPr>
            </w:pPr>
          </w:p>
        </w:tc>
        <w:tc>
          <w:tcPr>
            <w:tcW w:w="2551" w:type="dxa"/>
            <w:vMerge/>
            <w:tcBorders>
              <w:top w:val="nil"/>
              <w:left w:val="single" w:sz="4" w:space="0" w:color="auto"/>
              <w:bottom w:val="single" w:sz="4" w:space="0" w:color="auto"/>
              <w:right w:val="single" w:sz="4" w:space="0" w:color="auto"/>
            </w:tcBorders>
            <w:vAlign w:val="center"/>
          </w:tcPr>
          <w:p w:rsidR="001E7B45" w:rsidRPr="009E536C" w:rsidRDefault="001E7B45" w:rsidP="00AD3C83">
            <w:pPr>
              <w:spacing w:after="0" w:line="240" w:lineRule="auto"/>
              <w:rPr>
                <w:rFonts w:eastAsia="Times New Roman"/>
                <w:sz w:val="20"/>
                <w:szCs w:val="20"/>
              </w:rPr>
            </w:pPr>
          </w:p>
        </w:tc>
        <w:tc>
          <w:tcPr>
            <w:tcW w:w="1418" w:type="dxa"/>
            <w:vMerge/>
            <w:tcBorders>
              <w:top w:val="nil"/>
              <w:left w:val="single" w:sz="4" w:space="0" w:color="auto"/>
              <w:bottom w:val="single" w:sz="4" w:space="0" w:color="auto"/>
              <w:right w:val="single" w:sz="4" w:space="0" w:color="auto"/>
            </w:tcBorders>
            <w:vAlign w:val="center"/>
          </w:tcPr>
          <w:p w:rsidR="001E7B45" w:rsidRPr="009E536C" w:rsidRDefault="001E7B45" w:rsidP="00AD3C83">
            <w:pPr>
              <w:spacing w:after="0" w:line="240" w:lineRule="auto"/>
              <w:rPr>
                <w:rFonts w:eastAsia="Times New Roman"/>
                <w:sz w:val="20"/>
                <w:szCs w:val="20"/>
              </w:rPr>
            </w:pPr>
          </w:p>
        </w:tc>
        <w:tc>
          <w:tcPr>
            <w:tcW w:w="1276" w:type="dxa"/>
            <w:vMerge/>
            <w:tcBorders>
              <w:top w:val="nil"/>
              <w:left w:val="single" w:sz="4" w:space="0" w:color="auto"/>
              <w:bottom w:val="single" w:sz="4" w:space="0" w:color="auto"/>
              <w:right w:val="single" w:sz="4" w:space="0" w:color="auto"/>
            </w:tcBorders>
            <w:vAlign w:val="center"/>
          </w:tcPr>
          <w:p w:rsidR="001E7B45" w:rsidRPr="002F5804" w:rsidRDefault="001E7B45" w:rsidP="00AD3C83">
            <w:pPr>
              <w:spacing w:after="0" w:line="240" w:lineRule="auto"/>
              <w:jc w:val="center"/>
              <w:rPr>
                <w:rFonts w:eastAsia="Times New Roman"/>
                <w:sz w:val="20"/>
                <w:szCs w:val="20"/>
              </w:rPr>
            </w:pPr>
          </w:p>
        </w:tc>
        <w:tc>
          <w:tcPr>
            <w:tcW w:w="1134" w:type="dxa"/>
            <w:vMerge/>
            <w:tcBorders>
              <w:top w:val="nil"/>
              <w:left w:val="single" w:sz="4" w:space="0" w:color="auto"/>
              <w:bottom w:val="single" w:sz="4" w:space="0" w:color="auto"/>
              <w:right w:val="single" w:sz="4" w:space="0" w:color="auto"/>
            </w:tcBorders>
            <w:vAlign w:val="center"/>
          </w:tcPr>
          <w:p w:rsidR="001E7B45" w:rsidRPr="002F5804" w:rsidRDefault="001E7B45" w:rsidP="00AD3C83">
            <w:pPr>
              <w:spacing w:after="0" w:line="240" w:lineRule="auto"/>
              <w:jc w:val="center"/>
              <w:rPr>
                <w:rFonts w:eastAsia="Times New Roman"/>
                <w:sz w:val="20"/>
                <w:szCs w:val="20"/>
              </w:rPr>
            </w:pPr>
          </w:p>
        </w:tc>
        <w:tc>
          <w:tcPr>
            <w:tcW w:w="1134" w:type="dxa"/>
            <w:vMerge/>
            <w:tcBorders>
              <w:top w:val="nil"/>
              <w:left w:val="single" w:sz="4" w:space="0" w:color="auto"/>
              <w:bottom w:val="single" w:sz="4" w:space="0" w:color="auto"/>
              <w:right w:val="single" w:sz="4" w:space="0" w:color="auto"/>
            </w:tcBorders>
            <w:vAlign w:val="center"/>
          </w:tcPr>
          <w:p w:rsidR="001E7B45" w:rsidRPr="002F5804" w:rsidRDefault="001E7B45" w:rsidP="00AD3C83">
            <w:pPr>
              <w:spacing w:after="0" w:line="240" w:lineRule="auto"/>
              <w:jc w:val="center"/>
              <w:rPr>
                <w:rFonts w:eastAsia="Times New Roman"/>
                <w:sz w:val="20"/>
                <w:szCs w:val="20"/>
              </w:rPr>
            </w:pPr>
          </w:p>
        </w:tc>
        <w:tc>
          <w:tcPr>
            <w:tcW w:w="1134" w:type="dxa"/>
            <w:vMerge/>
            <w:tcBorders>
              <w:top w:val="nil"/>
              <w:left w:val="single" w:sz="4" w:space="0" w:color="auto"/>
              <w:bottom w:val="single" w:sz="4" w:space="0" w:color="000000"/>
              <w:right w:val="single" w:sz="4" w:space="0" w:color="auto"/>
            </w:tcBorders>
            <w:vAlign w:val="center"/>
          </w:tcPr>
          <w:p w:rsidR="001E7B45" w:rsidRPr="002F5804" w:rsidRDefault="001E7B45" w:rsidP="00AD3C83">
            <w:pPr>
              <w:spacing w:after="0" w:line="240" w:lineRule="auto"/>
              <w:jc w:val="center"/>
              <w:rPr>
                <w:rFonts w:eastAsia="Times New Roman"/>
                <w:sz w:val="20"/>
                <w:szCs w:val="20"/>
              </w:rPr>
            </w:pPr>
          </w:p>
        </w:tc>
      </w:tr>
      <w:tr w:rsidR="001E7B45" w:rsidRPr="009E536C" w:rsidTr="00BD58BF">
        <w:trPr>
          <w:trHeight w:val="315"/>
        </w:trPr>
        <w:tc>
          <w:tcPr>
            <w:tcW w:w="851" w:type="dxa"/>
            <w:tcBorders>
              <w:top w:val="nil"/>
              <w:left w:val="single" w:sz="4" w:space="0" w:color="auto"/>
              <w:bottom w:val="single" w:sz="4" w:space="0" w:color="auto"/>
              <w:right w:val="single" w:sz="4" w:space="0" w:color="auto"/>
            </w:tcBorders>
          </w:tcPr>
          <w:p w:rsidR="001E7B45" w:rsidRPr="009E536C" w:rsidRDefault="001E7B45" w:rsidP="00AD3C83">
            <w:pPr>
              <w:spacing w:after="0" w:line="240" w:lineRule="auto"/>
              <w:jc w:val="center"/>
              <w:rPr>
                <w:rFonts w:eastAsia="Times New Roman"/>
                <w:sz w:val="20"/>
                <w:szCs w:val="20"/>
              </w:rPr>
            </w:pPr>
            <w:r w:rsidRPr="009E536C">
              <w:rPr>
                <w:rFonts w:eastAsia="Times New Roman"/>
                <w:sz w:val="20"/>
                <w:szCs w:val="20"/>
              </w:rPr>
              <w:t>2.2.2</w:t>
            </w:r>
          </w:p>
        </w:tc>
        <w:tc>
          <w:tcPr>
            <w:tcW w:w="2551" w:type="dxa"/>
            <w:tcBorders>
              <w:top w:val="nil"/>
              <w:left w:val="single" w:sz="4" w:space="0" w:color="auto"/>
              <w:bottom w:val="single" w:sz="4" w:space="0" w:color="auto"/>
              <w:right w:val="single" w:sz="4" w:space="0" w:color="auto"/>
            </w:tcBorders>
          </w:tcPr>
          <w:p w:rsidR="001E7B45" w:rsidRPr="009E536C" w:rsidRDefault="001E7B45" w:rsidP="00AD3C83">
            <w:pPr>
              <w:spacing w:after="0" w:line="240" w:lineRule="auto"/>
              <w:jc w:val="both"/>
              <w:rPr>
                <w:rFonts w:eastAsia="Times New Roman"/>
                <w:sz w:val="20"/>
                <w:szCs w:val="20"/>
              </w:rPr>
            </w:pPr>
            <w:r w:rsidRPr="009E536C">
              <w:rPr>
                <w:rFonts w:eastAsia="Times New Roman"/>
                <w:sz w:val="20"/>
                <w:szCs w:val="20"/>
              </w:rPr>
              <w:t>- ставка на оплату технологического расхода (потерь) в электрических сетях</w:t>
            </w:r>
          </w:p>
        </w:tc>
        <w:tc>
          <w:tcPr>
            <w:tcW w:w="1418" w:type="dxa"/>
            <w:tcBorders>
              <w:top w:val="nil"/>
              <w:left w:val="single" w:sz="4" w:space="0" w:color="auto"/>
              <w:bottom w:val="single" w:sz="4" w:space="0" w:color="auto"/>
              <w:right w:val="single" w:sz="4" w:space="0" w:color="auto"/>
            </w:tcBorders>
            <w:vAlign w:val="center"/>
          </w:tcPr>
          <w:p w:rsidR="001E7B45" w:rsidRPr="009E536C" w:rsidRDefault="001E7B45" w:rsidP="00AD3C83">
            <w:pPr>
              <w:spacing w:after="0" w:line="240" w:lineRule="auto"/>
              <w:jc w:val="center"/>
              <w:rPr>
                <w:rFonts w:eastAsia="Times New Roman"/>
                <w:sz w:val="20"/>
                <w:szCs w:val="20"/>
              </w:rPr>
            </w:pPr>
            <w:r w:rsidRPr="009E536C">
              <w:rPr>
                <w:rFonts w:eastAsia="Times New Roman"/>
                <w:sz w:val="20"/>
                <w:szCs w:val="20"/>
              </w:rPr>
              <w:t>руб./МВт·ч</w:t>
            </w:r>
          </w:p>
        </w:tc>
        <w:tc>
          <w:tcPr>
            <w:tcW w:w="1276" w:type="dxa"/>
            <w:tcBorders>
              <w:top w:val="nil"/>
              <w:left w:val="single" w:sz="4" w:space="0" w:color="auto"/>
              <w:bottom w:val="single" w:sz="4" w:space="0" w:color="auto"/>
              <w:right w:val="single" w:sz="4" w:space="0" w:color="auto"/>
            </w:tcBorders>
            <w:vAlign w:val="center"/>
          </w:tcPr>
          <w:p w:rsidR="001E7B45" w:rsidRPr="009509F0" w:rsidRDefault="001E7B45" w:rsidP="00AD3C83">
            <w:pPr>
              <w:spacing w:after="0" w:line="240" w:lineRule="auto"/>
              <w:jc w:val="center"/>
              <w:rPr>
                <w:sz w:val="18"/>
                <w:szCs w:val="18"/>
              </w:rPr>
            </w:pPr>
            <w:r w:rsidRPr="009509F0">
              <w:rPr>
                <w:sz w:val="18"/>
                <w:szCs w:val="18"/>
              </w:rPr>
              <w:t>131,53</w:t>
            </w:r>
          </w:p>
        </w:tc>
        <w:tc>
          <w:tcPr>
            <w:tcW w:w="1134" w:type="dxa"/>
            <w:tcBorders>
              <w:top w:val="nil"/>
              <w:left w:val="single" w:sz="4" w:space="0" w:color="auto"/>
              <w:bottom w:val="single" w:sz="4" w:space="0" w:color="auto"/>
              <w:right w:val="single" w:sz="4" w:space="0" w:color="auto"/>
            </w:tcBorders>
            <w:vAlign w:val="center"/>
          </w:tcPr>
          <w:p w:rsidR="001E7B45" w:rsidRPr="009509F0" w:rsidRDefault="001E7B45" w:rsidP="00AD3C83">
            <w:pPr>
              <w:spacing w:after="0" w:line="240" w:lineRule="auto"/>
              <w:jc w:val="center"/>
              <w:rPr>
                <w:sz w:val="18"/>
                <w:szCs w:val="18"/>
              </w:rPr>
            </w:pPr>
            <w:r w:rsidRPr="009509F0">
              <w:rPr>
                <w:sz w:val="18"/>
                <w:szCs w:val="18"/>
              </w:rPr>
              <w:t>190,18</w:t>
            </w:r>
          </w:p>
        </w:tc>
        <w:tc>
          <w:tcPr>
            <w:tcW w:w="1134" w:type="dxa"/>
            <w:tcBorders>
              <w:top w:val="nil"/>
              <w:left w:val="single" w:sz="4" w:space="0" w:color="auto"/>
              <w:bottom w:val="single" w:sz="4" w:space="0" w:color="auto"/>
              <w:right w:val="single" w:sz="4" w:space="0" w:color="auto"/>
            </w:tcBorders>
            <w:vAlign w:val="center"/>
          </w:tcPr>
          <w:p w:rsidR="001E7B45" w:rsidRPr="009509F0" w:rsidRDefault="001E7B45" w:rsidP="00AD3C83">
            <w:pPr>
              <w:spacing w:after="0" w:line="240" w:lineRule="auto"/>
              <w:jc w:val="center"/>
              <w:rPr>
                <w:sz w:val="18"/>
                <w:szCs w:val="18"/>
              </w:rPr>
            </w:pPr>
            <w:r w:rsidRPr="009509F0">
              <w:rPr>
                <w:sz w:val="18"/>
                <w:szCs w:val="18"/>
              </w:rPr>
              <w:t>301,07</w:t>
            </w:r>
          </w:p>
        </w:tc>
        <w:tc>
          <w:tcPr>
            <w:tcW w:w="1134" w:type="dxa"/>
            <w:tcBorders>
              <w:top w:val="nil"/>
              <w:left w:val="single" w:sz="4" w:space="0" w:color="auto"/>
              <w:bottom w:val="single" w:sz="4" w:space="0" w:color="auto"/>
              <w:right w:val="single" w:sz="4" w:space="0" w:color="auto"/>
            </w:tcBorders>
            <w:vAlign w:val="center"/>
          </w:tcPr>
          <w:p w:rsidR="001E7B45" w:rsidRPr="009509F0" w:rsidRDefault="001E7B45" w:rsidP="00AD3C83">
            <w:pPr>
              <w:spacing w:after="0" w:line="240" w:lineRule="auto"/>
              <w:jc w:val="center"/>
              <w:rPr>
                <w:sz w:val="18"/>
                <w:szCs w:val="18"/>
              </w:rPr>
            </w:pPr>
            <w:r w:rsidRPr="009509F0">
              <w:rPr>
                <w:sz w:val="18"/>
                <w:szCs w:val="18"/>
              </w:rPr>
              <w:t>532,02</w:t>
            </w:r>
          </w:p>
        </w:tc>
      </w:tr>
    </w:tbl>
    <w:p w:rsidR="001E7B45" w:rsidRDefault="001E7B45" w:rsidP="00AD3C83">
      <w:pPr>
        <w:tabs>
          <w:tab w:val="center" w:pos="4677"/>
          <w:tab w:val="right" w:pos="9355"/>
        </w:tabs>
        <w:spacing w:after="0" w:line="240" w:lineRule="auto"/>
        <w:ind w:firstLine="709"/>
        <w:jc w:val="both"/>
        <w:rPr>
          <w:rFonts w:eastAsia="Calibri"/>
          <w:lang w:eastAsia="en-US"/>
        </w:rPr>
      </w:pPr>
    </w:p>
    <w:p w:rsidR="001E7B45" w:rsidRPr="009E536C" w:rsidRDefault="001E7B45" w:rsidP="00AD3C83">
      <w:pPr>
        <w:tabs>
          <w:tab w:val="center" w:pos="4677"/>
          <w:tab w:val="right" w:pos="9355"/>
        </w:tabs>
        <w:spacing w:after="0" w:line="240" w:lineRule="auto"/>
        <w:ind w:firstLine="709"/>
        <w:jc w:val="both"/>
        <w:rPr>
          <w:rFonts w:eastAsia="Calibri"/>
          <w:bCs/>
          <w:sz w:val="28"/>
          <w:szCs w:val="28"/>
          <w:lang w:eastAsia="en-US"/>
        </w:rPr>
      </w:pPr>
      <w:r w:rsidRPr="009E536C">
        <w:rPr>
          <w:rFonts w:eastAsia="Calibri"/>
          <w:sz w:val="28"/>
          <w:szCs w:val="28"/>
          <w:lang w:eastAsia="en-US"/>
        </w:rPr>
        <w:t>Расчет единых (котловых) тарифов на услуги по передаче электрической энергии по сетям Новосибирской области</w:t>
      </w:r>
      <w:r>
        <w:rPr>
          <w:rFonts w:eastAsia="Calibri"/>
          <w:sz w:val="28"/>
          <w:szCs w:val="28"/>
          <w:lang w:eastAsia="en-US"/>
        </w:rPr>
        <w:t>,</w:t>
      </w:r>
      <w:r w:rsidRPr="009E536C">
        <w:rPr>
          <w:rFonts w:eastAsia="Calibri"/>
          <w:sz w:val="28"/>
          <w:szCs w:val="28"/>
          <w:lang w:eastAsia="en-US"/>
        </w:rPr>
        <w:t xml:space="preserve"> поставляемой потребителям, не относящимся к населению и приравненным к нему категориям потребителей («прочие потребители»), произведен </w:t>
      </w:r>
      <w:r w:rsidRPr="008E0BD1">
        <w:rPr>
          <w:rFonts w:eastAsia="Calibri"/>
          <w:sz w:val="28"/>
          <w:szCs w:val="28"/>
          <w:lang w:eastAsia="en-US"/>
        </w:rPr>
        <w:t xml:space="preserve">департаментом </w:t>
      </w:r>
      <w:r w:rsidRPr="009E536C">
        <w:rPr>
          <w:rFonts w:eastAsia="Calibri"/>
          <w:sz w:val="28"/>
          <w:szCs w:val="28"/>
          <w:lang w:eastAsia="en-US"/>
        </w:rPr>
        <w:t xml:space="preserve">в соответствии с Методическими указаниями по расчету тарифов, </w:t>
      </w:r>
      <w:r w:rsidRPr="009E536C">
        <w:rPr>
          <w:rFonts w:eastAsia="Calibri"/>
          <w:bCs/>
          <w:sz w:val="28"/>
          <w:szCs w:val="28"/>
          <w:lang w:eastAsia="en-US"/>
        </w:rPr>
        <w:t>с учётом положений пункта 11.1 Основ ценообразования исходя из непревышения величины цен (тарифов) в первом полугодии очередного годового периода регулирования над величиной соответствующих цен (тарифов) во втором полугодии предшествующего годового периода регулирования по состоянию на 31 декабря.</w:t>
      </w:r>
    </w:p>
    <w:p w:rsidR="001E7B45" w:rsidRPr="00076F50" w:rsidRDefault="001E7B45" w:rsidP="00301B24">
      <w:pPr>
        <w:pStyle w:val="a8"/>
        <w:ind w:firstLine="709"/>
        <w:jc w:val="both"/>
        <w:rPr>
          <w:rFonts w:eastAsia="Calibri"/>
          <w:sz w:val="28"/>
          <w:szCs w:val="28"/>
          <w:lang w:eastAsia="en-US"/>
        </w:rPr>
      </w:pPr>
      <w:r w:rsidRPr="00076F50">
        <w:rPr>
          <w:sz w:val="28"/>
          <w:szCs w:val="28"/>
        </w:rPr>
        <w:t xml:space="preserve">Прирост среднего тарифа на услуги по передаче электрической энергии прочим потребителям, рассчитанного на 2 полугодие 2020 года, относительно 1 полугодия 2020 года составил </w:t>
      </w:r>
      <w:r w:rsidRPr="00076F50">
        <w:rPr>
          <w:rFonts w:eastAsia="Calibri"/>
          <w:sz w:val="28"/>
          <w:szCs w:val="28"/>
          <w:lang w:eastAsia="en-US"/>
        </w:rPr>
        <w:t>5,1%.</w:t>
      </w:r>
    </w:p>
    <w:p w:rsidR="001E7B45" w:rsidRPr="008F3FC9" w:rsidRDefault="001E7B45" w:rsidP="00301B24">
      <w:pPr>
        <w:tabs>
          <w:tab w:val="center" w:pos="4677"/>
          <w:tab w:val="right" w:pos="9355"/>
        </w:tabs>
        <w:spacing w:after="0" w:line="240" w:lineRule="auto"/>
        <w:ind w:firstLine="709"/>
        <w:jc w:val="both"/>
        <w:rPr>
          <w:rFonts w:eastAsia="Calibri"/>
          <w:sz w:val="28"/>
          <w:szCs w:val="28"/>
          <w:lang w:eastAsia="en-US"/>
        </w:rPr>
      </w:pPr>
      <w:r w:rsidRPr="008F3FC9">
        <w:rPr>
          <w:rFonts w:eastAsia="Calibri"/>
          <w:sz w:val="28"/>
          <w:szCs w:val="28"/>
          <w:lang w:eastAsia="en-US"/>
        </w:rPr>
        <w:t xml:space="preserve">Единые (котловые) тарифы на услуги по передаче электрической энергии прочим потребителям сформированы с превышением предельных уровней тарифов на услуги по передаче электрической энергии, оказываемые потребителям, не </w:t>
      </w:r>
      <w:r w:rsidRPr="008F3FC9">
        <w:rPr>
          <w:rFonts w:eastAsia="Calibri"/>
          <w:sz w:val="28"/>
          <w:szCs w:val="28"/>
          <w:lang w:eastAsia="en-US"/>
        </w:rPr>
        <w:lastRenderedPageBreak/>
        <w:t xml:space="preserve">относящимся к населению и приравненным к нему категориям потребителей, утвержденных приказом ФАС России от </w:t>
      </w:r>
      <w:r w:rsidRPr="008F3FC9">
        <w:rPr>
          <w:rFonts w:eastAsia="Times New Roman"/>
          <w:sz w:val="28"/>
          <w:szCs w:val="28"/>
        </w:rPr>
        <w:t xml:space="preserve">14.11.2019 года № 1508/19. </w:t>
      </w:r>
    </w:p>
    <w:p w:rsidR="001E7B45" w:rsidRPr="008F3FC9" w:rsidRDefault="001E7B45" w:rsidP="00301B24">
      <w:pPr>
        <w:autoSpaceDE w:val="0"/>
        <w:autoSpaceDN w:val="0"/>
        <w:adjustRightInd w:val="0"/>
        <w:spacing w:after="0" w:line="240" w:lineRule="auto"/>
        <w:ind w:firstLine="709"/>
        <w:jc w:val="both"/>
        <w:rPr>
          <w:rFonts w:eastAsia="Calibri"/>
          <w:b/>
          <w:bCs/>
          <w:sz w:val="28"/>
          <w:szCs w:val="28"/>
        </w:rPr>
      </w:pPr>
      <w:r w:rsidRPr="00076F50">
        <w:rPr>
          <w:rFonts w:eastAsia="Calibri"/>
          <w:sz w:val="28"/>
          <w:szCs w:val="28"/>
          <w:lang w:eastAsia="en-US"/>
        </w:rPr>
        <w:t xml:space="preserve">В связи с чем </w:t>
      </w:r>
      <w:r w:rsidR="00301B24">
        <w:rPr>
          <w:rFonts w:eastAsia="Calibri"/>
          <w:sz w:val="28"/>
          <w:szCs w:val="28"/>
          <w:lang w:eastAsia="en-US"/>
        </w:rPr>
        <w:t>Д</w:t>
      </w:r>
      <w:r w:rsidRPr="008F3FC9">
        <w:rPr>
          <w:rFonts w:eastAsia="Calibri"/>
          <w:sz w:val="28"/>
          <w:szCs w:val="28"/>
          <w:lang w:eastAsia="en-US"/>
        </w:rPr>
        <w:t xml:space="preserve">епартаментом в адрес ФАС России </w:t>
      </w:r>
      <w:r w:rsidRPr="00076F50">
        <w:rPr>
          <w:rFonts w:eastAsia="Calibri"/>
          <w:sz w:val="28"/>
          <w:szCs w:val="28"/>
          <w:lang w:eastAsia="en-US"/>
        </w:rPr>
        <w:t xml:space="preserve">был </w:t>
      </w:r>
      <w:r w:rsidRPr="008F3FC9">
        <w:rPr>
          <w:rFonts w:eastAsia="Calibri"/>
          <w:sz w:val="28"/>
          <w:szCs w:val="28"/>
          <w:lang w:eastAsia="en-US"/>
        </w:rPr>
        <w:t xml:space="preserve">направлен пакет документов для согласования </w:t>
      </w:r>
      <w:r w:rsidRPr="008F3FC9">
        <w:rPr>
          <w:rFonts w:eastAsia="Calibri"/>
          <w:bCs/>
          <w:sz w:val="28"/>
          <w:szCs w:val="28"/>
        </w:rPr>
        <w:t>решения департамента по тарифам Новосибирской области по корректировке на 2020 год единых (котловых) тарифов на услуги по передаче электрической энергии по сетям Новосибирской области, поставляемой потребителям, не относящимся к населению и приравненным к нему категориям потребителей («прочие потребители»), в рамках долгосрочного периода регулирования 2016-2020 годов,</w:t>
      </w:r>
      <w:r w:rsidRPr="008F3FC9">
        <w:rPr>
          <w:rFonts w:eastAsia="Calibri"/>
          <w:bCs/>
          <w:color w:val="000000"/>
          <w:sz w:val="28"/>
          <w:szCs w:val="28"/>
        </w:rPr>
        <w:t xml:space="preserve"> на уровне выше предельных максимальных уровней тарифов.</w:t>
      </w:r>
      <w:r w:rsidRPr="008F3FC9">
        <w:rPr>
          <w:rFonts w:eastAsia="Calibri"/>
          <w:b/>
          <w:bCs/>
          <w:sz w:val="28"/>
          <w:szCs w:val="28"/>
        </w:rPr>
        <w:t xml:space="preserve"> </w:t>
      </w:r>
    </w:p>
    <w:p w:rsidR="001E7B45" w:rsidRPr="008F3FC9" w:rsidRDefault="001E7B45" w:rsidP="00AD3C83">
      <w:pPr>
        <w:autoSpaceDE w:val="0"/>
        <w:autoSpaceDN w:val="0"/>
        <w:adjustRightInd w:val="0"/>
        <w:spacing w:after="0" w:line="240" w:lineRule="auto"/>
        <w:ind w:firstLine="709"/>
        <w:jc w:val="both"/>
        <w:rPr>
          <w:rFonts w:eastAsia="Calibri"/>
          <w:bCs/>
          <w:sz w:val="28"/>
          <w:szCs w:val="28"/>
        </w:rPr>
      </w:pPr>
      <w:r w:rsidRPr="008F3FC9">
        <w:rPr>
          <w:rFonts w:eastAsia="Calibri"/>
          <w:bCs/>
          <w:sz w:val="28"/>
          <w:szCs w:val="28"/>
        </w:rPr>
        <w:t xml:space="preserve">Решение </w:t>
      </w:r>
      <w:r w:rsidR="00577FA1">
        <w:rPr>
          <w:rFonts w:eastAsia="Calibri"/>
          <w:bCs/>
          <w:sz w:val="28"/>
          <w:szCs w:val="28"/>
        </w:rPr>
        <w:t>Д</w:t>
      </w:r>
      <w:r w:rsidRPr="008F3FC9">
        <w:rPr>
          <w:rFonts w:eastAsia="Calibri"/>
          <w:bCs/>
          <w:sz w:val="28"/>
          <w:szCs w:val="28"/>
        </w:rPr>
        <w:t>епартамента по корректировке на 2020 год единых (котловых) тарифов на услуги по передаче электрической энергии по сетям Новосибирской области, поставляемой потребителям, не относящимся к населению и приравненным к нему категориям потребителей («прочие потребители»), в рамках долгосрочного периода регулирования 2016-2020 годов согласовано приказом ФАС России от 27.12.2019 № 1760/19 «О согласовании решения департамента по тарифам Новосибирской области об установлении единых (котловых) тарифов на услуги по передаче электрической энергии на территории Новосибирской области на уровне ниже предельных минимальных и выше предельных максимальных уровней тарифов на услуги по передаче электрической энергии, утвержденных ФАС России на 2020 год».</w:t>
      </w:r>
    </w:p>
    <w:p w:rsidR="001E7B45" w:rsidRDefault="001E7B45" w:rsidP="00AD3C83">
      <w:pPr>
        <w:spacing w:after="0" w:line="240" w:lineRule="auto"/>
        <w:ind w:firstLine="709"/>
        <w:jc w:val="both"/>
        <w:rPr>
          <w:rFonts w:eastAsia="Calibri"/>
          <w:sz w:val="28"/>
          <w:szCs w:val="28"/>
          <w:lang w:eastAsia="en-US"/>
        </w:rPr>
      </w:pPr>
      <w:r w:rsidRPr="00076F50">
        <w:rPr>
          <w:sz w:val="28"/>
          <w:szCs w:val="28"/>
        </w:rPr>
        <w:t xml:space="preserve">Приказом </w:t>
      </w:r>
      <w:r w:rsidR="00494D0A">
        <w:rPr>
          <w:sz w:val="28"/>
          <w:szCs w:val="28"/>
        </w:rPr>
        <w:t>Д</w:t>
      </w:r>
      <w:r w:rsidRPr="00076F50">
        <w:rPr>
          <w:sz w:val="28"/>
          <w:szCs w:val="28"/>
        </w:rPr>
        <w:t xml:space="preserve">епартамента </w:t>
      </w:r>
      <w:r w:rsidRPr="00076F50">
        <w:rPr>
          <w:rFonts w:eastAsia="Times New Roman"/>
          <w:sz w:val="28"/>
          <w:szCs w:val="28"/>
        </w:rPr>
        <w:t xml:space="preserve">30.12.2019 № </w:t>
      </w:r>
      <w:r w:rsidRPr="0087757D">
        <w:rPr>
          <w:rFonts w:eastAsia="Times New Roman"/>
          <w:sz w:val="28"/>
          <w:szCs w:val="28"/>
        </w:rPr>
        <w:t>769-ЭЭ</w:t>
      </w:r>
      <w:r w:rsidRPr="0087757D">
        <w:rPr>
          <w:sz w:val="28"/>
          <w:szCs w:val="28"/>
        </w:rPr>
        <w:t xml:space="preserve"> скорректированы</w:t>
      </w:r>
      <w:r w:rsidRPr="00076F50">
        <w:rPr>
          <w:sz w:val="28"/>
          <w:szCs w:val="28"/>
        </w:rPr>
        <w:t xml:space="preserve"> на 2020 год </w:t>
      </w:r>
      <w:r w:rsidRPr="00076F50">
        <w:rPr>
          <w:rFonts w:eastAsia="Calibri"/>
          <w:sz w:val="28"/>
          <w:szCs w:val="28"/>
          <w:lang w:eastAsia="en-US"/>
        </w:rPr>
        <w:t xml:space="preserve">единые (котловые) тарифы на услуги по передаче электрической энергии прочим потребителям. </w:t>
      </w:r>
    </w:p>
    <w:p w:rsidR="00AD3C83" w:rsidRDefault="001E7B45" w:rsidP="00AD3C83">
      <w:pPr>
        <w:pStyle w:val="a8"/>
        <w:ind w:firstLine="709"/>
        <w:jc w:val="both"/>
        <w:rPr>
          <w:color w:val="000000"/>
          <w:sz w:val="28"/>
          <w:szCs w:val="28"/>
        </w:rPr>
      </w:pPr>
      <w:r w:rsidRPr="00076F50">
        <w:rPr>
          <w:color w:val="000000"/>
          <w:sz w:val="28"/>
          <w:szCs w:val="28"/>
        </w:rPr>
        <w:t xml:space="preserve">Размеры </w:t>
      </w:r>
      <w:r w:rsidRPr="00076F50">
        <w:rPr>
          <w:sz w:val="28"/>
          <w:szCs w:val="28"/>
        </w:rPr>
        <w:t xml:space="preserve">единых (котловых) тарифов на услуги по передаче электрической энергии по сетям Новосибирской области, поставляемой прочим потребителям, </w:t>
      </w:r>
      <w:r w:rsidRPr="00076F50">
        <w:rPr>
          <w:color w:val="000000"/>
          <w:sz w:val="28"/>
          <w:szCs w:val="28"/>
        </w:rPr>
        <w:t>на 2020 год с календарной разбивкой (</w:t>
      </w:r>
      <w:r w:rsidRPr="00076F50">
        <w:rPr>
          <w:sz w:val="28"/>
          <w:szCs w:val="28"/>
        </w:rPr>
        <w:t>в одноставочном и двухставочном выражении с учётом их дифференциации по уровням напряжения)</w:t>
      </w:r>
      <w:r w:rsidRPr="00076F50">
        <w:rPr>
          <w:color w:val="000000"/>
          <w:sz w:val="28"/>
          <w:szCs w:val="28"/>
        </w:rPr>
        <w:t xml:space="preserve"> ниже приведены в таблице.</w:t>
      </w:r>
    </w:p>
    <w:p w:rsidR="00301B24" w:rsidRDefault="00301B24" w:rsidP="00AD3C83">
      <w:pPr>
        <w:pStyle w:val="a8"/>
        <w:ind w:firstLine="709"/>
        <w:jc w:val="right"/>
        <w:rPr>
          <w:color w:val="000000"/>
          <w:sz w:val="28"/>
          <w:szCs w:val="28"/>
        </w:rPr>
      </w:pPr>
    </w:p>
    <w:p w:rsidR="001E7B45" w:rsidRPr="00AD3C83" w:rsidRDefault="00AD3C83" w:rsidP="00AD3C83">
      <w:pPr>
        <w:pStyle w:val="a8"/>
        <w:ind w:firstLine="709"/>
        <w:jc w:val="right"/>
        <w:rPr>
          <w:color w:val="000000"/>
        </w:rPr>
      </w:pPr>
      <w:r w:rsidRPr="00AD3C83">
        <w:rPr>
          <w:color w:val="000000"/>
        </w:rPr>
        <w:t>Таблица № 2.1.4.</w:t>
      </w:r>
    </w:p>
    <w:tbl>
      <w:tblPr>
        <w:tblpPr w:leftFromText="180" w:rightFromText="180" w:vertAnchor="text" w:tblpY="1"/>
        <w:tblOverlap w:val="never"/>
        <w:tblW w:w="5000" w:type="pct"/>
        <w:tblLook w:val="0000" w:firstRow="0" w:lastRow="0" w:firstColumn="0" w:lastColumn="0" w:noHBand="0" w:noVBand="0"/>
      </w:tblPr>
      <w:tblGrid>
        <w:gridCol w:w="4093"/>
        <w:gridCol w:w="3018"/>
        <w:gridCol w:w="3310"/>
      </w:tblGrid>
      <w:tr w:rsidR="001E7B45" w:rsidRPr="008E0BD1" w:rsidTr="00AD3C83">
        <w:trPr>
          <w:trHeight w:val="273"/>
        </w:trPr>
        <w:tc>
          <w:tcPr>
            <w:tcW w:w="1964" w:type="pct"/>
            <w:vMerge w:val="restart"/>
            <w:tcBorders>
              <w:top w:val="single" w:sz="4" w:space="0" w:color="auto"/>
              <w:left w:val="single" w:sz="4" w:space="0" w:color="auto"/>
              <w:bottom w:val="single" w:sz="4" w:space="0" w:color="auto"/>
              <w:right w:val="single" w:sz="4" w:space="0" w:color="auto"/>
            </w:tcBorders>
            <w:noWrap/>
            <w:vAlign w:val="center"/>
          </w:tcPr>
          <w:p w:rsidR="001E7B45" w:rsidRPr="00C7464D" w:rsidRDefault="001E7B45" w:rsidP="00AD3C83">
            <w:pPr>
              <w:spacing w:after="240" w:line="240" w:lineRule="auto"/>
              <w:jc w:val="center"/>
              <w:rPr>
                <w:rFonts w:eastAsia="Times New Roman"/>
                <w:b/>
                <w:bCs/>
                <w:color w:val="000000"/>
              </w:rPr>
            </w:pPr>
            <w:r w:rsidRPr="00C7464D">
              <w:rPr>
                <w:rFonts w:eastAsia="Times New Roman"/>
                <w:b/>
                <w:bCs/>
                <w:color w:val="000000"/>
                <w:sz w:val="22"/>
                <w:szCs w:val="22"/>
              </w:rPr>
              <w:t>Тарифы по диапазонам напряжения</w:t>
            </w:r>
          </w:p>
        </w:tc>
        <w:tc>
          <w:tcPr>
            <w:tcW w:w="3036" w:type="pct"/>
            <w:gridSpan w:val="2"/>
            <w:tcBorders>
              <w:top w:val="single" w:sz="4" w:space="0" w:color="auto"/>
              <w:left w:val="nil"/>
              <w:bottom w:val="single" w:sz="4" w:space="0" w:color="auto"/>
              <w:right w:val="single" w:sz="4" w:space="0" w:color="auto"/>
            </w:tcBorders>
            <w:noWrap/>
            <w:vAlign w:val="center"/>
          </w:tcPr>
          <w:p w:rsidR="001E7B45" w:rsidRPr="00C7464D" w:rsidRDefault="001E7B45" w:rsidP="00AD3C83">
            <w:pPr>
              <w:spacing w:after="240" w:line="240" w:lineRule="auto"/>
              <w:jc w:val="center"/>
              <w:rPr>
                <w:rFonts w:eastAsia="Times New Roman"/>
                <w:b/>
                <w:bCs/>
                <w:color w:val="000000"/>
              </w:rPr>
            </w:pPr>
            <w:r>
              <w:rPr>
                <w:rFonts w:eastAsia="Times New Roman"/>
                <w:b/>
                <w:bCs/>
                <w:color w:val="000000"/>
                <w:sz w:val="22"/>
                <w:szCs w:val="22"/>
              </w:rPr>
              <w:t>2020</w:t>
            </w:r>
            <w:r w:rsidRPr="00C7464D">
              <w:rPr>
                <w:rFonts w:eastAsia="Times New Roman"/>
                <w:b/>
                <w:bCs/>
                <w:color w:val="000000"/>
                <w:sz w:val="22"/>
                <w:szCs w:val="22"/>
              </w:rPr>
              <w:t xml:space="preserve"> г.</w:t>
            </w:r>
          </w:p>
        </w:tc>
      </w:tr>
      <w:tr w:rsidR="001E7B45" w:rsidRPr="008E0BD1" w:rsidTr="00AD3C83">
        <w:trPr>
          <w:trHeight w:val="337"/>
        </w:trPr>
        <w:tc>
          <w:tcPr>
            <w:tcW w:w="1964" w:type="pct"/>
            <w:vMerge/>
            <w:tcBorders>
              <w:top w:val="single" w:sz="4" w:space="0" w:color="auto"/>
              <w:left w:val="single" w:sz="4" w:space="0" w:color="auto"/>
              <w:bottom w:val="single" w:sz="4" w:space="0" w:color="auto"/>
              <w:right w:val="single" w:sz="4" w:space="0" w:color="auto"/>
            </w:tcBorders>
            <w:vAlign w:val="center"/>
          </w:tcPr>
          <w:p w:rsidR="001E7B45" w:rsidRPr="00C7464D" w:rsidRDefault="001E7B45" w:rsidP="00AD3C83">
            <w:pPr>
              <w:spacing w:after="240" w:line="240" w:lineRule="auto"/>
              <w:rPr>
                <w:rFonts w:eastAsia="Times New Roman"/>
                <w:b/>
                <w:bCs/>
                <w:color w:val="000000"/>
              </w:rPr>
            </w:pPr>
          </w:p>
        </w:tc>
        <w:tc>
          <w:tcPr>
            <w:tcW w:w="1448" w:type="pct"/>
            <w:tcBorders>
              <w:top w:val="nil"/>
              <w:left w:val="nil"/>
              <w:bottom w:val="single" w:sz="4" w:space="0" w:color="auto"/>
              <w:right w:val="single" w:sz="4" w:space="0" w:color="auto"/>
            </w:tcBorders>
            <w:noWrap/>
            <w:vAlign w:val="center"/>
          </w:tcPr>
          <w:p w:rsidR="001E7B45" w:rsidRPr="00C7464D" w:rsidRDefault="001E7B45" w:rsidP="00AD3C83">
            <w:pPr>
              <w:spacing w:after="240" w:line="240" w:lineRule="auto"/>
              <w:jc w:val="center"/>
              <w:rPr>
                <w:rFonts w:eastAsia="Times New Roman"/>
                <w:b/>
                <w:bCs/>
                <w:color w:val="000000"/>
              </w:rPr>
            </w:pPr>
            <w:r w:rsidRPr="00C7464D">
              <w:rPr>
                <w:rFonts w:eastAsia="Times New Roman"/>
                <w:b/>
                <w:bCs/>
                <w:color w:val="000000"/>
                <w:sz w:val="22"/>
                <w:szCs w:val="22"/>
              </w:rPr>
              <w:t>1 пг.</w:t>
            </w:r>
          </w:p>
        </w:tc>
        <w:tc>
          <w:tcPr>
            <w:tcW w:w="1588" w:type="pct"/>
            <w:tcBorders>
              <w:top w:val="nil"/>
              <w:left w:val="nil"/>
              <w:bottom w:val="single" w:sz="4" w:space="0" w:color="auto"/>
              <w:right w:val="single" w:sz="4" w:space="0" w:color="auto"/>
            </w:tcBorders>
            <w:noWrap/>
            <w:vAlign w:val="center"/>
          </w:tcPr>
          <w:p w:rsidR="001E7B45" w:rsidRPr="00C7464D" w:rsidRDefault="001E7B45" w:rsidP="00AD3C83">
            <w:pPr>
              <w:spacing w:after="240" w:line="240" w:lineRule="auto"/>
              <w:jc w:val="center"/>
              <w:rPr>
                <w:rFonts w:eastAsia="Times New Roman"/>
                <w:b/>
                <w:bCs/>
                <w:color w:val="000000"/>
              </w:rPr>
            </w:pPr>
            <w:r w:rsidRPr="00C7464D">
              <w:rPr>
                <w:rFonts w:eastAsia="Times New Roman"/>
                <w:b/>
                <w:bCs/>
                <w:color w:val="000000"/>
                <w:sz w:val="22"/>
                <w:szCs w:val="22"/>
              </w:rPr>
              <w:t>2пг.</w:t>
            </w:r>
          </w:p>
        </w:tc>
      </w:tr>
      <w:tr w:rsidR="001E7B45" w:rsidRPr="008E0BD1" w:rsidTr="00AD3C83">
        <w:trPr>
          <w:trHeight w:val="405"/>
        </w:trPr>
        <w:tc>
          <w:tcPr>
            <w:tcW w:w="5000" w:type="pct"/>
            <w:gridSpan w:val="3"/>
            <w:tcBorders>
              <w:top w:val="single" w:sz="4" w:space="0" w:color="auto"/>
              <w:left w:val="single" w:sz="4" w:space="0" w:color="auto"/>
              <w:bottom w:val="single" w:sz="4" w:space="0" w:color="auto"/>
              <w:right w:val="single" w:sz="4" w:space="0" w:color="auto"/>
            </w:tcBorders>
            <w:noWrap/>
            <w:vAlign w:val="bottom"/>
          </w:tcPr>
          <w:p w:rsidR="001E7B45" w:rsidRPr="00C7464D" w:rsidRDefault="001E7B45" w:rsidP="00AD3C83">
            <w:pPr>
              <w:spacing w:after="240" w:line="240" w:lineRule="auto"/>
              <w:jc w:val="center"/>
              <w:rPr>
                <w:rFonts w:eastAsia="Times New Roman"/>
                <w:b/>
                <w:bCs/>
                <w:color w:val="000000"/>
              </w:rPr>
            </w:pPr>
            <w:r w:rsidRPr="00C7464D">
              <w:rPr>
                <w:b/>
                <w:bCs/>
                <w:color w:val="000000"/>
                <w:sz w:val="22"/>
                <w:szCs w:val="22"/>
              </w:rPr>
              <w:t>Одноставочный тариф   (руб./кВт*ч)</w:t>
            </w:r>
          </w:p>
        </w:tc>
      </w:tr>
      <w:tr w:rsidR="001E7B45" w:rsidRPr="008E0BD1" w:rsidTr="00AD3C83">
        <w:trPr>
          <w:trHeight w:val="323"/>
        </w:trPr>
        <w:tc>
          <w:tcPr>
            <w:tcW w:w="1964" w:type="pct"/>
            <w:tcBorders>
              <w:top w:val="nil"/>
              <w:left w:val="single" w:sz="4" w:space="0" w:color="auto"/>
              <w:bottom w:val="single" w:sz="4" w:space="0" w:color="auto"/>
              <w:right w:val="single" w:sz="4" w:space="0" w:color="auto"/>
            </w:tcBorders>
            <w:noWrap/>
            <w:vAlign w:val="bottom"/>
          </w:tcPr>
          <w:p w:rsidR="001E7B45" w:rsidRPr="00C7464D" w:rsidRDefault="001E7B45" w:rsidP="00AD3C83">
            <w:pPr>
              <w:spacing w:after="240" w:line="240" w:lineRule="auto"/>
              <w:jc w:val="center"/>
              <w:rPr>
                <w:rFonts w:eastAsia="Times New Roman"/>
                <w:color w:val="000000"/>
              </w:rPr>
            </w:pPr>
            <w:r w:rsidRPr="00C7464D">
              <w:rPr>
                <w:rFonts w:eastAsia="Times New Roman"/>
                <w:color w:val="000000"/>
                <w:sz w:val="22"/>
                <w:szCs w:val="22"/>
              </w:rPr>
              <w:t>ВН</w:t>
            </w:r>
          </w:p>
        </w:tc>
        <w:tc>
          <w:tcPr>
            <w:tcW w:w="1448" w:type="pct"/>
            <w:tcBorders>
              <w:top w:val="nil"/>
              <w:left w:val="nil"/>
              <w:bottom w:val="single" w:sz="4" w:space="0" w:color="auto"/>
              <w:right w:val="single" w:sz="4" w:space="0" w:color="auto"/>
            </w:tcBorders>
            <w:noWrap/>
          </w:tcPr>
          <w:p w:rsidR="001E7B45" w:rsidRPr="00D0483F" w:rsidRDefault="001E7B45" w:rsidP="00AD3C83">
            <w:pPr>
              <w:spacing w:after="240" w:line="240" w:lineRule="auto"/>
              <w:jc w:val="center"/>
              <w:rPr>
                <w:sz w:val="20"/>
                <w:szCs w:val="20"/>
              </w:rPr>
            </w:pPr>
            <w:r w:rsidRPr="00D0483F">
              <w:rPr>
                <w:sz w:val="20"/>
                <w:szCs w:val="20"/>
              </w:rPr>
              <w:t>1,11265</w:t>
            </w:r>
          </w:p>
        </w:tc>
        <w:tc>
          <w:tcPr>
            <w:tcW w:w="1588" w:type="pct"/>
            <w:tcBorders>
              <w:top w:val="nil"/>
              <w:left w:val="nil"/>
              <w:bottom w:val="single" w:sz="4" w:space="0" w:color="auto"/>
              <w:right w:val="single" w:sz="4" w:space="0" w:color="auto"/>
            </w:tcBorders>
            <w:noWrap/>
          </w:tcPr>
          <w:p w:rsidR="001E7B45" w:rsidRPr="00D0483F" w:rsidRDefault="001E7B45" w:rsidP="00AD3C83">
            <w:pPr>
              <w:spacing w:after="240" w:line="240" w:lineRule="auto"/>
              <w:jc w:val="center"/>
              <w:rPr>
                <w:sz w:val="20"/>
                <w:szCs w:val="20"/>
              </w:rPr>
            </w:pPr>
            <w:r w:rsidRPr="00D0483F">
              <w:rPr>
                <w:sz w:val="20"/>
                <w:szCs w:val="20"/>
              </w:rPr>
              <w:t>1,16207</w:t>
            </w:r>
          </w:p>
        </w:tc>
      </w:tr>
      <w:tr w:rsidR="001E7B45" w:rsidRPr="008E0BD1" w:rsidTr="00AD3C83">
        <w:trPr>
          <w:trHeight w:val="248"/>
        </w:trPr>
        <w:tc>
          <w:tcPr>
            <w:tcW w:w="1964" w:type="pct"/>
            <w:tcBorders>
              <w:top w:val="nil"/>
              <w:left w:val="single" w:sz="4" w:space="0" w:color="auto"/>
              <w:bottom w:val="single" w:sz="4" w:space="0" w:color="auto"/>
              <w:right w:val="single" w:sz="4" w:space="0" w:color="auto"/>
            </w:tcBorders>
            <w:noWrap/>
            <w:vAlign w:val="bottom"/>
          </w:tcPr>
          <w:p w:rsidR="001E7B45" w:rsidRPr="00C7464D" w:rsidRDefault="001E7B45" w:rsidP="00AD3C83">
            <w:pPr>
              <w:spacing w:after="240" w:line="240" w:lineRule="auto"/>
              <w:jc w:val="center"/>
              <w:rPr>
                <w:rFonts w:eastAsia="Times New Roman"/>
                <w:color w:val="000000"/>
              </w:rPr>
            </w:pPr>
            <w:r w:rsidRPr="00C7464D">
              <w:rPr>
                <w:rFonts w:eastAsia="Times New Roman"/>
                <w:color w:val="000000"/>
                <w:sz w:val="22"/>
                <w:szCs w:val="22"/>
              </w:rPr>
              <w:t>СН1</w:t>
            </w:r>
          </w:p>
        </w:tc>
        <w:tc>
          <w:tcPr>
            <w:tcW w:w="1448" w:type="pct"/>
            <w:tcBorders>
              <w:top w:val="nil"/>
              <w:left w:val="nil"/>
              <w:bottom w:val="single" w:sz="4" w:space="0" w:color="auto"/>
              <w:right w:val="single" w:sz="4" w:space="0" w:color="auto"/>
            </w:tcBorders>
            <w:noWrap/>
          </w:tcPr>
          <w:p w:rsidR="001E7B45" w:rsidRPr="00D0483F" w:rsidRDefault="001E7B45" w:rsidP="00AD3C83">
            <w:pPr>
              <w:spacing w:after="240" w:line="240" w:lineRule="auto"/>
              <w:jc w:val="center"/>
              <w:rPr>
                <w:sz w:val="20"/>
                <w:szCs w:val="20"/>
              </w:rPr>
            </w:pPr>
            <w:r w:rsidRPr="00D0483F">
              <w:rPr>
                <w:sz w:val="20"/>
                <w:szCs w:val="20"/>
              </w:rPr>
              <w:t>1,53614</w:t>
            </w:r>
          </w:p>
        </w:tc>
        <w:tc>
          <w:tcPr>
            <w:tcW w:w="1588" w:type="pct"/>
            <w:tcBorders>
              <w:top w:val="nil"/>
              <w:left w:val="nil"/>
              <w:bottom w:val="single" w:sz="4" w:space="0" w:color="auto"/>
              <w:right w:val="single" w:sz="4" w:space="0" w:color="auto"/>
            </w:tcBorders>
            <w:noWrap/>
          </w:tcPr>
          <w:p w:rsidR="001E7B45" w:rsidRPr="00D0483F" w:rsidRDefault="001E7B45" w:rsidP="00AD3C83">
            <w:pPr>
              <w:spacing w:after="240" w:line="240" w:lineRule="auto"/>
              <w:jc w:val="center"/>
              <w:rPr>
                <w:sz w:val="20"/>
                <w:szCs w:val="20"/>
              </w:rPr>
            </w:pPr>
            <w:r w:rsidRPr="00D0483F">
              <w:rPr>
                <w:sz w:val="20"/>
                <w:szCs w:val="20"/>
              </w:rPr>
              <w:t>1,60382</w:t>
            </w:r>
          </w:p>
        </w:tc>
      </w:tr>
      <w:tr w:rsidR="001E7B45" w:rsidRPr="008E0BD1" w:rsidTr="00AD3C83">
        <w:trPr>
          <w:trHeight w:val="313"/>
        </w:trPr>
        <w:tc>
          <w:tcPr>
            <w:tcW w:w="1964" w:type="pct"/>
            <w:tcBorders>
              <w:top w:val="nil"/>
              <w:left w:val="single" w:sz="4" w:space="0" w:color="auto"/>
              <w:bottom w:val="single" w:sz="4" w:space="0" w:color="auto"/>
              <w:right w:val="single" w:sz="4" w:space="0" w:color="auto"/>
            </w:tcBorders>
            <w:noWrap/>
            <w:vAlign w:val="bottom"/>
          </w:tcPr>
          <w:p w:rsidR="001E7B45" w:rsidRPr="00C7464D" w:rsidRDefault="001E7B45" w:rsidP="00AD3C83">
            <w:pPr>
              <w:spacing w:after="240" w:line="240" w:lineRule="auto"/>
              <w:jc w:val="center"/>
              <w:rPr>
                <w:rFonts w:eastAsia="Times New Roman"/>
                <w:color w:val="000000"/>
              </w:rPr>
            </w:pPr>
            <w:r w:rsidRPr="00C7464D">
              <w:rPr>
                <w:rFonts w:eastAsia="Times New Roman"/>
                <w:color w:val="000000"/>
                <w:sz w:val="22"/>
                <w:szCs w:val="22"/>
              </w:rPr>
              <w:t>СН2</w:t>
            </w:r>
          </w:p>
        </w:tc>
        <w:tc>
          <w:tcPr>
            <w:tcW w:w="1448" w:type="pct"/>
            <w:tcBorders>
              <w:top w:val="nil"/>
              <w:left w:val="nil"/>
              <w:bottom w:val="single" w:sz="4" w:space="0" w:color="auto"/>
              <w:right w:val="single" w:sz="4" w:space="0" w:color="auto"/>
            </w:tcBorders>
            <w:noWrap/>
          </w:tcPr>
          <w:p w:rsidR="001E7B45" w:rsidRPr="00D0483F" w:rsidRDefault="001E7B45" w:rsidP="00AD3C83">
            <w:pPr>
              <w:spacing w:after="240" w:line="240" w:lineRule="auto"/>
              <w:jc w:val="center"/>
              <w:rPr>
                <w:sz w:val="20"/>
                <w:szCs w:val="20"/>
              </w:rPr>
            </w:pPr>
            <w:r w:rsidRPr="00D0483F">
              <w:rPr>
                <w:sz w:val="20"/>
                <w:szCs w:val="20"/>
              </w:rPr>
              <w:t>1,58062</w:t>
            </w:r>
          </w:p>
        </w:tc>
        <w:tc>
          <w:tcPr>
            <w:tcW w:w="1588" w:type="pct"/>
            <w:tcBorders>
              <w:top w:val="nil"/>
              <w:left w:val="nil"/>
              <w:bottom w:val="single" w:sz="4" w:space="0" w:color="auto"/>
              <w:right w:val="single" w:sz="4" w:space="0" w:color="auto"/>
            </w:tcBorders>
            <w:noWrap/>
          </w:tcPr>
          <w:p w:rsidR="001E7B45" w:rsidRPr="00D0483F" w:rsidRDefault="001E7B45" w:rsidP="00AD3C83">
            <w:pPr>
              <w:spacing w:after="240" w:line="240" w:lineRule="auto"/>
              <w:jc w:val="center"/>
              <w:rPr>
                <w:sz w:val="20"/>
                <w:szCs w:val="20"/>
              </w:rPr>
            </w:pPr>
            <w:r w:rsidRPr="00D0483F">
              <w:rPr>
                <w:sz w:val="20"/>
                <w:szCs w:val="20"/>
              </w:rPr>
              <w:t>1,66310</w:t>
            </w:r>
          </w:p>
        </w:tc>
      </w:tr>
      <w:tr w:rsidR="001E7B45" w:rsidRPr="008E0BD1" w:rsidTr="00AD3C83">
        <w:trPr>
          <w:trHeight w:val="275"/>
        </w:trPr>
        <w:tc>
          <w:tcPr>
            <w:tcW w:w="1964" w:type="pct"/>
            <w:tcBorders>
              <w:top w:val="nil"/>
              <w:left w:val="single" w:sz="4" w:space="0" w:color="auto"/>
              <w:bottom w:val="single" w:sz="4" w:space="0" w:color="auto"/>
              <w:right w:val="single" w:sz="4" w:space="0" w:color="auto"/>
            </w:tcBorders>
            <w:noWrap/>
            <w:vAlign w:val="bottom"/>
          </w:tcPr>
          <w:p w:rsidR="001E7B45" w:rsidRPr="00C7464D" w:rsidRDefault="001E7B45" w:rsidP="00AD3C83">
            <w:pPr>
              <w:spacing w:after="240" w:line="240" w:lineRule="auto"/>
              <w:jc w:val="center"/>
              <w:rPr>
                <w:rFonts w:eastAsia="Times New Roman"/>
                <w:color w:val="000000"/>
              </w:rPr>
            </w:pPr>
            <w:r w:rsidRPr="00C7464D">
              <w:rPr>
                <w:rFonts w:eastAsia="Times New Roman"/>
                <w:color w:val="000000"/>
                <w:sz w:val="22"/>
                <w:szCs w:val="22"/>
              </w:rPr>
              <w:t>НН (прочие потребители)</w:t>
            </w:r>
          </w:p>
        </w:tc>
        <w:tc>
          <w:tcPr>
            <w:tcW w:w="1448" w:type="pct"/>
            <w:tcBorders>
              <w:top w:val="nil"/>
              <w:left w:val="nil"/>
              <w:bottom w:val="single" w:sz="4" w:space="0" w:color="auto"/>
              <w:right w:val="single" w:sz="4" w:space="0" w:color="auto"/>
            </w:tcBorders>
            <w:noWrap/>
          </w:tcPr>
          <w:p w:rsidR="001E7B45" w:rsidRPr="00D0483F" w:rsidRDefault="001E7B45" w:rsidP="00AD3C83">
            <w:pPr>
              <w:spacing w:after="240" w:line="240" w:lineRule="auto"/>
              <w:jc w:val="center"/>
              <w:rPr>
                <w:sz w:val="20"/>
                <w:szCs w:val="20"/>
              </w:rPr>
            </w:pPr>
            <w:r w:rsidRPr="00D0483F">
              <w:rPr>
                <w:sz w:val="20"/>
                <w:szCs w:val="20"/>
              </w:rPr>
              <w:t>1,82306</w:t>
            </w:r>
          </w:p>
        </w:tc>
        <w:tc>
          <w:tcPr>
            <w:tcW w:w="1588" w:type="pct"/>
            <w:tcBorders>
              <w:top w:val="nil"/>
              <w:left w:val="nil"/>
              <w:bottom w:val="single" w:sz="4" w:space="0" w:color="auto"/>
              <w:right w:val="single" w:sz="4" w:space="0" w:color="auto"/>
            </w:tcBorders>
            <w:noWrap/>
          </w:tcPr>
          <w:p w:rsidR="001E7B45" w:rsidRPr="00D0483F" w:rsidRDefault="001E7B45" w:rsidP="00AD3C83">
            <w:pPr>
              <w:spacing w:after="240" w:line="240" w:lineRule="auto"/>
              <w:jc w:val="center"/>
              <w:rPr>
                <w:sz w:val="20"/>
                <w:szCs w:val="20"/>
              </w:rPr>
            </w:pPr>
            <w:r w:rsidRPr="00D0483F">
              <w:rPr>
                <w:sz w:val="20"/>
                <w:szCs w:val="20"/>
              </w:rPr>
              <w:t>1,93255</w:t>
            </w:r>
          </w:p>
        </w:tc>
      </w:tr>
      <w:tr w:rsidR="001E7B45" w:rsidRPr="008E0BD1" w:rsidTr="00AD3C83">
        <w:trPr>
          <w:trHeight w:val="516"/>
        </w:trPr>
        <w:tc>
          <w:tcPr>
            <w:tcW w:w="5000" w:type="pct"/>
            <w:gridSpan w:val="3"/>
            <w:tcBorders>
              <w:top w:val="single" w:sz="4" w:space="0" w:color="auto"/>
              <w:left w:val="single" w:sz="4" w:space="0" w:color="auto"/>
              <w:bottom w:val="single" w:sz="4" w:space="0" w:color="auto"/>
              <w:right w:val="single" w:sz="4" w:space="0" w:color="auto"/>
            </w:tcBorders>
            <w:noWrap/>
            <w:vAlign w:val="center"/>
          </w:tcPr>
          <w:p w:rsidR="001E7B45" w:rsidRPr="00C7464D" w:rsidRDefault="001E7B45" w:rsidP="00AD3C83">
            <w:pPr>
              <w:spacing w:after="240" w:line="240" w:lineRule="auto"/>
              <w:jc w:val="center"/>
              <w:rPr>
                <w:rFonts w:eastAsia="Times New Roman"/>
                <w:b/>
                <w:bCs/>
                <w:color w:val="000000"/>
              </w:rPr>
            </w:pPr>
            <w:r w:rsidRPr="00C7464D">
              <w:rPr>
                <w:rFonts w:eastAsia="Times New Roman"/>
                <w:b/>
                <w:bCs/>
                <w:color w:val="000000"/>
                <w:sz w:val="22"/>
                <w:szCs w:val="22"/>
              </w:rPr>
              <w:t>Рост по полугодиям (к предыдущему полугодию)</w:t>
            </w:r>
          </w:p>
        </w:tc>
      </w:tr>
      <w:tr w:rsidR="001E7B45" w:rsidRPr="008E0BD1" w:rsidTr="00AD3C83">
        <w:trPr>
          <w:trHeight w:val="360"/>
        </w:trPr>
        <w:tc>
          <w:tcPr>
            <w:tcW w:w="1964" w:type="pct"/>
            <w:tcBorders>
              <w:top w:val="nil"/>
              <w:left w:val="single" w:sz="4" w:space="0" w:color="auto"/>
              <w:bottom w:val="single" w:sz="4" w:space="0" w:color="auto"/>
              <w:right w:val="single" w:sz="4" w:space="0" w:color="auto"/>
            </w:tcBorders>
            <w:noWrap/>
            <w:vAlign w:val="bottom"/>
          </w:tcPr>
          <w:p w:rsidR="001E7B45" w:rsidRPr="00C7464D" w:rsidRDefault="001E7B45" w:rsidP="00AD3C83">
            <w:pPr>
              <w:spacing w:after="240" w:line="240" w:lineRule="auto"/>
              <w:jc w:val="center"/>
              <w:rPr>
                <w:rFonts w:eastAsia="Times New Roman"/>
                <w:color w:val="000000"/>
              </w:rPr>
            </w:pPr>
            <w:r w:rsidRPr="00C7464D">
              <w:rPr>
                <w:rFonts w:eastAsia="Times New Roman"/>
                <w:color w:val="000000"/>
                <w:sz w:val="22"/>
                <w:szCs w:val="22"/>
              </w:rPr>
              <w:t>ВН</w:t>
            </w:r>
          </w:p>
        </w:tc>
        <w:tc>
          <w:tcPr>
            <w:tcW w:w="1448" w:type="pct"/>
            <w:tcBorders>
              <w:top w:val="nil"/>
              <w:left w:val="nil"/>
              <w:bottom w:val="single" w:sz="4" w:space="0" w:color="auto"/>
              <w:right w:val="single" w:sz="4" w:space="0" w:color="auto"/>
            </w:tcBorders>
            <w:noWrap/>
          </w:tcPr>
          <w:p w:rsidR="001E7B45" w:rsidRPr="00D0483F" w:rsidRDefault="001E7B45" w:rsidP="00AD3C83">
            <w:pPr>
              <w:spacing w:after="240" w:line="240" w:lineRule="auto"/>
              <w:jc w:val="center"/>
              <w:rPr>
                <w:sz w:val="20"/>
                <w:szCs w:val="20"/>
              </w:rPr>
            </w:pPr>
            <w:r w:rsidRPr="00D0483F">
              <w:rPr>
                <w:sz w:val="20"/>
                <w:szCs w:val="20"/>
              </w:rPr>
              <w:t>100,0%</w:t>
            </w:r>
          </w:p>
        </w:tc>
        <w:tc>
          <w:tcPr>
            <w:tcW w:w="1588" w:type="pct"/>
            <w:tcBorders>
              <w:top w:val="nil"/>
              <w:left w:val="nil"/>
              <w:bottom w:val="single" w:sz="4" w:space="0" w:color="auto"/>
              <w:right w:val="single" w:sz="4" w:space="0" w:color="auto"/>
            </w:tcBorders>
            <w:noWrap/>
          </w:tcPr>
          <w:p w:rsidR="001E7B45" w:rsidRPr="00D0483F" w:rsidRDefault="001E7B45" w:rsidP="00AD3C83">
            <w:pPr>
              <w:spacing w:after="240" w:line="240" w:lineRule="auto"/>
              <w:jc w:val="center"/>
              <w:rPr>
                <w:sz w:val="20"/>
                <w:szCs w:val="20"/>
              </w:rPr>
            </w:pPr>
            <w:r w:rsidRPr="00D0483F">
              <w:rPr>
                <w:sz w:val="20"/>
                <w:szCs w:val="20"/>
              </w:rPr>
              <w:t>104,4%</w:t>
            </w:r>
          </w:p>
        </w:tc>
      </w:tr>
      <w:tr w:rsidR="001E7B45" w:rsidRPr="008E0BD1" w:rsidTr="00AD3C83">
        <w:trPr>
          <w:trHeight w:val="516"/>
        </w:trPr>
        <w:tc>
          <w:tcPr>
            <w:tcW w:w="1964" w:type="pct"/>
            <w:tcBorders>
              <w:top w:val="nil"/>
              <w:left w:val="single" w:sz="4" w:space="0" w:color="auto"/>
              <w:bottom w:val="single" w:sz="4" w:space="0" w:color="auto"/>
              <w:right w:val="single" w:sz="4" w:space="0" w:color="auto"/>
            </w:tcBorders>
            <w:noWrap/>
            <w:vAlign w:val="bottom"/>
          </w:tcPr>
          <w:p w:rsidR="001E7B45" w:rsidRPr="00C7464D" w:rsidRDefault="001E7B45" w:rsidP="00AD3C83">
            <w:pPr>
              <w:spacing w:after="240" w:line="240" w:lineRule="auto"/>
              <w:jc w:val="center"/>
              <w:rPr>
                <w:rFonts w:eastAsia="Times New Roman"/>
                <w:color w:val="000000"/>
              </w:rPr>
            </w:pPr>
            <w:r w:rsidRPr="00C7464D">
              <w:rPr>
                <w:rFonts w:eastAsia="Times New Roman"/>
                <w:color w:val="000000"/>
                <w:sz w:val="22"/>
                <w:szCs w:val="22"/>
              </w:rPr>
              <w:t>СН1</w:t>
            </w:r>
          </w:p>
        </w:tc>
        <w:tc>
          <w:tcPr>
            <w:tcW w:w="1448" w:type="pct"/>
            <w:tcBorders>
              <w:top w:val="nil"/>
              <w:left w:val="nil"/>
              <w:bottom w:val="single" w:sz="4" w:space="0" w:color="auto"/>
              <w:right w:val="single" w:sz="4" w:space="0" w:color="auto"/>
            </w:tcBorders>
            <w:noWrap/>
          </w:tcPr>
          <w:p w:rsidR="001E7B45" w:rsidRPr="00D0483F" w:rsidRDefault="001E7B45" w:rsidP="00AD3C83">
            <w:pPr>
              <w:spacing w:after="240" w:line="240" w:lineRule="auto"/>
              <w:jc w:val="center"/>
              <w:rPr>
                <w:sz w:val="20"/>
                <w:szCs w:val="20"/>
              </w:rPr>
            </w:pPr>
            <w:r w:rsidRPr="00D0483F">
              <w:rPr>
                <w:sz w:val="20"/>
                <w:szCs w:val="20"/>
              </w:rPr>
              <w:t>100,0%</w:t>
            </w:r>
          </w:p>
        </w:tc>
        <w:tc>
          <w:tcPr>
            <w:tcW w:w="1588" w:type="pct"/>
            <w:tcBorders>
              <w:top w:val="nil"/>
              <w:left w:val="nil"/>
              <w:bottom w:val="single" w:sz="4" w:space="0" w:color="auto"/>
              <w:right w:val="single" w:sz="4" w:space="0" w:color="auto"/>
            </w:tcBorders>
            <w:noWrap/>
          </w:tcPr>
          <w:p w:rsidR="001E7B45" w:rsidRPr="00D0483F" w:rsidRDefault="001E7B45" w:rsidP="00AD3C83">
            <w:pPr>
              <w:spacing w:after="240" w:line="240" w:lineRule="auto"/>
              <w:jc w:val="center"/>
              <w:rPr>
                <w:sz w:val="20"/>
                <w:szCs w:val="20"/>
              </w:rPr>
            </w:pPr>
            <w:r w:rsidRPr="00D0483F">
              <w:rPr>
                <w:sz w:val="20"/>
                <w:szCs w:val="20"/>
              </w:rPr>
              <w:t>104,4%</w:t>
            </w:r>
          </w:p>
        </w:tc>
      </w:tr>
      <w:tr w:rsidR="001E7B45" w:rsidRPr="008E0BD1" w:rsidTr="00AD3C83">
        <w:trPr>
          <w:trHeight w:val="290"/>
        </w:trPr>
        <w:tc>
          <w:tcPr>
            <w:tcW w:w="1964" w:type="pct"/>
            <w:tcBorders>
              <w:top w:val="nil"/>
              <w:left w:val="single" w:sz="4" w:space="0" w:color="auto"/>
              <w:bottom w:val="single" w:sz="4" w:space="0" w:color="auto"/>
              <w:right w:val="single" w:sz="4" w:space="0" w:color="auto"/>
            </w:tcBorders>
            <w:noWrap/>
            <w:vAlign w:val="bottom"/>
          </w:tcPr>
          <w:p w:rsidR="001E7B45" w:rsidRPr="00C7464D" w:rsidRDefault="001E7B45" w:rsidP="00AD3C83">
            <w:pPr>
              <w:spacing w:after="240" w:line="240" w:lineRule="auto"/>
              <w:jc w:val="center"/>
              <w:rPr>
                <w:rFonts w:eastAsia="Times New Roman"/>
                <w:color w:val="000000"/>
              </w:rPr>
            </w:pPr>
            <w:r w:rsidRPr="00C7464D">
              <w:rPr>
                <w:rFonts w:eastAsia="Times New Roman"/>
                <w:color w:val="000000"/>
                <w:sz w:val="22"/>
                <w:szCs w:val="22"/>
              </w:rPr>
              <w:lastRenderedPageBreak/>
              <w:t>СН2</w:t>
            </w:r>
          </w:p>
        </w:tc>
        <w:tc>
          <w:tcPr>
            <w:tcW w:w="1448" w:type="pct"/>
            <w:tcBorders>
              <w:top w:val="nil"/>
              <w:left w:val="nil"/>
              <w:bottom w:val="single" w:sz="4" w:space="0" w:color="auto"/>
              <w:right w:val="single" w:sz="4" w:space="0" w:color="auto"/>
            </w:tcBorders>
            <w:noWrap/>
          </w:tcPr>
          <w:p w:rsidR="001E7B45" w:rsidRPr="00D0483F" w:rsidRDefault="001E7B45" w:rsidP="00AD3C83">
            <w:pPr>
              <w:spacing w:after="240" w:line="240" w:lineRule="auto"/>
              <w:jc w:val="center"/>
              <w:rPr>
                <w:sz w:val="20"/>
                <w:szCs w:val="20"/>
              </w:rPr>
            </w:pPr>
            <w:r w:rsidRPr="00D0483F">
              <w:rPr>
                <w:sz w:val="20"/>
                <w:szCs w:val="20"/>
              </w:rPr>
              <w:t>100,0%</w:t>
            </w:r>
          </w:p>
        </w:tc>
        <w:tc>
          <w:tcPr>
            <w:tcW w:w="1588" w:type="pct"/>
            <w:tcBorders>
              <w:top w:val="nil"/>
              <w:left w:val="nil"/>
              <w:bottom w:val="single" w:sz="4" w:space="0" w:color="auto"/>
              <w:right w:val="single" w:sz="4" w:space="0" w:color="auto"/>
            </w:tcBorders>
            <w:noWrap/>
          </w:tcPr>
          <w:p w:rsidR="001E7B45" w:rsidRPr="00D0483F" w:rsidRDefault="001E7B45" w:rsidP="00AD3C83">
            <w:pPr>
              <w:spacing w:after="240" w:line="240" w:lineRule="auto"/>
              <w:jc w:val="center"/>
              <w:rPr>
                <w:sz w:val="20"/>
                <w:szCs w:val="20"/>
              </w:rPr>
            </w:pPr>
            <w:r w:rsidRPr="00D0483F">
              <w:rPr>
                <w:sz w:val="20"/>
                <w:szCs w:val="20"/>
              </w:rPr>
              <w:t>105,2%</w:t>
            </w:r>
          </w:p>
        </w:tc>
      </w:tr>
      <w:tr w:rsidR="001E7B45" w:rsidRPr="008E0BD1" w:rsidTr="00AD3C83">
        <w:trPr>
          <w:trHeight w:val="340"/>
        </w:trPr>
        <w:tc>
          <w:tcPr>
            <w:tcW w:w="1964" w:type="pct"/>
            <w:tcBorders>
              <w:top w:val="nil"/>
              <w:left w:val="single" w:sz="4" w:space="0" w:color="auto"/>
              <w:bottom w:val="single" w:sz="4" w:space="0" w:color="auto"/>
              <w:right w:val="single" w:sz="4" w:space="0" w:color="auto"/>
            </w:tcBorders>
            <w:noWrap/>
            <w:vAlign w:val="bottom"/>
          </w:tcPr>
          <w:p w:rsidR="001E7B45" w:rsidRPr="00C7464D" w:rsidRDefault="001E7B45" w:rsidP="00AD3C83">
            <w:pPr>
              <w:spacing w:after="240" w:line="240" w:lineRule="auto"/>
              <w:jc w:val="center"/>
              <w:rPr>
                <w:rFonts w:eastAsia="Times New Roman"/>
                <w:color w:val="000000"/>
              </w:rPr>
            </w:pPr>
            <w:r w:rsidRPr="00C7464D">
              <w:rPr>
                <w:rFonts w:eastAsia="Times New Roman"/>
                <w:color w:val="000000"/>
                <w:sz w:val="22"/>
                <w:szCs w:val="22"/>
              </w:rPr>
              <w:t>НН (прочие потребители)</w:t>
            </w:r>
          </w:p>
        </w:tc>
        <w:tc>
          <w:tcPr>
            <w:tcW w:w="1448" w:type="pct"/>
            <w:tcBorders>
              <w:top w:val="nil"/>
              <w:left w:val="nil"/>
              <w:bottom w:val="single" w:sz="4" w:space="0" w:color="auto"/>
              <w:right w:val="single" w:sz="4" w:space="0" w:color="auto"/>
            </w:tcBorders>
            <w:noWrap/>
          </w:tcPr>
          <w:p w:rsidR="001E7B45" w:rsidRPr="00D0483F" w:rsidRDefault="001E7B45" w:rsidP="00AD3C83">
            <w:pPr>
              <w:spacing w:after="240" w:line="240" w:lineRule="auto"/>
              <w:jc w:val="center"/>
              <w:rPr>
                <w:sz w:val="20"/>
                <w:szCs w:val="20"/>
              </w:rPr>
            </w:pPr>
            <w:r w:rsidRPr="00D0483F">
              <w:rPr>
                <w:sz w:val="20"/>
                <w:szCs w:val="20"/>
              </w:rPr>
              <w:t>100,0%</w:t>
            </w:r>
          </w:p>
        </w:tc>
        <w:tc>
          <w:tcPr>
            <w:tcW w:w="1588" w:type="pct"/>
            <w:tcBorders>
              <w:top w:val="nil"/>
              <w:left w:val="nil"/>
              <w:bottom w:val="single" w:sz="4" w:space="0" w:color="auto"/>
              <w:right w:val="single" w:sz="4" w:space="0" w:color="auto"/>
            </w:tcBorders>
            <w:noWrap/>
          </w:tcPr>
          <w:p w:rsidR="001E7B45" w:rsidRPr="00D0483F" w:rsidRDefault="001E7B45" w:rsidP="00AD3C83">
            <w:pPr>
              <w:spacing w:after="240" w:line="240" w:lineRule="auto"/>
              <w:jc w:val="center"/>
              <w:rPr>
                <w:sz w:val="20"/>
                <w:szCs w:val="20"/>
              </w:rPr>
            </w:pPr>
            <w:r w:rsidRPr="00D0483F">
              <w:rPr>
                <w:sz w:val="20"/>
                <w:szCs w:val="20"/>
              </w:rPr>
              <w:t>106,0%</w:t>
            </w:r>
          </w:p>
        </w:tc>
      </w:tr>
      <w:tr w:rsidR="001E7B45" w:rsidRPr="008E0BD1" w:rsidTr="00AD3C83">
        <w:trPr>
          <w:trHeight w:val="376"/>
        </w:trPr>
        <w:tc>
          <w:tcPr>
            <w:tcW w:w="5000" w:type="pct"/>
            <w:gridSpan w:val="3"/>
            <w:tcBorders>
              <w:top w:val="single" w:sz="4" w:space="0" w:color="auto"/>
              <w:left w:val="single" w:sz="4" w:space="0" w:color="auto"/>
              <w:bottom w:val="single" w:sz="4" w:space="0" w:color="auto"/>
              <w:right w:val="single" w:sz="4" w:space="0" w:color="auto"/>
            </w:tcBorders>
            <w:noWrap/>
            <w:vAlign w:val="center"/>
          </w:tcPr>
          <w:p w:rsidR="001E7B45" w:rsidRPr="00FB09A3" w:rsidRDefault="001E7B45" w:rsidP="00AD3C83">
            <w:pPr>
              <w:spacing w:after="240" w:line="240" w:lineRule="auto"/>
              <w:jc w:val="center"/>
              <w:rPr>
                <w:rFonts w:eastAsia="Times New Roman"/>
                <w:b/>
                <w:bCs/>
              </w:rPr>
            </w:pPr>
            <w:r w:rsidRPr="00FB09A3">
              <w:rPr>
                <w:rFonts w:eastAsia="Times New Roman"/>
                <w:b/>
                <w:bCs/>
                <w:sz w:val="22"/>
                <w:szCs w:val="22"/>
              </w:rPr>
              <w:t>Двухставочный тариф</w:t>
            </w:r>
          </w:p>
        </w:tc>
      </w:tr>
      <w:tr w:rsidR="001E7B45" w:rsidRPr="008E0BD1" w:rsidTr="00AD3C83">
        <w:trPr>
          <w:trHeight w:val="311"/>
        </w:trPr>
        <w:tc>
          <w:tcPr>
            <w:tcW w:w="5000" w:type="pct"/>
            <w:gridSpan w:val="3"/>
            <w:tcBorders>
              <w:top w:val="single" w:sz="4" w:space="0" w:color="auto"/>
              <w:left w:val="single" w:sz="4" w:space="0" w:color="auto"/>
              <w:bottom w:val="single" w:sz="4" w:space="0" w:color="auto"/>
              <w:right w:val="single" w:sz="4" w:space="0" w:color="auto"/>
            </w:tcBorders>
            <w:noWrap/>
            <w:vAlign w:val="center"/>
          </w:tcPr>
          <w:p w:rsidR="001E7B45" w:rsidRPr="00FB09A3" w:rsidRDefault="001E7B45" w:rsidP="00AD3C83">
            <w:pPr>
              <w:spacing w:after="240" w:line="240" w:lineRule="auto"/>
              <w:jc w:val="center"/>
              <w:rPr>
                <w:rFonts w:eastAsia="Times New Roman"/>
                <w:b/>
                <w:bCs/>
              </w:rPr>
            </w:pPr>
            <w:r w:rsidRPr="00FB09A3">
              <w:rPr>
                <w:rFonts w:eastAsia="Times New Roman"/>
                <w:b/>
                <w:bCs/>
                <w:sz w:val="22"/>
                <w:szCs w:val="22"/>
              </w:rPr>
              <w:t xml:space="preserve">Ставка на содержание </w:t>
            </w:r>
            <w:r w:rsidRPr="00FB09A3">
              <w:rPr>
                <w:b/>
                <w:bCs/>
                <w:sz w:val="22"/>
                <w:szCs w:val="22"/>
              </w:rPr>
              <w:t>(руб./ кВт*ч*мес.)</w:t>
            </w:r>
          </w:p>
        </w:tc>
      </w:tr>
      <w:tr w:rsidR="001E7B45" w:rsidRPr="008E0BD1" w:rsidTr="00AD3C83">
        <w:trPr>
          <w:trHeight w:val="516"/>
        </w:trPr>
        <w:tc>
          <w:tcPr>
            <w:tcW w:w="1964" w:type="pct"/>
            <w:tcBorders>
              <w:top w:val="nil"/>
              <w:left w:val="single" w:sz="4" w:space="0" w:color="auto"/>
              <w:bottom w:val="single" w:sz="4" w:space="0" w:color="auto"/>
              <w:right w:val="single" w:sz="4" w:space="0" w:color="auto"/>
            </w:tcBorders>
            <w:noWrap/>
            <w:vAlign w:val="bottom"/>
          </w:tcPr>
          <w:p w:rsidR="001E7B45" w:rsidRPr="00FB09A3" w:rsidRDefault="001E7B45" w:rsidP="00AD3C83">
            <w:pPr>
              <w:spacing w:after="240" w:line="240" w:lineRule="auto"/>
              <w:jc w:val="center"/>
              <w:rPr>
                <w:rFonts w:eastAsia="Times New Roman"/>
              </w:rPr>
            </w:pPr>
            <w:r w:rsidRPr="00FB09A3">
              <w:rPr>
                <w:rFonts w:eastAsia="Times New Roman"/>
                <w:sz w:val="22"/>
                <w:szCs w:val="22"/>
              </w:rPr>
              <w:t>ВН</w:t>
            </w:r>
          </w:p>
        </w:tc>
        <w:tc>
          <w:tcPr>
            <w:tcW w:w="1448" w:type="pct"/>
            <w:tcBorders>
              <w:top w:val="nil"/>
              <w:left w:val="nil"/>
              <w:bottom w:val="single" w:sz="4" w:space="0" w:color="auto"/>
              <w:right w:val="single" w:sz="4" w:space="0" w:color="auto"/>
            </w:tcBorders>
            <w:noWrap/>
          </w:tcPr>
          <w:p w:rsidR="001E7B45" w:rsidRPr="00D0483F" w:rsidRDefault="001E7B45" w:rsidP="00AD3C83">
            <w:pPr>
              <w:spacing w:after="240" w:line="240" w:lineRule="auto"/>
              <w:jc w:val="center"/>
              <w:rPr>
                <w:sz w:val="20"/>
                <w:szCs w:val="20"/>
              </w:rPr>
            </w:pPr>
            <w:r w:rsidRPr="00D0483F">
              <w:rPr>
                <w:sz w:val="20"/>
                <w:szCs w:val="20"/>
              </w:rPr>
              <w:t>656,21757</w:t>
            </w:r>
          </w:p>
        </w:tc>
        <w:tc>
          <w:tcPr>
            <w:tcW w:w="1588" w:type="pct"/>
            <w:tcBorders>
              <w:top w:val="nil"/>
              <w:left w:val="nil"/>
              <w:bottom w:val="single" w:sz="4" w:space="0" w:color="auto"/>
              <w:right w:val="single" w:sz="4" w:space="0" w:color="auto"/>
            </w:tcBorders>
            <w:noWrap/>
          </w:tcPr>
          <w:p w:rsidR="001E7B45" w:rsidRPr="00D0483F" w:rsidRDefault="001E7B45" w:rsidP="00AD3C83">
            <w:pPr>
              <w:spacing w:after="240" w:line="240" w:lineRule="auto"/>
              <w:jc w:val="center"/>
              <w:rPr>
                <w:sz w:val="20"/>
                <w:szCs w:val="20"/>
              </w:rPr>
            </w:pPr>
            <w:r w:rsidRPr="00D0483F">
              <w:rPr>
                <w:sz w:val="20"/>
                <w:szCs w:val="20"/>
              </w:rPr>
              <w:t>676,62968</w:t>
            </w:r>
          </w:p>
        </w:tc>
      </w:tr>
      <w:tr w:rsidR="001E7B45" w:rsidRPr="008E0BD1" w:rsidTr="00AD3C83">
        <w:trPr>
          <w:trHeight w:val="516"/>
        </w:trPr>
        <w:tc>
          <w:tcPr>
            <w:tcW w:w="1964" w:type="pct"/>
            <w:tcBorders>
              <w:top w:val="nil"/>
              <w:left w:val="single" w:sz="4" w:space="0" w:color="auto"/>
              <w:bottom w:val="single" w:sz="4" w:space="0" w:color="auto"/>
              <w:right w:val="single" w:sz="4" w:space="0" w:color="auto"/>
            </w:tcBorders>
            <w:noWrap/>
            <w:vAlign w:val="bottom"/>
          </w:tcPr>
          <w:p w:rsidR="001E7B45" w:rsidRPr="00FB09A3" w:rsidRDefault="001E7B45" w:rsidP="00AD3C83">
            <w:pPr>
              <w:spacing w:after="240" w:line="240" w:lineRule="auto"/>
              <w:jc w:val="center"/>
              <w:rPr>
                <w:rFonts w:eastAsia="Times New Roman"/>
              </w:rPr>
            </w:pPr>
            <w:r w:rsidRPr="00FB09A3">
              <w:rPr>
                <w:rFonts w:eastAsia="Times New Roman"/>
                <w:sz w:val="22"/>
                <w:szCs w:val="22"/>
              </w:rPr>
              <w:t>СН1</w:t>
            </w:r>
          </w:p>
        </w:tc>
        <w:tc>
          <w:tcPr>
            <w:tcW w:w="1448" w:type="pct"/>
            <w:tcBorders>
              <w:top w:val="nil"/>
              <w:left w:val="nil"/>
              <w:bottom w:val="single" w:sz="4" w:space="0" w:color="auto"/>
              <w:right w:val="single" w:sz="4" w:space="0" w:color="auto"/>
            </w:tcBorders>
            <w:noWrap/>
          </w:tcPr>
          <w:p w:rsidR="001E7B45" w:rsidRPr="00D0483F" w:rsidRDefault="001E7B45" w:rsidP="00AD3C83">
            <w:pPr>
              <w:spacing w:after="240" w:line="240" w:lineRule="auto"/>
              <w:jc w:val="center"/>
              <w:rPr>
                <w:sz w:val="20"/>
                <w:szCs w:val="20"/>
              </w:rPr>
            </w:pPr>
            <w:r w:rsidRPr="00D0483F">
              <w:rPr>
                <w:sz w:val="20"/>
                <w:szCs w:val="20"/>
              </w:rPr>
              <w:t>891,32249</w:t>
            </w:r>
          </w:p>
        </w:tc>
        <w:tc>
          <w:tcPr>
            <w:tcW w:w="1588" w:type="pct"/>
            <w:tcBorders>
              <w:top w:val="nil"/>
              <w:left w:val="nil"/>
              <w:bottom w:val="single" w:sz="4" w:space="0" w:color="auto"/>
              <w:right w:val="single" w:sz="4" w:space="0" w:color="auto"/>
            </w:tcBorders>
            <w:noWrap/>
          </w:tcPr>
          <w:p w:rsidR="001E7B45" w:rsidRPr="00D0483F" w:rsidRDefault="001E7B45" w:rsidP="00AD3C83">
            <w:pPr>
              <w:spacing w:after="240" w:line="240" w:lineRule="auto"/>
              <w:jc w:val="center"/>
              <w:rPr>
                <w:sz w:val="20"/>
                <w:szCs w:val="20"/>
              </w:rPr>
            </w:pPr>
            <w:r w:rsidRPr="00D0483F">
              <w:rPr>
                <w:sz w:val="20"/>
                <w:szCs w:val="20"/>
              </w:rPr>
              <w:t>918,04826</w:t>
            </w:r>
          </w:p>
        </w:tc>
      </w:tr>
      <w:tr w:rsidR="001E7B45" w:rsidRPr="008E0BD1" w:rsidTr="00AD3C83">
        <w:trPr>
          <w:trHeight w:val="516"/>
        </w:trPr>
        <w:tc>
          <w:tcPr>
            <w:tcW w:w="1964" w:type="pct"/>
            <w:tcBorders>
              <w:top w:val="nil"/>
              <w:left w:val="single" w:sz="4" w:space="0" w:color="auto"/>
              <w:bottom w:val="single" w:sz="4" w:space="0" w:color="auto"/>
              <w:right w:val="single" w:sz="4" w:space="0" w:color="auto"/>
            </w:tcBorders>
            <w:noWrap/>
            <w:vAlign w:val="bottom"/>
          </w:tcPr>
          <w:p w:rsidR="001E7B45" w:rsidRPr="00FB09A3" w:rsidRDefault="001E7B45" w:rsidP="00AD3C83">
            <w:pPr>
              <w:spacing w:after="240" w:line="240" w:lineRule="auto"/>
              <w:jc w:val="center"/>
              <w:rPr>
                <w:rFonts w:eastAsia="Times New Roman"/>
              </w:rPr>
            </w:pPr>
            <w:r w:rsidRPr="00FB09A3">
              <w:rPr>
                <w:rFonts w:eastAsia="Times New Roman"/>
                <w:sz w:val="22"/>
                <w:szCs w:val="22"/>
              </w:rPr>
              <w:t>СН2</w:t>
            </w:r>
          </w:p>
        </w:tc>
        <w:tc>
          <w:tcPr>
            <w:tcW w:w="1448" w:type="pct"/>
            <w:tcBorders>
              <w:top w:val="nil"/>
              <w:left w:val="nil"/>
              <w:bottom w:val="single" w:sz="4" w:space="0" w:color="auto"/>
              <w:right w:val="single" w:sz="4" w:space="0" w:color="auto"/>
            </w:tcBorders>
            <w:noWrap/>
          </w:tcPr>
          <w:p w:rsidR="001E7B45" w:rsidRPr="00D0483F" w:rsidRDefault="001E7B45" w:rsidP="00AD3C83">
            <w:pPr>
              <w:spacing w:after="240" w:line="240" w:lineRule="auto"/>
              <w:jc w:val="center"/>
              <w:rPr>
                <w:sz w:val="20"/>
                <w:szCs w:val="20"/>
              </w:rPr>
            </w:pPr>
            <w:r w:rsidRPr="00D0483F">
              <w:rPr>
                <w:sz w:val="20"/>
                <w:szCs w:val="20"/>
              </w:rPr>
              <w:t>849,98913</w:t>
            </w:r>
          </w:p>
        </w:tc>
        <w:tc>
          <w:tcPr>
            <w:tcW w:w="1588" w:type="pct"/>
            <w:tcBorders>
              <w:top w:val="nil"/>
              <w:left w:val="nil"/>
              <w:bottom w:val="single" w:sz="4" w:space="0" w:color="auto"/>
              <w:right w:val="single" w:sz="4" w:space="0" w:color="auto"/>
            </w:tcBorders>
            <w:noWrap/>
          </w:tcPr>
          <w:p w:rsidR="001E7B45" w:rsidRPr="00D0483F" w:rsidRDefault="001E7B45" w:rsidP="00AD3C83">
            <w:pPr>
              <w:spacing w:after="240" w:line="240" w:lineRule="auto"/>
              <w:jc w:val="center"/>
              <w:rPr>
                <w:sz w:val="20"/>
                <w:szCs w:val="20"/>
              </w:rPr>
            </w:pPr>
            <w:r w:rsidRPr="00D0483F">
              <w:rPr>
                <w:sz w:val="20"/>
                <w:szCs w:val="20"/>
              </w:rPr>
              <w:t>876,04164</w:t>
            </w:r>
          </w:p>
        </w:tc>
      </w:tr>
      <w:tr w:rsidR="001E7B45" w:rsidRPr="008E0BD1" w:rsidTr="00AD3C83">
        <w:trPr>
          <w:trHeight w:val="516"/>
        </w:trPr>
        <w:tc>
          <w:tcPr>
            <w:tcW w:w="1964" w:type="pct"/>
            <w:tcBorders>
              <w:top w:val="nil"/>
              <w:left w:val="single" w:sz="4" w:space="0" w:color="auto"/>
              <w:bottom w:val="single" w:sz="4" w:space="0" w:color="auto"/>
              <w:right w:val="single" w:sz="4" w:space="0" w:color="auto"/>
            </w:tcBorders>
            <w:noWrap/>
            <w:vAlign w:val="bottom"/>
          </w:tcPr>
          <w:p w:rsidR="001E7B45" w:rsidRPr="00FB09A3" w:rsidRDefault="001E7B45" w:rsidP="00AD3C83">
            <w:pPr>
              <w:spacing w:after="240" w:line="240" w:lineRule="auto"/>
              <w:jc w:val="center"/>
              <w:rPr>
                <w:rFonts w:eastAsia="Times New Roman"/>
              </w:rPr>
            </w:pPr>
            <w:r w:rsidRPr="00FB09A3">
              <w:rPr>
                <w:rFonts w:eastAsia="Times New Roman"/>
                <w:sz w:val="22"/>
                <w:szCs w:val="22"/>
              </w:rPr>
              <w:t>НН (прочие потребители)</w:t>
            </w:r>
          </w:p>
        </w:tc>
        <w:tc>
          <w:tcPr>
            <w:tcW w:w="1448" w:type="pct"/>
            <w:tcBorders>
              <w:top w:val="nil"/>
              <w:left w:val="nil"/>
              <w:bottom w:val="single" w:sz="4" w:space="0" w:color="auto"/>
              <w:right w:val="single" w:sz="4" w:space="0" w:color="auto"/>
            </w:tcBorders>
            <w:noWrap/>
          </w:tcPr>
          <w:p w:rsidR="001E7B45" w:rsidRPr="00D0483F" w:rsidRDefault="001E7B45" w:rsidP="00AD3C83">
            <w:pPr>
              <w:spacing w:after="240" w:line="240" w:lineRule="auto"/>
              <w:jc w:val="center"/>
              <w:rPr>
                <w:sz w:val="20"/>
                <w:szCs w:val="20"/>
              </w:rPr>
            </w:pPr>
            <w:r w:rsidRPr="00D0483F">
              <w:rPr>
                <w:sz w:val="20"/>
                <w:szCs w:val="20"/>
              </w:rPr>
              <w:t>829,39423</w:t>
            </w:r>
          </w:p>
        </w:tc>
        <w:tc>
          <w:tcPr>
            <w:tcW w:w="1588" w:type="pct"/>
            <w:tcBorders>
              <w:top w:val="nil"/>
              <w:left w:val="nil"/>
              <w:bottom w:val="single" w:sz="4" w:space="0" w:color="auto"/>
              <w:right w:val="single" w:sz="4" w:space="0" w:color="auto"/>
            </w:tcBorders>
            <w:noWrap/>
          </w:tcPr>
          <w:p w:rsidR="001E7B45" w:rsidRPr="00D0483F" w:rsidRDefault="001E7B45" w:rsidP="00AD3C83">
            <w:pPr>
              <w:spacing w:after="240" w:line="240" w:lineRule="auto"/>
              <w:jc w:val="center"/>
              <w:rPr>
                <w:sz w:val="20"/>
                <w:szCs w:val="20"/>
              </w:rPr>
            </w:pPr>
            <w:r w:rsidRPr="00D0483F">
              <w:rPr>
                <w:sz w:val="20"/>
                <w:szCs w:val="20"/>
              </w:rPr>
              <w:t>850,71103</w:t>
            </w:r>
          </w:p>
        </w:tc>
      </w:tr>
      <w:tr w:rsidR="001E7B45" w:rsidRPr="008E0BD1" w:rsidTr="00AD3C83">
        <w:trPr>
          <w:trHeight w:val="516"/>
        </w:trPr>
        <w:tc>
          <w:tcPr>
            <w:tcW w:w="5000" w:type="pct"/>
            <w:gridSpan w:val="3"/>
            <w:tcBorders>
              <w:top w:val="single" w:sz="4" w:space="0" w:color="auto"/>
              <w:left w:val="single" w:sz="4" w:space="0" w:color="auto"/>
              <w:bottom w:val="single" w:sz="4" w:space="0" w:color="auto"/>
              <w:right w:val="single" w:sz="4" w:space="0" w:color="auto"/>
            </w:tcBorders>
            <w:noWrap/>
            <w:vAlign w:val="center"/>
          </w:tcPr>
          <w:p w:rsidR="001E7B45" w:rsidRPr="00FB09A3" w:rsidRDefault="001E7B45" w:rsidP="00AD3C83">
            <w:pPr>
              <w:spacing w:after="240" w:line="240" w:lineRule="auto"/>
              <w:jc w:val="center"/>
              <w:rPr>
                <w:rFonts w:eastAsia="Times New Roman"/>
                <w:b/>
                <w:bCs/>
              </w:rPr>
            </w:pPr>
            <w:r w:rsidRPr="00FB09A3">
              <w:rPr>
                <w:rFonts w:eastAsia="Times New Roman"/>
                <w:b/>
                <w:bCs/>
                <w:sz w:val="22"/>
                <w:szCs w:val="22"/>
              </w:rPr>
              <w:t>Ставка на оплату потерь</w:t>
            </w:r>
            <w:r w:rsidRPr="00FB09A3">
              <w:rPr>
                <w:b/>
                <w:bCs/>
                <w:sz w:val="22"/>
                <w:szCs w:val="22"/>
              </w:rPr>
              <w:t xml:space="preserve"> (руб./кВт*ч)</w:t>
            </w:r>
          </w:p>
        </w:tc>
      </w:tr>
      <w:tr w:rsidR="001E7B45" w:rsidRPr="008E0BD1" w:rsidTr="00AD3C83">
        <w:trPr>
          <w:trHeight w:val="516"/>
        </w:trPr>
        <w:tc>
          <w:tcPr>
            <w:tcW w:w="1964" w:type="pct"/>
            <w:tcBorders>
              <w:top w:val="nil"/>
              <w:left w:val="single" w:sz="4" w:space="0" w:color="auto"/>
              <w:bottom w:val="single" w:sz="4" w:space="0" w:color="auto"/>
              <w:right w:val="single" w:sz="4" w:space="0" w:color="auto"/>
            </w:tcBorders>
            <w:noWrap/>
            <w:vAlign w:val="bottom"/>
          </w:tcPr>
          <w:p w:rsidR="001E7B45" w:rsidRPr="00FB09A3" w:rsidRDefault="001E7B45" w:rsidP="00AD3C83">
            <w:pPr>
              <w:spacing w:after="240" w:line="240" w:lineRule="auto"/>
              <w:jc w:val="center"/>
              <w:rPr>
                <w:rFonts w:eastAsia="Times New Roman"/>
              </w:rPr>
            </w:pPr>
            <w:r w:rsidRPr="00FB09A3">
              <w:rPr>
                <w:rFonts w:eastAsia="Times New Roman"/>
                <w:sz w:val="22"/>
                <w:szCs w:val="22"/>
              </w:rPr>
              <w:t>ВН</w:t>
            </w:r>
          </w:p>
        </w:tc>
        <w:tc>
          <w:tcPr>
            <w:tcW w:w="1448" w:type="pct"/>
            <w:tcBorders>
              <w:top w:val="nil"/>
              <w:left w:val="nil"/>
              <w:bottom w:val="single" w:sz="4" w:space="0" w:color="auto"/>
              <w:right w:val="single" w:sz="4" w:space="0" w:color="auto"/>
            </w:tcBorders>
            <w:noWrap/>
          </w:tcPr>
          <w:p w:rsidR="001E7B45" w:rsidRPr="00D0483F" w:rsidRDefault="001E7B45" w:rsidP="00AD3C83">
            <w:pPr>
              <w:spacing w:after="240" w:line="240" w:lineRule="auto"/>
              <w:jc w:val="center"/>
              <w:rPr>
                <w:sz w:val="20"/>
                <w:szCs w:val="20"/>
              </w:rPr>
            </w:pPr>
            <w:r w:rsidRPr="00D0483F">
              <w:rPr>
                <w:sz w:val="20"/>
                <w:szCs w:val="20"/>
              </w:rPr>
              <w:t>0,12456</w:t>
            </w:r>
          </w:p>
        </w:tc>
        <w:tc>
          <w:tcPr>
            <w:tcW w:w="1588" w:type="pct"/>
            <w:tcBorders>
              <w:top w:val="nil"/>
              <w:left w:val="nil"/>
              <w:bottom w:val="single" w:sz="4" w:space="0" w:color="auto"/>
              <w:right w:val="single" w:sz="4" w:space="0" w:color="auto"/>
            </w:tcBorders>
            <w:noWrap/>
          </w:tcPr>
          <w:p w:rsidR="001E7B45" w:rsidRPr="00D0483F" w:rsidRDefault="001E7B45" w:rsidP="00AD3C83">
            <w:pPr>
              <w:spacing w:after="240" w:line="240" w:lineRule="auto"/>
              <w:jc w:val="center"/>
              <w:rPr>
                <w:sz w:val="20"/>
                <w:szCs w:val="20"/>
              </w:rPr>
            </w:pPr>
            <w:r w:rsidRPr="00D0483F">
              <w:rPr>
                <w:sz w:val="20"/>
                <w:szCs w:val="20"/>
              </w:rPr>
              <w:t>0,14325</w:t>
            </w:r>
          </w:p>
        </w:tc>
      </w:tr>
      <w:tr w:rsidR="001E7B45" w:rsidRPr="008E0BD1" w:rsidTr="00AD3C83">
        <w:trPr>
          <w:trHeight w:val="516"/>
        </w:trPr>
        <w:tc>
          <w:tcPr>
            <w:tcW w:w="1964" w:type="pct"/>
            <w:tcBorders>
              <w:top w:val="nil"/>
              <w:left w:val="single" w:sz="4" w:space="0" w:color="auto"/>
              <w:bottom w:val="single" w:sz="4" w:space="0" w:color="auto"/>
              <w:right w:val="single" w:sz="4" w:space="0" w:color="auto"/>
            </w:tcBorders>
            <w:noWrap/>
            <w:vAlign w:val="bottom"/>
          </w:tcPr>
          <w:p w:rsidR="001E7B45" w:rsidRPr="00FB09A3" w:rsidRDefault="001E7B45" w:rsidP="00AD3C83">
            <w:pPr>
              <w:spacing w:after="240" w:line="240" w:lineRule="auto"/>
              <w:jc w:val="center"/>
              <w:rPr>
                <w:rFonts w:eastAsia="Times New Roman"/>
              </w:rPr>
            </w:pPr>
            <w:r w:rsidRPr="00FB09A3">
              <w:rPr>
                <w:rFonts w:eastAsia="Times New Roman"/>
                <w:sz w:val="22"/>
                <w:szCs w:val="22"/>
              </w:rPr>
              <w:t>СН1</w:t>
            </w:r>
          </w:p>
        </w:tc>
        <w:tc>
          <w:tcPr>
            <w:tcW w:w="1448" w:type="pct"/>
            <w:tcBorders>
              <w:top w:val="nil"/>
              <w:left w:val="nil"/>
              <w:bottom w:val="single" w:sz="4" w:space="0" w:color="auto"/>
              <w:right w:val="single" w:sz="4" w:space="0" w:color="auto"/>
            </w:tcBorders>
            <w:noWrap/>
          </w:tcPr>
          <w:p w:rsidR="001E7B45" w:rsidRPr="00D0483F" w:rsidRDefault="001E7B45" w:rsidP="00AD3C83">
            <w:pPr>
              <w:spacing w:after="240" w:line="240" w:lineRule="auto"/>
              <w:jc w:val="center"/>
              <w:rPr>
                <w:sz w:val="20"/>
                <w:szCs w:val="20"/>
              </w:rPr>
            </w:pPr>
            <w:r w:rsidRPr="00D0483F">
              <w:rPr>
                <w:sz w:val="20"/>
                <w:szCs w:val="20"/>
              </w:rPr>
              <w:t>0,18009</w:t>
            </w:r>
          </w:p>
        </w:tc>
        <w:tc>
          <w:tcPr>
            <w:tcW w:w="1588" w:type="pct"/>
            <w:tcBorders>
              <w:top w:val="nil"/>
              <w:left w:val="nil"/>
              <w:bottom w:val="single" w:sz="4" w:space="0" w:color="auto"/>
              <w:right w:val="single" w:sz="4" w:space="0" w:color="auto"/>
            </w:tcBorders>
            <w:noWrap/>
          </w:tcPr>
          <w:p w:rsidR="001E7B45" w:rsidRPr="00D0483F" w:rsidRDefault="001E7B45" w:rsidP="00AD3C83">
            <w:pPr>
              <w:spacing w:after="240" w:line="240" w:lineRule="auto"/>
              <w:jc w:val="center"/>
              <w:rPr>
                <w:sz w:val="20"/>
                <w:szCs w:val="20"/>
              </w:rPr>
            </w:pPr>
            <w:r w:rsidRPr="00D0483F">
              <w:rPr>
                <w:sz w:val="20"/>
                <w:szCs w:val="20"/>
              </w:rPr>
              <w:t>0,20711</w:t>
            </w:r>
          </w:p>
        </w:tc>
      </w:tr>
      <w:tr w:rsidR="001E7B45" w:rsidRPr="008E0BD1" w:rsidTr="00AD3C83">
        <w:trPr>
          <w:trHeight w:val="516"/>
        </w:trPr>
        <w:tc>
          <w:tcPr>
            <w:tcW w:w="1964" w:type="pct"/>
            <w:tcBorders>
              <w:top w:val="nil"/>
              <w:left w:val="single" w:sz="4" w:space="0" w:color="auto"/>
              <w:bottom w:val="single" w:sz="4" w:space="0" w:color="auto"/>
              <w:right w:val="single" w:sz="4" w:space="0" w:color="auto"/>
            </w:tcBorders>
            <w:noWrap/>
            <w:vAlign w:val="bottom"/>
          </w:tcPr>
          <w:p w:rsidR="001E7B45" w:rsidRPr="00FB09A3" w:rsidRDefault="001E7B45" w:rsidP="00AD3C83">
            <w:pPr>
              <w:spacing w:after="240" w:line="240" w:lineRule="auto"/>
              <w:jc w:val="center"/>
              <w:rPr>
                <w:rFonts w:eastAsia="Times New Roman"/>
              </w:rPr>
            </w:pPr>
            <w:r w:rsidRPr="00FB09A3">
              <w:rPr>
                <w:rFonts w:eastAsia="Times New Roman"/>
                <w:sz w:val="22"/>
                <w:szCs w:val="22"/>
              </w:rPr>
              <w:t>СН2</w:t>
            </w:r>
          </w:p>
        </w:tc>
        <w:tc>
          <w:tcPr>
            <w:tcW w:w="1448" w:type="pct"/>
            <w:tcBorders>
              <w:top w:val="nil"/>
              <w:left w:val="nil"/>
              <w:bottom w:val="single" w:sz="4" w:space="0" w:color="auto"/>
              <w:right w:val="single" w:sz="4" w:space="0" w:color="auto"/>
            </w:tcBorders>
            <w:noWrap/>
          </w:tcPr>
          <w:p w:rsidR="001E7B45" w:rsidRPr="00D0483F" w:rsidRDefault="001E7B45" w:rsidP="00AD3C83">
            <w:pPr>
              <w:spacing w:after="240" w:line="240" w:lineRule="auto"/>
              <w:jc w:val="center"/>
              <w:rPr>
                <w:sz w:val="20"/>
                <w:szCs w:val="20"/>
              </w:rPr>
            </w:pPr>
            <w:r w:rsidRPr="00D0483F">
              <w:rPr>
                <w:sz w:val="20"/>
                <w:szCs w:val="20"/>
              </w:rPr>
              <w:t>0,28510</w:t>
            </w:r>
          </w:p>
        </w:tc>
        <w:tc>
          <w:tcPr>
            <w:tcW w:w="1588" w:type="pct"/>
            <w:tcBorders>
              <w:top w:val="nil"/>
              <w:left w:val="nil"/>
              <w:bottom w:val="single" w:sz="4" w:space="0" w:color="auto"/>
              <w:right w:val="single" w:sz="4" w:space="0" w:color="auto"/>
            </w:tcBorders>
            <w:noWrap/>
          </w:tcPr>
          <w:p w:rsidR="001E7B45" w:rsidRPr="00D0483F" w:rsidRDefault="001E7B45" w:rsidP="00AD3C83">
            <w:pPr>
              <w:spacing w:after="240" w:line="240" w:lineRule="auto"/>
              <w:jc w:val="center"/>
              <w:rPr>
                <w:sz w:val="20"/>
                <w:szCs w:val="20"/>
              </w:rPr>
            </w:pPr>
            <w:r w:rsidRPr="00D0483F">
              <w:rPr>
                <w:sz w:val="20"/>
                <w:szCs w:val="20"/>
              </w:rPr>
              <w:t>0,32788</w:t>
            </w:r>
          </w:p>
        </w:tc>
      </w:tr>
      <w:tr w:rsidR="001E7B45" w:rsidRPr="008E0BD1" w:rsidTr="00AD3C83">
        <w:trPr>
          <w:trHeight w:val="516"/>
        </w:trPr>
        <w:tc>
          <w:tcPr>
            <w:tcW w:w="1964" w:type="pct"/>
            <w:tcBorders>
              <w:top w:val="nil"/>
              <w:left w:val="single" w:sz="4" w:space="0" w:color="auto"/>
              <w:bottom w:val="single" w:sz="4" w:space="0" w:color="auto"/>
              <w:right w:val="single" w:sz="4" w:space="0" w:color="auto"/>
            </w:tcBorders>
            <w:noWrap/>
            <w:vAlign w:val="bottom"/>
          </w:tcPr>
          <w:p w:rsidR="001E7B45" w:rsidRPr="00FB09A3" w:rsidRDefault="001E7B45" w:rsidP="00AD3C83">
            <w:pPr>
              <w:spacing w:after="240" w:line="240" w:lineRule="auto"/>
              <w:jc w:val="center"/>
              <w:rPr>
                <w:rFonts w:eastAsia="Times New Roman"/>
              </w:rPr>
            </w:pPr>
            <w:r w:rsidRPr="00FB09A3">
              <w:rPr>
                <w:rFonts w:eastAsia="Times New Roman"/>
                <w:sz w:val="22"/>
                <w:szCs w:val="22"/>
              </w:rPr>
              <w:t>НН (прочие потребители)</w:t>
            </w:r>
          </w:p>
        </w:tc>
        <w:tc>
          <w:tcPr>
            <w:tcW w:w="1448" w:type="pct"/>
            <w:tcBorders>
              <w:top w:val="nil"/>
              <w:left w:val="nil"/>
              <w:bottom w:val="single" w:sz="4" w:space="0" w:color="auto"/>
              <w:right w:val="single" w:sz="4" w:space="0" w:color="auto"/>
            </w:tcBorders>
            <w:noWrap/>
          </w:tcPr>
          <w:p w:rsidR="001E7B45" w:rsidRPr="00D0483F" w:rsidRDefault="001E7B45" w:rsidP="00AD3C83">
            <w:pPr>
              <w:spacing w:after="240" w:line="240" w:lineRule="auto"/>
              <w:jc w:val="center"/>
              <w:rPr>
                <w:sz w:val="20"/>
                <w:szCs w:val="20"/>
              </w:rPr>
            </w:pPr>
            <w:r w:rsidRPr="00D0483F">
              <w:rPr>
                <w:sz w:val="20"/>
                <w:szCs w:val="20"/>
              </w:rPr>
              <w:t>0,50380</w:t>
            </w:r>
          </w:p>
        </w:tc>
        <w:tc>
          <w:tcPr>
            <w:tcW w:w="1588" w:type="pct"/>
            <w:tcBorders>
              <w:top w:val="nil"/>
              <w:left w:val="nil"/>
              <w:bottom w:val="single" w:sz="4" w:space="0" w:color="auto"/>
              <w:right w:val="single" w:sz="4" w:space="0" w:color="auto"/>
            </w:tcBorders>
            <w:noWrap/>
          </w:tcPr>
          <w:p w:rsidR="001E7B45" w:rsidRPr="00D0483F" w:rsidRDefault="001E7B45" w:rsidP="00AD3C83">
            <w:pPr>
              <w:spacing w:after="240" w:line="240" w:lineRule="auto"/>
              <w:jc w:val="center"/>
              <w:rPr>
                <w:sz w:val="20"/>
                <w:szCs w:val="20"/>
              </w:rPr>
            </w:pPr>
            <w:r w:rsidRPr="00D0483F">
              <w:rPr>
                <w:sz w:val="20"/>
                <w:szCs w:val="20"/>
              </w:rPr>
              <w:t>0,57939</w:t>
            </w:r>
          </w:p>
        </w:tc>
      </w:tr>
      <w:tr w:rsidR="001E7B45" w:rsidRPr="008E0BD1" w:rsidTr="00AD3C83">
        <w:trPr>
          <w:trHeight w:val="516"/>
        </w:trPr>
        <w:tc>
          <w:tcPr>
            <w:tcW w:w="5000" w:type="pct"/>
            <w:gridSpan w:val="3"/>
            <w:tcBorders>
              <w:top w:val="single" w:sz="4" w:space="0" w:color="auto"/>
              <w:left w:val="single" w:sz="4" w:space="0" w:color="auto"/>
              <w:bottom w:val="single" w:sz="4" w:space="0" w:color="auto"/>
              <w:right w:val="single" w:sz="4" w:space="0" w:color="auto"/>
            </w:tcBorders>
            <w:noWrap/>
            <w:vAlign w:val="center"/>
          </w:tcPr>
          <w:p w:rsidR="001E7B45" w:rsidRPr="00FB09A3" w:rsidRDefault="001E7B45" w:rsidP="00AD3C83">
            <w:pPr>
              <w:spacing w:after="240" w:line="240" w:lineRule="auto"/>
              <w:jc w:val="center"/>
              <w:rPr>
                <w:rFonts w:eastAsia="Times New Roman"/>
                <w:b/>
                <w:bCs/>
              </w:rPr>
            </w:pPr>
            <w:r w:rsidRPr="00FB09A3">
              <w:rPr>
                <w:rFonts w:eastAsia="Times New Roman"/>
                <w:b/>
                <w:bCs/>
                <w:sz w:val="22"/>
                <w:szCs w:val="22"/>
              </w:rPr>
              <w:t>Рост по полугодиям (к предыдущему полугодию)</w:t>
            </w:r>
          </w:p>
        </w:tc>
      </w:tr>
      <w:tr w:rsidR="001E7B45" w:rsidRPr="008E0BD1" w:rsidTr="00AD3C83">
        <w:trPr>
          <w:trHeight w:val="516"/>
        </w:trPr>
        <w:tc>
          <w:tcPr>
            <w:tcW w:w="5000" w:type="pct"/>
            <w:gridSpan w:val="3"/>
            <w:tcBorders>
              <w:top w:val="single" w:sz="4" w:space="0" w:color="auto"/>
              <w:left w:val="single" w:sz="4" w:space="0" w:color="auto"/>
              <w:bottom w:val="single" w:sz="4" w:space="0" w:color="auto"/>
              <w:right w:val="single" w:sz="4" w:space="0" w:color="auto"/>
            </w:tcBorders>
            <w:noWrap/>
            <w:vAlign w:val="center"/>
          </w:tcPr>
          <w:p w:rsidR="001E7B45" w:rsidRPr="00FB09A3" w:rsidRDefault="001E7B45" w:rsidP="00AD3C83">
            <w:pPr>
              <w:spacing w:after="240" w:line="240" w:lineRule="auto"/>
              <w:jc w:val="center"/>
              <w:rPr>
                <w:rFonts w:eastAsia="Times New Roman"/>
                <w:b/>
                <w:bCs/>
              </w:rPr>
            </w:pPr>
            <w:r w:rsidRPr="00FB09A3">
              <w:rPr>
                <w:rFonts w:eastAsia="Times New Roman"/>
                <w:b/>
                <w:bCs/>
                <w:sz w:val="22"/>
                <w:szCs w:val="22"/>
              </w:rPr>
              <w:t>Ставка на содержание</w:t>
            </w:r>
          </w:p>
        </w:tc>
      </w:tr>
      <w:tr w:rsidR="001E7B45" w:rsidRPr="008E0BD1" w:rsidTr="00AD3C83">
        <w:trPr>
          <w:trHeight w:val="516"/>
        </w:trPr>
        <w:tc>
          <w:tcPr>
            <w:tcW w:w="1964" w:type="pct"/>
            <w:tcBorders>
              <w:top w:val="nil"/>
              <w:left w:val="single" w:sz="4" w:space="0" w:color="auto"/>
              <w:bottom w:val="single" w:sz="4" w:space="0" w:color="auto"/>
              <w:right w:val="single" w:sz="4" w:space="0" w:color="auto"/>
            </w:tcBorders>
            <w:noWrap/>
            <w:vAlign w:val="bottom"/>
          </w:tcPr>
          <w:p w:rsidR="001E7B45" w:rsidRPr="00FB09A3" w:rsidRDefault="001E7B45" w:rsidP="00AD3C83">
            <w:pPr>
              <w:spacing w:after="240" w:line="240" w:lineRule="auto"/>
              <w:jc w:val="center"/>
              <w:rPr>
                <w:rFonts w:eastAsia="Times New Roman"/>
              </w:rPr>
            </w:pPr>
            <w:r w:rsidRPr="00FB09A3">
              <w:rPr>
                <w:rFonts w:eastAsia="Times New Roman"/>
                <w:sz w:val="22"/>
                <w:szCs w:val="22"/>
              </w:rPr>
              <w:t>ВН</w:t>
            </w:r>
          </w:p>
        </w:tc>
        <w:tc>
          <w:tcPr>
            <w:tcW w:w="1448" w:type="pct"/>
            <w:tcBorders>
              <w:top w:val="nil"/>
              <w:left w:val="nil"/>
              <w:bottom w:val="single" w:sz="4" w:space="0" w:color="auto"/>
              <w:right w:val="single" w:sz="4" w:space="0" w:color="auto"/>
            </w:tcBorders>
            <w:noWrap/>
          </w:tcPr>
          <w:p w:rsidR="001E7B45" w:rsidRPr="00D0483F" w:rsidRDefault="001E7B45" w:rsidP="00AD3C83">
            <w:pPr>
              <w:spacing w:after="240" w:line="240" w:lineRule="auto"/>
              <w:jc w:val="center"/>
              <w:rPr>
                <w:sz w:val="20"/>
                <w:szCs w:val="20"/>
              </w:rPr>
            </w:pPr>
            <w:r w:rsidRPr="00D0483F">
              <w:rPr>
                <w:sz w:val="20"/>
                <w:szCs w:val="20"/>
              </w:rPr>
              <w:t>100,0%</w:t>
            </w:r>
          </w:p>
        </w:tc>
        <w:tc>
          <w:tcPr>
            <w:tcW w:w="1588" w:type="pct"/>
            <w:tcBorders>
              <w:top w:val="nil"/>
              <w:left w:val="nil"/>
              <w:bottom w:val="single" w:sz="4" w:space="0" w:color="auto"/>
              <w:right w:val="single" w:sz="4" w:space="0" w:color="auto"/>
            </w:tcBorders>
            <w:noWrap/>
          </w:tcPr>
          <w:p w:rsidR="001E7B45" w:rsidRPr="00D0483F" w:rsidRDefault="001E7B45" w:rsidP="00AD3C83">
            <w:pPr>
              <w:spacing w:after="240" w:line="240" w:lineRule="auto"/>
              <w:jc w:val="center"/>
              <w:rPr>
                <w:sz w:val="20"/>
                <w:szCs w:val="20"/>
              </w:rPr>
            </w:pPr>
            <w:r w:rsidRPr="00D0483F">
              <w:rPr>
                <w:sz w:val="20"/>
                <w:szCs w:val="20"/>
              </w:rPr>
              <w:t>103,1%</w:t>
            </w:r>
          </w:p>
        </w:tc>
      </w:tr>
      <w:tr w:rsidR="001E7B45" w:rsidRPr="008E0BD1" w:rsidTr="00AD3C83">
        <w:trPr>
          <w:trHeight w:val="516"/>
        </w:trPr>
        <w:tc>
          <w:tcPr>
            <w:tcW w:w="1964" w:type="pct"/>
            <w:tcBorders>
              <w:top w:val="nil"/>
              <w:left w:val="single" w:sz="4" w:space="0" w:color="auto"/>
              <w:bottom w:val="single" w:sz="4" w:space="0" w:color="auto"/>
              <w:right w:val="single" w:sz="4" w:space="0" w:color="auto"/>
            </w:tcBorders>
            <w:noWrap/>
            <w:vAlign w:val="bottom"/>
          </w:tcPr>
          <w:p w:rsidR="001E7B45" w:rsidRPr="00FB09A3" w:rsidRDefault="001E7B45" w:rsidP="00AD3C83">
            <w:pPr>
              <w:spacing w:after="240" w:line="240" w:lineRule="auto"/>
              <w:jc w:val="center"/>
              <w:rPr>
                <w:rFonts w:eastAsia="Times New Roman"/>
              </w:rPr>
            </w:pPr>
            <w:r w:rsidRPr="00FB09A3">
              <w:rPr>
                <w:rFonts w:eastAsia="Times New Roman"/>
                <w:sz w:val="22"/>
                <w:szCs w:val="22"/>
              </w:rPr>
              <w:t>СН1</w:t>
            </w:r>
          </w:p>
        </w:tc>
        <w:tc>
          <w:tcPr>
            <w:tcW w:w="1448" w:type="pct"/>
            <w:tcBorders>
              <w:top w:val="nil"/>
              <w:left w:val="nil"/>
              <w:bottom w:val="single" w:sz="4" w:space="0" w:color="auto"/>
              <w:right w:val="single" w:sz="4" w:space="0" w:color="auto"/>
            </w:tcBorders>
            <w:noWrap/>
          </w:tcPr>
          <w:p w:rsidR="001E7B45" w:rsidRPr="00D0483F" w:rsidRDefault="001E7B45" w:rsidP="00AD3C83">
            <w:pPr>
              <w:spacing w:after="240" w:line="240" w:lineRule="auto"/>
              <w:jc w:val="center"/>
              <w:rPr>
                <w:sz w:val="20"/>
                <w:szCs w:val="20"/>
              </w:rPr>
            </w:pPr>
            <w:r w:rsidRPr="00D0483F">
              <w:rPr>
                <w:sz w:val="20"/>
                <w:szCs w:val="20"/>
              </w:rPr>
              <w:t>100,0%</w:t>
            </w:r>
          </w:p>
        </w:tc>
        <w:tc>
          <w:tcPr>
            <w:tcW w:w="1588" w:type="pct"/>
            <w:tcBorders>
              <w:top w:val="nil"/>
              <w:left w:val="nil"/>
              <w:bottom w:val="single" w:sz="4" w:space="0" w:color="auto"/>
              <w:right w:val="single" w:sz="4" w:space="0" w:color="auto"/>
            </w:tcBorders>
            <w:noWrap/>
          </w:tcPr>
          <w:p w:rsidR="001E7B45" w:rsidRPr="00D0483F" w:rsidRDefault="001E7B45" w:rsidP="00AD3C83">
            <w:pPr>
              <w:spacing w:after="240" w:line="240" w:lineRule="auto"/>
              <w:jc w:val="center"/>
              <w:rPr>
                <w:sz w:val="20"/>
                <w:szCs w:val="20"/>
              </w:rPr>
            </w:pPr>
            <w:r w:rsidRPr="00D0483F">
              <w:rPr>
                <w:sz w:val="20"/>
                <w:szCs w:val="20"/>
              </w:rPr>
              <w:t>103,0%</w:t>
            </w:r>
          </w:p>
        </w:tc>
      </w:tr>
      <w:tr w:rsidR="001E7B45" w:rsidRPr="008E0BD1" w:rsidTr="00AD3C83">
        <w:trPr>
          <w:trHeight w:val="516"/>
        </w:trPr>
        <w:tc>
          <w:tcPr>
            <w:tcW w:w="1964" w:type="pct"/>
            <w:tcBorders>
              <w:top w:val="nil"/>
              <w:left w:val="single" w:sz="4" w:space="0" w:color="auto"/>
              <w:bottom w:val="single" w:sz="4" w:space="0" w:color="auto"/>
              <w:right w:val="single" w:sz="4" w:space="0" w:color="auto"/>
            </w:tcBorders>
            <w:noWrap/>
            <w:vAlign w:val="bottom"/>
          </w:tcPr>
          <w:p w:rsidR="001E7B45" w:rsidRPr="00FB09A3" w:rsidRDefault="001E7B45" w:rsidP="00AD3C83">
            <w:pPr>
              <w:spacing w:after="240" w:line="240" w:lineRule="auto"/>
              <w:jc w:val="center"/>
              <w:rPr>
                <w:rFonts w:eastAsia="Times New Roman"/>
              </w:rPr>
            </w:pPr>
            <w:r w:rsidRPr="00FB09A3">
              <w:rPr>
                <w:rFonts w:eastAsia="Times New Roman"/>
                <w:sz w:val="22"/>
                <w:szCs w:val="22"/>
              </w:rPr>
              <w:t>СН2</w:t>
            </w:r>
          </w:p>
        </w:tc>
        <w:tc>
          <w:tcPr>
            <w:tcW w:w="1448" w:type="pct"/>
            <w:tcBorders>
              <w:top w:val="nil"/>
              <w:left w:val="nil"/>
              <w:bottom w:val="single" w:sz="4" w:space="0" w:color="auto"/>
              <w:right w:val="single" w:sz="4" w:space="0" w:color="auto"/>
            </w:tcBorders>
            <w:noWrap/>
          </w:tcPr>
          <w:p w:rsidR="001E7B45" w:rsidRPr="00D0483F" w:rsidRDefault="001E7B45" w:rsidP="00AD3C83">
            <w:pPr>
              <w:spacing w:after="240" w:line="240" w:lineRule="auto"/>
              <w:jc w:val="center"/>
              <w:rPr>
                <w:sz w:val="20"/>
                <w:szCs w:val="20"/>
              </w:rPr>
            </w:pPr>
            <w:r w:rsidRPr="00D0483F">
              <w:rPr>
                <w:sz w:val="20"/>
                <w:szCs w:val="20"/>
              </w:rPr>
              <w:t>100,0%</w:t>
            </w:r>
          </w:p>
        </w:tc>
        <w:tc>
          <w:tcPr>
            <w:tcW w:w="1588" w:type="pct"/>
            <w:tcBorders>
              <w:top w:val="nil"/>
              <w:left w:val="nil"/>
              <w:bottom w:val="single" w:sz="4" w:space="0" w:color="auto"/>
              <w:right w:val="single" w:sz="4" w:space="0" w:color="auto"/>
            </w:tcBorders>
            <w:noWrap/>
          </w:tcPr>
          <w:p w:rsidR="001E7B45" w:rsidRPr="00D0483F" w:rsidRDefault="001E7B45" w:rsidP="00AD3C83">
            <w:pPr>
              <w:spacing w:after="240" w:line="240" w:lineRule="auto"/>
              <w:jc w:val="center"/>
              <w:rPr>
                <w:sz w:val="20"/>
                <w:szCs w:val="20"/>
              </w:rPr>
            </w:pPr>
            <w:r w:rsidRPr="00D0483F">
              <w:rPr>
                <w:sz w:val="20"/>
                <w:szCs w:val="20"/>
              </w:rPr>
              <w:t>103,1%</w:t>
            </w:r>
          </w:p>
        </w:tc>
      </w:tr>
      <w:tr w:rsidR="001E7B45" w:rsidRPr="008E0BD1" w:rsidTr="00AD3C83">
        <w:trPr>
          <w:trHeight w:val="516"/>
        </w:trPr>
        <w:tc>
          <w:tcPr>
            <w:tcW w:w="1964" w:type="pct"/>
            <w:tcBorders>
              <w:top w:val="nil"/>
              <w:left w:val="single" w:sz="4" w:space="0" w:color="auto"/>
              <w:bottom w:val="single" w:sz="4" w:space="0" w:color="auto"/>
              <w:right w:val="single" w:sz="4" w:space="0" w:color="auto"/>
            </w:tcBorders>
            <w:noWrap/>
            <w:vAlign w:val="bottom"/>
          </w:tcPr>
          <w:p w:rsidR="001E7B45" w:rsidRPr="00FB09A3" w:rsidRDefault="001E7B45" w:rsidP="00AD3C83">
            <w:pPr>
              <w:spacing w:after="240" w:line="240" w:lineRule="auto"/>
              <w:jc w:val="center"/>
              <w:rPr>
                <w:rFonts w:eastAsia="Times New Roman"/>
              </w:rPr>
            </w:pPr>
            <w:r w:rsidRPr="00FB09A3">
              <w:rPr>
                <w:rFonts w:eastAsia="Times New Roman"/>
                <w:sz w:val="22"/>
                <w:szCs w:val="22"/>
              </w:rPr>
              <w:t>НН (прочие потребители)</w:t>
            </w:r>
          </w:p>
        </w:tc>
        <w:tc>
          <w:tcPr>
            <w:tcW w:w="1448" w:type="pct"/>
            <w:tcBorders>
              <w:top w:val="nil"/>
              <w:left w:val="nil"/>
              <w:bottom w:val="single" w:sz="4" w:space="0" w:color="auto"/>
              <w:right w:val="single" w:sz="4" w:space="0" w:color="auto"/>
            </w:tcBorders>
            <w:noWrap/>
          </w:tcPr>
          <w:p w:rsidR="001E7B45" w:rsidRPr="00D0483F" w:rsidRDefault="001E7B45" w:rsidP="00AD3C83">
            <w:pPr>
              <w:spacing w:after="240" w:line="240" w:lineRule="auto"/>
              <w:jc w:val="center"/>
              <w:rPr>
                <w:sz w:val="20"/>
                <w:szCs w:val="20"/>
              </w:rPr>
            </w:pPr>
            <w:r w:rsidRPr="00D0483F">
              <w:rPr>
                <w:sz w:val="20"/>
                <w:szCs w:val="20"/>
              </w:rPr>
              <w:t>100,0%</w:t>
            </w:r>
          </w:p>
        </w:tc>
        <w:tc>
          <w:tcPr>
            <w:tcW w:w="1588" w:type="pct"/>
            <w:tcBorders>
              <w:top w:val="single" w:sz="4" w:space="0" w:color="auto"/>
              <w:left w:val="nil"/>
              <w:bottom w:val="single" w:sz="4" w:space="0" w:color="auto"/>
              <w:right w:val="single" w:sz="4" w:space="0" w:color="auto"/>
            </w:tcBorders>
            <w:noWrap/>
          </w:tcPr>
          <w:p w:rsidR="001E7B45" w:rsidRPr="00D0483F" w:rsidRDefault="001E7B45" w:rsidP="00AD3C83">
            <w:pPr>
              <w:spacing w:after="240" w:line="240" w:lineRule="auto"/>
              <w:jc w:val="center"/>
              <w:rPr>
                <w:sz w:val="20"/>
                <w:szCs w:val="20"/>
              </w:rPr>
            </w:pPr>
            <w:r w:rsidRPr="00D0483F">
              <w:rPr>
                <w:sz w:val="20"/>
                <w:szCs w:val="20"/>
              </w:rPr>
              <w:t>102,6%</w:t>
            </w:r>
          </w:p>
        </w:tc>
      </w:tr>
      <w:tr w:rsidR="001E7B45" w:rsidRPr="008E0BD1" w:rsidTr="00AD3C83">
        <w:trPr>
          <w:trHeight w:val="516"/>
        </w:trPr>
        <w:tc>
          <w:tcPr>
            <w:tcW w:w="5000" w:type="pct"/>
            <w:gridSpan w:val="3"/>
            <w:tcBorders>
              <w:top w:val="single" w:sz="4" w:space="0" w:color="auto"/>
              <w:left w:val="single" w:sz="4" w:space="0" w:color="auto"/>
              <w:bottom w:val="single" w:sz="4" w:space="0" w:color="auto"/>
              <w:right w:val="single" w:sz="4" w:space="0" w:color="auto"/>
            </w:tcBorders>
            <w:noWrap/>
            <w:vAlign w:val="center"/>
          </w:tcPr>
          <w:p w:rsidR="001E7B45" w:rsidRPr="00FB09A3" w:rsidRDefault="001E7B45" w:rsidP="00AD3C83">
            <w:pPr>
              <w:spacing w:after="240" w:line="240" w:lineRule="auto"/>
              <w:jc w:val="center"/>
              <w:rPr>
                <w:rFonts w:eastAsia="Times New Roman"/>
                <w:b/>
                <w:bCs/>
              </w:rPr>
            </w:pPr>
            <w:r w:rsidRPr="00FB09A3">
              <w:rPr>
                <w:rFonts w:eastAsia="Times New Roman"/>
                <w:b/>
                <w:bCs/>
                <w:sz w:val="22"/>
                <w:szCs w:val="22"/>
              </w:rPr>
              <w:t>Ставка на оплату потерь</w:t>
            </w:r>
          </w:p>
        </w:tc>
      </w:tr>
      <w:tr w:rsidR="001E7B45" w:rsidRPr="008E0BD1" w:rsidTr="00AD3C83">
        <w:trPr>
          <w:trHeight w:val="516"/>
        </w:trPr>
        <w:tc>
          <w:tcPr>
            <w:tcW w:w="1964" w:type="pct"/>
            <w:tcBorders>
              <w:top w:val="nil"/>
              <w:left w:val="single" w:sz="4" w:space="0" w:color="auto"/>
              <w:bottom w:val="single" w:sz="4" w:space="0" w:color="auto"/>
              <w:right w:val="single" w:sz="4" w:space="0" w:color="auto"/>
            </w:tcBorders>
            <w:noWrap/>
            <w:vAlign w:val="bottom"/>
          </w:tcPr>
          <w:p w:rsidR="001E7B45" w:rsidRPr="00FB09A3" w:rsidRDefault="001E7B45" w:rsidP="00AD3C83">
            <w:pPr>
              <w:spacing w:after="240" w:line="240" w:lineRule="auto"/>
              <w:jc w:val="center"/>
              <w:rPr>
                <w:rFonts w:eastAsia="Times New Roman"/>
              </w:rPr>
            </w:pPr>
            <w:r w:rsidRPr="00FB09A3">
              <w:rPr>
                <w:rFonts w:eastAsia="Times New Roman"/>
                <w:sz w:val="22"/>
                <w:szCs w:val="22"/>
              </w:rPr>
              <w:t>ВН</w:t>
            </w:r>
          </w:p>
        </w:tc>
        <w:tc>
          <w:tcPr>
            <w:tcW w:w="1448" w:type="pct"/>
            <w:tcBorders>
              <w:top w:val="nil"/>
              <w:left w:val="nil"/>
              <w:bottom w:val="single" w:sz="4" w:space="0" w:color="auto"/>
              <w:right w:val="single" w:sz="4" w:space="0" w:color="auto"/>
            </w:tcBorders>
            <w:noWrap/>
          </w:tcPr>
          <w:p w:rsidR="001E7B45" w:rsidRPr="00D0483F" w:rsidRDefault="001E7B45" w:rsidP="00AD3C83">
            <w:pPr>
              <w:spacing w:after="240" w:line="240" w:lineRule="auto"/>
              <w:jc w:val="center"/>
              <w:rPr>
                <w:sz w:val="20"/>
                <w:szCs w:val="20"/>
              </w:rPr>
            </w:pPr>
            <w:r w:rsidRPr="00D0483F">
              <w:rPr>
                <w:sz w:val="20"/>
                <w:szCs w:val="20"/>
              </w:rPr>
              <w:t>100,0%</w:t>
            </w:r>
          </w:p>
        </w:tc>
        <w:tc>
          <w:tcPr>
            <w:tcW w:w="1588" w:type="pct"/>
            <w:tcBorders>
              <w:top w:val="nil"/>
              <w:left w:val="nil"/>
              <w:bottom w:val="single" w:sz="4" w:space="0" w:color="auto"/>
              <w:right w:val="single" w:sz="4" w:space="0" w:color="auto"/>
            </w:tcBorders>
            <w:noWrap/>
          </w:tcPr>
          <w:p w:rsidR="001E7B45" w:rsidRPr="00D0483F" w:rsidRDefault="001E7B45" w:rsidP="00AD3C83">
            <w:pPr>
              <w:spacing w:after="240" w:line="240" w:lineRule="auto"/>
              <w:jc w:val="center"/>
              <w:rPr>
                <w:sz w:val="20"/>
                <w:szCs w:val="20"/>
              </w:rPr>
            </w:pPr>
            <w:r w:rsidRPr="00D0483F">
              <w:rPr>
                <w:sz w:val="20"/>
                <w:szCs w:val="20"/>
              </w:rPr>
              <w:t>115,0%</w:t>
            </w:r>
          </w:p>
        </w:tc>
      </w:tr>
      <w:tr w:rsidR="001E7B45" w:rsidRPr="008E0BD1" w:rsidTr="00AD3C83">
        <w:trPr>
          <w:trHeight w:val="516"/>
        </w:trPr>
        <w:tc>
          <w:tcPr>
            <w:tcW w:w="1964" w:type="pct"/>
            <w:tcBorders>
              <w:top w:val="nil"/>
              <w:left w:val="single" w:sz="4" w:space="0" w:color="auto"/>
              <w:bottom w:val="single" w:sz="4" w:space="0" w:color="auto"/>
              <w:right w:val="single" w:sz="4" w:space="0" w:color="auto"/>
            </w:tcBorders>
            <w:noWrap/>
            <w:vAlign w:val="bottom"/>
          </w:tcPr>
          <w:p w:rsidR="001E7B45" w:rsidRPr="00FB09A3" w:rsidRDefault="001E7B45" w:rsidP="00AD3C83">
            <w:pPr>
              <w:spacing w:after="240" w:line="240" w:lineRule="auto"/>
              <w:jc w:val="center"/>
              <w:rPr>
                <w:rFonts w:eastAsia="Times New Roman"/>
              </w:rPr>
            </w:pPr>
            <w:r w:rsidRPr="00FB09A3">
              <w:rPr>
                <w:rFonts w:eastAsia="Times New Roman"/>
                <w:sz w:val="22"/>
                <w:szCs w:val="22"/>
              </w:rPr>
              <w:t>СН1</w:t>
            </w:r>
          </w:p>
        </w:tc>
        <w:tc>
          <w:tcPr>
            <w:tcW w:w="1448" w:type="pct"/>
            <w:tcBorders>
              <w:top w:val="nil"/>
              <w:left w:val="nil"/>
              <w:bottom w:val="single" w:sz="4" w:space="0" w:color="auto"/>
              <w:right w:val="single" w:sz="4" w:space="0" w:color="auto"/>
            </w:tcBorders>
            <w:noWrap/>
          </w:tcPr>
          <w:p w:rsidR="001E7B45" w:rsidRPr="00D0483F" w:rsidRDefault="001E7B45" w:rsidP="00AD3C83">
            <w:pPr>
              <w:spacing w:after="240" w:line="240" w:lineRule="auto"/>
              <w:jc w:val="center"/>
              <w:rPr>
                <w:sz w:val="20"/>
                <w:szCs w:val="20"/>
              </w:rPr>
            </w:pPr>
            <w:r w:rsidRPr="00D0483F">
              <w:rPr>
                <w:sz w:val="20"/>
                <w:szCs w:val="20"/>
              </w:rPr>
              <w:t>100,0%</w:t>
            </w:r>
          </w:p>
        </w:tc>
        <w:tc>
          <w:tcPr>
            <w:tcW w:w="1588" w:type="pct"/>
            <w:tcBorders>
              <w:top w:val="nil"/>
              <w:left w:val="nil"/>
              <w:bottom w:val="single" w:sz="4" w:space="0" w:color="auto"/>
              <w:right w:val="single" w:sz="4" w:space="0" w:color="auto"/>
            </w:tcBorders>
            <w:noWrap/>
          </w:tcPr>
          <w:p w:rsidR="001E7B45" w:rsidRPr="00D0483F" w:rsidRDefault="001E7B45" w:rsidP="00AD3C83">
            <w:pPr>
              <w:spacing w:after="240" w:line="240" w:lineRule="auto"/>
              <w:jc w:val="center"/>
              <w:rPr>
                <w:sz w:val="20"/>
                <w:szCs w:val="20"/>
              </w:rPr>
            </w:pPr>
            <w:r w:rsidRPr="00D0483F">
              <w:rPr>
                <w:sz w:val="20"/>
                <w:szCs w:val="20"/>
              </w:rPr>
              <w:t>115,0%</w:t>
            </w:r>
          </w:p>
        </w:tc>
      </w:tr>
      <w:tr w:rsidR="001E7B45" w:rsidRPr="008E0BD1" w:rsidTr="00AD3C83">
        <w:trPr>
          <w:trHeight w:val="516"/>
        </w:trPr>
        <w:tc>
          <w:tcPr>
            <w:tcW w:w="1964" w:type="pct"/>
            <w:tcBorders>
              <w:top w:val="single" w:sz="4" w:space="0" w:color="auto"/>
              <w:left w:val="single" w:sz="4" w:space="0" w:color="auto"/>
              <w:bottom w:val="single" w:sz="4" w:space="0" w:color="auto"/>
              <w:right w:val="single" w:sz="4" w:space="0" w:color="auto"/>
            </w:tcBorders>
            <w:noWrap/>
            <w:vAlign w:val="bottom"/>
          </w:tcPr>
          <w:p w:rsidR="001E7B45" w:rsidRPr="00C7464D" w:rsidRDefault="001E7B45" w:rsidP="00AD3C83">
            <w:pPr>
              <w:spacing w:after="240" w:line="240" w:lineRule="auto"/>
              <w:jc w:val="center"/>
              <w:rPr>
                <w:rFonts w:eastAsia="Times New Roman"/>
                <w:color w:val="000000"/>
              </w:rPr>
            </w:pPr>
            <w:r w:rsidRPr="00C7464D">
              <w:rPr>
                <w:rFonts w:eastAsia="Times New Roman"/>
                <w:color w:val="000000"/>
                <w:sz w:val="22"/>
                <w:szCs w:val="22"/>
              </w:rPr>
              <w:t>СН2</w:t>
            </w:r>
          </w:p>
        </w:tc>
        <w:tc>
          <w:tcPr>
            <w:tcW w:w="1448" w:type="pct"/>
            <w:tcBorders>
              <w:top w:val="single" w:sz="4" w:space="0" w:color="auto"/>
              <w:left w:val="single" w:sz="4" w:space="0" w:color="auto"/>
              <w:bottom w:val="single" w:sz="4" w:space="0" w:color="auto"/>
              <w:right w:val="single" w:sz="4" w:space="0" w:color="auto"/>
            </w:tcBorders>
            <w:noWrap/>
          </w:tcPr>
          <w:p w:rsidR="001E7B45" w:rsidRPr="00D0483F" w:rsidRDefault="001E7B45" w:rsidP="00AD3C83">
            <w:pPr>
              <w:spacing w:after="240" w:line="240" w:lineRule="auto"/>
              <w:jc w:val="center"/>
              <w:rPr>
                <w:sz w:val="20"/>
                <w:szCs w:val="20"/>
              </w:rPr>
            </w:pPr>
            <w:r w:rsidRPr="00D0483F">
              <w:rPr>
                <w:sz w:val="20"/>
                <w:szCs w:val="20"/>
              </w:rPr>
              <w:t>100,0%</w:t>
            </w:r>
          </w:p>
        </w:tc>
        <w:tc>
          <w:tcPr>
            <w:tcW w:w="1588" w:type="pct"/>
            <w:tcBorders>
              <w:top w:val="single" w:sz="4" w:space="0" w:color="auto"/>
              <w:left w:val="single" w:sz="4" w:space="0" w:color="auto"/>
              <w:bottom w:val="single" w:sz="4" w:space="0" w:color="auto"/>
              <w:right w:val="single" w:sz="4" w:space="0" w:color="auto"/>
            </w:tcBorders>
            <w:noWrap/>
          </w:tcPr>
          <w:p w:rsidR="001E7B45" w:rsidRPr="00D0483F" w:rsidRDefault="001E7B45" w:rsidP="00AD3C83">
            <w:pPr>
              <w:spacing w:after="240" w:line="240" w:lineRule="auto"/>
              <w:jc w:val="center"/>
              <w:rPr>
                <w:sz w:val="20"/>
                <w:szCs w:val="20"/>
              </w:rPr>
            </w:pPr>
            <w:r w:rsidRPr="00D0483F">
              <w:rPr>
                <w:sz w:val="20"/>
                <w:szCs w:val="20"/>
              </w:rPr>
              <w:t>115,0%</w:t>
            </w:r>
          </w:p>
        </w:tc>
      </w:tr>
      <w:tr w:rsidR="00AD3C83" w:rsidRPr="008E0BD1" w:rsidTr="00AD3C83">
        <w:trPr>
          <w:trHeight w:val="66"/>
        </w:trPr>
        <w:tc>
          <w:tcPr>
            <w:tcW w:w="1964" w:type="pct"/>
            <w:tcBorders>
              <w:left w:val="single" w:sz="4" w:space="0" w:color="auto"/>
              <w:bottom w:val="single" w:sz="4" w:space="0" w:color="auto"/>
              <w:right w:val="single" w:sz="4" w:space="0" w:color="auto"/>
            </w:tcBorders>
            <w:noWrap/>
            <w:vAlign w:val="center"/>
          </w:tcPr>
          <w:p w:rsidR="00AD3C83" w:rsidRPr="00C7464D" w:rsidRDefault="00AD3C83" w:rsidP="00AD3C83">
            <w:pPr>
              <w:spacing w:after="240" w:line="240" w:lineRule="auto"/>
              <w:jc w:val="center"/>
              <w:rPr>
                <w:rFonts w:eastAsia="Times New Roman"/>
                <w:color w:val="000000"/>
              </w:rPr>
            </w:pPr>
            <w:r w:rsidRPr="00C7464D">
              <w:rPr>
                <w:rFonts w:eastAsia="Times New Roman"/>
                <w:color w:val="000000"/>
                <w:sz w:val="22"/>
                <w:szCs w:val="22"/>
              </w:rPr>
              <w:t>НН (прочие потребители)</w:t>
            </w:r>
          </w:p>
        </w:tc>
        <w:tc>
          <w:tcPr>
            <w:tcW w:w="1448" w:type="pct"/>
            <w:tcBorders>
              <w:left w:val="single" w:sz="4" w:space="0" w:color="auto"/>
              <w:bottom w:val="single" w:sz="4" w:space="0" w:color="auto"/>
              <w:right w:val="single" w:sz="4" w:space="0" w:color="auto"/>
            </w:tcBorders>
            <w:noWrap/>
          </w:tcPr>
          <w:p w:rsidR="00AD3C83" w:rsidRPr="00D0483F" w:rsidRDefault="00AD3C83" w:rsidP="00AD3C83">
            <w:pPr>
              <w:spacing w:after="240" w:line="240" w:lineRule="auto"/>
              <w:jc w:val="center"/>
              <w:rPr>
                <w:sz w:val="20"/>
                <w:szCs w:val="20"/>
              </w:rPr>
            </w:pPr>
            <w:r w:rsidRPr="00D0483F">
              <w:rPr>
                <w:sz w:val="20"/>
                <w:szCs w:val="20"/>
              </w:rPr>
              <w:t>100,0%</w:t>
            </w:r>
          </w:p>
        </w:tc>
        <w:tc>
          <w:tcPr>
            <w:tcW w:w="1588" w:type="pct"/>
            <w:tcBorders>
              <w:left w:val="single" w:sz="4" w:space="0" w:color="auto"/>
              <w:bottom w:val="single" w:sz="4" w:space="0" w:color="auto"/>
              <w:right w:val="single" w:sz="4" w:space="0" w:color="auto"/>
            </w:tcBorders>
            <w:noWrap/>
          </w:tcPr>
          <w:p w:rsidR="00AD3C83" w:rsidRPr="00D0483F" w:rsidRDefault="00AD3C83" w:rsidP="00AD3C83">
            <w:pPr>
              <w:spacing w:after="240" w:line="240" w:lineRule="auto"/>
              <w:jc w:val="center"/>
              <w:rPr>
                <w:sz w:val="20"/>
                <w:szCs w:val="20"/>
              </w:rPr>
            </w:pPr>
            <w:r w:rsidRPr="00D0483F">
              <w:rPr>
                <w:sz w:val="20"/>
                <w:szCs w:val="20"/>
              </w:rPr>
              <w:t>115,0%</w:t>
            </w:r>
          </w:p>
        </w:tc>
      </w:tr>
    </w:tbl>
    <w:p w:rsidR="00577FA1" w:rsidRDefault="00577FA1" w:rsidP="00AD3C83">
      <w:pPr>
        <w:spacing w:after="240" w:line="240" w:lineRule="auto"/>
        <w:ind w:firstLine="709"/>
        <w:jc w:val="both"/>
        <w:rPr>
          <w:color w:val="000000" w:themeColor="text1"/>
          <w:sz w:val="28"/>
          <w:szCs w:val="28"/>
        </w:rPr>
      </w:pPr>
    </w:p>
    <w:p w:rsidR="001E7B45" w:rsidRDefault="001E7B45" w:rsidP="00AD3C83">
      <w:pPr>
        <w:spacing w:after="240" w:line="240" w:lineRule="auto"/>
        <w:ind w:firstLine="709"/>
        <w:jc w:val="both"/>
        <w:rPr>
          <w:color w:val="000000" w:themeColor="text1"/>
          <w:sz w:val="28"/>
          <w:szCs w:val="28"/>
        </w:rPr>
      </w:pPr>
      <w:r w:rsidRPr="004B084E">
        <w:rPr>
          <w:color w:val="000000" w:themeColor="text1"/>
          <w:sz w:val="28"/>
          <w:szCs w:val="28"/>
        </w:rPr>
        <w:t>Расчёт единых (котловых) тарифов на услуги по передаче электрической энергии по сетям Новосибирской области, поставляемой прочим потребителям, установленных</w:t>
      </w:r>
      <w:r>
        <w:rPr>
          <w:color w:val="000000" w:themeColor="text1"/>
          <w:sz w:val="28"/>
          <w:szCs w:val="28"/>
        </w:rPr>
        <w:t xml:space="preserve"> на 2020</w:t>
      </w:r>
      <w:r w:rsidRPr="004B084E">
        <w:rPr>
          <w:color w:val="000000" w:themeColor="text1"/>
          <w:sz w:val="28"/>
          <w:szCs w:val="28"/>
        </w:rPr>
        <w:t xml:space="preserve"> год, был произведён исходя из размеров экономически обоснованных тарифов на услуги по передаче электрической энергии (приведены ниже в таблице). </w:t>
      </w:r>
    </w:p>
    <w:p w:rsidR="008C1AA9" w:rsidRPr="00AD3C83" w:rsidRDefault="008C1AA9" w:rsidP="008C1AA9">
      <w:pPr>
        <w:pStyle w:val="a8"/>
        <w:ind w:firstLine="709"/>
        <w:jc w:val="right"/>
        <w:rPr>
          <w:color w:val="000000"/>
        </w:rPr>
      </w:pPr>
      <w:r w:rsidRPr="00AD3C83">
        <w:rPr>
          <w:color w:val="000000"/>
        </w:rPr>
        <w:lastRenderedPageBreak/>
        <w:t>Таблица № 2.1.</w:t>
      </w:r>
      <w:r>
        <w:rPr>
          <w:color w:val="000000"/>
        </w:rPr>
        <w:t>5</w:t>
      </w:r>
      <w:r w:rsidRPr="00AD3C83">
        <w:rPr>
          <w:color w:val="000000"/>
        </w:rPr>
        <w:t>.</w:t>
      </w:r>
    </w:p>
    <w:tbl>
      <w:tblPr>
        <w:tblW w:w="10080" w:type="dxa"/>
        <w:tblInd w:w="93" w:type="dxa"/>
        <w:tblLook w:val="00A0" w:firstRow="1" w:lastRow="0" w:firstColumn="1" w:lastColumn="0" w:noHBand="0" w:noVBand="0"/>
      </w:tblPr>
      <w:tblGrid>
        <w:gridCol w:w="3984"/>
        <w:gridCol w:w="3119"/>
        <w:gridCol w:w="2977"/>
      </w:tblGrid>
      <w:tr w:rsidR="001E7B45" w:rsidRPr="004F0984" w:rsidTr="00301B24">
        <w:trPr>
          <w:trHeight w:val="300"/>
        </w:trPr>
        <w:tc>
          <w:tcPr>
            <w:tcW w:w="3984" w:type="dxa"/>
            <w:vMerge w:val="restart"/>
            <w:tcBorders>
              <w:top w:val="single" w:sz="4" w:space="0" w:color="auto"/>
              <w:left w:val="single" w:sz="4" w:space="0" w:color="auto"/>
              <w:bottom w:val="single" w:sz="4" w:space="0" w:color="auto"/>
              <w:right w:val="single" w:sz="4" w:space="0" w:color="auto"/>
            </w:tcBorders>
            <w:noWrap/>
            <w:vAlign w:val="center"/>
          </w:tcPr>
          <w:p w:rsidR="001E7B45" w:rsidRPr="00C7464D" w:rsidRDefault="001E7B45" w:rsidP="00BD58BF">
            <w:pPr>
              <w:jc w:val="center"/>
              <w:rPr>
                <w:rFonts w:eastAsia="Times New Roman"/>
                <w:b/>
                <w:bCs/>
                <w:color w:val="000000"/>
              </w:rPr>
            </w:pPr>
            <w:r w:rsidRPr="00C7464D">
              <w:rPr>
                <w:rFonts w:eastAsia="Times New Roman"/>
                <w:b/>
                <w:bCs/>
                <w:color w:val="000000"/>
                <w:sz w:val="22"/>
                <w:szCs w:val="22"/>
              </w:rPr>
              <w:t xml:space="preserve">Тарифы по </w:t>
            </w:r>
            <w:r w:rsidR="00301B24" w:rsidRPr="00C7464D">
              <w:rPr>
                <w:rFonts w:eastAsia="Times New Roman"/>
                <w:b/>
                <w:bCs/>
                <w:color w:val="000000"/>
                <w:sz w:val="22"/>
                <w:szCs w:val="22"/>
              </w:rPr>
              <w:t>диапазонам</w:t>
            </w:r>
            <w:r w:rsidRPr="00C7464D">
              <w:rPr>
                <w:rFonts w:eastAsia="Times New Roman"/>
                <w:b/>
                <w:bCs/>
                <w:color w:val="000000"/>
                <w:sz w:val="22"/>
                <w:szCs w:val="22"/>
              </w:rPr>
              <w:t xml:space="preserve"> напряжения</w:t>
            </w:r>
          </w:p>
        </w:tc>
        <w:tc>
          <w:tcPr>
            <w:tcW w:w="6096" w:type="dxa"/>
            <w:gridSpan w:val="2"/>
            <w:tcBorders>
              <w:top w:val="single" w:sz="4" w:space="0" w:color="auto"/>
              <w:left w:val="nil"/>
              <w:bottom w:val="single" w:sz="4" w:space="0" w:color="auto"/>
              <w:right w:val="single" w:sz="4" w:space="0" w:color="auto"/>
            </w:tcBorders>
            <w:noWrap/>
            <w:vAlign w:val="center"/>
          </w:tcPr>
          <w:p w:rsidR="001E7B45" w:rsidRPr="00C7464D" w:rsidRDefault="001E7B45" w:rsidP="00BD58BF">
            <w:pPr>
              <w:jc w:val="center"/>
              <w:rPr>
                <w:rFonts w:eastAsia="Times New Roman"/>
                <w:b/>
                <w:bCs/>
                <w:color w:val="000000"/>
              </w:rPr>
            </w:pPr>
            <w:r>
              <w:rPr>
                <w:rFonts w:eastAsia="Times New Roman"/>
                <w:b/>
                <w:bCs/>
                <w:color w:val="000000"/>
                <w:sz w:val="22"/>
                <w:szCs w:val="22"/>
              </w:rPr>
              <w:t>2020</w:t>
            </w:r>
            <w:r w:rsidRPr="00C7464D">
              <w:rPr>
                <w:rFonts w:eastAsia="Times New Roman"/>
                <w:b/>
                <w:bCs/>
                <w:color w:val="000000"/>
                <w:sz w:val="22"/>
                <w:szCs w:val="22"/>
              </w:rPr>
              <w:t xml:space="preserve"> г.</w:t>
            </w:r>
          </w:p>
        </w:tc>
      </w:tr>
      <w:tr w:rsidR="001E7B45" w:rsidRPr="004F0984" w:rsidTr="00301B24">
        <w:trPr>
          <w:trHeight w:val="300"/>
        </w:trPr>
        <w:tc>
          <w:tcPr>
            <w:tcW w:w="3984" w:type="dxa"/>
            <w:vMerge/>
            <w:tcBorders>
              <w:top w:val="single" w:sz="4" w:space="0" w:color="auto"/>
              <w:left w:val="single" w:sz="4" w:space="0" w:color="auto"/>
              <w:bottom w:val="single" w:sz="4" w:space="0" w:color="auto"/>
              <w:right w:val="single" w:sz="4" w:space="0" w:color="auto"/>
            </w:tcBorders>
            <w:vAlign w:val="center"/>
          </w:tcPr>
          <w:p w:rsidR="001E7B45" w:rsidRPr="00C7464D" w:rsidRDefault="001E7B45" w:rsidP="00BD58BF">
            <w:pPr>
              <w:rPr>
                <w:rFonts w:eastAsia="Times New Roman"/>
                <w:b/>
                <w:bCs/>
                <w:color w:val="000000"/>
              </w:rPr>
            </w:pPr>
          </w:p>
        </w:tc>
        <w:tc>
          <w:tcPr>
            <w:tcW w:w="3119" w:type="dxa"/>
            <w:tcBorders>
              <w:top w:val="nil"/>
              <w:left w:val="nil"/>
              <w:bottom w:val="single" w:sz="4" w:space="0" w:color="auto"/>
              <w:right w:val="single" w:sz="4" w:space="0" w:color="auto"/>
            </w:tcBorders>
            <w:noWrap/>
            <w:vAlign w:val="center"/>
          </w:tcPr>
          <w:p w:rsidR="001E7B45" w:rsidRPr="00C7464D" w:rsidRDefault="001E7B45" w:rsidP="00BD58BF">
            <w:pPr>
              <w:jc w:val="center"/>
              <w:rPr>
                <w:rFonts w:eastAsia="Times New Roman"/>
                <w:b/>
                <w:bCs/>
                <w:color w:val="000000"/>
              </w:rPr>
            </w:pPr>
            <w:r w:rsidRPr="00C7464D">
              <w:rPr>
                <w:rFonts w:eastAsia="Times New Roman"/>
                <w:b/>
                <w:bCs/>
                <w:color w:val="000000"/>
                <w:sz w:val="22"/>
                <w:szCs w:val="22"/>
              </w:rPr>
              <w:t>1 пг.</w:t>
            </w:r>
          </w:p>
        </w:tc>
        <w:tc>
          <w:tcPr>
            <w:tcW w:w="2977" w:type="dxa"/>
            <w:tcBorders>
              <w:top w:val="nil"/>
              <w:left w:val="nil"/>
              <w:bottom w:val="single" w:sz="4" w:space="0" w:color="auto"/>
              <w:right w:val="single" w:sz="4" w:space="0" w:color="auto"/>
            </w:tcBorders>
            <w:noWrap/>
            <w:vAlign w:val="center"/>
          </w:tcPr>
          <w:p w:rsidR="001E7B45" w:rsidRPr="00C7464D" w:rsidRDefault="001E7B45" w:rsidP="00BD58BF">
            <w:pPr>
              <w:jc w:val="center"/>
              <w:rPr>
                <w:rFonts w:eastAsia="Times New Roman"/>
                <w:b/>
                <w:bCs/>
                <w:color w:val="000000"/>
              </w:rPr>
            </w:pPr>
            <w:r w:rsidRPr="00C7464D">
              <w:rPr>
                <w:rFonts w:eastAsia="Times New Roman"/>
                <w:b/>
                <w:bCs/>
                <w:color w:val="000000"/>
                <w:sz w:val="22"/>
                <w:szCs w:val="22"/>
              </w:rPr>
              <w:t>2пг.</w:t>
            </w:r>
          </w:p>
        </w:tc>
      </w:tr>
      <w:tr w:rsidR="001E7B45" w:rsidRPr="004F0984" w:rsidTr="00301B24">
        <w:trPr>
          <w:trHeight w:val="300"/>
        </w:trPr>
        <w:tc>
          <w:tcPr>
            <w:tcW w:w="10080" w:type="dxa"/>
            <w:gridSpan w:val="3"/>
            <w:tcBorders>
              <w:top w:val="single" w:sz="4" w:space="0" w:color="auto"/>
              <w:left w:val="single" w:sz="4" w:space="0" w:color="auto"/>
              <w:bottom w:val="single" w:sz="4" w:space="0" w:color="auto"/>
              <w:right w:val="single" w:sz="4" w:space="0" w:color="auto"/>
            </w:tcBorders>
            <w:noWrap/>
            <w:vAlign w:val="bottom"/>
          </w:tcPr>
          <w:p w:rsidR="001E7B45" w:rsidRPr="00C7464D" w:rsidRDefault="001E7B45" w:rsidP="00BD58BF">
            <w:pPr>
              <w:jc w:val="center"/>
              <w:rPr>
                <w:rFonts w:eastAsia="Times New Roman"/>
                <w:b/>
                <w:bCs/>
                <w:color w:val="000000"/>
              </w:rPr>
            </w:pPr>
            <w:r w:rsidRPr="00C7464D">
              <w:rPr>
                <w:rFonts w:eastAsia="Times New Roman"/>
                <w:b/>
                <w:bCs/>
                <w:color w:val="000000"/>
                <w:sz w:val="22"/>
                <w:szCs w:val="22"/>
              </w:rPr>
              <w:t>Одноставочный тариф   (руб./кВт*ч)</w:t>
            </w:r>
          </w:p>
        </w:tc>
      </w:tr>
      <w:tr w:rsidR="001E7B45" w:rsidRPr="008E0BD1" w:rsidTr="00301B24">
        <w:trPr>
          <w:trHeight w:val="306"/>
        </w:trPr>
        <w:tc>
          <w:tcPr>
            <w:tcW w:w="3984" w:type="dxa"/>
            <w:tcBorders>
              <w:top w:val="nil"/>
              <w:left w:val="single" w:sz="4" w:space="0" w:color="auto"/>
              <w:bottom w:val="single" w:sz="4" w:space="0" w:color="auto"/>
              <w:right w:val="single" w:sz="4" w:space="0" w:color="auto"/>
            </w:tcBorders>
            <w:noWrap/>
            <w:vAlign w:val="bottom"/>
          </w:tcPr>
          <w:p w:rsidR="001E7B45" w:rsidRPr="00C7464D" w:rsidRDefault="001E7B45" w:rsidP="00BD58BF">
            <w:pPr>
              <w:jc w:val="center"/>
              <w:rPr>
                <w:rFonts w:eastAsia="Times New Roman"/>
                <w:color w:val="000000"/>
              </w:rPr>
            </w:pPr>
            <w:r w:rsidRPr="00C7464D">
              <w:rPr>
                <w:rFonts w:eastAsia="Times New Roman"/>
                <w:color w:val="000000"/>
                <w:sz w:val="22"/>
                <w:szCs w:val="22"/>
              </w:rPr>
              <w:t>ВН</w:t>
            </w:r>
          </w:p>
        </w:tc>
        <w:tc>
          <w:tcPr>
            <w:tcW w:w="3119" w:type="dxa"/>
            <w:tcBorders>
              <w:top w:val="nil"/>
              <w:left w:val="nil"/>
              <w:bottom w:val="single" w:sz="4" w:space="0" w:color="auto"/>
              <w:right w:val="single" w:sz="4" w:space="0" w:color="auto"/>
            </w:tcBorders>
            <w:noWrap/>
          </w:tcPr>
          <w:p w:rsidR="001E7B45" w:rsidRPr="006B5FE4" w:rsidRDefault="001E7B45" w:rsidP="00BD58BF">
            <w:pPr>
              <w:jc w:val="center"/>
              <w:rPr>
                <w:sz w:val="20"/>
                <w:szCs w:val="20"/>
              </w:rPr>
            </w:pPr>
            <w:r w:rsidRPr="006B5FE4">
              <w:rPr>
                <w:sz w:val="20"/>
                <w:szCs w:val="20"/>
              </w:rPr>
              <w:t>0,38864</w:t>
            </w:r>
          </w:p>
        </w:tc>
        <w:tc>
          <w:tcPr>
            <w:tcW w:w="2977" w:type="dxa"/>
            <w:tcBorders>
              <w:top w:val="nil"/>
              <w:left w:val="nil"/>
              <w:bottom w:val="single" w:sz="4" w:space="0" w:color="auto"/>
              <w:right w:val="single" w:sz="4" w:space="0" w:color="auto"/>
            </w:tcBorders>
            <w:noWrap/>
          </w:tcPr>
          <w:p w:rsidR="001E7B45" w:rsidRPr="006B5FE4" w:rsidRDefault="001E7B45" w:rsidP="00BD58BF">
            <w:pPr>
              <w:jc w:val="center"/>
              <w:rPr>
                <w:sz w:val="20"/>
                <w:szCs w:val="20"/>
              </w:rPr>
            </w:pPr>
            <w:r w:rsidRPr="006B5FE4">
              <w:rPr>
                <w:sz w:val="20"/>
                <w:szCs w:val="20"/>
              </w:rPr>
              <w:t>0,44990</w:t>
            </w:r>
          </w:p>
        </w:tc>
      </w:tr>
      <w:tr w:rsidR="001E7B45" w:rsidRPr="008E0BD1" w:rsidTr="00301B24">
        <w:trPr>
          <w:trHeight w:val="200"/>
        </w:trPr>
        <w:tc>
          <w:tcPr>
            <w:tcW w:w="3984" w:type="dxa"/>
            <w:tcBorders>
              <w:top w:val="nil"/>
              <w:left w:val="single" w:sz="4" w:space="0" w:color="auto"/>
              <w:bottom w:val="single" w:sz="4" w:space="0" w:color="auto"/>
              <w:right w:val="single" w:sz="4" w:space="0" w:color="auto"/>
            </w:tcBorders>
            <w:noWrap/>
            <w:vAlign w:val="bottom"/>
          </w:tcPr>
          <w:p w:rsidR="001E7B45" w:rsidRPr="00C7464D" w:rsidRDefault="001E7B45" w:rsidP="00BD58BF">
            <w:pPr>
              <w:jc w:val="center"/>
              <w:rPr>
                <w:rFonts w:eastAsia="Times New Roman"/>
                <w:color w:val="000000"/>
              </w:rPr>
            </w:pPr>
            <w:r w:rsidRPr="00C7464D">
              <w:rPr>
                <w:rFonts w:eastAsia="Times New Roman"/>
                <w:color w:val="000000"/>
                <w:sz w:val="22"/>
                <w:szCs w:val="22"/>
              </w:rPr>
              <w:t>СН1</w:t>
            </w:r>
          </w:p>
        </w:tc>
        <w:tc>
          <w:tcPr>
            <w:tcW w:w="3119" w:type="dxa"/>
            <w:tcBorders>
              <w:top w:val="nil"/>
              <w:left w:val="nil"/>
              <w:bottom w:val="single" w:sz="4" w:space="0" w:color="auto"/>
              <w:right w:val="single" w:sz="4" w:space="0" w:color="auto"/>
            </w:tcBorders>
            <w:noWrap/>
          </w:tcPr>
          <w:p w:rsidR="001E7B45" w:rsidRPr="006B5FE4" w:rsidRDefault="001E7B45" w:rsidP="00BD58BF">
            <w:pPr>
              <w:jc w:val="center"/>
              <w:rPr>
                <w:sz w:val="20"/>
                <w:szCs w:val="20"/>
              </w:rPr>
            </w:pPr>
            <w:r w:rsidRPr="006B5FE4">
              <w:rPr>
                <w:sz w:val="20"/>
                <w:szCs w:val="20"/>
              </w:rPr>
              <w:t>0,80494</w:t>
            </w:r>
          </w:p>
        </w:tc>
        <w:tc>
          <w:tcPr>
            <w:tcW w:w="2977" w:type="dxa"/>
            <w:tcBorders>
              <w:top w:val="nil"/>
              <w:left w:val="nil"/>
              <w:bottom w:val="single" w:sz="4" w:space="0" w:color="auto"/>
              <w:right w:val="single" w:sz="4" w:space="0" w:color="auto"/>
            </w:tcBorders>
            <w:noWrap/>
          </w:tcPr>
          <w:p w:rsidR="001E7B45" w:rsidRPr="00C525C3" w:rsidRDefault="001E7B45" w:rsidP="00BD58BF">
            <w:pPr>
              <w:jc w:val="center"/>
              <w:rPr>
                <w:sz w:val="20"/>
                <w:szCs w:val="20"/>
              </w:rPr>
            </w:pPr>
            <w:r w:rsidRPr="00C525C3">
              <w:rPr>
                <w:sz w:val="20"/>
                <w:szCs w:val="20"/>
              </w:rPr>
              <w:t>0,84723</w:t>
            </w:r>
          </w:p>
        </w:tc>
      </w:tr>
      <w:tr w:rsidR="001E7B45" w:rsidRPr="008E0BD1" w:rsidTr="00301B24">
        <w:trPr>
          <w:trHeight w:val="300"/>
        </w:trPr>
        <w:tc>
          <w:tcPr>
            <w:tcW w:w="3984" w:type="dxa"/>
            <w:tcBorders>
              <w:top w:val="nil"/>
              <w:left w:val="single" w:sz="4" w:space="0" w:color="auto"/>
              <w:bottom w:val="single" w:sz="4" w:space="0" w:color="auto"/>
              <w:right w:val="single" w:sz="4" w:space="0" w:color="auto"/>
            </w:tcBorders>
            <w:noWrap/>
            <w:vAlign w:val="bottom"/>
          </w:tcPr>
          <w:p w:rsidR="001E7B45" w:rsidRPr="00C7464D" w:rsidRDefault="001E7B45" w:rsidP="00BD58BF">
            <w:pPr>
              <w:jc w:val="center"/>
              <w:rPr>
                <w:rFonts w:eastAsia="Times New Roman"/>
                <w:color w:val="000000"/>
              </w:rPr>
            </w:pPr>
            <w:r w:rsidRPr="00C7464D">
              <w:rPr>
                <w:rFonts w:eastAsia="Times New Roman"/>
                <w:color w:val="000000"/>
                <w:sz w:val="22"/>
                <w:szCs w:val="22"/>
              </w:rPr>
              <w:t>СН2</w:t>
            </w:r>
          </w:p>
        </w:tc>
        <w:tc>
          <w:tcPr>
            <w:tcW w:w="3119" w:type="dxa"/>
            <w:tcBorders>
              <w:top w:val="nil"/>
              <w:left w:val="nil"/>
              <w:bottom w:val="single" w:sz="4" w:space="0" w:color="auto"/>
              <w:right w:val="single" w:sz="4" w:space="0" w:color="auto"/>
            </w:tcBorders>
            <w:noWrap/>
          </w:tcPr>
          <w:p w:rsidR="001E7B45" w:rsidRPr="006B5FE4" w:rsidRDefault="001E7B45" w:rsidP="00BD58BF">
            <w:pPr>
              <w:jc w:val="center"/>
              <w:rPr>
                <w:sz w:val="20"/>
                <w:szCs w:val="20"/>
              </w:rPr>
            </w:pPr>
            <w:r w:rsidRPr="006B5FE4">
              <w:rPr>
                <w:sz w:val="20"/>
                <w:szCs w:val="20"/>
              </w:rPr>
              <w:t>1,05164</w:t>
            </w:r>
          </w:p>
        </w:tc>
        <w:tc>
          <w:tcPr>
            <w:tcW w:w="2977" w:type="dxa"/>
            <w:tcBorders>
              <w:top w:val="nil"/>
              <w:left w:val="nil"/>
              <w:bottom w:val="single" w:sz="4" w:space="0" w:color="auto"/>
              <w:right w:val="single" w:sz="4" w:space="0" w:color="auto"/>
            </w:tcBorders>
            <w:noWrap/>
          </w:tcPr>
          <w:p w:rsidR="001E7B45" w:rsidRPr="00C525C3" w:rsidRDefault="001E7B45" w:rsidP="00BD58BF">
            <w:pPr>
              <w:jc w:val="center"/>
              <w:rPr>
                <w:sz w:val="20"/>
                <w:szCs w:val="20"/>
              </w:rPr>
            </w:pPr>
            <w:r w:rsidRPr="00C525C3">
              <w:rPr>
                <w:sz w:val="20"/>
                <w:szCs w:val="20"/>
              </w:rPr>
              <w:t>1,11478</w:t>
            </w:r>
          </w:p>
        </w:tc>
      </w:tr>
      <w:tr w:rsidR="001E7B45" w:rsidRPr="008E0BD1" w:rsidTr="00301B24">
        <w:trPr>
          <w:trHeight w:val="372"/>
        </w:trPr>
        <w:tc>
          <w:tcPr>
            <w:tcW w:w="3984" w:type="dxa"/>
            <w:tcBorders>
              <w:top w:val="nil"/>
              <w:left w:val="single" w:sz="4" w:space="0" w:color="auto"/>
              <w:bottom w:val="single" w:sz="4" w:space="0" w:color="auto"/>
              <w:right w:val="single" w:sz="4" w:space="0" w:color="auto"/>
            </w:tcBorders>
            <w:noWrap/>
            <w:vAlign w:val="bottom"/>
          </w:tcPr>
          <w:p w:rsidR="001E7B45" w:rsidRPr="00C7464D" w:rsidRDefault="001E7B45" w:rsidP="00BD58BF">
            <w:pPr>
              <w:jc w:val="center"/>
              <w:rPr>
                <w:rFonts w:eastAsia="Times New Roman"/>
                <w:color w:val="000000"/>
              </w:rPr>
            </w:pPr>
            <w:r w:rsidRPr="00C7464D">
              <w:rPr>
                <w:rFonts w:eastAsia="Times New Roman"/>
                <w:color w:val="000000"/>
                <w:sz w:val="22"/>
                <w:szCs w:val="22"/>
              </w:rPr>
              <w:t xml:space="preserve">НН </w:t>
            </w:r>
          </w:p>
        </w:tc>
        <w:tc>
          <w:tcPr>
            <w:tcW w:w="3119" w:type="dxa"/>
            <w:tcBorders>
              <w:top w:val="nil"/>
              <w:left w:val="nil"/>
              <w:bottom w:val="single" w:sz="4" w:space="0" w:color="auto"/>
              <w:right w:val="single" w:sz="4" w:space="0" w:color="auto"/>
            </w:tcBorders>
            <w:noWrap/>
          </w:tcPr>
          <w:p w:rsidR="001E7B45" w:rsidRPr="006B5FE4" w:rsidRDefault="001E7B45" w:rsidP="00BD58BF">
            <w:pPr>
              <w:jc w:val="center"/>
              <w:rPr>
                <w:sz w:val="20"/>
                <w:szCs w:val="20"/>
              </w:rPr>
            </w:pPr>
            <w:r w:rsidRPr="006B5FE4">
              <w:rPr>
                <w:sz w:val="20"/>
                <w:szCs w:val="20"/>
              </w:rPr>
              <w:t>1,79200</w:t>
            </w:r>
          </w:p>
        </w:tc>
        <w:tc>
          <w:tcPr>
            <w:tcW w:w="2977" w:type="dxa"/>
            <w:tcBorders>
              <w:top w:val="nil"/>
              <w:left w:val="nil"/>
              <w:bottom w:val="single" w:sz="4" w:space="0" w:color="auto"/>
              <w:right w:val="single" w:sz="4" w:space="0" w:color="auto"/>
            </w:tcBorders>
            <w:noWrap/>
          </w:tcPr>
          <w:p w:rsidR="001E7B45" w:rsidRPr="00C525C3" w:rsidRDefault="001E7B45" w:rsidP="00BD58BF">
            <w:pPr>
              <w:jc w:val="center"/>
              <w:rPr>
                <w:sz w:val="20"/>
                <w:szCs w:val="20"/>
              </w:rPr>
            </w:pPr>
            <w:r w:rsidRPr="00C525C3">
              <w:rPr>
                <w:sz w:val="20"/>
                <w:szCs w:val="20"/>
              </w:rPr>
              <w:t>1,88359</w:t>
            </w:r>
          </w:p>
        </w:tc>
      </w:tr>
      <w:tr w:rsidR="001E7B45" w:rsidRPr="008E0BD1" w:rsidTr="00301B24">
        <w:trPr>
          <w:trHeight w:val="300"/>
        </w:trPr>
        <w:tc>
          <w:tcPr>
            <w:tcW w:w="10080" w:type="dxa"/>
            <w:gridSpan w:val="3"/>
            <w:tcBorders>
              <w:top w:val="single" w:sz="4" w:space="0" w:color="auto"/>
              <w:left w:val="single" w:sz="4" w:space="0" w:color="auto"/>
              <w:bottom w:val="single" w:sz="4" w:space="0" w:color="auto"/>
              <w:right w:val="single" w:sz="4" w:space="0" w:color="auto"/>
            </w:tcBorders>
            <w:noWrap/>
            <w:vAlign w:val="center"/>
          </w:tcPr>
          <w:p w:rsidR="001E7B45" w:rsidRPr="00952673" w:rsidRDefault="001E7B45" w:rsidP="00BD58BF">
            <w:pPr>
              <w:jc w:val="center"/>
              <w:rPr>
                <w:rFonts w:eastAsia="Times New Roman"/>
                <w:b/>
                <w:bCs/>
                <w:color w:val="000000"/>
              </w:rPr>
            </w:pPr>
            <w:r w:rsidRPr="00952673">
              <w:rPr>
                <w:rFonts w:eastAsia="Times New Roman"/>
                <w:b/>
                <w:bCs/>
                <w:color w:val="000000"/>
                <w:sz w:val="22"/>
                <w:szCs w:val="22"/>
              </w:rPr>
              <w:t>Рост по полугодиям (к предыдущему полугодию)</w:t>
            </w:r>
          </w:p>
        </w:tc>
      </w:tr>
      <w:tr w:rsidR="001E7B45" w:rsidRPr="008E0BD1" w:rsidTr="00301B24">
        <w:trPr>
          <w:trHeight w:val="300"/>
        </w:trPr>
        <w:tc>
          <w:tcPr>
            <w:tcW w:w="3984" w:type="dxa"/>
            <w:tcBorders>
              <w:top w:val="nil"/>
              <w:left w:val="single" w:sz="4" w:space="0" w:color="auto"/>
              <w:bottom w:val="single" w:sz="4" w:space="0" w:color="auto"/>
              <w:right w:val="single" w:sz="4" w:space="0" w:color="auto"/>
            </w:tcBorders>
            <w:noWrap/>
            <w:vAlign w:val="bottom"/>
          </w:tcPr>
          <w:p w:rsidR="001E7B45" w:rsidRPr="00C7464D" w:rsidRDefault="001E7B45" w:rsidP="00BD58BF">
            <w:pPr>
              <w:jc w:val="center"/>
              <w:rPr>
                <w:rFonts w:eastAsia="Times New Roman"/>
                <w:color w:val="000000"/>
              </w:rPr>
            </w:pPr>
            <w:r w:rsidRPr="00C7464D">
              <w:rPr>
                <w:rFonts w:eastAsia="Times New Roman"/>
                <w:color w:val="000000"/>
                <w:sz w:val="22"/>
                <w:szCs w:val="22"/>
              </w:rPr>
              <w:t>ВН</w:t>
            </w:r>
          </w:p>
        </w:tc>
        <w:tc>
          <w:tcPr>
            <w:tcW w:w="3119" w:type="dxa"/>
            <w:tcBorders>
              <w:top w:val="nil"/>
              <w:left w:val="nil"/>
              <w:bottom w:val="single" w:sz="4" w:space="0" w:color="auto"/>
              <w:right w:val="single" w:sz="4" w:space="0" w:color="auto"/>
            </w:tcBorders>
            <w:noWrap/>
          </w:tcPr>
          <w:p w:rsidR="001E7B45" w:rsidRPr="006B5FE4" w:rsidRDefault="001E7B45" w:rsidP="00BD58BF">
            <w:pPr>
              <w:jc w:val="center"/>
              <w:rPr>
                <w:sz w:val="20"/>
                <w:szCs w:val="20"/>
              </w:rPr>
            </w:pPr>
            <w:r w:rsidRPr="006B5FE4">
              <w:rPr>
                <w:sz w:val="20"/>
                <w:szCs w:val="20"/>
              </w:rPr>
              <w:t>100,0%</w:t>
            </w:r>
          </w:p>
        </w:tc>
        <w:tc>
          <w:tcPr>
            <w:tcW w:w="2977" w:type="dxa"/>
            <w:tcBorders>
              <w:top w:val="nil"/>
              <w:left w:val="nil"/>
              <w:bottom w:val="single" w:sz="4" w:space="0" w:color="auto"/>
              <w:right w:val="single" w:sz="4" w:space="0" w:color="auto"/>
            </w:tcBorders>
            <w:noWrap/>
          </w:tcPr>
          <w:p w:rsidR="001E7B45" w:rsidRPr="006B5FE4" w:rsidRDefault="001E7B45" w:rsidP="00BD58BF">
            <w:pPr>
              <w:jc w:val="center"/>
              <w:rPr>
                <w:sz w:val="20"/>
                <w:szCs w:val="20"/>
              </w:rPr>
            </w:pPr>
            <w:r w:rsidRPr="006B5FE4">
              <w:rPr>
                <w:sz w:val="20"/>
                <w:szCs w:val="20"/>
              </w:rPr>
              <w:t>115,8%</w:t>
            </w:r>
          </w:p>
        </w:tc>
      </w:tr>
      <w:tr w:rsidR="001E7B45" w:rsidRPr="008E0BD1" w:rsidTr="00301B24">
        <w:trPr>
          <w:trHeight w:val="300"/>
        </w:trPr>
        <w:tc>
          <w:tcPr>
            <w:tcW w:w="3984" w:type="dxa"/>
            <w:tcBorders>
              <w:top w:val="nil"/>
              <w:left w:val="single" w:sz="4" w:space="0" w:color="auto"/>
              <w:bottom w:val="single" w:sz="4" w:space="0" w:color="auto"/>
              <w:right w:val="single" w:sz="4" w:space="0" w:color="auto"/>
            </w:tcBorders>
            <w:noWrap/>
            <w:vAlign w:val="bottom"/>
          </w:tcPr>
          <w:p w:rsidR="001E7B45" w:rsidRPr="00C7464D" w:rsidRDefault="001E7B45" w:rsidP="00BD58BF">
            <w:pPr>
              <w:jc w:val="center"/>
              <w:rPr>
                <w:rFonts w:eastAsia="Times New Roman"/>
                <w:color w:val="000000"/>
              </w:rPr>
            </w:pPr>
            <w:r w:rsidRPr="00C7464D">
              <w:rPr>
                <w:rFonts w:eastAsia="Times New Roman"/>
                <w:color w:val="000000"/>
                <w:sz w:val="22"/>
                <w:szCs w:val="22"/>
              </w:rPr>
              <w:t>СН1</w:t>
            </w:r>
          </w:p>
        </w:tc>
        <w:tc>
          <w:tcPr>
            <w:tcW w:w="3119" w:type="dxa"/>
            <w:tcBorders>
              <w:top w:val="nil"/>
              <w:left w:val="nil"/>
              <w:bottom w:val="single" w:sz="4" w:space="0" w:color="auto"/>
              <w:right w:val="single" w:sz="4" w:space="0" w:color="auto"/>
            </w:tcBorders>
            <w:noWrap/>
          </w:tcPr>
          <w:p w:rsidR="001E7B45" w:rsidRPr="00C525C3" w:rsidRDefault="001E7B45" w:rsidP="00BD58BF">
            <w:pPr>
              <w:jc w:val="center"/>
              <w:rPr>
                <w:sz w:val="20"/>
                <w:szCs w:val="20"/>
              </w:rPr>
            </w:pPr>
            <w:r w:rsidRPr="00C525C3">
              <w:rPr>
                <w:sz w:val="20"/>
                <w:szCs w:val="20"/>
              </w:rPr>
              <w:t>97,4%</w:t>
            </w:r>
          </w:p>
        </w:tc>
        <w:tc>
          <w:tcPr>
            <w:tcW w:w="2977" w:type="dxa"/>
            <w:tcBorders>
              <w:top w:val="nil"/>
              <w:left w:val="nil"/>
              <w:bottom w:val="single" w:sz="4" w:space="0" w:color="auto"/>
              <w:right w:val="single" w:sz="4" w:space="0" w:color="auto"/>
            </w:tcBorders>
            <w:noWrap/>
          </w:tcPr>
          <w:p w:rsidR="001E7B45" w:rsidRPr="00C525C3" w:rsidRDefault="001E7B45" w:rsidP="00BD58BF">
            <w:pPr>
              <w:jc w:val="center"/>
              <w:rPr>
                <w:sz w:val="20"/>
                <w:szCs w:val="20"/>
              </w:rPr>
            </w:pPr>
            <w:r w:rsidRPr="00C525C3">
              <w:rPr>
                <w:sz w:val="20"/>
                <w:szCs w:val="20"/>
              </w:rPr>
              <w:t>105,3%</w:t>
            </w:r>
          </w:p>
        </w:tc>
      </w:tr>
      <w:tr w:rsidR="001E7B45" w:rsidRPr="008E0BD1" w:rsidTr="00301B24">
        <w:trPr>
          <w:trHeight w:val="300"/>
        </w:trPr>
        <w:tc>
          <w:tcPr>
            <w:tcW w:w="3984" w:type="dxa"/>
            <w:tcBorders>
              <w:top w:val="single" w:sz="4" w:space="0" w:color="auto"/>
              <w:left w:val="single" w:sz="4" w:space="0" w:color="auto"/>
              <w:bottom w:val="single" w:sz="4" w:space="0" w:color="auto"/>
              <w:right w:val="single" w:sz="4" w:space="0" w:color="auto"/>
            </w:tcBorders>
            <w:noWrap/>
            <w:vAlign w:val="bottom"/>
          </w:tcPr>
          <w:p w:rsidR="001E7B45" w:rsidRPr="00C7464D" w:rsidRDefault="001E7B45" w:rsidP="00BD58BF">
            <w:pPr>
              <w:jc w:val="center"/>
              <w:rPr>
                <w:rFonts w:eastAsia="Times New Roman"/>
                <w:color w:val="000000"/>
              </w:rPr>
            </w:pPr>
            <w:r w:rsidRPr="00C7464D">
              <w:rPr>
                <w:rFonts w:eastAsia="Times New Roman"/>
                <w:color w:val="000000"/>
                <w:sz w:val="22"/>
                <w:szCs w:val="22"/>
              </w:rPr>
              <w:t>СН2</w:t>
            </w:r>
          </w:p>
        </w:tc>
        <w:tc>
          <w:tcPr>
            <w:tcW w:w="3119" w:type="dxa"/>
            <w:tcBorders>
              <w:top w:val="single" w:sz="4" w:space="0" w:color="auto"/>
              <w:left w:val="nil"/>
              <w:bottom w:val="single" w:sz="4" w:space="0" w:color="auto"/>
              <w:right w:val="single" w:sz="4" w:space="0" w:color="auto"/>
            </w:tcBorders>
            <w:noWrap/>
          </w:tcPr>
          <w:p w:rsidR="001E7B45" w:rsidRPr="00C525C3" w:rsidRDefault="001E7B45" w:rsidP="00BD58BF">
            <w:pPr>
              <w:jc w:val="center"/>
              <w:rPr>
                <w:sz w:val="20"/>
                <w:szCs w:val="20"/>
              </w:rPr>
            </w:pPr>
            <w:r w:rsidRPr="00C525C3">
              <w:rPr>
                <w:sz w:val="20"/>
                <w:szCs w:val="20"/>
              </w:rPr>
              <w:t>97,9%</w:t>
            </w:r>
          </w:p>
        </w:tc>
        <w:tc>
          <w:tcPr>
            <w:tcW w:w="2977" w:type="dxa"/>
            <w:tcBorders>
              <w:top w:val="single" w:sz="4" w:space="0" w:color="auto"/>
              <w:left w:val="nil"/>
              <w:bottom w:val="single" w:sz="4" w:space="0" w:color="auto"/>
              <w:right w:val="single" w:sz="4" w:space="0" w:color="auto"/>
            </w:tcBorders>
            <w:noWrap/>
          </w:tcPr>
          <w:p w:rsidR="001E7B45" w:rsidRPr="00C525C3" w:rsidRDefault="001E7B45" w:rsidP="00BD58BF">
            <w:pPr>
              <w:jc w:val="center"/>
              <w:rPr>
                <w:sz w:val="20"/>
                <w:szCs w:val="20"/>
              </w:rPr>
            </w:pPr>
            <w:r w:rsidRPr="00C525C3">
              <w:rPr>
                <w:sz w:val="20"/>
                <w:szCs w:val="20"/>
              </w:rPr>
              <w:t>106,0%</w:t>
            </w:r>
          </w:p>
        </w:tc>
      </w:tr>
      <w:tr w:rsidR="001E7B45" w:rsidRPr="008E0BD1" w:rsidTr="00301B24">
        <w:trPr>
          <w:trHeight w:val="300"/>
        </w:trPr>
        <w:tc>
          <w:tcPr>
            <w:tcW w:w="3984" w:type="dxa"/>
            <w:tcBorders>
              <w:top w:val="nil"/>
              <w:left w:val="single" w:sz="4" w:space="0" w:color="auto"/>
              <w:bottom w:val="single" w:sz="4" w:space="0" w:color="auto"/>
              <w:right w:val="single" w:sz="4" w:space="0" w:color="auto"/>
            </w:tcBorders>
            <w:noWrap/>
            <w:vAlign w:val="bottom"/>
          </w:tcPr>
          <w:p w:rsidR="001E7B45" w:rsidRPr="00C7464D" w:rsidRDefault="001E7B45" w:rsidP="00BD58BF">
            <w:pPr>
              <w:jc w:val="center"/>
              <w:rPr>
                <w:rFonts w:eastAsia="Times New Roman"/>
                <w:color w:val="000000"/>
              </w:rPr>
            </w:pPr>
            <w:r w:rsidRPr="00C7464D">
              <w:rPr>
                <w:rFonts w:eastAsia="Times New Roman"/>
                <w:color w:val="000000"/>
                <w:sz w:val="22"/>
                <w:szCs w:val="22"/>
              </w:rPr>
              <w:t xml:space="preserve">НН </w:t>
            </w:r>
          </w:p>
        </w:tc>
        <w:tc>
          <w:tcPr>
            <w:tcW w:w="3119" w:type="dxa"/>
            <w:tcBorders>
              <w:top w:val="nil"/>
              <w:left w:val="nil"/>
              <w:bottom w:val="single" w:sz="4" w:space="0" w:color="auto"/>
              <w:right w:val="single" w:sz="4" w:space="0" w:color="auto"/>
            </w:tcBorders>
            <w:noWrap/>
          </w:tcPr>
          <w:p w:rsidR="001E7B45" w:rsidRPr="00C525C3" w:rsidRDefault="001E7B45" w:rsidP="00BD58BF">
            <w:pPr>
              <w:jc w:val="center"/>
              <w:rPr>
                <w:sz w:val="20"/>
                <w:szCs w:val="20"/>
              </w:rPr>
            </w:pPr>
            <w:r w:rsidRPr="00C525C3">
              <w:rPr>
                <w:sz w:val="20"/>
                <w:szCs w:val="20"/>
              </w:rPr>
              <w:t>98,1%</w:t>
            </w:r>
          </w:p>
        </w:tc>
        <w:tc>
          <w:tcPr>
            <w:tcW w:w="2977" w:type="dxa"/>
            <w:tcBorders>
              <w:top w:val="nil"/>
              <w:left w:val="nil"/>
              <w:bottom w:val="single" w:sz="4" w:space="0" w:color="auto"/>
              <w:right w:val="single" w:sz="4" w:space="0" w:color="auto"/>
            </w:tcBorders>
            <w:noWrap/>
          </w:tcPr>
          <w:p w:rsidR="001E7B45" w:rsidRPr="00C525C3" w:rsidRDefault="001E7B45" w:rsidP="00BD58BF">
            <w:pPr>
              <w:jc w:val="center"/>
              <w:rPr>
                <w:sz w:val="20"/>
                <w:szCs w:val="20"/>
              </w:rPr>
            </w:pPr>
            <w:r w:rsidRPr="00C525C3">
              <w:rPr>
                <w:sz w:val="20"/>
                <w:szCs w:val="20"/>
              </w:rPr>
              <w:t>105,1%</w:t>
            </w:r>
          </w:p>
        </w:tc>
      </w:tr>
      <w:tr w:rsidR="001E7B45" w:rsidRPr="008E0BD1" w:rsidTr="00301B24">
        <w:trPr>
          <w:trHeight w:val="300"/>
        </w:trPr>
        <w:tc>
          <w:tcPr>
            <w:tcW w:w="10080" w:type="dxa"/>
            <w:gridSpan w:val="3"/>
            <w:tcBorders>
              <w:top w:val="single" w:sz="4" w:space="0" w:color="auto"/>
              <w:left w:val="single" w:sz="4" w:space="0" w:color="auto"/>
              <w:bottom w:val="single" w:sz="4" w:space="0" w:color="auto"/>
              <w:right w:val="single" w:sz="4" w:space="0" w:color="auto"/>
            </w:tcBorders>
            <w:noWrap/>
            <w:vAlign w:val="bottom"/>
          </w:tcPr>
          <w:p w:rsidR="001E7B45" w:rsidRPr="00952673" w:rsidRDefault="001E7B45" w:rsidP="00BD58BF">
            <w:pPr>
              <w:jc w:val="center"/>
              <w:rPr>
                <w:rFonts w:eastAsia="Times New Roman"/>
                <w:b/>
                <w:bCs/>
                <w:color w:val="000000"/>
              </w:rPr>
            </w:pPr>
            <w:r w:rsidRPr="00952673">
              <w:rPr>
                <w:rFonts w:eastAsia="Times New Roman"/>
                <w:b/>
                <w:bCs/>
                <w:color w:val="000000"/>
                <w:sz w:val="22"/>
                <w:szCs w:val="22"/>
              </w:rPr>
              <w:t>Двухставочный тариф</w:t>
            </w:r>
          </w:p>
        </w:tc>
      </w:tr>
      <w:tr w:rsidR="001E7B45" w:rsidRPr="008E0BD1" w:rsidTr="00301B24">
        <w:trPr>
          <w:trHeight w:val="300"/>
        </w:trPr>
        <w:tc>
          <w:tcPr>
            <w:tcW w:w="10080" w:type="dxa"/>
            <w:gridSpan w:val="3"/>
            <w:tcBorders>
              <w:top w:val="single" w:sz="4" w:space="0" w:color="auto"/>
              <w:left w:val="single" w:sz="4" w:space="0" w:color="auto"/>
              <w:bottom w:val="single" w:sz="4" w:space="0" w:color="auto"/>
              <w:right w:val="single" w:sz="4" w:space="0" w:color="auto"/>
            </w:tcBorders>
            <w:noWrap/>
            <w:vAlign w:val="bottom"/>
          </w:tcPr>
          <w:p w:rsidR="001E7B45" w:rsidRPr="00952673" w:rsidRDefault="001E7B45" w:rsidP="00BD58BF">
            <w:pPr>
              <w:jc w:val="center"/>
              <w:rPr>
                <w:rFonts w:eastAsia="Times New Roman"/>
                <w:b/>
                <w:bCs/>
                <w:color w:val="000000"/>
              </w:rPr>
            </w:pPr>
            <w:r w:rsidRPr="00952673">
              <w:rPr>
                <w:rFonts w:eastAsia="Times New Roman"/>
                <w:b/>
                <w:bCs/>
                <w:color w:val="000000"/>
                <w:sz w:val="22"/>
                <w:szCs w:val="22"/>
              </w:rPr>
              <w:t>Ставка на содержание (руб./ кВт*ч*мес.)</w:t>
            </w:r>
          </w:p>
        </w:tc>
      </w:tr>
      <w:tr w:rsidR="001E7B45" w:rsidRPr="006B5FE4" w:rsidTr="00301B24">
        <w:trPr>
          <w:trHeight w:val="300"/>
        </w:trPr>
        <w:tc>
          <w:tcPr>
            <w:tcW w:w="3984" w:type="dxa"/>
            <w:tcBorders>
              <w:top w:val="nil"/>
              <w:left w:val="single" w:sz="4" w:space="0" w:color="auto"/>
              <w:bottom w:val="single" w:sz="4" w:space="0" w:color="auto"/>
              <w:right w:val="single" w:sz="4" w:space="0" w:color="auto"/>
            </w:tcBorders>
            <w:noWrap/>
            <w:vAlign w:val="bottom"/>
          </w:tcPr>
          <w:p w:rsidR="001E7B45" w:rsidRPr="00C7464D" w:rsidRDefault="001E7B45" w:rsidP="00BD58BF">
            <w:pPr>
              <w:jc w:val="center"/>
              <w:rPr>
                <w:rFonts w:eastAsia="Times New Roman"/>
                <w:color w:val="000000"/>
              </w:rPr>
            </w:pPr>
            <w:r w:rsidRPr="00C7464D">
              <w:rPr>
                <w:rFonts w:eastAsia="Times New Roman"/>
                <w:color w:val="000000"/>
                <w:sz w:val="22"/>
                <w:szCs w:val="22"/>
              </w:rPr>
              <w:t>ВН</w:t>
            </w:r>
          </w:p>
        </w:tc>
        <w:tc>
          <w:tcPr>
            <w:tcW w:w="3119" w:type="dxa"/>
            <w:tcBorders>
              <w:top w:val="nil"/>
              <w:left w:val="nil"/>
              <w:bottom w:val="single" w:sz="4" w:space="0" w:color="auto"/>
              <w:right w:val="single" w:sz="4" w:space="0" w:color="auto"/>
            </w:tcBorders>
            <w:noWrap/>
          </w:tcPr>
          <w:p w:rsidR="001E7B45" w:rsidRPr="006B5FE4" w:rsidRDefault="001E7B45" w:rsidP="00BD58BF">
            <w:pPr>
              <w:jc w:val="center"/>
              <w:rPr>
                <w:sz w:val="20"/>
                <w:szCs w:val="20"/>
              </w:rPr>
            </w:pPr>
            <w:r w:rsidRPr="006B5FE4">
              <w:rPr>
                <w:sz w:val="20"/>
                <w:szCs w:val="20"/>
              </w:rPr>
              <w:t>169,89990</w:t>
            </w:r>
          </w:p>
        </w:tc>
        <w:tc>
          <w:tcPr>
            <w:tcW w:w="2977" w:type="dxa"/>
            <w:tcBorders>
              <w:top w:val="nil"/>
              <w:left w:val="nil"/>
              <w:bottom w:val="single" w:sz="4" w:space="0" w:color="auto"/>
              <w:right w:val="single" w:sz="4" w:space="0" w:color="auto"/>
            </w:tcBorders>
            <w:noWrap/>
          </w:tcPr>
          <w:p w:rsidR="001E7B45" w:rsidRPr="006B5FE4" w:rsidRDefault="001E7B45" w:rsidP="00BD58BF">
            <w:pPr>
              <w:jc w:val="center"/>
              <w:rPr>
                <w:sz w:val="20"/>
                <w:szCs w:val="20"/>
              </w:rPr>
            </w:pPr>
            <w:r w:rsidRPr="006B5FE4">
              <w:rPr>
                <w:sz w:val="20"/>
                <w:szCs w:val="20"/>
              </w:rPr>
              <w:t>197,29156</w:t>
            </w:r>
          </w:p>
        </w:tc>
      </w:tr>
      <w:tr w:rsidR="001E7B45" w:rsidRPr="006B5FE4" w:rsidTr="00301B24">
        <w:trPr>
          <w:trHeight w:val="300"/>
        </w:trPr>
        <w:tc>
          <w:tcPr>
            <w:tcW w:w="3984" w:type="dxa"/>
            <w:tcBorders>
              <w:top w:val="nil"/>
              <w:left w:val="single" w:sz="4" w:space="0" w:color="auto"/>
              <w:bottom w:val="single" w:sz="4" w:space="0" w:color="auto"/>
              <w:right w:val="single" w:sz="4" w:space="0" w:color="auto"/>
            </w:tcBorders>
            <w:noWrap/>
            <w:vAlign w:val="bottom"/>
          </w:tcPr>
          <w:p w:rsidR="001E7B45" w:rsidRPr="00C7464D" w:rsidRDefault="001E7B45" w:rsidP="00BD58BF">
            <w:pPr>
              <w:jc w:val="center"/>
              <w:rPr>
                <w:rFonts w:eastAsia="Times New Roman"/>
                <w:color w:val="000000"/>
              </w:rPr>
            </w:pPr>
            <w:r w:rsidRPr="00C7464D">
              <w:rPr>
                <w:rFonts w:eastAsia="Times New Roman"/>
                <w:color w:val="000000"/>
                <w:sz w:val="22"/>
                <w:szCs w:val="22"/>
              </w:rPr>
              <w:t>СН1</w:t>
            </w:r>
          </w:p>
        </w:tc>
        <w:tc>
          <w:tcPr>
            <w:tcW w:w="3119" w:type="dxa"/>
            <w:tcBorders>
              <w:top w:val="nil"/>
              <w:left w:val="nil"/>
              <w:bottom w:val="single" w:sz="4" w:space="0" w:color="auto"/>
              <w:right w:val="single" w:sz="4" w:space="0" w:color="auto"/>
            </w:tcBorders>
            <w:noWrap/>
          </w:tcPr>
          <w:p w:rsidR="001E7B45" w:rsidRPr="006B5FE4" w:rsidRDefault="001E7B45" w:rsidP="00BD58BF">
            <w:pPr>
              <w:jc w:val="center"/>
              <w:rPr>
                <w:sz w:val="20"/>
                <w:szCs w:val="20"/>
              </w:rPr>
            </w:pPr>
            <w:r w:rsidRPr="006B5FE4">
              <w:rPr>
                <w:sz w:val="20"/>
                <w:szCs w:val="20"/>
              </w:rPr>
              <w:t>410,70421</w:t>
            </w:r>
          </w:p>
        </w:tc>
        <w:tc>
          <w:tcPr>
            <w:tcW w:w="2977" w:type="dxa"/>
            <w:tcBorders>
              <w:top w:val="nil"/>
              <w:left w:val="nil"/>
              <w:bottom w:val="single" w:sz="4" w:space="0" w:color="auto"/>
              <w:right w:val="single" w:sz="4" w:space="0" w:color="auto"/>
            </w:tcBorders>
            <w:noWrap/>
          </w:tcPr>
          <w:p w:rsidR="001E7B45" w:rsidRPr="006B5FE4" w:rsidRDefault="001E7B45" w:rsidP="00BD58BF">
            <w:pPr>
              <w:jc w:val="center"/>
              <w:rPr>
                <w:sz w:val="20"/>
                <w:szCs w:val="20"/>
              </w:rPr>
            </w:pPr>
            <w:r w:rsidRPr="006B5FE4">
              <w:rPr>
                <w:sz w:val="20"/>
                <w:szCs w:val="20"/>
              </w:rPr>
              <w:t>420,74774</w:t>
            </w:r>
          </w:p>
        </w:tc>
      </w:tr>
      <w:tr w:rsidR="001E7B45" w:rsidRPr="006B5FE4" w:rsidTr="00301B24">
        <w:trPr>
          <w:trHeight w:val="300"/>
        </w:trPr>
        <w:tc>
          <w:tcPr>
            <w:tcW w:w="3984" w:type="dxa"/>
            <w:tcBorders>
              <w:top w:val="nil"/>
              <w:left w:val="single" w:sz="4" w:space="0" w:color="auto"/>
              <w:bottom w:val="single" w:sz="4" w:space="0" w:color="auto"/>
              <w:right w:val="single" w:sz="4" w:space="0" w:color="auto"/>
            </w:tcBorders>
            <w:noWrap/>
            <w:vAlign w:val="bottom"/>
          </w:tcPr>
          <w:p w:rsidR="001E7B45" w:rsidRPr="00C7464D" w:rsidRDefault="001E7B45" w:rsidP="00BD58BF">
            <w:pPr>
              <w:jc w:val="center"/>
              <w:rPr>
                <w:rFonts w:eastAsia="Times New Roman"/>
                <w:color w:val="000000"/>
              </w:rPr>
            </w:pPr>
            <w:r w:rsidRPr="00C7464D">
              <w:rPr>
                <w:rFonts w:eastAsia="Times New Roman"/>
                <w:color w:val="000000"/>
                <w:sz w:val="22"/>
                <w:szCs w:val="22"/>
              </w:rPr>
              <w:t>СН2</w:t>
            </w:r>
          </w:p>
        </w:tc>
        <w:tc>
          <w:tcPr>
            <w:tcW w:w="3119" w:type="dxa"/>
            <w:tcBorders>
              <w:top w:val="nil"/>
              <w:left w:val="nil"/>
              <w:bottom w:val="single" w:sz="4" w:space="0" w:color="auto"/>
              <w:right w:val="single" w:sz="4" w:space="0" w:color="auto"/>
            </w:tcBorders>
            <w:noWrap/>
          </w:tcPr>
          <w:p w:rsidR="001E7B45" w:rsidRPr="006B5FE4" w:rsidRDefault="001E7B45" w:rsidP="00BD58BF">
            <w:pPr>
              <w:jc w:val="center"/>
              <w:rPr>
                <w:sz w:val="20"/>
                <w:szCs w:val="20"/>
              </w:rPr>
            </w:pPr>
            <w:r w:rsidRPr="006B5FE4">
              <w:rPr>
                <w:sz w:val="20"/>
                <w:szCs w:val="20"/>
              </w:rPr>
              <w:t>502,92618</w:t>
            </w:r>
          </w:p>
        </w:tc>
        <w:tc>
          <w:tcPr>
            <w:tcW w:w="2977" w:type="dxa"/>
            <w:tcBorders>
              <w:top w:val="nil"/>
              <w:left w:val="nil"/>
              <w:bottom w:val="single" w:sz="4" w:space="0" w:color="auto"/>
              <w:right w:val="single" w:sz="4" w:space="0" w:color="auto"/>
            </w:tcBorders>
            <w:noWrap/>
          </w:tcPr>
          <w:p w:rsidR="001E7B45" w:rsidRPr="006B5FE4" w:rsidRDefault="001E7B45" w:rsidP="00BD58BF">
            <w:pPr>
              <w:jc w:val="center"/>
              <w:rPr>
                <w:sz w:val="20"/>
                <w:szCs w:val="20"/>
              </w:rPr>
            </w:pPr>
            <w:r w:rsidRPr="006B5FE4">
              <w:rPr>
                <w:sz w:val="20"/>
                <w:szCs w:val="20"/>
              </w:rPr>
              <w:t>516,28714</w:t>
            </w:r>
          </w:p>
        </w:tc>
      </w:tr>
      <w:tr w:rsidR="001E7B45" w:rsidRPr="006B5FE4" w:rsidTr="00301B24">
        <w:trPr>
          <w:trHeight w:val="300"/>
        </w:trPr>
        <w:tc>
          <w:tcPr>
            <w:tcW w:w="3984" w:type="dxa"/>
            <w:tcBorders>
              <w:top w:val="nil"/>
              <w:left w:val="single" w:sz="4" w:space="0" w:color="auto"/>
              <w:bottom w:val="single" w:sz="4" w:space="0" w:color="auto"/>
              <w:right w:val="single" w:sz="4" w:space="0" w:color="auto"/>
            </w:tcBorders>
            <w:noWrap/>
            <w:vAlign w:val="bottom"/>
          </w:tcPr>
          <w:p w:rsidR="001E7B45" w:rsidRPr="00C7464D" w:rsidRDefault="001E7B45" w:rsidP="00BD58BF">
            <w:pPr>
              <w:jc w:val="center"/>
              <w:rPr>
                <w:rFonts w:eastAsia="Times New Roman"/>
                <w:color w:val="000000"/>
              </w:rPr>
            </w:pPr>
            <w:r w:rsidRPr="00C7464D">
              <w:rPr>
                <w:rFonts w:eastAsia="Times New Roman"/>
                <w:color w:val="000000"/>
                <w:sz w:val="22"/>
                <w:szCs w:val="22"/>
              </w:rPr>
              <w:t xml:space="preserve">НН </w:t>
            </w:r>
          </w:p>
        </w:tc>
        <w:tc>
          <w:tcPr>
            <w:tcW w:w="3119" w:type="dxa"/>
            <w:tcBorders>
              <w:top w:val="nil"/>
              <w:left w:val="nil"/>
              <w:bottom w:val="single" w:sz="4" w:space="0" w:color="auto"/>
              <w:right w:val="single" w:sz="4" w:space="0" w:color="auto"/>
            </w:tcBorders>
            <w:noWrap/>
          </w:tcPr>
          <w:p w:rsidR="001E7B45" w:rsidRPr="006B5FE4" w:rsidRDefault="001E7B45" w:rsidP="00BD58BF">
            <w:pPr>
              <w:jc w:val="center"/>
              <w:rPr>
                <w:sz w:val="20"/>
                <w:szCs w:val="20"/>
              </w:rPr>
            </w:pPr>
            <w:r w:rsidRPr="006B5FE4">
              <w:rPr>
                <w:sz w:val="20"/>
                <w:szCs w:val="20"/>
              </w:rPr>
              <w:t>676,37219</w:t>
            </w:r>
          </w:p>
        </w:tc>
        <w:tc>
          <w:tcPr>
            <w:tcW w:w="2977" w:type="dxa"/>
            <w:tcBorders>
              <w:top w:val="nil"/>
              <w:left w:val="nil"/>
              <w:bottom w:val="single" w:sz="4" w:space="0" w:color="auto"/>
              <w:right w:val="single" w:sz="4" w:space="0" w:color="auto"/>
            </w:tcBorders>
            <w:noWrap/>
          </w:tcPr>
          <w:p w:rsidR="001E7B45" w:rsidRPr="006B5FE4" w:rsidRDefault="001E7B45" w:rsidP="00BD58BF">
            <w:pPr>
              <w:jc w:val="center"/>
              <w:rPr>
                <w:sz w:val="20"/>
                <w:szCs w:val="20"/>
              </w:rPr>
            </w:pPr>
            <w:r w:rsidRPr="006B5FE4">
              <w:rPr>
                <w:sz w:val="20"/>
                <w:szCs w:val="20"/>
              </w:rPr>
              <w:t>686,12796</w:t>
            </w:r>
          </w:p>
        </w:tc>
      </w:tr>
      <w:tr w:rsidR="001E7B45" w:rsidRPr="008E0BD1" w:rsidTr="00301B24">
        <w:trPr>
          <w:trHeight w:val="300"/>
        </w:trPr>
        <w:tc>
          <w:tcPr>
            <w:tcW w:w="10080" w:type="dxa"/>
            <w:gridSpan w:val="3"/>
            <w:tcBorders>
              <w:top w:val="single" w:sz="4" w:space="0" w:color="auto"/>
              <w:left w:val="single" w:sz="4" w:space="0" w:color="auto"/>
              <w:bottom w:val="single" w:sz="4" w:space="0" w:color="auto"/>
              <w:right w:val="single" w:sz="4" w:space="0" w:color="auto"/>
            </w:tcBorders>
            <w:noWrap/>
            <w:vAlign w:val="center"/>
          </w:tcPr>
          <w:p w:rsidR="001E7B45" w:rsidRPr="00952673" w:rsidRDefault="001E7B45" w:rsidP="00BD58BF">
            <w:pPr>
              <w:jc w:val="center"/>
              <w:rPr>
                <w:rFonts w:eastAsia="Times New Roman"/>
                <w:b/>
                <w:bCs/>
                <w:color w:val="000000"/>
              </w:rPr>
            </w:pPr>
            <w:r w:rsidRPr="00952673">
              <w:rPr>
                <w:rFonts w:eastAsia="Times New Roman"/>
                <w:b/>
                <w:bCs/>
                <w:color w:val="000000"/>
                <w:sz w:val="22"/>
                <w:szCs w:val="22"/>
              </w:rPr>
              <w:t>Ставка на оплату потерь (руб./кВт*ч)</w:t>
            </w:r>
          </w:p>
        </w:tc>
      </w:tr>
      <w:tr w:rsidR="001E7B45" w:rsidRPr="008E0BD1" w:rsidTr="00301B24">
        <w:trPr>
          <w:trHeight w:val="300"/>
        </w:trPr>
        <w:tc>
          <w:tcPr>
            <w:tcW w:w="3984" w:type="dxa"/>
            <w:tcBorders>
              <w:top w:val="nil"/>
              <w:left w:val="single" w:sz="4" w:space="0" w:color="auto"/>
              <w:bottom w:val="single" w:sz="4" w:space="0" w:color="auto"/>
              <w:right w:val="single" w:sz="4" w:space="0" w:color="auto"/>
            </w:tcBorders>
            <w:noWrap/>
            <w:vAlign w:val="bottom"/>
          </w:tcPr>
          <w:p w:rsidR="001E7B45" w:rsidRPr="00C7464D" w:rsidRDefault="001E7B45" w:rsidP="00BD58BF">
            <w:pPr>
              <w:jc w:val="center"/>
              <w:rPr>
                <w:rFonts w:eastAsia="Times New Roman"/>
                <w:color w:val="000000"/>
              </w:rPr>
            </w:pPr>
            <w:r w:rsidRPr="00C7464D">
              <w:rPr>
                <w:rFonts w:eastAsia="Times New Roman"/>
                <w:color w:val="000000"/>
                <w:sz w:val="22"/>
                <w:szCs w:val="22"/>
              </w:rPr>
              <w:t>ВН</w:t>
            </w:r>
          </w:p>
        </w:tc>
        <w:tc>
          <w:tcPr>
            <w:tcW w:w="3119" w:type="dxa"/>
            <w:tcBorders>
              <w:top w:val="nil"/>
              <w:left w:val="nil"/>
              <w:bottom w:val="single" w:sz="4" w:space="0" w:color="auto"/>
              <w:right w:val="single" w:sz="4" w:space="0" w:color="auto"/>
            </w:tcBorders>
            <w:noWrap/>
          </w:tcPr>
          <w:p w:rsidR="001E7B45" w:rsidRPr="006B5FE4" w:rsidRDefault="001E7B45" w:rsidP="00BD58BF">
            <w:pPr>
              <w:jc w:val="center"/>
              <w:rPr>
                <w:sz w:val="20"/>
                <w:szCs w:val="20"/>
              </w:rPr>
            </w:pPr>
            <w:r w:rsidRPr="006B5FE4">
              <w:rPr>
                <w:sz w:val="20"/>
                <w:szCs w:val="20"/>
              </w:rPr>
              <w:t>0,12456</w:t>
            </w:r>
          </w:p>
        </w:tc>
        <w:tc>
          <w:tcPr>
            <w:tcW w:w="2977" w:type="dxa"/>
            <w:tcBorders>
              <w:top w:val="nil"/>
              <w:left w:val="nil"/>
              <w:bottom w:val="single" w:sz="4" w:space="0" w:color="auto"/>
              <w:right w:val="single" w:sz="4" w:space="0" w:color="auto"/>
            </w:tcBorders>
            <w:noWrap/>
          </w:tcPr>
          <w:p w:rsidR="001E7B45" w:rsidRPr="006B5FE4" w:rsidRDefault="001E7B45" w:rsidP="00BD58BF">
            <w:pPr>
              <w:jc w:val="center"/>
              <w:rPr>
                <w:sz w:val="20"/>
                <w:szCs w:val="20"/>
              </w:rPr>
            </w:pPr>
            <w:r w:rsidRPr="006B5FE4">
              <w:rPr>
                <w:sz w:val="20"/>
                <w:szCs w:val="20"/>
              </w:rPr>
              <w:t>0,14325</w:t>
            </w:r>
          </w:p>
        </w:tc>
      </w:tr>
      <w:tr w:rsidR="001E7B45" w:rsidRPr="008E0BD1" w:rsidTr="00301B24">
        <w:trPr>
          <w:trHeight w:val="300"/>
        </w:trPr>
        <w:tc>
          <w:tcPr>
            <w:tcW w:w="3984" w:type="dxa"/>
            <w:tcBorders>
              <w:top w:val="nil"/>
              <w:left w:val="single" w:sz="4" w:space="0" w:color="auto"/>
              <w:bottom w:val="single" w:sz="4" w:space="0" w:color="auto"/>
              <w:right w:val="single" w:sz="4" w:space="0" w:color="auto"/>
            </w:tcBorders>
            <w:noWrap/>
            <w:vAlign w:val="bottom"/>
          </w:tcPr>
          <w:p w:rsidR="001E7B45" w:rsidRPr="00C7464D" w:rsidRDefault="001E7B45" w:rsidP="00BD58BF">
            <w:pPr>
              <w:jc w:val="center"/>
              <w:rPr>
                <w:rFonts w:eastAsia="Times New Roman"/>
                <w:color w:val="000000"/>
              </w:rPr>
            </w:pPr>
            <w:r w:rsidRPr="00C7464D">
              <w:rPr>
                <w:rFonts w:eastAsia="Times New Roman"/>
                <w:color w:val="000000"/>
                <w:sz w:val="22"/>
                <w:szCs w:val="22"/>
              </w:rPr>
              <w:t>СН1</w:t>
            </w:r>
          </w:p>
        </w:tc>
        <w:tc>
          <w:tcPr>
            <w:tcW w:w="3119" w:type="dxa"/>
            <w:tcBorders>
              <w:top w:val="nil"/>
              <w:left w:val="nil"/>
              <w:bottom w:val="single" w:sz="4" w:space="0" w:color="auto"/>
              <w:right w:val="single" w:sz="4" w:space="0" w:color="auto"/>
            </w:tcBorders>
            <w:noWrap/>
          </w:tcPr>
          <w:p w:rsidR="001E7B45" w:rsidRPr="006B5FE4" w:rsidRDefault="001E7B45" w:rsidP="00BD58BF">
            <w:pPr>
              <w:jc w:val="center"/>
              <w:rPr>
                <w:sz w:val="20"/>
                <w:szCs w:val="20"/>
              </w:rPr>
            </w:pPr>
            <w:r w:rsidRPr="006B5FE4">
              <w:rPr>
                <w:sz w:val="20"/>
                <w:szCs w:val="20"/>
              </w:rPr>
              <w:t>0,18009</w:t>
            </w:r>
          </w:p>
        </w:tc>
        <w:tc>
          <w:tcPr>
            <w:tcW w:w="2977" w:type="dxa"/>
            <w:tcBorders>
              <w:top w:val="nil"/>
              <w:left w:val="nil"/>
              <w:bottom w:val="single" w:sz="4" w:space="0" w:color="auto"/>
              <w:right w:val="single" w:sz="4" w:space="0" w:color="auto"/>
            </w:tcBorders>
            <w:noWrap/>
          </w:tcPr>
          <w:p w:rsidR="001E7B45" w:rsidRPr="006B5FE4" w:rsidRDefault="001E7B45" w:rsidP="00BD58BF">
            <w:pPr>
              <w:jc w:val="center"/>
              <w:rPr>
                <w:sz w:val="20"/>
                <w:szCs w:val="20"/>
              </w:rPr>
            </w:pPr>
            <w:r w:rsidRPr="006B5FE4">
              <w:rPr>
                <w:sz w:val="20"/>
                <w:szCs w:val="20"/>
              </w:rPr>
              <w:t>0,20711</w:t>
            </w:r>
          </w:p>
        </w:tc>
      </w:tr>
      <w:tr w:rsidR="001E7B45" w:rsidRPr="008E0BD1" w:rsidTr="00301B24">
        <w:trPr>
          <w:trHeight w:val="300"/>
        </w:trPr>
        <w:tc>
          <w:tcPr>
            <w:tcW w:w="3984" w:type="dxa"/>
            <w:tcBorders>
              <w:top w:val="nil"/>
              <w:left w:val="single" w:sz="4" w:space="0" w:color="auto"/>
              <w:bottom w:val="single" w:sz="4" w:space="0" w:color="auto"/>
              <w:right w:val="single" w:sz="4" w:space="0" w:color="auto"/>
            </w:tcBorders>
            <w:noWrap/>
            <w:vAlign w:val="bottom"/>
          </w:tcPr>
          <w:p w:rsidR="001E7B45" w:rsidRPr="00C7464D" w:rsidRDefault="001E7B45" w:rsidP="00BD58BF">
            <w:pPr>
              <w:jc w:val="center"/>
              <w:rPr>
                <w:rFonts w:eastAsia="Times New Roman"/>
                <w:color w:val="000000"/>
              </w:rPr>
            </w:pPr>
            <w:r w:rsidRPr="00C7464D">
              <w:rPr>
                <w:rFonts w:eastAsia="Times New Roman"/>
                <w:color w:val="000000"/>
                <w:sz w:val="22"/>
                <w:szCs w:val="22"/>
              </w:rPr>
              <w:t>СН2</w:t>
            </w:r>
          </w:p>
        </w:tc>
        <w:tc>
          <w:tcPr>
            <w:tcW w:w="3119" w:type="dxa"/>
            <w:tcBorders>
              <w:top w:val="nil"/>
              <w:left w:val="nil"/>
              <w:bottom w:val="single" w:sz="4" w:space="0" w:color="auto"/>
              <w:right w:val="single" w:sz="4" w:space="0" w:color="auto"/>
            </w:tcBorders>
            <w:noWrap/>
          </w:tcPr>
          <w:p w:rsidR="001E7B45" w:rsidRPr="006B5FE4" w:rsidRDefault="001E7B45" w:rsidP="00BD58BF">
            <w:pPr>
              <w:jc w:val="center"/>
              <w:rPr>
                <w:sz w:val="20"/>
                <w:szCs w:val="20"/>
              </w:rPr>
            </w:pPr>
            <w:r w:rsidRPr="006B5FE4">
              <w:rPr>
                <w:sz w:val="20"/>
                <w:szCs w:val="20"/>
              </w:rPr>
              <w:t>0,28510</w:t>
            </w:r>
          </w:p>
        </w:tc>
        <w:tc>
          <w:tcPr>
            <w:tcW w:w="2977" w:type="dxa"/>
            <w:tcBorders>
              <w:top w:val="nil"/>
              <w:left w:val="nil"/>
              <w:bottom w:val="single" w:sz="4" w:space="0" w:color="auto"/>
              <w:right w:val="single" w:sz="4" w:space="0" w:color="auto"/>
            </w:tcBorders>
            <w:noWrap/>
          </w:tcPr>
          <w:p w:rsidR="001E7B45" w:rsidRPr="006B5FE4" w:rsidRDefault="001E7B45" w:rsidP="00BD58BF">
            <w:pPr>
              <w:jc w:val="center"/>
              <w:rPr>
                <w:sz w:val="20"/>
                <w:szCs w:val="20"/>
              </w:rPr>
            </w:pPr>
            <w:r w:rsidRPr="006B5FE4">
              <w:rPr>
                <w:sz w:val="20"/>
                <w:szCs w:val="20"/>
              </w:rPr>
              <w:t>0,32788</w:t>
            </w:r>
          </w:p>
        </w:tc>
      </w:tr>
      <w:tr w:rsidR="001E7B45" w:rsidRPr="008E0BD1" w:rsidTr="00301B24">
        <w:trPr>
          <w:trHeight w:val="300"/>
        </w:trPr>
        <w:tc>
          <w:tcPr>
            <w:tcW w:w="3984" w:type="dxa"/>
            <w:tcBorders>
              <w:top w:val="nil"/>
              <w:left w:val="single" w:sz="4" w:space="0" w:color="auto"/>
              <w:bottom w:val="single" w:sz="4" w:space="0" w:color="auto"/>
              <w:right w:val="single" w:sz="4" w:space="0" w:color="auto"/>
            </w:tcBorders>
            <w:noWrap/>
            <w:vAlign w:val="bottom"/>
          </w:tcPr>
          <w:p w:rsidR="001E7B45" w:rsidRPr="00C7464D" w:rsidRDefault="001E7B45" w:rsidP="00BD58BF">
            <w:pPr>
              <w:jc w:val="center"/>
              <w:rPr>
                <w:rFonts w:eastAsia="Times New Roman"/>
                <w:color w:val="000000"/>
              </w:rPr>
            </w:pPr>
            <w:r w:rsidRPr="00C7464D">
              <w:rPr>
                <w:rFonts w:eastAsia="Times New Roman"/>
                <w:color w:val="000000"/>
                <w:sz w:val="22"/>
                <w:szCs w:val="22"/>
              </w:rPr>
              <w:t xml:space="preserve">НН </w:t>
            </w:r>
          </w:p>
        </w:tc>
        <w:tc>
          <w:tcPr>
            <w:tcW w:w="3119" w:type="dxa"/>
            <w:tcBorders>
              <w:top w:val="nil"/>
              <w:left w:val="nil"/>
              <w:bottom w:val="single" w:sz="4" w:space="0" w:color="auto"/>
              <w:right w:val="single" w:sz="4" w:space="0" w:color="auto"/>
            </w:tcBorders>
            <w:noWrap/>
          </w:tcPr>
          <w:p w:rsidR="001E7B45" w:rsidRPr="006B5FE4" w:rsidRDefault="001E7B45" w:rsidP="00BD58BF">
            <w:pPr>
              <w:jc w:val="center"/>
              <w:rPr>
                <w:sz w:val="20"/>
                <w:szCs w:val="20"/>
              </w:rPr>
            </w:pPr>
            <w:r w:rsidRPr="006B5FE4">
              <w:rPr>
                <w:sz w:val="20"/>
                <w:szCs w:val="20"/>
              </w:rPr>
              <w:t>0,50380</w:t>
            </w:r>
          </w:p>
        </w:tc>
        <w:tc>
          <w:tcPr>
            <w:tcW w:w="2977" w:type="dxa"/>
            <w:tcBorders>
              <w:top w:val="nil"/>
              <w:left w:val="nil"/>
              <w:bottom w:val="single" w:sz="4" w:space="0" w:color="auto"/>
              <w:right w:val="single" w:sz="4" w:space="0" w:color="auto"/>
            </w:tcBorders>
            <w:noWrap/>
          </w:tcPr>
          <w:p w:rsidR="001E7B45" w:rsidRPr="006B5FE4" w:rsidRDefault="001E7B45" w:rsidP="00BD58BF">
            <w:pPr>
              <w:jc w:val="center"/>
              <w:rPr>
                <w:sz w:val="20"/>
                <w:szCs w:val="20"/>
              </w:rPr>
            </w:pPr>
            <w:r w:rsidRPr="006B5FE4">
              <w:rPr>
                <w:sz w:val="20"/>
                <w:szCs w:val="20"/>
              </w:rPr>
              <w:t>0,57939</w:t>
            </w:r>
          </w:p>
        </w:tc>
      </w:tr>
      <w:tr w:rsidR="001E7B45" w:rsidRPr="008E0BD1" w:rsidTr="00301B24">
        <w:trPr>
          <w:trHeight w:val="300"/>
        </w:trPr>
        <w:tc>
          <w:tcPr>
            <w:tcW w:w="10080" w:type="dxa"/>
            <w:gridSpan w:val="3"/>
            <w:tcBorders>
              <w:top w:val="single" w:sz="4" w:space="0" w:color="auto"/>
              <w:left w:val="single" w:sz="4" w:space="0" w:color="auto"/>
              <w:bottom w:val="single" w:sz="4" w:space="0" w:color="auto"/>
              <w:right w:val="single" w:sz="4" w:space="0" w:color="auto"/>
            </w:tcBorders>
            <w:noWrap/>
            <w:vAlign w:val="bottom"/>
          </w:tcPr>
          <w:p w:rsidR="001E7B45" w:rsidRPr="00952673" w:rsidRDefault="001E7B45" w:rsidP="00BD58BF">
            <w:pPr>
              <w:jc w:val="center"/>
              <w:rPr>
                <w:rFonts w:eastAsia="Times New Roman"/>
                <w:b/>
                <w:bCs/>
                <w:color w:val="000000"/>
              </w:rPr>
            </w:pPr>
            <w:r w:rsidRPr="00952673">
              <w:rPr>
                <w:rFonts w:eastAsia="Times New Roman"/>
                <w:b/>
                <w:bCs/>
                <w:color w:val="000000"/>
                <w:sz w:val="22"/>
                <w:szCs w:val="22"/>
              </w:rPr>
              <w:t>Рост по полугодиям (к предыдущему полугодию)</w:t>
            </w:r>
          </w:p>
        </w:tc>
      </w:tr>
      <w:tr w:rsidR="001E7B45" w:rsidRPr="008E0BD1" w:rsidTr="00301B24">
        <w:trPr>
          <w:trHeight w:val="300"/>
        </w:trPr>
        <w:tc>
          <w:tcPr>
            <w:tcW w:w="10080" w:type="dxa"/>
            <w:gridSpan w:val="3"/>
            <w:tcBorders>
              <w:top w:val="single" w:sz="4" w:space="0" w:color="auto"/>
              <w:left w:val="single" w:sz="4" w:space="0" w:color="auto"/>
              <w:bottom w:val="single" w:sz="4" w:space="0" w:color="auto"/>
              <w:right w:val="single" w:sz="4" w:space="0" w:color="auto"/>
            </w:tcBorders>
            <w:noWrap/>
            <w:vAlign w:val="bottom"/>
          </w:tcPr>
          <w:p w:rsidR="001E7B45" w:rsidRPr="00952673" w:rsidRDefault="001E7B45" w:rsidP="00BD58BF">
            <w:pPr>
              <w:jc w:val="center"/>
              <w:rPr>
                <w:rFonts w:eastAsia="Times New Roman"/>
                <w:b/>
                <w:bCs/>
                <w:color w:val="000000"/>
              </w:rPr>
            </w:pPr>
            <w:r w:rsidRPr="00952673">
              <w:rPr>
                <w:rFonts w:eastAsia="Times New Roman"/>
                <w:b/>
                <w:bCs/>
                <w:color w:val="000000"/>
                <w:sz w:val="22"/>
                <w:szCs w:val="22"/>
              </w:rPr>
              <w:t>Ставка на содержание</w:t>
            </w:r>
          </w:p>
        </w:tc>
      </w:tr>
      <w:tr w:rsidR="001E7B45" w:rsidRPr="008E0BD1" w:rsidTr="00301B24">
        <w:trPr>
          <w:trHeight w:val="300"/>
        </w:trPr>
        <w:tc>
          <w:tcPr>
            <w:tcW w:w="3984" w:type="dxa"/>
            <w:tcBorders>
              <w:top w:val="nil"/>
              <w:left w:val="single" w:sz="4" w:space="0" w:color="auto"/>
              <w:bottom w:val="single" w:sz="4" w:space="0" w:color="auto"/>
              <w:right w:val="single" w:sz="4" w:space="0" w:color="auto"/>
            </w:tcBorders>
            <w:noWrap/>
            <w:vAlign w:val="bottom"/>
          </w:tcPr>
          <w:p w:rsidR="001E7B45" w:rsidRPr="00C7464D" w:rsidRDefault="001E7B45" w:rsidP="00BD58BF">
            <w:pPr>
              <w:jc w:val="center"/>
              <w:rPr>
                <w:rFonts w:eastAsia="Times New Roman"/>
                <w:color w:val="000000"/>
              </w:rPr>
            </w:pPr>
            <w:r w:rsidRPr="00C7464D">
              <w:rPr>
                <w:rFonts w:eastAsia="Times New Roman"/>
                <w:color w:val="000000"/>
                <w:sz w:val="22"/>
                <w:szCs w:val="22"/>
              </w:rPr>
              <w:t>ВН</w:t>
            </w:r>
          </w:p>
        </w:tc>
        <w:tc>
          <w:tcPr>
            <w:tcW w:w="3119" w:type="dxa"/>
            <w:tcBorders>
              <w:top w:val="nil"/>
              <w:left w:val="nil"/>
              <w:bottom w:val="single" w:sz="4" w:space="0" w:color="auto"/>
              <w:right w:val="single" w:sz="4" w:space="0" w:color="auto"/>
            </w:tcBorders>
            <w:noWrap/>
          </w:tcPr>
          <w:p w:rsidR="001E7B45" w:rsidRPr="006B5FE4" w:rsidRDefault="001E7B45" w:rsidP="00BD58BF">
            <w:pPr>
              <w:jc w:val="center"/>
              <w:rPr>
                <w:sz w:val="20"/>
                <w:szCs w:val="20"/>
              </w:rPr>
            </w:pPr>
            <w:r w:rsidRPr="006B5FE4">
              <w:rPr>
                <w:sz w:val="20"/>
                <w:szCs w:val="20"/>
              </w:rPr>
              <w:t>100,1%</w:t>
            </w:r>
          </w:p>
        </w:tc>
        <w:tc>
          <w:tcPr>
            <w:tcW w:w="2977" w:type="dxa"/>
            <w:tcBorders>
              <w:top w:val="nil"/>
              <w:left w:val="nil"/>
              <w:bottom w:val="single" w:sz="4" w:space="0" w:color="auto"/>
              <w:right w:val="single" w:sz="4" w:space="0" w:color="auto"/>
            </w:tcBorders>
            <w:noWrap/>
          </w:tcPr>
          <w:p w:rsidR="001E7B45" w:rsidRPr="006B5FE4" w:rsidRDefault="001E7B45" w:rsidP="00BD58BF">
            <w:pPr>
              <w:jc w:val="center"/>
              <w:rPr>
                <w:sz w:val="20"/>
                <w:szCs w:val="20"/>
              </w:rPr>
            </w:pPr>
            <w:r w:rsidRPr="006B5FE4">
              <w:rPr>
                <w:sz w:val="20"/>
                <w:szCs w:val="20"/>
              </w:rPr>
              <w:t>116,1%</w:t>
            </w:r>
          </w:p>
        </w:tc>
      </w:tr>
      <w:tr w:rsidR="001E7B45" w:rsidRPr="008E0BD1" w:rsidTr="00301B24">
        <w:trPr>
          <w:trHeight w:val="300"/>
        </w:trPr>
        <w:tc>
          <w:tcPr>
            <w:tcW w:w="3984" w:type="dxa"/>
            <w:tcBorders>
              <w:top w:val="nil"/>
              <w:left w:val="single" w:sz="4" w:space="0" w:color="auto"/>
              <w:bottom w:val="single" w:sz="4" w:space="0" w:color="auto"/>
              <w:right w:val="single" w:sz="4" w:space="0" w:color="auto"/>
            </w:tcBorders>
            <w:noWrap/>
            <w:vAlign w:val="bottom"/>
          </w:tcPr>
          <w:p w:rsidR="001E7B45" w:rsidRPr="00C7464D" w:rsidRDefault="001E7B45" w:rsidP="00BD58BF">
            <w:pPr>
              <w:jc w:val="center"/>
              <w:rPr>
                <w:rFonts w:eastAsia="Times New Roman"/>
                <w:color w:val="000000"/>
              </w:rPr>
            </w:pPr>
            <w:r w:rsidRPr="00C7464D">
              <w:rPr>
                <w:rFonts w:eastAsia="Times New Roman"/>
                <w:color w:val="000000"/>
                <w:sz w:val="22"/>
                <w:szCs w:val="22"/>
              </w:rPr>
              <w:t>СН1</w:t>
            </w:r>
          </w:p>
        </w:tc>
        <w:tc>
          <w:tcPr>
            <w:tcW w:w="3119" w:type="dxa"/>
            <w:tcBorders>
              <w:top w:val="nil"/>
              <w:left w:val="nil"/>
              <w:bottom w:val="single" w:sz="4" w:space="0" w:color="auto"/>
              <w:right w:val="single" w:sz="4" w:space="0" w:color="auto"/>
            </w:tcBorders>
            <w:noWrap/>
          </w:tcPr>
          <w:p w:rsidR="001E7B45" w:rsidRPr="006B5FE4" w:rsidRDefault="001E7B45" w:rsidP="00BD58BF">
            <w:pPr>
              <w:jc w:val="center"/>
              <w:rPr>
                <w:sz w:val="20"/>
                <w:szCs w:val="20"/>
              </w:rPr>
            </w:pPr>
            <w:r w:rsidRPr="006B5FE4">
              <w:rPr>
                <w:sz w:val="20"/>
                <w:szCs w:val="20"/>
              </w:rPr>
              <w:t>96,7%</w:t>
            </w:r>
          </w:p>
        </w:tc>
        <w:tc>
          <w:tcPr>
            <w:tcW w:w="2977" w:type="dxa"/>
            <w:tcBorders>
              <w:top w:val="nil"/>
              <w:left w:val="nil"/>
              <w:bottom w:val="single" w:sz="4" w:space="0" w:color="auto"/>
              <w:right w:val="single" w:sz="4" w:space="0" w:color="auto"/>
            </w:tcBorders>
            <w:noWrap/>
          </w:tcPr>
          <w:p w:rsidR="001E7B45" w:rsidRPr="006B5FE4" w:rsidRDefault="001E7B45" w:rsidP="00BD58BF">
            <w:pPr>
              <w:jc w:val="center"/>
              <w:rPr>
                <w:sz w:val="20"/>
                <w:szCs w:val="20"/>
              </w:rPr>
            </w:pPr>
            <w:r w:rsidRPr="006B5FE4">
              <w:rPr>
                <w:sz w:val="20"/>
                <w:szCs w:val="20"/>
              </w:rPr>
              <w:t>102,4%</w:t>
            </w:r>
          </w:p>
        </w:tc>
      </w:tr>
      <w:tr w:rsidR="001E7B45" w:rsidRPr="008E0BD1" w:rsidTr="00301B24">
        <w:trPr>
          <w:trHeight w:val="300"/>
        </w:trPr>
        <w:tc>
          <w:tcPr>
            <w:tcW w:w="3984" w:type="dxa"/>
            <w:tcBorders>
              <w:top w:val="nil"/>
              <w:left w:val="single" w:sz="4" w:space="0" w:color="auto"/>
              <w:bottom w:val="single" w:sz="4" w:space="0" w:color="auto"/>
              <w:right w:val="single" w:sz="4" w:space="0" w:color="auto"/>
            </w:tcBorders>
            <w:noWrap/>
            <w:vAlign w:val="bottom"/>
          </w:tcPr>
          <w:p w:rsidR="001E7B45" w:rsidRPr="00C7464D" w:rsidRDefault="001E7B45" w:rsidP="00BD58BF">
            <w:pPr>
              <w:jc w:val="center"/>
              <w:rPr>
                <w:rFonts w:eastAsia="Times New Roman"/>
                <w:color w:val="000000"/>
              </w:rPr>
            </w:pPr>
            <w:r w:rsidRPr="00C7464D">
              <w:rPr>
                <w:rFonts w:eastAsia="Times New Roman"/>
                <w:color w:val="000000"/>
                <w:sz w:val="22"/>
                <w:szCs w:val="22"/>
              </w:rPr>
              <w:t>СН2</w:t>
            </w:r>
          </w:p>
        </w:tc>
        <w:tc>
          <w:tcPr>
            <w:tcW w:w="3119" w:type="dxa"/>
            <w:tcBorders>
              <w:top w:val="nil"/>
              <w:left w:val="nil"/>
              <w:bottom w:val="single" w:sz="4" w:space="0" w:color="auto"/>
              <w:right w:val="single" w:sz="4" w:space="0" w:color="auto"/>
            </w:tcBorders>
            <w:noWrap/>
          </w:tcPr>
          <w:p w:rsidR="001E7B45" w:rsidRPr="006B5FE4" w:rsidRDefault="001E7B45" w:rsidP="00BD58BF">
            <w:pPr>
              <w:jc w:val="center"/>
              <w:rPr>
                <w:sz w:val="20"/>
                <w:szCs w:val="20"/>
              </w:rPr>
            </w:pPr>
            <w:r w:rsidRPr="006B5FE4">
              <w:rPr>
                <w:sz w:val="20"/>
                <w:szCs w:val="20"/>
              </w:rPr>
              <w:t>97,1%</w:t>
            </w:r>
          </w:p>
        </w:tc>
        <w:tc>
          <w:tcPr>
            <w:tcW w:w="2977" w:type="dxa"/>
            <w:tcBorders>
              <w:top w:val="nil"/>
              <w:left w:val="nil"/>
              <w:bottom w:val="single" w:sz="4" w:space="0" w:color="auto"/>
              <w:right w:val="single" w:sz="4" w:space="0" w:color="auto"/>
            </w:tcBorders>
            <w:noWrap/>
          </w:tcPr>
          <w:p w:rsidR="001E7B45" w:rsidRPr="006B5FE4" w:rsidRDefault="001E7B45" w:rsidP="00BD58BF">
            <w:pPr>
              <w:jc w:val="center"/>
              <w:rPr>
                <w:sz w:val="20"/>
                <w:szCs w:val="20"/>
              </w:rPr>
            </w:pPr>
            <w:r w:rsidRPr="006B5FE4">
              <w:rPr>
                <w:sz w:val="20"/>
                <w:szCs w:val="20"/>
              </w:rPr>
              <w:t>102,7%</w:t>
            </w:r>
          </w:p>
        </w:tc>
      </w:tr>
      <w:tr w:rsidR="001E7B45" w:rsidRPr="008E0BD1" w:rsidTr="00301B24">
        <w:trPr>
          <w:trHeight w:val="300"/>
        </w:trPr>
        <w:tc>
          <w:tcPr>
            <w:tcW w:w="3984" w:type="dxa"/>
            <w:tcBorders>
              <w:top w:val="nil"/>
              <w:left w:val="single" w:sz="4" w:space="0" w:color="auto"/>
              <w:bottom w:val="single" w:sz="4" w:space="0" w:color="auto"/>
              <w:right w:val="single" w:sz="4" w:space="0" w:color="auto"/>
            </w:tcBorders>
            <w:noWrap/>
            <w:vAlign w:val="bottom"/>
          </w:tcPr>
          <w:p w:rsidR="001E7B45" w:rsidRPr="00C7464D" w:rsidRDefault="001E7B45" w:rsidP="00BD58BF">
            <w:pPr>
              <w:jc w:val="center"/>
              <w:rPr>
                <w:rFonts w:eastAsia="Times New Roman"/>
                <w:color w:val="000000"/>
              </w:rPr>
            </w:pPr>
            <w:r w:rsidRPr="00C7464D">
              <w:rPr>
                <w:rFonts w:eastAsia="Times New Roman"/>
                <w:color w:val="000000"/>
                <w:sz w:val="22"/>
                <w:szCs w:val="22"/>
              </w:rPr>
              <w:t xml:space="preserve">НН </w:t>
            </w:r>
          </w:p>
        </w:tc>
        <w:tc>
          <w:tcPr>
            <w:tcW w:w="3119" w:type="dxa"/>
            <w:tcBorders>
              <w:top w:val="nil"/>
              <w:left w:val="nil"/>
              <w:bottom w:val="single" w:sz="4" w:space="0" w:color="auto"/>
              <w:right w:val="single" w:sz="4" w:space="0" w:color="auto"/>
            </w:tcBorders>
            <w:noWrap/>
          </w:tcPr>
          <w:p w:rsidR="001E7B45" w:rsidRPr="006B5FE4" w:rsidRDefault="001E7B45" w:rsidP="00BD58BF">
            <w:pPr>
              <w:jc w:val="center"/>
              <w:rPr>
                <w:sz w:val="20"/>
                <w:szCs w:val="20"/>
              </w:rPr>
            </w:pPr>
            <w:r w:rsidRPr="006B5FE4">
              <w:rPr>
                <w:sz w:val="20"/>
                <w:szCs w:val="20"/>
              </w:rPr>
              <w:t>97,1%</w:t>
            </w:r>
          </w:p>
        </w:tc>
        <w:tc>
          <w:tcPr>
            <w:tcW w:w="2977" w:type="dxa"/>
            <w:tcBorders>
              <w:top w:val="nil"/>
              <w:left w:val="nil"/>
              <w:bottom w:val="single" w:sz="4" w:space="0" w:color="auto"/>
              <w:right w:val="single" w:sz="4" w:space="0" w:color="auto"/>
            </w:tcBorders>
            <w:noWrap/>
          </w:tcPr>
          <w:p w:rsidR="001E7B45" w:rsidRPr="006B5FE4" w:rsidRDefault="001E7B45" w:rsidP="00BD58BF">
            <w:pPr>
              <w:jc w:val="center"/>
              <w:rPr>
                <w:sz w:val="20"/>
                <w:szCs w:val="20"/>
              </w:rPr>
            </w:pPr>
            <w:r w:rsidRPr="006B5FE4">
              <w:rPr>
                <w:sz w:val="20"/>
                <w:szCs w:val="20"/>
              </w:rPr>
              <w:t>101,4%</w:t>
            </w:r>
          </w:p>
        </w:tc>
      </w:tr>
      <w:tr w:rsidR="001E7B45" w:rsidRPr="008E0BD1" w:rsidTr="00301B24">
        <w:trPr>
          <w:trHeight w:val="300"/>
        </w:trPr>
        <w:tc>
          <w:tcPr>
            <w:tcW w:w="10080" w:type="dxa"/>
            <w:gridSpan w:val="3"/>
            <w:tcBorders>
              <w:top w:val="single" w:sz="4" w:space="0" w:color="auto"/>
              <w:left w:val="single" w:sz="4" w:space="0" w:color="auto"/>
              <w:bottom w:val="single" w:sz="4" w:space="0" w:color="auto"/>
              <w:right w:val="single" w:sz="4" w:space="0" w:color="auto"/>
            </w:tcBorders>
            <w:noWrap/>
            <w:vAlign w:val="bottom"/>
          </w:tcPr>
          <w:p w:rsidR="001E7B45" w:rsidRPr="00952673" w:rsidRDefault="001E7B45" w:rsidP="00BD58BF">
            <w:pPr>
              <w:jc w:val="center"/>
              <w:rPr>
                <w:rFonts w:eastAsia="Times New Roman"/>
                <w:b/>
                <w:bCs/>
                <w:color w:val="000000"/>
              </w:rPr>
            </w:pPr>
            <w:r w:rsidRPr="00952673">
              <w:rPr>
                <w:rFonts w:eastAsia="Times New Roman"/>
                <w:b/>
                <w:bCs/>
                <w:color w:val="000000"/>
                <w:sz w:val="22"/>
                <w:szCs w:val="22"/>
              </w:rPr>
              <w:t>Ставка на оплату потерь</w:t>
            </w:r>
          </w:p>
        </w:tc>
      </w:tr>
      <w:tr w:rsidR="001E7B45" w:rsidRPr="006B5FE4" w:rsidTr="00301B24">
        <w:trPr>
          <w:trHeight w:val="300"/>
        </w:trPr>
        <w:tc>
          <w:tcPr>
            <w:tcW w:w="3984" w:type="dxa"/>
            <w:tcBorders>
              <w:top w:val="nil"/>
              <w:left w:val="single" w:sz="4" w:space="0" w:color="auto"/>
              <w:bottom w:val="single" w:sz="4" w:space="0" w:color="auto"/>
              <w:right w:val="single" w:sz="4" w:space="0" w:color="auto"/>
            </w:tcBorders>
            <w:noWrap/>
            <w:vAlign w:val="bottom"/>
          </w:tcPr>
          <w:p w:rsidR="001E7B45" w:rsidRPr="00C7464D" w:rsidRDefault="001E7B45" w:rsidP="00BD58BF">
            <w:pPr>
              <w:jc w:val="center"/>
              <w:rPr>
                <w:rFonts w:eastAsia="Times New Roman"/>
                <w:color w:val="000000"/>
              </w:rPr>
            </w:pPr>
            <w:r w:rsidRPr="00C7464D">
              <w:rPr>
                <w:rFonts w:eastAsia="Times New Roman"/>
                <w:color w:val="000000"/>
                <w:sz w:val="22"/>
                <w:szCs w:val="22"/>
              </w:rPr>
              <w:t>ВН</w:t>
            </w:r>
          </w:p>
        </w:tc>
        <w:tc>
          <w:tcPr>
            <w:tcW w:w="3119" w:type="dxa"/>
            <w:tcBorders>
              <w:top w:val="nil"/>
              <w:left w:val="nil"/>
              <w:bottom w:val="single" w:sz="4" w:space="0" w:color="auto"/>
              <w:right w:val="single" w:sz="4" w:space="0" w:color="auto"/>
            </w:tcBorders>
            <w:noWrap/>
          </w:tcPr>
          <w:p w:rsidR="001E7B45" w:rsidRPr="006B5FE4" w:rsidRDefault="001E7B45" w:rsidP="00BD58BF">
            <w:pPr>
              <w:jc w:val="center"/>
              <w:rPr>
                <w:sz w:val="20"/>
                <w:szCs w:val="20"/>
              </w:rPr>
            </w:pPr>
            <w:r w:rsidRPr="006B5FE4">
              <w:rPr>
                <w:sz w:val="20"/>
                <w:szCs w:val="20"/>
              </w:rPr>
              <w:t>100,0%</w:t>
            </w:r>
          </w:p>
        </w:tc>
        <w:tc>
          <w:tcPr>
            <w:tcW w:w="2977" w:type="dxa"/>
            <w:tcBorders>
              <w:top w:val="single" w:sz="4" w:space="0" w:color="auto"/>
              <w:left w:val="nil"/>
              <w:bottom w:val="single" w:sz="4" w:space="0" w:color="auto"/>
              <w:right w:val="single" w:sz="4" w:space="0" w:color="auto"/>
            </w:tcBorders>
            <w:noWrap/>
          </w:tcPr>
          <w:p w:rsidR="001E7B45" w:rsidRPr="006B5FE4" w:rsidRDefault="001E7B45" w:rsidP="00BD58BF">
            <w:pPr>
              <w:jc w:val="center"/>
              <w:rPr>
                <w:sz w:val="20"/>
                <w:szCs w:val="20"/>
              </w:rPr>
            </w:pPr>
            <w:r w:rsidRPr="006B5FE4">
              <w:rPr>
                <w:sz w:val="20"/>
                <w:szCs w:val="20"/>
              </w:rPr>
              <w:t>115,00%</w:t>
            </w:r>
          </w:p>
        </w:tc>
      </w:tr>
      <w:tr w:rsidR="001E7B45" w:rsidRPr="006B5FE4" w:rsidTr="00301B24">
        <w:trPr>
          <w:trHeight w:val="300"/>
        </w:trPr>
        <w:tc>
          <w:tcPr>
            <w:tcW w:w="3984" w:type="dxa"/>
            <w:tcBorders>
              <w:top w:val="single" w:sz="4" w:space="0" w:color="auto"/>
              <w:left w:val="single" w:sz="4" w:space="0" w:color="auto"/>
              <w:bottom w:val="single" w:sz="4" w:space="0" w:color="auto"/>
              <w:right w:val="single" w:sz="4" w:space="0" w:color="auto"/>
            </w:tcBorders>
            <w:noWrap/>
            <w:vAlign w:val="bottom"/>
          </w:tcPr>
          <w:p w:rsidR="001E7B45" w:rsidRPr="00C7464D" w:rsidRDefault="001E7B45" w:rsidP="00BD58BF">
            <w:pPr>
              <w:jc w:val="center"/>
              <w:rPr>
                <w:rFonts w:eastAsia="Times New Roman"/>
                <w:color w:val="000000"/>
              </w:rPr>
            </w:pPr>
            <w:r w:rsidRPr="00C7464D">
              <w:rPr>
                <w:rFonts w:eastAsia="Times New Roman"/>
                <w:color w:val="000000"/>
                <w:sz w:val="22"/>
                <w:szCs w:val="22"/>
              </w:rPr>
              <w:t>СН1</w:t>
            </w:r>
          </w:p>
        </w:tc>
        <w:tc>
          <w:tcPr>
            <w:tcW w:w="3119" w:type="dxa"/>
            <w:tcBorders>
              <w:top w:val="single" w:sz="4" w:space="0" w:color="auto"/>
              <w:left w:val="nil"/>
              <w:bottom w:val="single" w:sz="4" w:space="0" w:color="auto"/>
              <w:right w:val="single" w:sz="4" w:space="0" w:color="auto"/>
            </w:tcBorders>
            <w:noWrap/>
          </w:tcPr>
          <w:p w:rsidR="001E7B45" w:rsidRPr="006B5FE4" w:rsidRDefault="001E7B45" w:rsidP="00BD58BF">
            <w:pPr>
              <w:jc w:val="center"/>
              <w:rPr>
                <w:sz w:val="20"/>
                <w:szCs w:val="20"/>
              </w:rPr>
            </w:pPr>
            <w:r w:rsidRPr="006B5FE4">
              <w:rPr>
                <w:sz w:val="20"/>
                <w:szCs w:val="20"/>
              </w:rPr>
              <w:t>100,0%</w:t>
            </w:r>
          </w:p>
        </w:tc>
        <w:tc>
          <w:tcPr>
            <w:tcW w:w="2977" w:type="dxa"/>
            <w:tcBorders>
              <w:top w:val="single" w:sz="4" w:space="0" w:color="auto"/>
              <w:left w:val="nil"/>
              <w:bottom w:val="single" w:sz="4" w:space="0" w:color="auto"/>
              <w:right w:val="single" w:sz="4" w:space="0" w:color="auto"/>
            </w:tcBorders>
            <w:noWrap/>
          </w:tcPr>
          <w:p w:rsidR="001E7B45" w:rsidRPr="006B5FE4" w:rsidRDefault="001E7B45" w:rsidP="00BD58BF">
            <w:pPr>
              <w:jc w:val="center"/>
              <w:rPr>
                <w:sz w:val="20"/>
                <w:szCs w:val="20"/>
              </w:rPr>
            </w:pPr>
            <w:r w:rsidRPr="006B5FE4">
              <w:rPr>
                <w:sz w:val="20"/>
                <w:szCs w:val="20"/>
              </w:rPr>
              <w:t>115,00%</w:t>
            </w:r>
          </w:p>
        </w:tc>
      </w:tr>
      <w:tr w:rsidR="001E7B45" w:rsidRPr="006B5FE4" w:rsidTr="00301B24">
        <w:trPr>
          <w:trHeight w:val="300"/>
        </w:trPr>
        <w:tc>
          <w:tcPr>
            <w:tcW w:w="3984" w:type="dxa"/>
            <w:tcBorders>
              <w:top w:val="nil"/>
              <w:left w:val="single" w:sz="4" w:space="0" w:color="auto"/>
              <w:bottom w:val="single" w:sz="4" w:space="0" w:color="auto"/>
              <w:right w:val="single" w:sz="4" w:space="0" w:color="auto"/>
            </w:tcBorders>
            <w:noWrap/>
            <w:vAlign w:val="bottom"/>
          </w:tcPr>
          <w:p w:rsidR="001E7B45" w:rsidRPr="00C7464D" w:rsidRDefault="001E7B45" w:rsidP="00BD58BF">
            <w:pPr>
              <w:jc w:val="center"/>
              <w:rPr>
                <w:rFonts w:eastAsia="Times New Roman"/>
                <w:color w:val="000000"/>
              </w:rPr>
            </w:pPr>
            <w:r w:rsidRPr="00C7464D">
              <w:rPr>
                <w:rFonts w:eastAsia="Times New Roman"/>
                <w:color w:val="000000"/>
                <w:sz w:val="22"/>
                <w:szCs w:val="22"/>
              </w:rPr>
              <w:t>СН2</w:t>
            </w:r>
          </w:p>
        </w:tc>
        <w:tc>
          <w:tcPr>
            <w:tcW w:w="3119" w:type="dxa"/>
            <w:tcBorders>
              <w:top w:val="nil"/>
              <w:left w:val="nil"/>
              <w:bottom w:val="single" w:sz="4" w:space="0" w:color="auto"/>
              <w:right w:val="single" w:sz="4" w:space="0" w:color="auto"/>
            </w:tcBorders>
            <w:noWrap/>
          </w:tcPr>
          <w:p w:rsidR="001E7B45" w:rsidRPr="006B5FE4" w:rsidRDefault="001E7B45" w:rsidP="00BD58BF">
            <w:pPr>
              <w:jc w:val="center"/>
              <w:rPr>
                <w:sz w:val="20"/>
                <w:szCs w:val="20"/>
              </w:rPr>
            </w:pPr>
            <w:r w:rsidRPr="006B5FE4">
              <w:rPr>
                <w:sz w:val="20"/>
                <w:szCs w:val="20"/>
              </w:rPr>
              <w:t>100,0%</w:t>
            </w:r>
          </w:p>
        </w:tc>
        <w:tc>
          <w:tcPr>
            <w:tcW w:w="2977" w:type="dxa"/>
            <w:tcBorders>
              <w:top w:val="nil"/>
              <w:left w:val="nil"/>
              <w:bottom w:val="single" w:sz="4" w:space="0" w:color="auto"/>
              <w:right w:val="single" w:sz="4" w:space="0" w:color="auto"/>
            </w:tcBorders>
            <w:noWrap/>
          </w:tcPr>
          <w:p w:rsidR="001E7B45" w:rsidRPr="006B5FE4" w:rsidRDefault="001E7B45" w:rsidP="00BD58BF">
            <w:pPr>
              <w:jc w:val="center"/>
              <w:rPr>
                <w:sz w:val="20"/>
                <w:szCs w:val="20"/>
              </w:rPr>
            </w:pPr>
            <w:r w:rsidRPr="006B5FE4">
              <w:rPr>
                <w:sz w:val="20"/>
                <w:szCs w:val="20"/>
              </w:rPr>
              <w:t>115,00%</w:t>
            </w:r>
          </w:p>
        </w:tc>
      </w:tr>
      <w:tr w:rsidR="001E7B45" w:rsidRPr="006B5FE4" w:rsidTr="00301B24">
        <w:trPr>
          <w:trHeight w:val="300"/>
        </w:trPr>
        <w:tc>
          <w:tcPr>
            <w:tcW w:w="3984" w:type="dxa"/>
            <w:tcBorders>
              <w:top w:val="nil"/>
              <w:left w:val="single" w:sz="4" w:space="0" w:color="auto"/>
              <w:bottom w:val="single" w:sz="4" w:space="0" w:color="auto"/>
              <w:right w:val="single" w:sz="4" w:space="0" w:color="auto"/>
            </w:tcBorders>
            <w:noWrap/>
            <w:vAlign w:val="bottom"/>
          </w:tcPr>
          <w:p w:rsidR="001E7B45" w:rsidRPr="00C7464D" w:rsidRDefault="001E7B45" w:rsidP="00BD58BF">
            <w:pPr>
              <w:jc w:val="center"/>
              <w:rPr>
                <w:rFonts w:eastAsia="Times New Roman"/>
                <w:color w:val="000000"/>
              </w:rPr>
            </w:pPr>
            <w:r w:rsidRPr="00C7464D">
              <w:rPr>
                <w:rFonts w:eastAsia="Times New Roman"/>
                <w:color w:val="000000"/>
                <w:sz w:val="22"/>
                <w:szCs w:val="22"/>
              </w:rPr>
              <w:t xml:space="preserve">НН </w:t>
            </w:r>
          </w:p>
        </w:tc>
        <w:tc>
          <w:tcPr>
            <w:tcW w:w="3119" w:type="dxa"/>
            <w:tcBorders>
              <w:top w:val="nil"/>
              <w:left w:val="nil"/>
              <w:bottom w:val="single" w:sz="4" w:space="0" w:color="auto"/>
              <w:right w:val="single" w:sz="4" w:space="0" w:color="auto"/>
            </w:tcBorders>
            <w:noWrap/>
          </w:tcPr>
          <w:p w:rsidR="001E7B45" w:rsidRPr="006B5FE4" w:rsidRDefault="001E7B45" w:rsidP="00BD58BF">
            <w:pPr>
              <w:jc w:val="center"/>
              <w:rPr>
                <w:sz w:val="20"/>
                <w:szCs w:val="20"/>
              </w:rPr>
            </w:pPr>
            <w:r w:rsidRPr="006B5FE4">
              <w:rPr>
                <w:sz w:val="20"/>
                <w:szCs w:val="20"/>
              </w:rPr>
              <w:t>100,0%</w:t>
            </w:r>
          </w:p>
        </w:tc>
        <w:tc>
          <w:tcPr>
            <w:tcW w:w="2977" w:type="dxa"/>
            <w:tcBorders>
              <w:top w:val="nil"/>
              <w:left w:val="nil"/>
              <w:bottom w:val="single" w:sz="4" w:space="0" w:color="auto"/>
              <w:right w:val="single" w:sz="4" w:space="0" w:color="auto"/>
            </w:tcBorders>
            <w:noWrap/>
          </w:tcPr>
          <w:p w:rsidR="001E7B45" w:rsidRPr="006B5FE4" w:rsidRDefault="001E7B45" w:rsidP="00BD58BF">
            <w:pPr>
              <w:jc w:val="center"/>
              <w:rPr>
                <w:sz w:val="20"/>
                <w:szCs w:val="20"/>
              </w:rPr>
            </w:pPr>
            <w:r w:rsidRPr="006B5FE4">
              <w:rPr>
                <w:sz w:val="20"/>
                <w:szCs w:val="20"/>
              </w:rPr>
              <w:t>115,00%</w:t>
            </w:r>
          </w:p>
        </w:tc>
      </w:tr>
    </w:tbl>
    <w:p w:rsidR="001E7B45" w:rsidRPr="00A17B65" w:rsidRDefault="001E7B45" w:rsidP="001E7B45">
      <w:pPr>
        <w:pStyle w:val="a8"/>
        <w:ind w:firstLine="851"/>
        <w:jc w:val="both"/>
        <w:rPr>
          <w:sz w:val="28"/>
          <w:szCs w:val="28"/>
        </w:rPr>
      </w:pPr>
      <w:r w:rsidRPr="00A17B65">
        <w:rPr>
          <w:sz w:val="28"/>
          <w:szCs w:val="28"/>
        </w:rPr>
        <w:lastRenderedPageBreak/>
        <w:t>Величина перекрестного субсидирования определена как разница между выручкой, рассчитанной исходя из экономически обоснованных тарифов на услуги по передаче электрической энергии населению и приравненным к нему категориям потребителей, и тарифов, сформированных исходя из ут</w:t>
      </w:r>
      <w:r>
        <w:rPr>
          <w:sz w:val="28"/>
          <w:szCs w:val="28"/>
        </w:rPr>
        <w:t>вержденных департаментом на 2020</w:t>
      </w:r>
      <w:r w:rsidRPr="00A17B65">
        <w:rPr>
          <w:sz w:val="28"/>
          <w:szCs w:val="28"/>
        </w:rPr>
        <w:t xml:space="preserve"> год тарифов на электрическую энергию, поставляемую населению и приравненным к нему категориям потребителей, и составила </w:t>
      </w:r>
      <w:r>
        <w:rPr>
          <w:sz w:val="28"/>
          <w:szCs w:val="28"/>
        </w:rPr>
        <w:t xml:space="preserve">           </w:t>
      </w:r>
      <w:r w:rsidRPr="00F3446F">
        <w:rPr>
          <w:sz w:val="28"/>
          <w:szCs w:val="28"/>
        </w:rPr>
        <w:t>4</w:t>
      </w:r>
      <w:r>
        <w:rPr>
          <w:sz w:val="28"/>
          <w:szCs w:val="28"/>
        </w:rPr>
        <w:t xml:space="preserve"> 510,2</w:t>
      </w:r>
      <w:r w:rsidRPr="00F3446F">
        <w:rPr>
          <w:sz w:val="28"/>
          <w:szCs w:val="28"/>
        </w:rPr>
        <w:t xml:space="preserve"> млн. руб</w:t>
      </w:r>
      <w:r w:rsidRPr="00A17B65">
        <w:rPr>
          <w:sz w:val="28"/>
          <w:szCs w:val="28"/>
        </w:rPr>
        <w:t>., что превышает предельную величину перекрестного субсидирования, определенную пунктом 81(5) Основ ценообразования на 2015 и последующие годы, в размере 2</w:t>
      </w:r>
      <w:r>
        <w:rPr>
          <w:sz w:val="28"/>
          <w:szCs w:val="28"/>
        </w:rPr>
        <w:t xml:space="preserve"> </w:t>
      </w:r>
      <w:r w:rsidRPr="00A17B65">
        <w:rPr>
          <w:sz w:val="28"/>
          <w:szCs w:val="28"/>
        </w:rPr>
        <w:t>513,6 млн.</w:t>
      </w:r>
      <w:r>
        <w:rPr>
          <w:sz w:val="28"/>
          <w:szCs w:val="28"/>
        </w:rPr>
        <w:t xml:space="preserve"> </w:t>
      </w:r>
      <w:r w:rsidRPr="00A17B65">
        <w:rPr>
          <w:sz w:val="28"/>
          <w:szCs w:val="28"/>
        </w:rPr>
        <w:t>руб.</w:t>
      </w:r>
    </w:p>
    <w:p w:rsidR="001E7B45" w:rsidRDefault="001E7B45" w:rsidP="00301B24">
      <w:pPr>
        <w:pStyle w:val="a8"/>
        <w:ind w:firstLine="851"/>
        <w:jc w:val="both"/>
        <w:rPr>
          <w:sz w:val="28"/>
          <w:szCs w:val="28"/>
        </w:rPr>
      </w:pPr>
      <w:r w:rsidRPr="00A17B65">
        <w:rPr>
          <w:sz w:val="28"/>
          <w:szCs w:val="28"/>
        </w:rPr>
        <w:t>Превышение величины перекрестного субсидирования над предельным уровнем обусловлено</w:t>
      </w:r>
      <w:r>
        <w:rPr>
          <w:sz w:val="28"/>
          <w:szCs w:val="28"/>
        </w:rPr>
        <w:t xml:space="preserve">, прежде всего: </w:t>
      </w:r>
    </w:p>
    <w:p w:rsidR="001E7B45" w:rsidRPr="00DA40FD" w:rsidRDefault="001E7B45" w:rsidP="00577FA1">
      <w:pPr>
        <w:autoSpaceDE w:val="0"/>
        <w:autoSpaceDN w:val="0"/>
        <w:adjustRightInd w:val="0"/>
        <w:spacing w:after="0" w:line="240" w:lineRule="auto"/>
        <w:ind w:firstLine="709"/>
        <w:jc w:val="both"/>
        <w:rPr>
          <w:sz w:val="28"/>
          <w:szCs w:val="28"/>
        </w:rPr>
      </w:pPr>
      <w:r w:rsidRPr="00DA40FD">
        <w:rPr>
          <w:sz w:val="28"/>
          <w:szCs w:val="28"/>
        </w:rPr>
        <w:t>1) существенным увеличением НВВ АО «РЭС» за период 2016 – 2018г.г. (без учета расходов на оплату потерь: в 2016г. на 7,4%, в 2017г. на 10,1%, в 2018г. на 12,3%,). Вместе с тем в 2019 году снижение НВВ АО «РЭС» (без учета расходов на оплату потерь) относительно плановых расходов 2018 года составило 9,5%, что обусловлено изъятием денежных средств по результатам деятельности АО «РЭС» за предыдущие периоды регулирования; в 2020 году дальнейшее снижение на 6,2%, главным образом, обусловленное учетом в</w:t>
      </w:r>
      <w:r w:rsidRPr="00DA40FD">
        <w:rPr>
          <w:rFonts w:eastAsia="Times New Roman"/>
          <w:sz w:val="28"/>
          <w:szCs w:val="28"/>
        </w:rPr>
        <w:t xml:space="preserve">еличины недополученного дохода АО «РЭС» (в размере 961 млн. руб.), образовавшегося в целях сглаживания изменения тарифов, предусмотренного пунктом 7 Основ ценообразования. </w:t>
      </w:r>
      <w:r w:rsidRPr="00DA40FD">
        <w:rPr>
          <w:sz w:val="28"/>
          <w:szCs w:val="28"/>
        </w:rPr>
        <w:t>Увеличение НВВ АО «РЭС» связано со следующим:</w:t>
      </w:r>
    </w:p>
    <w:p w:rsidR="001E7B45" w:rsidRPr="00DA40FD" w:rsidRDefault="001E7B45" w:rsidP="00577FA1">
      <w:pPr>
        <w:tabs>
          <w:tab w:val="center" w:pos="4677"/>
          <w:tab w:val="right" w:pos="9355"/>
        </w:tabs>
        <w:spacing w:after="0" w:line="240" w:lineRule="auto"/>
        <w:ind w:firstLine="851"/>
        <w:jc w:val="both"/>
        <w:rPr>
          <w:sz w:val="28"/>
          <w:szCs w:val="28"/>
        </w:rPr>
      </w:pPr>
      <w:r w:rsidRPr="00DA40FD">
        <w:rPr>
          <w:sz w:val="28"/>
          <w:szCs w:val="28"/>
        </w:rPr>
        <w:t xml:space="preserve">- необходимостью компенсации АО «РЭС» недополученного дохода, образованного в результате досрочного перехода с регулирования тарифов на услуги по передаче электрической энергии методом доходности инвестированного капитала на метод долгосрочной индексации с 01.01.2016, ввиду невозможности завершения или продления </w:t>
      </w:r>
      <w:r w:rsidRPr="00DA40FD">
        <w:rPr>
          <w:sz w:val="28"/>
          <w:szCs w:val="28"/>
          <w:lang w:val="en-US"/>
        </w:rPr>
        <w:t>RAB</w:t>
      </w:r>
      <w:r w:rsidRPr="00DA40FD">
        <w:rPr>
          <w:sz w:val="28"/>
          <w:szCs w:val="28"/>
        </w:rPr>
        <w:t xml:space="preserve">-регулирования (учтено в составе НВВ за 2016-2019 более 3,6 млрд. руб.); </w:t>
      </w:r>
    </w:p>
    <w:p w:rsidR="001E7B45" w:rsidRPr="00DA40FD" w:rsidRDefault="001E7B45" w:rsidP="00577FA1">
      <w:pPr>
        <w:tabs>
          <w:tab w:val="center" w:pos="4677"/>
          <w:tab w:val="right" w:pos="9355"/>
        </w:tabs>
        <w:spacing w:after="0" w:line="240" w:lineRule="auto"/>
        <w:ind w:firstLine="709"/>
        <w:jc w:val="both"/>
        <w:rPr>
          <w:sz w:val="28"/>
          <w:szCs w:val="28"/>
        </w:rPr>
      </w:pPr>
      <w:r w:rsidRPr="00DA40FD">
        <w:rPr>
          <w:sz w:val="28"/>
          <w:szCs w:val="28"/>
        </w:rPr>
        <w:t xml:space="preserve">- включением выпадающих доходов от деятельности по технологическому присоединению в соответствии с действующим законодательством (учтено в составе НВВ за 2016-2020 более 2,3 млрд. руб.); </w:t>
      </w:r>
    </w:p>
    <w:p w:rsidR="001E7B45" w:rsidRPr="00DA40FD" w:rsidRDefault="001E7B45" w:rsidP="00577FA1">
      <w:pPr>
        <w:tabs>
          <w:tab w:val="center" w:pos="4677"/>
          <w:tab w:val="right" w:pos="9355"/>
        </w:tabs>
        <w:spacing w:after="0" w:line="240" w:lineRule="auto"/>
        <w:ind w:firstLine="709"/>
        <w:jc w:val="both"/>
        <w:rPr>
          <w:rFonts w:eastAsia="Times New Roman"/>
          <w:sz w:val="28"/>
          <w:szCs w:val="20"/>
        </w:rPr>
      </w:pPr>
      <w:r w:rsidRPr="00DA40FD">
        <w:rPr>
          <w:sz w:val="28"/>
          <w:szCs w:val="28"/>
        </w:rPr>
        <w:t>- ростом плановых расходов по оплате услуг ПАО «ФСК ЕЭС» в 2019 году относительно плана 2018 года (на 833,0 млн. руб.) в связи с изменением</w:t>
      </w:r>
      <w:r w:rsidRPr="00DA40FD">
        <w:rPr>
          <w:rFonts w:eastAsia="Times New Roman"/>
          <w:sz w:val="28"/>
          <w:szCs w:val="28"/>
        </w:rPr>
        <w:t xml:space="preserve"> </w:t>
      </w:r>
      <w:r w:rsidRPr="00DA40FD">
        <w:rPr>
          <w:rFonts w:eastAsia="Times New Roman"/>
          <w:sz w:val="28"/>
          <w:szCs w:val="20"/>
        </w:rPr>
        <w:t xml:space="preserve">схемы договорных отношений АО «РЭС» - ПАО «ФСК ЕЭС» - АО «Электромагистраль» в связи с выводом из состава обслуживаемого оборудования АО «РЭС» сетей ЕНЭС, собственником которых является АО «Электромагистраль»; в 2020 году увеличение указанных расходов составило 214,7 млн. руб., главным образом, за счет роста ставок тарифов на услуги </w:t>
      </w:r>
      <w:r w:rsidRPr="00DA40FD">
        <w:rPr>
          <w:sz w:val="28"/>
          <w:szCs w:val="28"/>
        </w:rPr>
        <w:t xml:space="preserve">ПАО «ФСК ЕЭС»; </w:t>
      </w:r>
      <w:r w:rsidRPr="00DA40FD">
        <w:rPr>
          <w:rFonts w:eastAsia="Times New Roman"/>
          <w:sz w:val="28"/>
          <w:szCs w:val="20"/>
        </w:rPr>
        <w:t xml:space="preserve"> </w:t>
      </w:r>
    </w:p>
    <w:p w:rsidR="001E7B45" w:rsidRPr="00DA40FD" w:rsidRDefault="001E7B45" w:rsidP="00577FA1">
      <w:pPr>
        <w:tabs>
          <w:tab w:val="center" w:pos="4677"/>
          <w:tab w:val="right" w:pos="9355"/>
        </w:tabs>
        <w:spacing w:after="0" w:line="240" w:lineRule="auto"/>
        <w:ind w:firstLine="709"/>
        <w:jc w:val="both"/>
        <w:rPr>
          <w:sz w:val="28"/>
          <w:szCs w:val="28"/>
        </w:rPr>
      </w:pPr>
      <w:r w:rsidRPr="00DA40FD">
        <w:rPr>
          <w:sz w:val="28"/>
          <w:szCs w:val="28"/>
        </w:rPr>
        <w:t xml:space="preserve">2) существенным снижением объемов котлового полезного отпуска электрической энергии конечным потребителям в 2019 году, обусловленным выходом потребителей, присоединенных к сетям ЕНЭС (на 927,813 млн.кВтч., на 7,3%). Кроме того, дополнительным негативным фактором явилось снижение объемов котлового полезного отпуска электрической энергии конечным потребителям в 2020 году относительно плановых балансовых показателей 2019 года на 371,383 млн.кВтч. (на 3,15%), учитываемых при расчете единых котловых тарифов на 2020 год, в связи со снижением электропотребления региона на основании утвержденного Сводного прогнозного баланса на 2020 год, </w:t>
      </w:r>
    </w:p>
    <w:p w:rsidR="001E7B45" w:rsidRPr="00DA40FD" w:rsidRDefault="001E7B45" w:rsidP="00577FA1">
      <w:pPr>
        <w:tabs>
          <w:tab w:val="center" w:pos="4677"/>
          <w:tab w:val="right" w:pos="9355"/>
        </w:tabs>
        <w:spacing w:after="0" w:line="240" w:lineRule="auto"/>
        <w:ind w:firstLine="709"/>
        <w:jc w:val="both"/>
        <w:rPr>
          <w:sz w:val="28"/>
          <w:szCs w:val="28"/>
        </w:rPr>
      </w:pPr>
      <w:r w:rsidRPr="00DA40FD">
        <w:rPr>
          <w:sz w:val="28"/>
          <w:szCs w:val="28"/>
        </w:rPr>
        <w:lastRenderedPageBreak/>
        <w:t>3) увеличением объемов электропотребления по группе «население», учтенных в плановом балансе электрической энергии</w:t>
      </w:r>
      <w:r w:rsidRPr="00DA40FD">
        <w:rPr>
          <w:color w:val="FF0000"/>
          <w:sz w:val="28"/>
          <w:szCs w:val="28"/>
        </w:rPr>
        <w:t xml:space="preserve"> </w:t>
      </w:r>
      <w:r w:rsidRPr="00DA40FD">
        <w:rPr>
          <w:sz w:val="28"/>
          <w:szCs w:val="28"/>
        </w:rPr>
        <w:t>(за период 2015-2019 годов рост плановых балансовых показателей по населению составил 110,9%), при этом плановые объемы электропотребления по группе «население» на 2020 год сокращены относительно балансовых показателей 2019 года на 1,3%;</w:t>
      </w:r>
    </w:p>
    <w:p w:rsidR="001E7B45" w:rsidRPr="00DA40FD" w:rsidRDefault="001E7B45" w:rsidP="00577FA1">
      <w:pPr>
        <w:tabs>
          <w:tab w:val="center" w:pos="4677"/>
          <w:tab w:val="right" w:pos="9355"/>
        </w:tabs>
        <w:spacing w:after="0" w:line="240" w:lineRule="auto"/>
        <w:ind w:firstLine="709"/>
        <w:jc w:val="both"/>
        <w:rPr>
          <w:color w:val="000000"/>
          <w:sz w:val="28"/>
          <w:szCs w:val="28"/>
        </w:rPr>
      </w:pPr>
      <w:r w:rsidRPr="00DA40FD">
        <w:rPr>
          <w:sz w:val="28"/>
          <w:szCs w:val="28"/>
        </w:rPr>
        <w:t xml:space="preserve">4) невысокими темпами роста тарифов для населения (за период 2015-2019 год прирост тарифов по населению в среднем </w:t>
      </w:r>
      <w:r w:rsidRPr="00DA40FD">
        <w:rPr>
          <w:color w:val="000000"/>
          <w:sz w:val="28"/>
          <w:szCs w:val="28"/>
        </w:rPr>
        <w:t xml:space="preserve">составил 4,4%); в 2020 году прирост тарифов для населения </w:t>
      </w:r>
      <w:r w:rsidRPr="00DA40FD">
        <w:rPr>
          <w:rFonts w:ascii="Times New Roman CYR" w:eastAsia="Calibri" w:hAnsi="Times New Roman CYR" w:cs="Times New Roman CYR"/>
          <w:color w:val="000000"/>
          <w:sz w:val="28"/>
          <w:szCs w:val="28"/>
        </w:rPr>
        <w:t xml:space="preserve">в среднем </w:t>
      </w:r>
      <w:r w:rsidRPr="00DA40FD">
        <w:rPr>
          <w:color w:val="000000"/>
          <w:sz w:val="28"/>
          <w:szCs w:val="28"/>
        </w:rPr>
        <w:t xml:space="preserve">составил </w:t>
      </w:r>
      <w:r w:rsidRPr="00DA40FD">
        <w:rPr>
          <w:rFonts w:ascii="Times New Roman CYR" w:eastAsia="Calibri" w:hAnsi="Times New Roman CYR" w:cs="Times New Roman CYR"/>
          <w:color w:val="000000"/>
          <w:sz w:val="28"/>
          <w:szCs w:val="28"/>
        </w:rPr>
        <w:t>4,5-4,7%%</w:t>
      </w:r>
      <w:r w:rsidRPr="00DA40FD">
        <w:rPr>
          <w:color w:val="000000"/>
          <w:sz w:val="28"/>
          <w:szCs w:val="28"/>
        </w:rPr>
        <w:t>;</w:t>
      </w:r>
    </w:p>
    <w:p w:rsidR="001E7B45" w:rsidRPr="00DA40FD" w:rsidRDefault="001E7B45" w:rsidP="00577FA1">
      <w:pPr>
        <w:spacing w:after="0" w:line="240" w:lineRule="auto"/>
        <w:ind w:firstLine="709"/>
        <w:jc w:val="both"/>
        <w:rPr>
          <w:color w:val="000000"/>
          <w:sz w:val="28"/>
          <w:szCs w:val="28"/>
        </w:rPr>
      </w:pPr>
      <w:r w:rsidRPr="00DA40FD">
        <w:rPr>
          <w:color w:val="000000"/>
          <w:sz w:val="28"/>
          <w:szCs w:val="28"/>
        </w:rPr>
        <w:t xml:space="preserve">5) высокими темпами ростами индикативной цены на </w:t>
      </w:r>
      <w:r w:rsidRPr="00DA40FD">
        <w:rPr>
          <w:rFonts w:eastAsia="Calibri"/>
          <w:sz w:val="28"/>
          <w:szCs w:val="28"/>
          <w:lang w:eastAsia="en-US"/>
        </w:rPr>
        <w:t xml:space="preserve">электрическую энергию (мощность) </w:t>
      </w:r>
      <w:r w:rsidRPr="00DA40FD">
        <w:rPr>
          <w:color w:val="000000"/>
          <w:sz w:val="28"/>
          <w:szCs w:val="28"/>
        </w:rPr>
        <w:t>для населения: в 2016</w:t>
      </w:r>
      <w:r>
        <w:rPr>
          <w:color w:val="000000"/>
          <w:sz w:val="28"/>
          <w:szCs w:val="28"/>
        </w:rPr>
        <w:t>г.</w:t>
      </w:r>
      <w:r w:rsidRPr="00DA40FD">
        <w:rPr>
          <w:color w:val="000000"/>
          <w:sz w:val="28"/>
          <w:szCs w:val="28"/>
        </w:rPr>
        <w:t xml:space="preserve"> рост составил: 107,1%, в 2017</w:t>
      </w:r>
      <w:r>
        <w:rPr>
          <w:color w:val="000000"/>
          <w:sz w:val="28"/>
          <w:szCs w:val="28"/>
        </w:rPr>
        <w:t>г.</w:t>
      </w:r>
      <w:r w:rsidRPr="00DA40FD">
        <w:rPr>
          <w:color w:val="000000"/>
          <w:sz w:val="28"/>
          <w:szCs w:val="28"/>
        </w:rPr>
        <w:t xml:space="preserve"> – 104,65%, 2018</w:t>
      </w:r>
      <w:r>
        <w:rPr>
          <w:color w:val="000000"/>
          <w:sz w:val="28"/>
          <w:szCs w:val="28"/>
        </w:rPr>
        <w:t>г.</w:t>
      </w:r>
      <w:r w:rsidRPr="00DA40FD">
        <w:rPr>
          <w:color w:val="000000"/>
          <w:sz w:val="28"/>
          <w:szCs w:val="28"/>
        </w:rPr>
        <w:t xml:space="preserve"> - 103,58%, 2019</w:t>
      </w:r>
      <w:r>
        <w:rPr>
          <w:color w:val="000000"/>
          <w:sz w:val="28"/>
          <w:szCs w:val="28"/>
        </w:rPr>
        <w:t>г.</w:t>
      </w:r>
      <w:r w:rsidRPr="00DA40FD">
        <w:rPr>
          <w:color w:val="000000"/>
          <w:sz w:val="28"/>
          <w:szCs w:val="28"/>
        </w:rPr>
        <w:t xml:space="preserve"> – 106,75%, 2020</w:t>
      </w:r>
      <w:r>
        <w:rPr>
          <w:color w:val="000000"/>
          <w:sz w:val="28"/>
          <w:szCs w:val="28"/>
        </w:rPr>
        <w:t>г.</w:t>
      </w:r>
      <w:r w:rsidRPr="00DA40FD">
        <w:rPr>
          <w:color w:val="000000"/>
          <w:sz w:val="28"/>
          <w:szCs w:val="28"/>
        </w:rPr>
        <w:t xml:space="preserve"> – 106,29%. Указанные темпы роста превышают рост конечных цен (тарифов) </w:t>
      </w:r>
      <w:r>
        <w:rPr>
          <w:color w:val="000000"/>
          <w:sz w:val="28"/>
          <w:szCs w:val="28"/>
        </w:rPr>
        <w:t xml:space="preserve">на электрическую энергию (мощность) </w:t>
      </w:r>
      <w:r w:rsidRPr="00DA40FD">
        <w:rPr>
          <w:color w:val="000000"/>
          <w:sz w:val="28"/>
          <w:szCs w:val="28"/>
        </w:rPr>
        <w:t>для населения;</w:t>
      </w:r>
    </w:p>
    <w:p w:rsidR="001E7B45" w:rsidRPr="00DA40FD" w:rsidRDefault="001E7B45" w:rsidP="00577FA1">
      <w:pPr>
        <w:spacing w:after="0" w:line="240" w:lineRule="auto"/>
        <w:ind w:firstLine="709"/>
        <w:jc w:val="both"/>
        <w:rPr>
          <w:rFonts w:eastAsia="Calibri"/>
          <w:sz w:val="28"/>
          <w:szCs w:val="28"/>
          <w:lang w:eastAsia="en-US"/>
        </w:rPr>
      </w:pPr>
      <w:r w:rsidRPr="00DA40FD">
        <w:rPr>
          <w:color w:val="000000"/>
          <w:sz w:val="28"/>
          <w:szCs w:val="28"/>
        </w:rPr>
        <w:t xml:space="preserve">6) высокими темпами роста сбытовой надбавки для населения в связи с применением в отношении ГП АО «Новосибирскэнергосбыт» метода регулирования - </w:t>
      </w:r>
      <w:r w:rsidRPr="00DA40FD">
        <w:rPr>
          <w:rFonts w:eastAsia="Times New Roman"/>
          <w:sz w:val="28"/>
          <w:szCs w:val="28"/>
        </w:rPr>
        <w:t>метода сравнения аналогов</w:t>
      </w:r>
      <w:r w:rsidRPr="00DA40FD">
        <w:rPr>
          <w:color w:val="000000"/>
          <w:sz w:val="28"/>
          <w:szCs w:val="28"/>
        </w:rPr>
        <w:t xml:space="preserve"> (во втором полугодии 2019 рост сбытовой надбавки составил 153,1%).</w:t>
      </w:r>
    </w:p>
    <w:p w:rsidR="001E7B45" w:rsidRPr="00D27718" w:rsidRDefault="00301B24" w:rsidP="00301B24">
      <w:pPr>
        <w:autoSpaceDE w:val="0"/>
        <w:autoSpaceDN w:val="0"/>
        <w:adjustRightInd w:val="0"/>
        <w:spacing w:line="240" w:lineRule="auto"/>
        <w:ind w:firstLine="709"/>
        <w:jc w:val="both"/>
        <w:outlineLvl w:val="0"/>
        <w:rPr>
          <w:b/>
          <w:color w:val="000000"/>
          <w:sz w:val="28"/>
          <w:szCs w:val="28"/>
        </w:rPr>
      </w:pPr>
      <w:r w:rsidRPr="00301B24">
        <w:rPr>
          <w:b/>
          <w:sz w:val="28"/>
          <w:szCs w:val="28"/>
        </w:rPr>
        <w:t>2.1.4.3.</w:t>
      </w:r>
      <w:r>
        <w:rPr>
          <w:sz w:val="28"/>
          <w:szCs w:val="28"/>
        </w:rPr>
        <w:t xml:space="preserve"> </w:t>
      </w:r>
      <w:r w:rsidR="001E7B45" w:rsidRPr="00D27718">
        <w:rPr>
          <w:sz w:val="28"/>
          <w:szCs w:val="28"/>
        </w:rPr>
        <w:t xml:space="preserve"> </w:t>
      </w:r>
      <w:r w:rsidR="001E7B45" w:rsidRPr="00D27718">
        <w:rPr>
          <w:b/>
          <w:color w:val="000000"/>
          <w:sz w:val="28"/>
          <w:szCs w:val="28"/>
        </w:rPr>
        <w:t>Анализ структуры НВВ по расчёту единых (котловых) тарифов на услуги по передаче электрической энергии по сетям Новосибирской области.</w:t>
      </w:r>
    </w:p>
    <w:p w:rsidR="001E7B45" w:rsidRDefault="001E7B45" w:rsidP="001E7B45">
      <w:pPr>
        <w:ind w:firstLine="851"/>
        <w:jc w:val="both"/>
        <w:rPr>
          <w:sz w:val="28"/>
          <w:szCs w:val="28"/>
        </w:rPr>
      </w:pPr>
      <w:r w:rsidRPr="00F24AEB">
        <w:rPr>
          <w:sz w:val="28"/>
          <w:szCs w:val="28"/>
        </w:rPr>
        <w:t>На графике представлен</w:t>
      </w:r>
      <w:r>
        <w:rPr>
          <w:sz w:val="28"/>
          <w:szCs w:val="28"/>
        </w:rPr>
        <w:t>а динамика</w:t>
      </w:r>
      <w:r w:rsidRPr="00F24AEB">
        <w:rPr>
          <w:sz w:val="28"/>
          <w:szCs w:val="28"/>
        </w:rPr>
        <w:t xml:space="preserve"> </w:t>
      </w:r>
      <w:r>
        <w:rPr>
          <w:sz w:val="28"/>
          <w:szCs w:val="28"/>
        </w:rPr>
        <w:t>котловых расходов за 2016-2020</w:t>
      </w:r>
      <w:r w:rsidRPr="00F24AEB">
        <w:rPr>
          <w:sz w:val="28"/>
          <w:szCs w:val="28"/>
        </w:rPr>
        <w:t xml:space="preserve"> г.г.</w:t>
      </w:r>
    </w:p>
    <w:p w:rsidR="001E7B45" w:rsidRDefault="001E7B45" w:rsidP="001E7B45">
      <w:pPr>
        <w:ind w:firstLine="709"/>
        <w:jc w:val="both"/>
        <w:outlineLvl w:val="0"/>
        <w:rPr>
          <w:sz w:val="28"/>
          <w:szCs w:val="28"/>
        </w:rPr>
      </w:pPr>
      <w:r>
        <w:rPr>
          <w:noProof/>
        </w:rPr>
        <w:drawing>
          <wp:inline distT="0" distB="0" distL="0" distR="0" wp14:anchorId="77141141" wp14:editId="57E6EE69">
            <wp:extent cx="5903366" cy="4996281"/>
            <wp:effectExtent l="0" t="0" r="2540" b="0"/>
            <wp:docPr id="2" name="Диаграмма 2"/>
            <wp:cNvGraphicFramePr/>
            <a:graphic xmlns:a="http://schemas.openxmlformats.org/drawingml/2006/main">
              <a:graphicData uri="http://schemas.openxmlformats.org/drawingml/2006/chart">
                <c:chart xmlns:c="http://schemas.openxmlformats.org/drawingml/2006/chart" xmlns:r="http://schemas.openxmlformats.org/officeDocument/2006/relationships" r:id="rId12"/>
              </a:graphicData>
            </a:graphic>
          </wp:inline>
        </w:drawing>
      </w:r>
    </w:p>
    <w:p w:rsidR="001E7B45" w:rsidRPr="00E3180E" w:rsidRDefault="00301B24" w:rsidP="001E7B45">
      <w:pPr>
        <w:pStyle w:val="ac"/>
        <w:ind w:firstLine="709"/>
        <w:rPr>
          <w:color w:val="000000"/>
          <w:szCs w:val="28"/>
        </w:rPr>
      </w:pPr>
      <w:r>
        <w:rPr>
          <w:b/>
          <w:szCs w:val="28"/>
        </w:rPr>
        <w:lastRenderedPageBreak/>
        <w:t xml:space="preserve">2.1.4.4. </w:t>
      </w:r>
      <w:r w:rsidR="001E7B45" w:rsidRPr="00365EB8">
        <w:rPr>
          <w:b/>
          <w:szCs w:val="28"/>
        </w:rPr>
        <w:t xml:space="preserve">Корректировка НВВ АО «РЭС» </w:t>
      </w:r>
      <w:r w:rsidR="001E7B45">
        <w:rPr>
          <w:b/>
          <w:szCs w:val="28"/>
        </w:rPr>
        <w:t xml:space="preserve">(котлодержателя) на 2020 год </w:t>
      </w:r>
      <w:r w:rsidR="001E7B45" w:rsidRPr="00365EB8">
        <w:rPr>
          <w:b/>
          <w:szCs w:val="28"/>
        </w:rPr>
        <w:t>в рамках долгосрочного периода 2016-2020 годов.</w:t>
      </w:r>
      <w:r w:rsidR="001E7B45">
        <w:rPr>
          <w:b/>
          <w:szCs w:val="28"/>
        </w:rPr>
        <w:t xml:space="preserve"> </w:t>
      </w:r>
    </w:p>
    <w:p w:rsidR="001E7B45" w:rsidRPr="001D6100" w:rsidRDefault="001E7B45" w:rsidP="008C1AA9">
      <w:pPr>
        <w:autoSpaceDE w:val="0"/>
        <w:autoSpaceDN w:val="0"/>
        <w:adjustRightInd w:val="0"/>
        <w:spacing w:after="0" w:line="240" w:lineRule="auto"/>
        <w:ind w:firstLine="709"/>
        <w:jc w:val="both"/>
        <w:rPr>
          <w:rFonts w:eastAsia="Times New Roman"/>
          <w:sz w:val="28"/>
          <w:szCs w:val="28"/>
        </w:rPr>
      </w:pPr>
      <w:r w:rsidRPr="00AA5B9E">
        <w:rPr>
          <w:sz w:val="28"/>
          <w:szCs w:val="28"/>
        </w:rPr>
        <w:t>В соответствии с п. 38 Основ ценообразования, на основании Методических указаний по расчету тарифов на услуги по передаче электрической энергии, устанавливаемых с применением метода долгосрочной индексации валовой выручки, утверждённых приказом Федеральной службы п</w:t>
      </w:r>
      <w:r>
        <w:rPr>
          <w:sz w:val="28"/>
          <w:szCs w:val="28"/>
        </w:rPr>
        <w:t>о тарифам от 17.02.2012 № 98-э</w:t>
      </w:r>
      <w:r w:rsidR="00577FA1">
        <w:rPr>
          <w:sz w:val="28"/>
          <w:szCs w:val="28"/>
        </w:rPr>
        <w:t>, Д</w:t>
      </w:r>
      <w:r w:rsidRPr="00AA5B9E">
        <w:rPr>
          <w:sz w:val="28"/>
          <w:szCs w:val="28"/>
        </w:rPr>
        <w:t xml:space="preserve">епартаментом в рамках дела об установлении НВВ </w:t>
      </w:r>
      <w:r>
        <w:rPr>
          <w:sz w:val="28"/>
          <w:szCs w:val="28"/>
        </w:rPr>
        <w:t>АО «РЭС»</w:t>
      </w:r>
      <w:r w:rsidRPr="00AA5B9E">
        <w:rPr>
          <w:sz w:val="28"/>
          <w:szCs w:val="28"/>
        </w:rPr>
        <w:t xml:space="preserve">, в отношении которого применяется метод долгосрочной индексации НВВ </w:t>
      </w:r>
      <w:r w:rsidRPr="001D6100">
        <w:rPr>
          <w:sz w:val="28"/>
          <w:szCs w:val="28"/>
        </w:rPr>
        <w:t>на 2016-2020 годы,</w:t>
      </w:r>
      <w:r w:rsidRPr="001D6100">
        <w:rPr>
          <w:b/>
          <w:sz w:val="28"/>
          <w:szCs w:val="28"/>
        </w:rPr>
        <w:t xml:space="preserve"> </w:t>
      </w:r>
      <w:r w:rsidRPr="001D6100">
        <w:rPr>
          <w:sz w:val="28"/>
          <w:szCs w:val="28"/>
        </w:rPr>
        <w:t>произведена корректировка НВВ на 2020 год с учетом в</w:t>
      </w:r>
      <w:r w:rsidRPr="001D6100">
        <w:rPr>
          <w:rFonts w:eastAsia="Times New Roman"/>
          <w:sz w:val="28"/>
          <w:szCs w:val="28"/>
        </w:rPr>
        <w:t>еличины н</w:t>
      </w:r>
      <w:r>
        <w:rPr>
          <w:rFonts w:eastAsia="Times New Roman"/>
          <w:sz w:val="28"/>
          <w:szCs w:val="28"/>
        </w:rPr>
        <w:t xml:space="preserve">едополученного дохода АО «РЭС» </w:t>
      </w:r>
      <w:r w:rsidRPr="001D6100">
        <w:rPr>
          <w:rFonts w:eastAsia="Times New Roman"/>
          <w:sz w:val="28"/>
          <w:szCs w:val="28"/>
        </w:rPr>
        <w:t>в размере 961 млн. руб., образовавшегося в целях сглаживания изменения тарифов, предусмотрен</w:t>
      </w:r>
      <w:r>
        <w:rPr>
          <w:rFonts w:eastAsia="Times New Roman"/>
          <w:sz w:val="28"/>
          <w:szCs w:val="28"/>
        </w:rPr>
        <w:t>ного п. 7 Основ ценообразования.</w:t>
      </w:r>
      <w:r w:rsidRPr="001D6100">
        <w:rPr>
          <w:rFonts w:eastAsia="Times New Roman"/>
          <w:sz w:val="28"/>
          <w:szCs w:val="28"/>
        </w:rPr>
        <w:t xml:space="preserve"> </w:t>
      </w:r>
    </w:p>
    <w:p w:rsidR="001E7B45" w:rsidRPr="00AA5B9E" w:rsidRDefault="001E7B45" w:rsidP="008C1AA9">
      <w:pPr>
        <w:pStyle w:val="22"/>
        <w:spacing w:after="0" w:line="240" w:lineRule="auto"/>
        <w:ind w:firstLine="709"/>
        <w:jc w:val="both"/>
        <w:rPr>
          <w:bCs/>
          <w:sz w:val="28"/>
          <w:szCs w:val="28"/>
        </w:rPr>
      </w:pPr>
      <w:r w:rsidRPr="001D6100">
        <w:rPr>
          <w:bCs/>
          <w:color w:val="000000"/>
          <w:sz w:val="28"/>
          <w:szCs w:val="28"/>
        </w:rPr>
        <w:t xml:space="preserve">Приказом </w:t>
      </w:r>
      <w:r w:rsidR="00577FA1">
        <w:rPr>
          <w:bCs/>
          <w:color w:val="000000"/>
          <w:sz w:val="28"/>
          <w:szCs w:val="28"/>
        </w:rPr>
        <w:t>Д</w:t>
      </w:r>
      <w:r w:rsidRPr="001D6100">
        <w:rPr>
          <w:bCs/>
          <w:color w:val="000000"/>
          <w:sz w:val="28"/>
          <w:szCs w:val="28"/>
        </w:rPr>
        <w:t>епартамента от 30.12.2019 № 767-ЭЭ НВВ АО «РЭС»</w:t>
      </w:r>
      <w:r w:rsidRPr="001D6100">
        <w:rPr>
          <w:bCs/>
          <w:sz w:val="28"/>
          <w:szCs w:val="28"/>
        </w:rPr>
        <w:t xml:space="preserve"> на 2020 год (без учета оплаты потерь) скорректирована в размере 8 285,8 млн. руб.</w:t>
      </w:r>
      <w:r>
        <w:rPr>
          <w:bCs/>
          <w:sz w:val="28"/>
          <w:szCs w:val="28"/>
        </w:rPr>
        <w:t xml:space="preserve">          (9 247-961).</w:t>
      </w:r>
    </w:p>
    <w:p w:rsidR="001E7B45" w:rsidRPr="00086E38" w:rsidRDefault="001E7B45" w:rsidP="008C1AA9">
      <w:pPr>
        <w:pStyle w:val="22"/>
        <w:spacing w:after="0" w:line="240" w:lineRule="auto"/>
        <w:ind w:firstLine="709"/>
        <w:jc w:val="both"/>
        <w:rPr>
          <w:rFonts w:eastAsia="Times New Roman"/>
          <w:color w:val="FF0000"/>
          <w:sz w:val="28"/>
          <w:szCs w:val="28"/>
        </w:rPr>
      </w:pPr>
      <w:r w:rsidRPr="00D65E29">
        <w:rPr>
          <w:rFonts w:eastAsia="Times New Roman"/>
          <w:sz w:val="28"/>
          <w:szCs w:val="28"/>
        </w:rPr>
        <w:t>Сокращение НВВ АО «РЭС» в 2020 году в части содержания сетей на относительно плановых показателей 2019 года составило 545,0 млн.</w:t>
      </w:r>
      <w:r>
        <w:rPr>
          <w:rFonts w:eastAsia="Times New Roman"/>
          <w:sz w:val="28"/>
          <w:szCs w:val="28"/>
        </w:rPr>
        <w:t xml:space="preserve"> </w:t>
      </w:r>
      <w:r w:rsidRPr="00D65E29">
        <w:rPr>
          <w:rFonts w:eastAsia="Times New Roman"/>
          <w:sz w:val="28"/>
          <w:szCs w:val="28"/>
        </w:rPr>
        <w:t>руб. (-6,2%).</w:t>
      </w:r>
      <w:r w:rsidRPr="00E22016">
        <w:rPr>
          <w:rFonts w:eastAsia="Times New Roman"/>
          <w:sz w:val="28"/>
          <w:szCs w:val="28"/>
        </w:rPr>
        <w:t xml:space="preserve"> </w:t>
      </w:r>
    </w:p>
    <w:p w:rsidR="001E7B45" w:rsidRPr="00A36974" w:rsidRDefault="001E7B45" w:rsidP="008C1AA9">
      <w:pPr>
        <w:pStyle w:val="22"/>
        <w:spacing w:after="0" w:line="240" w:lineRule="auto"/>
        <w:ind w:firstLine="709"/>
        <w:jc w:val="both"/>
        <w:rPr>
          <w:sz w:val="28"/>
          <w:szCs w:val="28"/>
        </w:rPr>
      </w:pPr>
      <w:r w:rsidRPr="00A36974">
        <w:rPr>
          <w:sz w:val="28"/>
          <w:szCs w:val="28"/>
        </w:rPr>
        <w:t xml:space="preserve">По структуре НВВ </w:t>
      </w:r>
      <w:r>
        <w:rPr>
          <w:sz w:val="28"/>
          <w:szCs w:val="28"/>
        </w:rPr>
        <w:t xml:space="preserve">АО «РЭС» </w:t>
      </w:r>
      <w:r w:rsidRPr="00A36974">
        <w:rPr>
          <w:sz w:val="28"/>
          <w:szCs w:val="28"/>
        </w:rPr>
        <w:t>отклонения сложились в связи со следующим:</w:t>
      </w:r>
    </w:p>
    <w:p w:rsidR="001E7B45" w:rsidRPr="00A36974" w:rsidRDefault="001E7B45" w:rsidP="008C1AA9">
      <w:pPr>
        <w:spacing w:after="0" w:line="240" w:lineRule="auto"/>
        <w:ind w:firstLine="709"/>
        <w:jc w:val="both"/>
        <w:rPr>
          <w:sz w:val="28"/>
          <w:szCs w:val="28"/>
        </w:rPr>
      </w:pPr>
      <w:r w:rsidRPr="00A36974">
        <w:rPr>
          <w:sz w:val="28"/>
          <w:szCs w:val="28"/>
        </w:rPr>
        <w:t xml:space="preserve">- корректировкой (увеличением) подконтрольных расходов АО «РЭС» </w:t>
      </w:r>
      <w:r>
        <w:rPr>
          <w:sz w:val="28"/>
          <w:szCs w:val="28"/>
        </w:rPr>
        <w:t>на 90,2</w:t>
      </w:r>
      <w:r w:rsidRPr="00A16ED0">
        <w:rPr>
          <w:sz w:val="28"/>
          <w:szCs w:val="28"/>
        </w:rPr>
        <w:t xml:space="preserve"> млн.</w:t>
      </w:r>
      <w:r>
        <w:rPr>
          <w:sz w:val="28"/>
          <w:szCs w:val="28"/>
        </w:rPr>
        <w:t xml:space="preserve"> руб. (102,7</w:t>
      </w:r>
      <w:r w:rsidRPr="00A16ED0">
        <w:rPr>
          <w:sz w:val="28"/>
          <w:szCs w:val="28"/>
        </w:rPr>
        <w:t>%</w:t>
      </w:r>
      <w:r w:rsidRPr="001C31DB">
        <w:rPr>
          <w:sz w:val="28"/>
          <w:szCs w:val="28"/>
        </w:rPr>
        <w:t xml:space="preserve"> </w:t>
      </w:r>
      <w:r w:rsidRPr="00F4040C">
        <w:rPr>
          <w:sz w:val="28"/>
          <w:szCs w:val="28"/>
        </w:rPr>
        <w:t>к плану %</w:t>
      </w:r>
      <w:r w:rsidRPr="00A16ED0">
        <w:rPr>
          <w:sz w:val="28"/>
          <w:szCs w:val="28"/>
        </w:rPr>
        <w:t>), произведенной</w:t>
      </w:r>
      <w:r w:rsidRPr="00A36974">
        <w:rPr>
          <w:sz w:val="28"/>
          <w:szCs w:val="28"/>
        </w:rPr>
        <w:t xml:space="preserve"> с учетом изменения: индекса потребительских цен и </w:t>
      </w:r>
      <w:r w:rsidRPr="00A36974">
        <w:rPr>
          <w:color w:val="000000"/>
          <w:sz w:val="28"/>
          <w:szCs w:val="28"/>
        </w:rPr>
        <w:t xml:space="preserve">индекса изменения количества активов; </w:t>
      </w:r>
    </w:p>
    <w:p w:rsidR="001E7B45" w:rsidRDefault="001E7B45" w:rsidP="008C1AA9">
      <w:pPr>
        <w:pStyle w:val="22"/>
        <w:spacing w:after="0" w:line="240" w:lineRule="auto"/>
        <w:ind w:firstLine="709"/>
        <w:jc w:val="both"/>
        <w:rPr>
          <w:sz w:val="28"/>
          <w:szCs w:val="28"/>
        </w:rPr>
      </w:pPr>
      <w:r w:rsidRPr="00F4040C">
        <w:rPr>
          <w:sz w:val="28"/>
          <w:szCs w:val="28"/>
        </w:rPr>
        <w:t>- корректировкой (увеличением) неподконтрольных расходов АО «РЭС» на 523,7 млн.</w:t>
      </w:r>
      <w:r>
        <w:rPr>
          <w:sz w:val="28"/>
          <w:szCs w:val="28"/>
        </w:rPr>
        <w:t xml:space="preserve"> </w:t>
      </w:r>
      <w:r w:rsidRPr="00F4040C">
        <w:rPr>
          <w:sz w:val="28"/>
          <w:szCs w:val="28"/>
        </w:rPr>
        <w:t xml:space="preserve">руб. (110,2 к плану %), в т.ч. за счет следующих факторов: </w:t>
      </w:r>
    </w:p>
    <w:p w:rsidR="001E7B45" w:rsidRDefault="001E7B45" w:rsidP="008C1AA9">
      <w:pPr>
        <w:pStyle w:val="a6"/>
        <w:numPr>
          <w:ilvl w:val="0"/>
          <w:numId w:val="15"/>
        </w:numPr>
        <w:spacing w:after="0" w:line="240" w:lineRule="auto"/>
        <w:ind w:left="0" w:firstLine="680"/>
        <w:jc w:val="both"/>
        <w:rPr>
          <w:rFonts w:ascii="Times New Roman" w:eastAsia="Times New Roman" w:hAnsi="Times New Roman"/>
          <w:sz w:val="28"/>
          <w:szCs w:val="28"/>
        </w:rPr>
      </w:pPr>
      <w:r w:rsidRPr="00F4040C">
        <w:rPr>
          <w:rFonts w:ascii="Times New Roman" w:eastAsia="Times New Roman" w:hAnsi="Times New Roman"/>
          <w:sz w:val="28"/>
          <w:szCs w:val="28"/>
        </w:rPr>
        <w:t>по оплате услуг ПАО «ФСК ЕЭС» на 214,</w:t>
      </w:r>
      <w:r>
        <w:rPr>
          <w:rFonts w:ascii="Times New Roman" w:eastAsia="Times New Roman" w:hAnsi="Times New Roman"/>
          <w:sz w:val="28"/>
          <w:szCs w:val="28"/>
        </w:rPr>
        <w:t>7</w:t>
      </w:r>
      <w:r w:rsidRPr="00F4040C">
        <w:rPr>
          <w:rFonts w:ascii="Times New Roman" w:eastAsia="Times New Roman" w:hAnsi="Times New Roman"/>
          <w:sz w:val="28"/>
          <w:szCs w:val="28"/>
        </w:rPr>
        <w:t xml:space="preserve"> млн.</w:t>
      </w:r>
      <w:r>
        <w:rPr>
          <w:rFonts w:ascii="Times New Roman" w:eastAsia="Times New Roman" w:hAnsi="Times New Roman"/>
          <w:sz w:val="28"/>
          <w:szCs w:val="28"/>
        </w:rPr>
        <w:t xml:space="preserve"> </w:t>
      </w:r>
      <w:r w:rsidRPr="00F4040C">
        <w:rPr>
          <w:rFonts w:ascii="Times New Roman" w:eastAsia="Times New Roman" w:hAnsi="Times New Roman"/>
          <w:sz w:val="28"/>
          <w:szCs w:val="28"/>
        </w:rPr>
        <w:t>руб. (на 9,3 %) за счет увеличения ставок тарифов на содержание электрических сетей (на 5,5 %) при одновременном снижении объема заявленной мощности на 1,875 МВт</w:t>
      </w:r>
      <w:r>
        <w:rPr>
          <w:rFonts w:ascii="Times New Roman" w:eastAsia="Times New Roman" w:hAnsi="Times New Roman"/>
          <w:sz w:val="28"/>
          <w:szCs w:val="28"/>
        </w:rPr>
        <w:t xml:space="preserve"> </w:t>
      </w:r>
      <w:r w:rsidRPr="00F4040C">
        <w:rPr>
          <w:rFonts w:ascii="Times New Roman" w:eastAsia="Times New Roman" w:hAnsi="Times New Roman"/>
          <w:sz w:val="28"/>
          <w:szCs w:val="28"/>
        </w:rPr>
        <w:t>(</w:t>
      </w:r>
      <w:r>
        <w:rPr>
          <w:rFonts w:ascii="Times New Roman" w:eastAsia="Times New Roman" w:hAnsi="Times New Roman"/>
          <w:sz w:val="28"/>
          <w:szCs w:val="28"/>
        </w:rPr>
        <w:t xml:space="preserve">на </w:t>
      </w:r>
      <w:r w:rsidRPr="00F4040C">
        <w:rPr>
          <w:rFonts w:ascii="Times New Roman" w:eastAsia="Times New Roman" w:hAnsi="Times New Roman"/>
          <w:sz w:val="28"/>
          <w:szCs w:val="28"/>
        </w:rPr>
        <w:t xml:space="preserve">0,2 %), а также за счет увеличения ставок тарифов на оплату нормативных технологических потерь электроэнергии (на 5,6 %) и увеличения объема потерь в сетях ПАО «ФСК ЕЭС» на 50,254 млн. кВтч. (на </w:t>
      </w:r>
      <w:r>
        <w:rPr>
          <w:rFonts w:ascii="Times New Roman" w:eastAsia="Times New Roman" w:hAnsi="Times New Roman"/>
          <w:sz w:val="28"/>
          <w:szCs w:val="28"/>
        </w:rPr>
        <w:t>23,5 %);</w:t>
      </w:r>
    </w:p>
    <w:p w:rsidR="001E7B45" w:rsidRPr="003E2DFD" w:rsidRDefault="001E7B45" w:rsidP="008C1AA9">
      <w:pPr>
        <w:pStyle w:val="a6"/>
        <w:numPr>
          <w:ilvl w:val="0"/>
          <w:numId w:val="15"/>
        </w:numPr>
        <w:spacing w:after="0" w:line="240" w:lineRule="auto"/>
        <w:ind w:left="0" w:firstLine="680"/>
        <w:jc w:val="both"/>
        <w:rPr>
          <w:rFonts w:ascii="Times New Roman" w:hAnsi="Times New Roman"/>
          <w:color w:val="000000"/>
          <w:sz w:val="28"/>
          <w:szCs w:val="28"/>
        </w:rPr>
      </w:pPr>
      <w:r>
        <w:rPr>
          <w:rFonts w:ascii="Times New Roman" w:hAnsi="Times New Roman"/>
          <w:color w:val="000000"/>
          <w:sz w:val="28"/>
          <w:szCs w:val="28"/>
        </w:rPr>
        <w:t>по уплате</w:t>
      </w:r>
      <w:r w:rsidRPr="003E2DFD">
        <w:rPr>
          <w:rFonts w:ascii="Times New Roman" w:hAnsi="Times New Roman"/>
          <w:color w:val="000000"/>
          <w:sz w:val="28"/>
          <w:szCs w:val="28"/>
        </w:rPr>
        <w:t xml:space="preserve"> налога на прибыль на 2020 год (сформированные по факту 2018 года) на 255</w:t>
      </w:r>
      <w:r>
        <w:rPr>
          <w:rFonts w:ascii="Times New Roman" w:hAnsi="Times New Roman"/>
          <w:color w:val="000000"/>
          <w:sz w:val="28"/>
          <w:szCs w:val="28"/>
        </w:rPr>
        <w:t>,2</w:t>
      </w:r>
      <w:r w:rsidRPr="003E2DFD">
        <w:rPr>
          <w:rFonts w:ascii="Times New Roman" w:hAnsi="Times New Roman"/>
          <w:color w:val="000000"/>
          <w:sz w:val="28"/>
          <w:szCs w:val="28"/>
        </w:rPr>
        <w:t xml:space="preserve">  </w:t>
      </w:r>
      <w:r>
        <w:rPr>
          <w:rFonts w:ascii="Times New Roman" w:hAnsi="Times New Roman"/>
          <w:color w:val="000000"/>
          <w:sz w:val="28"/>
          <w:szCs w:val="28"/>
        </w:rPr>
        <w:t>млн</w:t>
      </w:r>
      <w:r w:rsidRPr="003E2DFD">
        <w:rPr>
          <w:rFonts w:ascii="Times New Roman" w:hAnsi="Times New Roman"/>
          <w:color w:val="000000"/>
          <w:sz w:val="28"/>
          <w:szCs w:val="28"/>
        </w:rPr>
        <w:t>.</w:t>
      </w:r>
      <w:r>
        <w:rPr>
          <w:rFonts w:ascii="Times New Roman" w:hAnsi="Times New Roman"/>
          <w:color w:val="000000"/>
          <w:sz w:val="28"/>
          <w:szCs w:val="28"/>
        </w:rPr>
        <w:t xml:space="preserve"> </w:t>
      </w:r>
      <w:r w:rsidRPr="003E2DFD">
        <w:rPr>
          <w:rFonts w:ascii="Times New Roman" w:hAnsi="Times New Roman"/>
          <w:color w:val="000000"/>
          <w:sz w:val="28"/>
          <w:szCs w:val="28"/>
        </w:rPr>
        <w:t>руб. (на 195,3 %) превышают расходы, учтённые в тарифе на 2019 (сформированные по факту 2017 года). Увеличение обусловлено получением большего финансового результата по итогам 2018 года по сравнению с фин</w:t>
      </w:r>
      <w:r>
        <w:rPr>
          <w:rFonts w:ascii="Times New Roman" w:hAnsi="Times New Roman"/>
          <w:color w:val="000000"/>
          <w:sz w:val="28"/>
          <w:szCs w:val="28"/>
        </w:rPr>
        <w:t>ансовым результатом за 2017 год;</w:t>
      </w:r>
    </w:p>
    <w:p w:rsidR="001E7B45" w:rsidRPr="00A36974" w:rsidRDefault="001E7B45" w:rsidP="008C1AA9">
      <w:pPr>
        <w:pStyle w:val="22"/>
        <w:numPr>
          <w:ilvl w:val="0"/>
          <w:numId w:val="15"/>
        </w:numPr>
        <w:spacing w:after="0" w:line="240" w:lineRule="auto"/>
        <w:ind w:left="0" w:firstLine="709"/>
        <w:jc w:val="both"/>
        <w:rPr>
          <w:sz w:val="28"/>
          <w:szCs w:val="28"/>
        </w:rPr>
      </w:pPr>
      <w:r w:rsidRPr="00B653F2">
        <w:rPr>
          <w:sz w:val="28"/>
          <w:szCs w:val="28"/>
        </w:rPr>
        <w:t>по амортизационным отчислениям (на 24,6 млн. руб.) в результате ввода основных</w:t>
      </w:r>
      <w:r w:rsidRPr="00A36974">
        <w:rPr>
          <w:sz w:val="28"/>
          <w:szCs w:val="28"/>
        </w:rPr>
        <w:t xml:space="preserve"> средств в рамках реализации Инвест</w:t>
      </w:r>
      <w:r>
        <w:rPr>
          <w:sz w:val="28"/>
          <w:szCs w:val="28"/>
        </w:rPr>
        <w:t>иционной программы АО «РЭС»;</w:t>
      </w:r>
    </w:p>
    <w:p w:rsidR="001E7B45" w:rsidRDefault="001E7B45" w:rsidP="008C1AA9">
      <w:pPr>
        <w:pStyle w:val="a6"/>
        <w:numPr>
          <w:ilvl w:val="0"/>
          <w:numId w:val="15"/>
        </w:numPr>
        <w:spacing w:after="0" w:line="240" w:lineRule="auto"/>
        <w:ind w:left="0" w:firstLine="709"/>
        <w:jc w:val="both"/>
        <w:rPr>
          <w:rFonts w:ascii="Times New Roman" w:eastAsia="Times New Roman" w:hAnsi="Times New Roman"/>
          <w:color w:val="000000"/>
          <w:sz w:val="28"/>
          <w:szCs w:val="28"/>
        </w:rPr>
      </w:pPr>
      <w:r w:rsidRPr="003E2DFD">
        <w:rPr>
          <w:rFonts w:ascii="Times New Roman" w:hAnsi="Times New Roman"/>
          <w:sz w:val="28"/>
          <w:szCs w:val="28"/>
        </w:rPr>
        <w:t xml:space="preserve">по арендной плате (на 33,1 млн. руб.) в связи с </w:t>
      </w:r>
      <w:r w:rsidRPr="003E2DFD">
        <w:rPr>
          <w:rFonts w:ascii="Times New Roman" w:eastAsia="Times New Roman" w:hAnsi="Times New Roman"/>
          <w:color w:val="000000"/>
          <w:sz w:val="28"/>
          <w:szCs w:val="28"/>
        </w:rPr>
        <w:t>увеличением размера расходов по договорам (с учетом дополнительных соглашений) с МУП "Электросеть" и муниципальными образованиями Новосибирской области, а именно Администрацией Карасукского района Новосибирской области, Администрацией Баганского сельсовета Баганского района Новосибирской области, Администрацией рабочего поселка Маслянино Маслянинского района Новосибирской области и МБУ «ГорСвет», в части актуализации данных по амортизации и налогу на имущество, рассчитанных в соответствии п.п. 5 п. 28 Основ ценообразования; актуализацией инфо</w:t>
      </w:r>
      <w:r>
        <w:rPr>
          <w:rFonts w:ascii="Times New Roman" w:eastAsia="Times New Roman" w:hAnsi="Times New Roman"/>
          <w:color w:val="000000"/>
          <w:sz w:val="28"/>
          <w:szCs w:val="28"/>
        </w:rPr>
        <w:t>рмации по действующим договорам;</w:t>
      </w:r>
      <w:r w:rsidRPr="003E2DFD">
        <w:rPr>
          <w:rFonts w:ascii="Times New Roman" w:eastAsia="Times New Roman" w:hAnsi="Times New Roman"/>
          <w:color w:val="000000"/>
          <w:sz w:val="28"/>
          <w:szCs w:val="28"/>
        </w:rPr>
        <w:t xml:space="preserve"> заключение</w:t>
      </w:r>
      <w:r>
        <w:rPr>
          <w:rFonts w:ascii="Times New Roman" w:eastAsia="Times New Roman" w:hAnsi="Times New Roman"/>
          <w:color w:val="000000"/>
          <w:sz w:val="28"/>
          <w:szCs w:val="28"/>
        </w:rPr>
        <w:t>м</w:t>
      </w:r>
      <w:r w:rsidRPr="003E2DFD">
        <w:rPr>
          <w:rFonts w:ascii="Times New Roman" w:eastAsia="Times New Roman" w:hAnsi="Times New Roman"/>
          <w:color w:val="000000"/>
          <w:sz w:val="28"/>
          <w:szCs w:val="28"/>
        </w:rPr>
        <w:t xml:space="preserve"> </w:t>
      </w:r>
      <w:r>
        <w:rPr>
          <w:rFonts w:ascii="Times New Roman" w:eastAsia="Times New Roman" w:hAnsi="Times New Roman"/>
          <w:color w:val="000000"/>
          <w:sz w:val="28"/>
          <w:szCs w:val="28"/>
        </w:rPr>
        <w:t>новых договоров (</w:t>
      </w:r>
      <w:r w:rsidRPr="003E2DFD">
        <w:rPr>
          <w:rFonts w:ascii="Times New Roman" w:eastAsia="Times New Roman" w:hAnsi="Times New Roman"/>
          <w:color w:val="000000"/>
          <w:sz w:val="28"/>
          <w:szCs w:val="28"/>
        </w:rPr>
        <w:t xml:space="preserve">соглашения об установлении сервитута на земельный участок № ДТ-11/284 от </w:t>
      </w:r>
      <w:r w:rsidRPr="003E2DFD">
        <w:rPr>
          <w:rFonts w:ascii="Times New Roman" w:eastAsia="Times New Roman" w:hAnsi="Times New Roman"/>
          <w:color w:val="000000"/>
          <w:sz w:val="28"/>
          <w:szCs w:val="28"/>
        </w:rPr>
        <w:lastRenderedPageBreak/>
        <w:t>01.11.2017 г., договора субаренды офисного помещения для персонала организации</w:t>
      </w:r>
      <w:r>
        <w:rPr>
          <w:rFonts w:ascii="Times New Roman" w:eastAsia="Times New Roman" w:hAnsi="Times New Roman"/>
          <w:color w:val="000000"/>
          <w:sz w:val="28"/>
          <w:szCs w:val="28"/>
        </w:rPr>
        <w:t>)</w:t>
      </w:r>
      <w:r w:rsidRPr="003E2DFD">
        <w:rPr>
          <w:rFonts w:ascii="Times New Roman" w:eastAsia="Times New Roman" w:hAnsi="Times New Roman"/>
          <w:color w:val="000000"/>
          <w:sz w:val="28"/>
          <w:szCs w:val="28"/>
        </w:rPr>
        <w:t>;</w:t>
      </w:r>
    </w:p>
    <w:p w:rsidR="001E7B45" w:rsidRPr="007139A6" w:rsidRDefault="001E7B45" w:rsidP="008C1AA9">
      <w:pPr>
        <w:pStyle w:val="a6"/>
        <w:numPr>
          <w:ilvl w:val="0"/>
          <w:numId w:val="15"/>
        </w:numPr>
        <w:spacing w:after="0" w:line="240" w:lineRule="auto"/>
        <w:ind w:left="0" w:firstLine="709"/>
        <w:jc w:val="both"/>
        <w:rPr>
          <w:rFonts w:ascii="Times New Roman" w:eastAsia="Times New Roman" w:hAnsi="Times New Roman"/>
          <w:color w:val="000000"/>
          <w:sz w:val="28"/>
          <w:szCs w:val="28"/>
        </w:rPr>
      </w:pPr>
      <w:r w:rsidRPr="007139A6">
        <w:rPr>
          <w:rFonts w:ascii="Times New Roman" w:hAnsi="Times New Roman"/>
          <w:sz w:val="28"/>
          <w:szCs w:val="28"/>
        </w:rPr>
        <w:t xml:space="preserve">по страховым взносам (на 17,0 млн. руб.) в связи с увеличением </w:t>
      </w:r>
      <w:r w:rsidRPr="007139A6">
        <w:rPr>
          <w:rFonts w:ascii="Times New Roman" w:eastAsia="Times New Roman" w:hAnsi="Times New Roman"/>
          <w:color w:val="000000"/>
          <w:sz w:val="28"/>
          <w:szCs w:val="28"/>
        </w:rPr>
        <w:t>размера фонда оплаты труда на 50</w:t>
      </w:r>
      <w:r>
        <w:rPr>
          <w:rFonts w:ascii="Times New Roman" w:eastAsia="Times New Roman" w:hAnsi="Times New Roman"/>
          <w:color w:val="000000"/>
          <w:sz w:val="28"/>
          <w:szCs w:val="28"/>
        </w:rPr>
        <w:t>,5</w:t>
      </w:r>
      <w:r w:rsidRPr="007139A6">
        <w:rPr>
          <w:rFonts w:ascii="Times New Roman" w:eastAsia="Times New Roman" w:hAnsi="Times New Roman"/>
          <w:color w:val="000000"/>
          <w:sz w:val="28"/>
          <w:szCs w:val="28"/>
        </w:rPr>
        <w:t xml:space="preserve"> </w:t>
      </w:r>
      <w:r>
        <w:rPr>
          <w:rFonts w:ascii="Times New Roman" w:eastAsia="Times New Roman" w:hAnsi="Times New Roman"/>
          <w:color w:val="000000"/>
          <w:sz w:val="28"/>
          <w:szCs w:val="28"/>
        </w:rPr>
        <w:t>млн.</w:t>
      </w:r>
      <w:r w:rsidRPr="007139A6">
        <w:rPr>
          <w:rFonts w:ascii="Times New Roman" w:eastAsia="Times New Roman" w:hAnsi="Times New Roman"/>
          <w:color w:val="000000"/>
          <w:sz w:val="28"/>
          <w:szCs w:val="28"/>
        </w:rPr>
        <w:t>. руб. (</w:t>
      </w:r>
      <w:r>
        <w:rPr>
          <w:rFonts w:ascii="Times New Roman" w:eastAsia="Times New Roman" w:hAnsi="Times New Roman"/>
          <w:color w:val="000000"/>
          <w:sz w:val="28"/>
          <w:szCs w:val="28"/>
        </w:rPr>
        <w:t xml:space="preserve">на </w:t>
      </w:r>
      <w:r w:rsidRPr="007139A6">
        <w:rPr>
          <w:rFonts w:ascii="Times New Roman" w:eastAsia="Times New Roman" w:hAnsi="Times New Roman"/>
          <w:color w:val="000000"/>
          <w:sz w:val="28"/>
          <w:szCs w:val="28"/>
        </w:rPr>
        <w:t xml:space="preserve">2,7 %), учитываемого </w:t>
      </w:r>
      <w:r w:rsidR="00577FA1">
        <w:rPr>
          <w:rFonts w:ascii="Times New Roman" w:eastAsia="Times New Roman" w:hAnsi="Times New Roman"/>
          <w:color w:val="000000"/>
          <w:sz w:val="28"/>
          <w:szCs w:val="28"/>
        </w:rPr>
        <w:t>Д</w:t>
      </w:r>
      <w:r w:rsidRPr="007139A6">
        <w:rPr>
          <w:rFonts w:ascii="Times New Roman" w:eastAsia="Times New Roman" w:hAnsi="Times New Roman"/>
          <w:color w:val="000000"/>
          <w:sz w:val="28"/>
          <w:szCs w:val="28"/>
        </w:rPr>
        <w:t xml:space="preserve">епартаментом в составе подконтрольных расходов на 2020 год, и увеличением на 0,12 % ставки страховых взносов, рассчитанной с учетом применения регрессивной шкалы налогообложения </w:t>
      </w:r>
      <w:r w:rsidR="00577FA1">
        <w:rPr>
          <w:rFonts w:ascii="Times New Roman" w:eastAsia="Times New Roman" w:hAnsi="Times New Roman"/>
          <w:color w:val="000000"/>
          <w:sz w:val="28"/>
          <w:szCs w:val="28"/>
        </w:rPr>
        <w:t xml:space="preserve">сложившейся </w:t>
      </w:r>
      <w:r w:rsidR="00B0259A">
        <w:rPr>
          <w:rFonts w:ascii="Times New Roman" w:eastAsia="Times New Roman" w:hAnsi="Times New Roman"/>
          <w:color w:val="000000"/>
          <w:sz w:val="28"/>
          <w:szCs w:val="28"/>
        </w:rPr>
        <w:t>в</w:t>
      </w:r>
      <w:r w:rsidR="00B0259A" w:rsidRPr="007139A6">
        <w:rPr>
          <w:rFonts w:ascii="Times New Roman" w:eastAsia="Times New Roman" w:hAnsi="Times New Roman"/>
          <w:color w:val="000000"/>
          <w:sz w:val="28"/>
          <w:szCs w:val="28"/>
        </w:rPr>
        <w:t xml:space="preserve"> организации </w:t>
      </w:r>
      <w:r w:rsidR="00B0259A">
        <w:rPr>
          <w:rFonts w:ascii="Times New Roman" w:eastAsia="Times New Roman" w:hAnsi="Times New Roman"/>
          <w:color w:val="000000"/>
          <w:sz w:val="28"/>
          <w:szCs w:val="28"/>
        </w:rPr>
        <w:t xml:space="preserve"> по факту выплаты заработной платы </w:t>
      </w:r>
      <w:r w:rsidRPr="007139A6">
        <w:rPr>
          <w:rFonts w:ascii="Times New Roman" w:eastAsia="Times New Roman" w:hAnsi="Times New Roman"/>
          <w:color w:val="000000"/>
          <w:sz w:val="28"/>
          <w:szCs w:val="28"/>
        </w:rPr>
        <w:t>за 2018 год;</w:t>
      </w:r>
    </w:p>
    <w:p w:rsidR="001E7B45" w:rsidRPr="00477925" w:rsidRDefault="001E7B45" w:rsidP="008C1AA9">
      <w:pPr>
        <w:numPr>
          <w:ilvl w:val="0"/>
          <w:numId w:val="16"/>
        </w:numPr>
        <w:autoSpaceDE w:val="0"/>
        <w:autoSpaceDN w:val="0"/>
        <w:adjustRightInd w:val="0"/>
        <w:spacing w:after="0" w:line="240" w:lineRule="auto"/>
        <w:ind w:left="0" w:firstLine="709"/>
        <w:jc w:val="both"/>
        <w:rPr>
          <w:sz w:val="28"/>
          <w:szCs w:val="28"/>
        </w:rPr>
      </w:pPr>
      <w:r w:rsidRPr="00477925">
        <w:rPr>
          <w:sz w:val="28"/>
          <w:szCs w:val="28"/>
        </w:rPr>
        <w:t>по проч</w:t>
      </w:r>
      <w:r>
        <w:rPr>
          <w:sz w:val="28"/>
          <w:szCs w:val="28"/>
        </w:rPr>
        <w:t>им неподконтрольным (на 3,8</w:t>
      </w:r>
      <w:r w:rsidRPr="00477925">
        <w:rPr>
          <w:sz w:val="28"/>
          <w:szCs w:val="28"/>
        </w:rPr>
        <w:t xml:space="preserve"> млн.</w:t>
      </w:r>
      <w:r>
        <w:rPr>
          <w:sz w:val="28"/>
          <w:szCs w:val="28"/>
        </w:rPr>
        <w:t xml:space="preserve"> </w:t>
      </w:r>
      <w:r w:rsidRPr="00477925">
        <w:rPr>
          <w:sz w:val="28"/>
          <w:szCs w:val="28"/>
        </w:rPr>
        <w:t>руб.), главным образом, в связи с увеличением расходов на тепловую энергию, используемую на хозяйственные нужды организации, с учетом роста тарифов на тепловую э</w:t>
      </w:r>
      <w:r>
        <w:rPr>
          <w:sz w:val="28"/>
          <w:szCs w:val="28"/>
        </w:rPr>
        <w:t>нергию со второго полугодия 2020</w:t>
      </w:r>
      <w:r w:rsidRPr="00477925">
        <w:rPr>
          <w:sz w:val="28"/>
          <w:szCs w:val="28"/>
        </w:rPr>
        <w:t xml:space="preserve"> года</w:t>
      </w:r>
      <w:r>
        <w:rPr>
          <w:rFonts w:eastAsia="SimSun" w:cs="Mangal"/>
          <w:kern w:val="3"/>
          <w:sz w:val="28"/>
          <w:szCs w:val="28"/>
          <w:lang w:eastAsia="zh-CN" w:bidi="hi-IN"/>
        </w:rPr>
        <w:t>.</w:t>
      </w:r>
      <w:r w:rsidRPr="00477925">
        <w:rPr>
          <w:sz w:val="28"/>
          <w:szCs w:val="28"/>
        </w:rPr>
        <w:t xml:space="preserve"> </w:t>
      </w:r>
    </w:p>
    <w:p w:rsidR="001E7B45" w:rsidRPr="00A36974" w:rsidRDefault="001E7B45" w:rsidP="008C1AA9">
      <w:pPr>
        <w:autoSpaceDE w:val="0"/>
        <w:autoSpaceDN w:val="0"/>
        <w:adjustRightInd w:val="0"/>
        <w:spacing w:after="0" w:line="240" w:lineRule="auto"/>
        <w:ind w:firstLine="709"/>
        <w:jc w:val="both"/>
        <w:rPr>
          <w:sz w:val="28"/>
          <w:szCs w:val="28"/>
        </w:rPr>
      </w:pPr>
      <w:r>
        <w:rPr>
          <w:sz w:val="28"/>
          <w:szCs w:val="28"/>
        </w:rPr>
        <w:t xml:space="preserve">Также произошло увеличение </w:t>
      </w:r>
      <w:r w:rsidR="00577FA1">
        <w:rPr>
          <w:sz w:val="28"/>
          <w:szCs w:val="28"/>
        </w:rPr>
        <w:t>учитываемых Д</w:t>
      </w:r>
      <w:r w:rsidRPr="00A36974">
        <w:rPr>
          <w:sz w:val="28"/>
          <w:szCs w:val="28"/>
        </w:rPr>
        <w:t>епартаментом в составе НВВ АО «РЭС» дополнительных расходов на покрытие в</w:t>
      </w:r>
      <w:r w:rsidRPr="00A36974">
        <w:rPr>
          <w:color w:val="000000"/>
          <w:sz w:val="28"/>
          <w:szCs w:val="28"/>
        </w:rPr>
        <w:t xml:space="preserve">ыпадающих доходов </w:t>
      </w:r>
      <w:r>
        <w:rPr>
          <w:color w:val="000000"/>
          <w:sz w:val="28"/>
          <w:szCs w:val="28"/>
        </w:rPr>
        <w:t>(</w:t>
      </w:r>
      <w:r w:rsidRPr="00A36974">
        <w:rPr>
          <w:color w:val="000000"/>
          <w:sz w:val="28"/>
          <w:szCs w:val="28"/>
        </w:rPr>
        <w:t>возмещение недополученного дохода</w:t>
      </w:r>
      <w:r>
        <w:rPr>
          <w:color w:val="000000"/>
          <w:sz w:val="28"/>
          <w:szCs w:val="28"/>
        </w:rPr>
        <w:t>) на основани</w:t>
      </w:r>
      <w:r w:rsidR="00577FA1">
        <w:rPr>
          <w:color w:val="000000"/>
          <w:sz w:val="28"/>
          <w:szCs w:val="28"/>
        </w:rPr>
        <w:t>и</w:t>
      </w:r>
      <w:r>
        <w:rPr>
          <w:color w:val="000000"/>
          <w:sz w:val="28"/>
          <w:szCs w:val="28"/>
        </w:rPr>
        <w:t xml:space="preserve"> требований п. 7 Основ ценообразования</w:t>
      </w:r>
      <w:r w:rsidRPr="00A36974">
        <w:rPr>
          <w:sz w:val="28"/>
          <w:szCs w:val="28"/>
        </w:rPr>
        <w:t xml:space="preserve">. Сумма корректировки </w:t>
      </w:r>
      <w:r>
        <w:rPr>
          <w:sz w:val="28"/>
          <w:szCs w:val="28"/>
        </w:rPr>
        <w:t>в 2020</w:t>
      </w:r>
      <w:r w:rsidRPr="00A36974">
        <w:rPr>
          <w:sz w:val="28"/>
          <w:szCs w:val="28"/>
        </w:rPr>
        <w:t xml:space="preserve"> году </w:t>
      </w:r>
      <w:r w:rsidRPr="00B0036A">
        <w:rPr>
          <w:sz w:val="28"/>
          <w:szCs w:val="28"/>
        </w:rPr>
        <w:t xml:space="preserve">составила </w:t>
      </w:r>
      <w:r>
        <w:rPr>
          <w:sz w:val="28"/>
          <w:szCs w:val="28"/>
        </w:rPr>
        <w:t>1 030</w:t>
      </w:r>
      <w:r w:rsidRPr="00B0036A">
        <w:rPr>
          <w:sz w:val="28"/>
          <w:szCs w:val="28"/>
        </w:rPr>
        <w:t>,2 млн. руб., в том</w:t>
      </w:r>
      <w:r w:rsidRPr="00A36974">
        <w:rPr>
          <w:sz w:val="28"/>
          <w:szCs w:val="28"/>
        </w:rPr>
        <w:t xml:space="preserve"> числе по следующим основаниям:</w:t>
      </w:r>
    </w:p>
    <w:p w:rsidR="001E7B45" w:rsidRDefault="001E7B45" w:rsidP="008C1AA9">
      <w:pPr>
        <w:pStyle w:val="a6"/>
        <w:spacing w:after="0" w:line="240" w:lineRule="auto"/>
        <w:ind w:left="0" w:firstLine="709"/>
        <w:jc w:val="both"/>
        <w:rPr>
          <w:rFonts w:ascii="Times New Roman" w:hAnsi="Times New Roman"/>
          <w:sz w:val="28"/>
          <w:szCs w:val="28"/>
        </w:rPr>
      </w:pPr>
      <w:r>
        <w:rPr>
          <w:rFonts w:ascii="Times New Roman" w:hAnsi="Times New Roman"/>
          <w:sz w:val="28"/>
          <w:szCs w:val="28"/>
        </w:rPr>
        <w:t>-</w:t>
      </w:r>
      <w:r w:rsidRPr="00A36974">
        <w:rPr>
          <w:rFonts w:ascii="Times New Roman" w:hAnsi="Times New Roman"/>
          <w:sz w:val="28"/>
          <w:szCs w:val="28"/>
        </w:rPr>
        <w:t xml:space="preserve"> на покрытие выпадающих доходов от деятельности по осуществлению технологического присоединения к электричес</w:t>
      </w:r>
      <w:r>
        <w:rPr>
          <w:rFonts w:ascii="Times New Roman" w:hAnsi="Times New Roman"/>
          <w:sz w:val="28"/>
          <w:szCs w:val="28"/>
        </w:rPr>
        <w:t>ким сетям АО «РЭС» в размере 256,4</w:t>
      </w:r>
      <w:r w:rsidRPr="00A36974">
        <w:rPr>
          <w:rFonts w:ascii="Times New Roman" w:hAnsi="Times New Roman"/>
          <w:sz w:val="28"/>
          <w:szCs w:val="28"/>
        </w:rPr>
        <w:t xml:space="preserve"> млн. руб.; </w:t>
      </w:r>
    </w:p>
    <w:p w:rsidR="001E7B45" w:rsidRPr="001C0991" w:rsidRDefault="001E7B45" w:rsidP="008C1AA9">
      <w:pPr>
        <w:pStyle w:val="a6"/>
        <w:spacing w:after="0" w:line="240" w:lineRule="auto"/>
        <w:ind w:left="0" w:firstLine="709"/>
        <w:jc w:val="both"/>
        <w:rPr>
          <w:rFonts w:ascii="Times New Roman" w:eastAsia="Times New Roman" w:hAnsi="Times New Roman"/>
          <w:sz w:val="28"/>
          <w:szCs w:val="28"/>
        </w:rPr>
      </w:pPr>
      <w:r>
        <w:rPr>
          <w:rFonts w:ascii="Times New Roman" w:hAnsi="Times New Roman"/>
          <w:sz w:val="28"/>
          <w:szCs w:val="28"/>
        </w:rPr>
        <w:t>-</w:t>
      </w:r>
      <w:r w:rsidRPr="001C0991">
        <w:rPr>
          <w:rFonts w:ascii="Times New Roman" w:hAnsi="Times New Roman"/>
          <w:sz w:val="28"/>
          <w:szCs w:val="28"/>
        </w:rPr>
        <w:t xml:space="preserve"> на покрытие выпадающих доходов в части неподконтрольных расходов организации </w:t>
      </w:r>
      <w:r>
        <w:rPr>
          <w:rFonts w:ascii="Times New Roman" w:hAnsi="Times New Roman"/>
          <w:sz w:val="28"/>
          <w:szCs w:val="28"/>
        </w:rPr>
        <w:t xml:space="preserve">(амортизационные отчисления, уплата налогов, оплата услуг ПАО «ФСК ЕЭС», смежных сетевых организаций, страховые взносы, аренда имущества, по тепловой энергии, используемой на хозяйственные нужды) </w:t>
      </w:r>
      <w:r w:rsidRPr="001C0991">
        <w:rPr>
          <w:rFonts w:ascii="Times New Roman" w:hAnsi="Times New Roman"/>
          <w:sz w:val="28"/>
          <w:szCs w:val="28"/>
        </w:rPr>
        <w:t xml:space="preserve">по результатам проведенного </w:t>
      </w:r>
      <w:r w:rsidR="00B0259A">
        <w:rPr>
          <w:rFonts w:ascii="Times New Roman" w:hAnsi="Times New Roman"/>
          <w:sz w:val="28"/>
          <w:szCs w:val="28"/>
        </w:rPr>
        <w:t>Д</w:t>
      </w:r>
      <w:r w:rsidRPr="001C0991">
        <w:rPr>
          <w:rFonts w:ascii="Times New Roman" w:hAnsi="Times New Roman"/>
          <w:sz w:val="28"/>
          <w:szCs w:val="28"/>
        </w:rPr>
        <w:t xml:space="preserve">епартаментом анализа производственно-хозяйственной деятельности организации </w:t>
      </w:r>
      <w:r>
        <w:rPr>
          <w:rFonts w:ascii="Times New Roman" w:hAnsi="Times New Roman"/>
          <w:sz w:val="28"/>
          <w:szCs w:val="28"/>
        </w:rPr>
        <w:t>за 2018</w:t>
      </w:r>
      <w:r w:rsidRPr="001C0991">
        <w:rPr>
          <w:rFonts w:ascii="Times New Roman" w:hAnsi="Times New Roman"/>
          <w:sz w:val="28"/>
          <w:szCs w:val="28"/>
        </w:rPr>
        <w:t xml:space="preserve"> год</w:t>
      </w:r>
      <w:r>
        <w:rPr>
          <w:rFonts w:ascii="Times New Roman" w:hAnsi="Times New Roman"/>
          <w:sz w:val="28"/>
          <w:szCs w:val="28"/>
        </w:rPr>
        <w:t xml:space="preserve">, признанных </w:t>
      </w:r>
      <w:r w:rsidR="00B0259A">
        <w:rPr>
          <w:rFonts w:ascii="Times New Roman" w:hAnsi="Times New Roman"/>
          <w:sz w:val="28"/>
          <w:szCs w:val="28"/>
        </w:rPr>
        <w:t>Д</w:t>
      </w:r>
      <w:r>
        <w:rPr>
          <w:rFonts w:ascii="Times New Roman" w:hAnsi="Times New Roman"/>
          <w:sz w:val="28"/>
          <w:szCs w:val="28"/>
        </w:rPr>
        <w:t xml:space="preserve">епартаментом экономически обоснованными </w:t>
      </w:r>
      <w:r w:rsidRPr="001C0991">
        <w:rPr>
          <w:rFonts w:ascii="Times New Roman" w:hAnsi="Times New Roman"/>
          <w:sz w:val="28"/>
          <w:szCs w:val="28"/>
        </w:rPr>
        <w:t xml:space="preserve">в суммарном размере </w:t>
      </w:r>
      <w:r>
        <w:rPr>
          <w:rFonts w:ascii="Times New Roman" w:hAnsi="Times New Roman"/>
          <w:sz w:val="28"/>
          <w:szCs w:val="28"/>
        </w:rPr>
        <w:t>773,8</w:t>
      </w:r>
      <w:r w:rsidRPr="001C0991">
        <w:rPr>
          <w:rFonts w:ascii="Times New Roman" w:hAnsi="Times New Roman"/>
          <w:sz w:val="28"/>
          <w:szCs w:val="28"/>
        </w:rPr>
        <w:t xml:space="preserve"> млн. руб.</w:t>
      </w:r>
      <w:r>
        <w:rPr>
          <w:rFonts w:ascii="Times New Roman" w:hAnsi="Times New Roman"/>
          <w:sz w:val="28"/>
          <w:szCs w:val="28"/>
        </w:rPr>
        <w:t>, из них по уплате налога на прибыль – 385,7 млн. руб.;</w:t>
      </w:r>
      <w:r w:rsidRPr="001C0991">
        <w:rPr>
          <w:rFonts w:ascii="Times New Roman" w:hAnsi="Times New Roman"/>
          <w:sz w:val="28"/>
          <w:szCs w:val="28"/>
        </w:rPr>
        <w:t xml:space="preserve"> </w:t>
      </w:r>
    </w:p>
    <w:p w:rsidR="001E7B45" w:rsidRPr="0035041F" w:rsidRDefault="001E7B45" w:rsidP="008C1AA9">
      <w:pPr>
        <w:tabs>
          <w:tab w:val="left" w:pos="0"/>
        </w:tabs>
        <w:spacing w:after="0" w:line="240" w:lineRule="auto"/>
        <w:ind w:firstLine="709"/>
        <w:jc w:val="both"/>
        <w:rPr>
          <w:sz w:val="28"/>
          <w:szCs w:val="28"/>
        </w:rPr>
      </w:pPr>
      <w:r w:rsidRPr="0035041F">
        <w:rPr>
          <w:sz w:val="28"/>
          <w:szCs w:val="28"/>
        </w:rPr>
        <w:t xml:space="preserve">Кроме того, </w:t>
      </w:r>
      <w:r w:rsidR="00B0259A">
        <w:rPr>
          <w:sz w:val="28"/>
          <w:szCs w:val="28"/>
        </w:rPr>
        <w:t>Д</w:t>
      </w:r>
      <w:r w:rsidRPr="0035041F">
        <w:rPr>
          <w:sz w:val="28"/>
          <w:szCs w:val="28"/>
        </w:rPr>
        <w:t xml:space="preserve">епартаментом произведена корректировка НВВ АО «РЭС» на 2020 год с </w:t>
      </w:r>
      <w:r w:rsidRPr="0035041F">
        <w:rPr>
          <w:bCs/>
          <w:color w:val="000000"/>
          <w:sz w:val="28"/>
          <w:szCs w:val="28"/>
        </w:rPr>
        <w:t>учетом анализа исполнения АО «РЭС» показателей надежности и качества</w:t>
      </w:r>
      <w:r w:rsidRPr="0035041F">
        <w:rPr>
          <w:rFonts w:eastAsia="Times New Roman"/>
          <w:sz w:val="28"/>
          <w:szCs w:val="28"/>
        </w:rPr>
        <w:t xml:space="preserve"> реализ</w:t>
      </w:r>
      <w:r>
        <w:rPr>
          <w:rFonts w:eastAsia="Times New Roman"/>
          <w:sz w:val="28"/>
          <w:szCs w:val="28"/>
        </w:rPr>
        <w:t>уемых услуг за 2018 год</w:t>
      </w:r>
      <w:r w:rsidRPr="0035041F">
        <w:rPr>
          <w:rFonts w:eastAsia="Times New Roman"/>
          <w:sz w:val="28"/>
          <w:szCs w:val="28"/>
        </w:rPr>
        <w:t xml:space="preserve"> (коэффициент, корректирующий необходимую валовую выручку сетевой организации (КНК</w:t>
      </w:r>
      <w:r w:rsidRPr="0035041F">
        <w:rPr>
          <w:rFonts w:eastAsia="Times New Roman"/>
          <w:sz w:val="28"/>
          <w:szCs w:val="28"/>
          <w:lang w:val="en-US"/>
        </w:rPr>
        <w:t>i</w:t>
      </w:r>
      <w:r w:rsidRPr="0035041F">
        <w:rPr>
          <w:rFonts w:eastAsia="Times New Roman"/>
          <w:sz w:val="28"/>
          <w:szCs w:val="28"/>
        </w:rPr>
        <w:t xml:space="preserve">), </w:t>
      </w:r>
      <w:r w:rsidRPr="0035041F">
        <w:rPr>
          <w:rFonts w:ascii="Times New Roman CYR" w:eastAsia="Times New Roman" w:hAnsi="Times New Roman CYR" w:cs="Times New Roman CYR"/>
          <w:sz w:val="28"/>
          <w:szCs w:val="28"/>
        </w:rPr>
        <w:t>за 2018 год (КНК</w:t>
      </w:r>
      <w:r w:rsidRPr="0035041F">
        <w:rPr>
          <w:rFonts w:ascii="Times New Roman CYR" w:eastAsia="Times New Roman" w:hAnsi="Times New Roman CYR" w:cs="Times New Roman CYR"/>
          <w:sz w:val="28"/>
          <w:szCs w:val="28"/>
          <w:lang w:val="en-US"/>
        </w:rPr>
        <w:t>i</w:t>
      </w:r>
      <w:r w:rsidRPr="0035041F">
        <w:rPr>
          <w:rFonts w:ascii="Times New Roman CYR" w:eastAsia="Times New Roman" w:hAnsi="Times New Roman CYR" w:cs="Times New Roman CYR"/>
          <w:sz w:val="28"/>
          <w:szCs w:val="28"/>
        </w:rPr>
        <w:t xml:space="preserve">), равен 1,3%). </w:t>
      </w:r>
      <w:r w:rsidRPr="0035041F">
        <w:rPr>
          <w:rFonts w:eastAsia="Times New Roman"/>
          <w:sz w:val="28"/>
          <w:szCs w:val="28"/>
        </w:rPr>
        <w:t xml:space="preserve">Сумма корректировки </w:t>
      </w:r>
      <w:r w:rsidRPr="0035041F">
        <w:rPr>
          <w:rFonts w:ascii="Times New Roman CYR" w:eastAsia="Times New Roman" w:hAnsi="Times New Roman CYR" w:cs="Times New Roman CYR"/>
          <w:sz w:val="28"/>
          <w:szCs w:val="28"/>
        </w:rPr>
        <w:t xml:space="preserve">НВВ АО «РЭС» на 2020 год </w:t>
      </w:r>
      <w:r w:rsidRPr="0035041F">
        <w:rPr>
          <w:rFonts w:eastAsia="Times New Roman"/>
          <w:sz w:val="28"/>
          <w:szCs w:val="28"/>
        </w:rPr>
        <w:t xml:space="preserve">составила 126, 86 млн. руб. </w:t>
      </w:r>
    </w:p>
    <w:p w:rsidR="001E7B45" w:rsidRPr="0035041F" w:rsidRDefault="001E7B45" w:rsidP="008C1AA9">
      <w:pPr>
        <w:spacing w:after="0" w:line="240" w:lineRule="auto"/>
        <w:ind w:firstLine="709"/>
        <w:contextualSpacing/>
        <w:jc w:val="both"/>
        <w:rPr>
          <w:rFonts w:eastAsia="Times New Roman"/>
          <w:sz w:val="28"/>
          <w:szCs w:val="28"/>
        </w:rPr>
      </w:pPr>
      <w:r w:rsidRPr="0035041F">
        <w:rPr>
          <w:sz w:val="28"/>
          <w:szCs w:val="28"/>
        </w:rPr>
        <w:t xml:space="preserve">При проведении корректировки НВВ АО «РЭС» на 2020 год </w:t>
      </w:r>
      <w:r w:rsidR="00B0259A">
        <w:rPr>
          <w:sz w:val="28"/>
          <w:szCs w:val="28"/>
        </w:rPr>
        <w:t>Д</w:t>
      </w:r>
      <w:r w:rsidRPr="0035041F">
        <w:rPr>
          <w:rFonts w:eastAsia="Times New Roman"/>
          <w:sz w:val="28"/>
          <w:szCs w:val="28"/>
        </w:rPr>
        <w:t xml:space="preserve">епартаментом произведено изъятие денежных средств с учетом результатов проведенной </w:t>
      </w:r>
      <w:r w:rsidR="00B0259A">
        <w:rPr>
          <w:rFonts w:eastAsia="Times New Roman"/>
          <w:sz w:val="28"/>
          <w:szCs w:val="28"/>
        </w:rPr>
        <w:t>п</w:t>
      </w:r>
      <w:r w:rsidRPr="0035041F">
        <w:rPr>
          <w:rFonts w:eastAsia="Times New Roman"/>
          <w:sz w:val="28"/>
          <w:szCs w:val="28"/>
        </w:rPr>
        <w:t xml:space="preserve">рокуратурой Новосибирской области проверки соблюдения АО «РЭС» законодательства в сфере электроэнергетики, технологического присоединения к сетям; на основании требований п. 7 Основ ценообразования. Учитываемая </w:t>
      </w:r>
      <w:r w:rsidR="00B0259A">
        <w:rPr>
          <w:rFonts w:eastAsia="Times New Roman"/>
          <w:sz w:val="28"/>
          <w:szCs w:val="28"/>
        </w:rPr>
        <w:t>Д</w:t>
      </w:r>
      <w:r w:rsidRPr="0035041F">
        <w:rPr>
          <w:rFonts w:eastAsia="Times New Roman"/>
          <w:sz w:val="28"/>
          <w:szCs w:val="28"/>
        </w:rPr>
        <w:t xml:space="preserve">епартаментом при корректировке НВВ АО «РЭС» на 2020 год величина изъятия экономически необоснованных доходов (расходов) составила </w:t>
      </w:r>
      <w:r>
        <w:rPr>
          <w:rFonts w:eastAsia="Times New Roman"/>
          <w:sz w:val="28"/>
          <w:szCs w:val="28"/>
        </w:rPr>
        <w:t>1 019,05</w:t>
      </w:r>
      <w:r w:rsidRPr="0035041F">
        <w:rPr>
          <w:rFonts w:eastAsia="Times New Roman"/>
          <w:sz w:val="28"/>
          <w:szCs w:val="28"/>
        </w:rPr>
        <w:t>  млн. руб.</w:t>
      </w:r>
      <w:r w:rsidRPr="0035041F">
        <w:rPr>
          <w:rFonts w:eastAsia="Times New Roman"/>
          <w:bCs/>
          <w:color w:val="000000"/>
          <w:sz w:val="28"/>
          <w:szCs w:val="28"/>
        </w:rPr>
        <w:t xml:space="preserve"> (- ∆НВВ)</w:t>
      </w:r>
      <w:r w:rsidRPr="0035041F">
        <w:rPr>
          <w:rFonts w:eastAsia="Times New Roman"/>
          <w:sz w:val="28"/>
          <w:szCs w:val="28"/>
        </w:rPr>
        <w:t>, из них:</w:t>
      </w:r>
    </w:p>
    <w:p w:rsidR="001E7B45" w:rsidRPr="004C03EB" w:rsidRDefault="001E7B45" w:rsidP="008C1AA9">
      <w:pPr>
        <w:autoSpaceDE w:val="0"/>
        <w:autoSpaceDN w:val="0"/>
        <w:spacing w:after="0" w:line="240" w:lineRule="auto"/>
        <w:ind w:firstLine="709"/>
        <w:jc w:val="both"/>
        <w:rPr>
          <w:rFonts w:eastAsia="Times New Roman"/>
          <w:sz w:val="28"/>
          <w:szCs w:val="28"/>
        </w:rPr>
      </w:pPr>
      <w:r w:rsidRPr="0035041F">
        <w:rPr>
          <w:rFonts w:eastAsia="Times New Roman"/>
          <w:sz w:val="28"/>
          <w:szCs w:val="28"/>
        </w:rPr>
        <w:t>- экономически необоснованных доходов, полученных</w:t>
      </w:r>
      <w:r w:rsidRPr="004C03EB">
        <w:rPr>
          <w:rFonts w:eastAsia="Times New Roman"/>
          <w:sz w:val="28"/>
          <w:szCs w:val="28"/>
        </w:rPr>
        <w:t xml:space="preserve"> АО «РЭС» </w:t>
      </w:r>
      <w:r w:rsidRPr="004C03EB">
        <w:rPr>
          <w:rFonts w:eastAsia="Times New Roman"/>
          <w:color w:val="000000"/>
          <w:sz w:val="28"/>
          <w:szCs w:val="28"/>
        </w:rPr>
        <w:t>за 2016-2017 годы</w:t>
      </w:r>
      <w:r w:rsidRPr="004C03EB">
        <w:rPr>
          <w:rFonts w:eastAsia="Times New Roman"/>
          <w:sz w:val="28"/>
          <w:szCs w:val="28"/>
        </w:rPr>
        <w:t xml:space="preserve"> в размере 163</w:t>
      </w:r>
      <w:r w:rsidRPr="0035041F">
        <w:rPr>
          <w:rFonts w:eastAsia="Times New Roman"/>
          <w:sz w:val="28"/>
          <w:szCs w:val="28"/>
        </w:rPr>
        <w:t>,</w:t>
      </w:r>
      <w:r w:rsidRPr="004C03EB">
        <w:rPr>
          <w:rFonts w:eastAsia="Times New Roman"/>
          <w:sz w:val="28"/>
          <w:szCs w:val="28"/>
        </w:rPr>
        <w:t xml:space="preserve">96 </w:t>
      </w:r>
      <w:r w:rsidRPr="0035041F">
        <w:rPr>
          <w:rFonts w:eastAsia="Times New Roman"/>
          <w:sz w:val="28"/>
          <w:szCs w:val="28"/>
        </w:rPr>
        <w:t>млн</w:t>
      </w:r>
      <w:r w:rsidRPr="004C03EB">
        <w:rPr>
          <w:rFonts w:eastAsia="Times New Roman"/>
          <w:sz w:val="28"/>
          <w:szCs w:val="28"/>
        </w:rPr>
        <w:t>. руб.</w:t>
      </w:r>
      <w:r w:rsidRPr="004C03EB">
        <w:rPr>
          <w:rFonts w:eastAsia="Times New Roman"/>
          <w:b/>
          <w:sz w:val="28"/>
          <w:szCs w:val="28"/>
        </w:rPr>
        <w:t xml:space="preserve"> </w:t>
      </w:r>
      <w:r w:rsidRPr="004C03EB">
        <w:rPr>
          <w:rFonts w:eastAsia="Times New Roman"/>
          <w:sz w:val="28"/>
          <w:szCs w:val="28"/>
        </w:rPr>
        <w:t>в связи с недоиспольз</w:t>
      </w:r>
      <w:r w:rsidRPr="0035041F">
        <w:rPr>
          <w:rFonts w:eastAsia="Times New Roman"/>
          <w:sz w:val="28"/>
          <w:szCs w:val="28"/>
        </w:rPr>
        <w:t>ованием подконтрольных расходов</w:t>
      </w:r>
      <w:r w:rsidRPr="004C03EB">
        <w:rPr>
          <w:rFonts w:eastAsia="Times New Roman"/>
          <w:sz w:val="28"/>
          <w:szCs w:val="28"/>
        </w:rPr>
        <w:t>;</w:t>
      </w:r>
    </w:p>
    <w:p w:rsidR="001E7B45" w:rsidRPr="004C03EB" w:rsidRDefault="001E7B45" w:rsidP="008C1AA9">
      <w:pPr>
        <w:autoSpaceDE w:val="0"/>
        <w:autoSpaceDN w:val="0"/>
        <w:adjustRightInd w:val="0"/>
        <w:spacing w:after="0" w:line="240" w:lineRule="auto"/>
        <w:ind w:firstLine="540"/>
        <w:jc w:val="both"/>
        <w:rPr>
          <w:rFonts w:eastAsia="Calibri"/>
          <w:sz w:val="28"/>
          <w:szCs w:val="28"/>
        </w:rPr>
      </w:pPr>
      <w:r w:rsidRPr="004C03EB">
        <w:rPr>
          <w:rFonts w:eastAsia="Times New Roman"/>
          <w:sz w:val="28"/>
          <w:szCs w:val="28"/>
        </w:rPr>
        <w:lastRenderedPageBreak/>
        <w:t>- эк</w:t>
      </w:r>
      <w:r w:rsidRPr="0035041F">
        <w:rPr>
          <w:rFonts w:eastAsia="Times New Roman"/>
          <w:sz w:val="28"/>
          <w:szCs w:val="28"/>
        </w:rPr>
        <w:t>ономически необоснованных доходов, полученных</w:t>
      </w:r>
      <w:r w:rsidRPr="004C03EB">
        <w:rPr>
          <w:rFonts w:eastAsia="Times New Roman"/>
          <w:sz w:val="28"/>
          <w:szCs w:val="28"/>
        </w:rPr>
        <w:t xml:space="preserve"> АО «РЭС» </w:t>
      </w:r>
      <w:r w:rsidRPr="004C03EB">
        <w:rPr>
          <w:rFonts w:eastAsia="Times New Roman"/>
          <w:color w:val="000000"/>
          <w:sz w:val="28"/>
          <w:szCs w:val="28"/>
        </w:rPr>
        <w:t>за 2018 год</w:t>
      </w:r>
      <w:r w:rsidRPr="004C03EB">
        <w:rPr>
          <w:rFonts w:eastAsia="Times New Roman"/>
          <w:sz w:val="28"/>
          <w:szCs w:val="28"/>
        </w:rPr>
        <w:t xml:space="preserve"> в размере 247</w:t>
      </w:r>
      <w:r w:rsidRPr="0035041F">
        <w:rPr>
          <w:rFonts w:eastAsia="Times New Roman"/>
          <w:sz w:val="28"/>
          <w:szCs w:val="28"/>
        </w:rPr>
        <w:t>,</w:t>
      </w:r>
      <w:r w:rsidRPr="004C03EB">
        <w:rPr>
          <w:rFonts w:eastAsia="Times New Roman"/>
          <w:sz w:val="28"/>
          <w:szCs w:val="28"/>
        </w:rPr>
        <w:t xml:space="preserve"> 85 </w:t>
      </w:r>
      <w:r w:rsidRPr="0035041F">
        <w:rPr>
          <w:rFonts w:eastAsia="Times New Roman"/>
          <w:sz w:val="28"/>
          <w:szCs w:val="28"/>
        </w:rPr>
        <w:t>млн</w:t>
      </w:r>
      <w:r w:rsidRPr="004C03EB">
        <w:rPr>
          <w:rFonts w:eastAsia="Times New Roman"/>
          <w:sz w:val="28"/>
          <w:szCs w:val="28"/>
        </w:rPr>
        <w:t>. руб.</w:t>
      </w:r>
      <w:r w:rsidRPr="004C03EB">
        <w:rPr>
          <w:rFonts w:eastAsia="Times New Roman"/>
          <w:b/>
          <w:sz w:val="28"/>
          <w:szCs w:val="28"/>
        </w:rPr>
        <w:t xml:space="preserve"> </w:t>
      </w:r>
      <w:r w:rsidRPr="004C03EB">
        <w:rPr>
          <w:rFonts w:eastAsia="Times New Roman"/>
          <w:sz w:val="28"/>
          <w:szCs w:val="28"/>
        </w:rPr>
        <w:t>в связи с недоиспользованием подконтрольных расходов</w:t>
      </w:r>
      <w:r w:rsidRPr="004C03EB">
        <w:rPr>
          <w:rFonts w:eastAsia="Times New Roman"/>
          <w:color w:val="000000"/>
          <w:sz w:val="28"/>
          <w:szCs w:val="28"/>
        </w:rPr>
        <w:t>,</w:t>
      </w:r>
      <w:r w:rsidRPr="004C03EB">
        <w:rPr>
          <w:rFonts w:eastAsia="Times New Roman"/>
          <w:sz w:val="28"/>
          <w:szCs w:val="28"/>
        </w:rPr>
        <w:t xml:space="preserve"> сложившимся по факту 2018 </w:t>
      </w:r>
      <w:r w:rsidRPr="004C03EB">
        <w:rPr>
          <w:rFonts w:eastAsia="Times New Roman"/>
          <w:color w:val="000000"/>
          <w:sz w:val="28"/>
          <w:szCs w:val="28"/>
        </w:rPr>
        <w:t xml:space="preserve">года, </w:t>
      </w:r>
      <w:r w:rsidRPr="0035041F">
        <w:rPr>
          <w:rFonts w:eastAsia="Times New Roman"/>
          <w:color w:val="000000"/>
          <w:sz w:val="28"/>
          <w:szCs w:val="28"/>
        </w:rPr>
        <w:t>(</w:t>
      </w:r>
      <w:r w:rsidRPr="004C03EB">
        <w:rPr>
          <w:rFonts w:eastAsia="Times New Roman"/>
          <w:color w:val="000000"/>
          <w:sz w:val="28"/>
          <w:szCs w:val="28"/>
        </w:rPr>
        <w:t>за исключением произведенных АО «РЭС» ряда расходов, которые признаны департаментом, как экономически необоснованные (необязательные) расходы</w:t>
      </w:r>
      <w:r w:rsidRPr="0035041F">
        <w:rPr>
          <w:rFonts w:eastAsia="Times New Roman"/>
          <w:color w:val="000000"/>
          <w:sz w:val="28"/>
          <w:szCs w:val="28"/>
        </w:rPr>
        <w:t>);</w:t>
      </w:r>
      <w:r w:rsidRPr="004C03EB">
        <w:rPr>
          <w:rFonts w:eastAsia="Times New Roman"/>
          <w:color w:val="000000"/>
          <w:sz w:val="28"/>
          <w:szCs w:val="28"/>
        </w:rPr>
        <w:t xml:space="preserve"> </w:t>
      </w:r>
    </w:p>
    <w:p w:rsidR="001E7B45" w:rsidRPr="004C03EB" w:rsidRDefault="001E7B45" w:rsidP="008C1AA9">
      <w:pPr>
        <w:autoSpaceDN w:val="0"/>
        <w:spacing w:after="0" w:line="240" w:lineRule="auto"/>
        <w:ind w:firstLine="709"/>
        <w:jc w:val="both"/>
        <w:rPr>
          <w:rFonts w:eastAsia="Times New Roman"/>
          <w:sz w:val="28"/>
          <w:szCs w:val="28"/>
        </w:rPr>
      </w:pPr>
      <w:r w:rsidRPr="004C03EB">
        <w:rPr>
          <w:rFonts w:eastAsia="Times New Roman"/>
          <w:sz w:val="28"/>
          <w:szCs w:val="28"/>
        </w:rPr>
        <w:t xml:space="preserve">- </w:t>
      </w:r>
      <w:r w:rsidRPr="0035041F">
        <w:rPr>
          <w:rFonts w:eastAsia="Times New Roman"/>
          <w:sz w:val="28"/>
          <w:szCs w:val="28"/>
        </w:rPr>
        <w:t>экономически необоснованных</w:t>
      </w:r>
      <w:r w:rsidRPr="004C03EB">
        <w:rPr>
          <w:rFonts w:eastAsia="Times New Roman"/>
          <w:sz w:val="28"/>
          <w:szCs w:val="28"/>
        </w:rPr>
        <w:t xml:space="preserve"> </w:t>
      </w:r>
      <w:r w:rsidRPr="0035041F">
        <w:rPr>
          <w:rFonts w:eastAsia="Times New Roman"/>
          <w:sz w:val="28"/>
          <w:szCs w:val="28"/>
        </w:rPr>
        <w:t>доходов</w:t>
      </w:r>
      <w:r w:rsidRPr="004C03EB">
        <w:rPr>
          <w:rFonts w:eastAsia="Times New Roman"/>
          <w:sz w:val="28"/>
          <w:szCs w:val="28"/>
        </w:rPr>
        <w:t xml:space="preserve"> в размере 88</w:t>
      </w:r>
      <w:r w:rsidRPr="0035041F">
        <w:rPr>
          <w:rFonts w:eastAsia="Times New Roman"/>
          <w:sz w:val="28"/>
          <w:szCs w:val="28"/>
        </w:rPr>
        <w:t>,</w:t>
      </w:r>
      <w:r w:rsidRPr="004C03EB">
        <w:rPr>
          <w:rFonts w:eastAsia="Times New Roman"/>
          <w:sz w:val="28"/>
          <w:szCs w:val="28"/>
        </w:rPr>
        <w:t xml:space="preserve">1 </w:t>
      </w:r>
      <w:r w:rsidRPr="0035041F">
        <w:rPr>
          <w:rFonts w:eastAsia="Times New Roman"/>
          <w:sz w:val="28"/>
          <w:szCs w:val="28"/>
        </w:rPr>
        <w:t>млн</w:t>
      </w:r>
      <w:r w:rsidRPr="004C03EB">
        <w:rPr>
          <w:rFonts w:eastAsia="Times New Roman"/>
          <w:sz w:val="28"/>
          <w:szCs w:val="28"/>
        </w:rPr>
        <w:t xml:space="preserve">. руб. в результате проведенной АО «РЭС» корректировки выпадающих доходов в связи с вступлением в силу с 19 сентября 2018 года договора о порядке использования ПАО «ФСК ЕЭС» объектов электросетевого хозяйства ПС 220 «Электродная» № 485917 от 15.05.2018 с протоколом разногласий от 19.09.2018г., ранее учтенной в составе необходимой валовой выручки организации на 2019 год; </w:t>
      </w:r>
    </w:p>
    <w:p w:rsidR="001E7B45" w:rsidRPr="004C03EB" w:rsidRDefault="001E7B45" w:rsidP="008C1AA9">
      <w:pPr>
        <w:autoSpaceDE w:val="0"/>
        <w:autoSpaceDN w:val="0"/>
        <w:adjustRightInd w:val="0"/>
        <w:spacing w:after="0" w:line="240" w:lineRule="auto"/>
        <w:ind w:firstLine="709"/>
        <w:jc w:val="both"/>
        <w:rPr>
          <w:rFonts w:eastAsia="Times New Roman"/>
          <w:color w:val="000000"/>
          <w:sz w:val="28"/>
          <w:szCs w:val="28"/>
        </w:rPr>
      </w:pPr>
      <w:r w:rsidRPr="004C03EB">
        <w:rPr>
          <w:rFonts w:eastAsia="Times New Roman"/>
          <w:sz w:val="28"/>
          <w:szCs w:val="28"/>
        </w:rPr>
        <w:t>- экономически необоснов</w:t>
      </w:r>
      <w:r w:rsidRPr="0035041F">
        <w:rPr>
          <w:rFonts w:eastAsia="Times New Roman"/>
          <w:sz w:val="28"/>
          <w:szCs w:val="28"/>
        </w:rPr>
        <w:t>анных доходов</w:t>
      </w:r>
      <w:r w:rsidRPr="004C03EB">
        <w:rPr>
          <w:rFonts w:eastAsia="Times New Roman"/>
          <w:sz w:val="28"/>
          <w:szCs w:val="28"/>
        </w:rPr>
        <w:t xml:space="preserve"> в размере </w:t>
      </w:r>
      <w:r w:rsidRPr="0035041F">
        <w:rPr>
          <w:rFonts w:eastAsia="Times New Roman"/>
          <w:sz w:val="28"/>
          <w:szCs w:val="28"/>
        </w:rPr>
        <w:t>0,</w:t>
      </w:r>
      <w:r w:rsidRPr="004C03EB">
        <w:rPr>
          <w:rFonts w:eastAsia="Times New Roman"/>
          <w:sz w:val="28"/>
          <w:szCs w:val="28"/>
        </w:rPr>
        <w:t>15</w:t>
      </w:r>
      <w:r w:rsidRPr="0035041F">
        <w:rPr>
          <w:rFonts w:eastAsia="Times New Roman"/>
          <w:sz w:val="28"/>
          <w:szCs w:val="28"/>
        </w:rPr>
        <w:t xml:space="preserve"> млн. руб., полученных</w:t>
      </w:r>
      <w:r w:rsidRPr="004C03EB">
        <w:rPr>
          <w:rFonts w:eastAsia="Times New Roman"/>
          <w:color w:val="000000"/>
          <w:sz w:val="28"/>
          <w:szCs w:val="28"/>
        </w:rPr>
        <w:t xml:space="preserve"> за 2018 год</w:t>
      </w:r>
      <w:r w:rsidRPr="004C03EB">
        <w:rPr>
          <w:rFonts w:eastAsia="Times New Roman"/>
          <w:sz w:val="28"/>
          <w:szCs w:val="28"/>
        </w:rPr>
        <w:t xml:space="preserve"> в связи с уменьшением расходов на оплату услуг по водоснабжению и водоотведению</w:t>
      </w:r>
      <w:r w:rsidRPr="004C03EB">
        <w:rPr>
          <w:rFonts w:eastAsia="Times New Roman"/>
          <w:color w:val="FF0000"/>
          <w:sz w:val="28"/>
          <w:szCs w:val="28"/>
        </w:rPr>
        <w:t xml:space="preserve"> </w:t>
      </w:r>
      <w:r w:rsidRPr="004C03EB">
        <w:rPr>
          <w:rFonts w:eastAsia="Times New Roman"/>
          <w:color w:val="000000"/>
          <w:sz w:val="28"/>
          <w:szCs w:val="28"/>
        </w:rPr>
        <w:t>в отличие от расходов, учтенных при установлении регулируемых тарифов</w:t>
      </w:r>
      <w:r w:rsidRPr="0035041F">
        <w:rPr>
          <w:rFonts w:eastAsia="Times New Roman"/>
          <w:color w:val="000000"/>
          <w:sz w:val="28"/>
          <w:szCs w:val="28"/>
        </w:rPr>
        <w:t>;</w:t>
      </w:r>
      <w:r w:rsidRPr="004C03EB">
        <w:rPr>
          <w:rFonts w:eastAsia="Times New Roman"/>
          <w:color w:val="000000"/>
          <w:sz w:val="28"/>
          <w:szCs w:val="28"/>
        </w:rPr>
        <w:t xml:space="preserve"> </w:t>
      </w:r>
    </w:p>
    <w:p w:rsidR="001E7B45" w:rsidRPr="004C03EB" w:rsidRDefault="001E7B45" w:rsidP="008C1AA9">
      <w:pPr>
        <w:autoSpaceDE w:val="0"/>
        <w:autoSpaceDN w:val="0"/>
        <w:adjustRightInd w:val="0"/>
        <w:spacing w:after="0" w:line="240" w:lineRule="auto"/>
        <w:ind w:firstLine="709"/>
        <w:jc w:val="both"/>
        <w:rPr>
          <w:rFonts w:eastAsia="Times New Roman"/>
          <w:color w:val="000000"/>
          <w:sz w:val="28"/>
          <w:szCs w:val="28"/>
        </w:rPr>
      </w:pPr>
      <w:r w:rsidRPr="004C03EB">
        <w:rPr>
          <w:rFonts w:eastAsia="Times New Roman"/>
          <w:color w:val="000000"/>
          <w:sz w:val="28"/>
          <w:szCs w:val="28"/>
        </w:rPr>
        <w:t xml:space="preserve">- </w:t>
      </w:r>
      <w:r w:rsidRPr="0035041F">
        <w:rPr>
          <w:rFonts w:eastAsia="Times New Roman"/>
          <w:color w:val="000000"/>
          <w:sz w:val="28"/>
          <w:szCs w:val="28"/>
        </w:rPr>
        <w:t>произведенных в 2018 году расходов, признанных</w:t>
      </w:r>
      <w:r w:rsidRPr="004C03EB">
        <w:rPr>
          <w:rFonts w:eastAsia="Times New Roman"/>
          <w:color w:val="000000"/>
          <w:sz w:val="28"/>
          <w:szCs w:val="28"/>
        </w:rPr>
        <w:t xml:space="preserve"> департаментом экономически необоснованными (необязательными) расходами, в размере 2</w:t>
      </w:r>
      <w:r w:rsidRPr="0035041F">
        <w:rPr>
          <w:rFonts w:eastAsia="Times New Roman"/>
          <w:color w:val="000000"/>
          <w:sz w:val="28"/>
          <w:szCs w:val="28"/>
        </w:rPr>
        <w:t>,</w:t>
      </w:r>
      <w:r w:rsidRPr="004C03EB">
        <w:rPr>
          <w:rFonts w:eastAsia="Times New Roman"/>
          <w:color w:val="000000"/>
          <w:sz w:val="28"/>
          <w:szCs w:val="28"/>
        </w:rPr>
        <w:t xml:space="preserve">28 </w:t>
      </w:r>
      <w:r w:rsidRPr="0035041F">
        <w:rPr>
          <w:rFonts w:eastAsia="Times New Roman"/>
          <w:color w:val="000000"/>
          <w:sz w:val="28"/>
          <w:szCs w:val="28"/>
        </w:rPr>
        <w:t>млн</w:t>
      </w:r>
      <w:r w:rsidRPr="004C03EB">
        <w:rPr>
          <w:rFonts w:eastAsia="Times New Roman"/>
          <w:color w:val="000000"/>
          <w:sz w:val="28"/>
          <w:szCs w:val="28"/>
        </w:rPr>
        <w:t xml:space="preserve">. руб. </w:t>
      </w:r>
      <w:r w:rsidRPr="0035041F">
        <w:rPr>
          <w:rFonts w:eastAsia="Times New Roman"/>
          <w:color w:val="000000"/>
          <w:sz w:val="28"/>
          <w:szCs w:val="28"/>
        </w:rPr>
        <w:t>(</w:t>
      </w:r>
      <w:r w:rsidRPr="004C03EB">
        <w:rPr>
          <w:rFonts w:eastAsia="Times New Roman"/>
          <w:color w:val="000000"/>
          <w:sz w:val="28"/>
          <w:szCs w:val="28"/>
        </w:rPr>
        <w:t xml:space="preserve">по аренде имущества </w:t>
      </w:r>
      <w:r w:rsidRPr="0035041F">
        <w:rPr>
          <w:rFonts w:eastAsia="Times New Roman"/>
          <w:color w:val="000000"/>
          <w:sz w:val="28"/>
          <w:szCs w:val="28"/>
        </w:rPr>
        <w:t>и</w:t>
      </w:r>
      <w:r w:rsidRPr="004C03EB">
        <w:rPr>
          <w:rFonts w:eastAsia="Times New Roman"/>
          <w:color w:val="000000"/>
          <w:sz w:val="28"/>
          <w:szCs w:val="28"/>
        </w:rPr>
        <w:t xml:space="preserve"> по аренде парковок для автомобилей</w:t>
      </w:r>
      <w:r w:rsidRPr="0035041F">
        <w:rPr>
          <w:rFonts w:eastAsia="Times New Roman"/>
          <w:color w:val="000000"/>
          <w:sz w:val="28"/>
          <w:szCs w:val="28"/>
        </w:rPr>
        <w:t>)</w:t>
      </w:r>
      <w:r w:rsidRPr="004C03EB">
        <w:rPr>
          <w:rFonts w:eastAsia="Times New Roman"/>
          <w:color w:val="000000"/>
          <w:sz w:val="28"/>
          <w:szCs w:val="28"/>
        </w:rPr>
        <w:t>;</w:t>
      </w:r>
    </w:p>
    <w:p w:rsidR="001E7B45" w:rsidRPr="004C03EB" w:rsidRDefault="001E7B45" w:rsidP="008C1AA9">
      <w:pPr>
        <w:autoSpaceDE w:val="0"/>
        <w:autoSpaceDN w:val="0"/>
        <w:spacing w:after="0" w:line="240" w:lineRule="auto"/>
        <w:ind w:firstLine="709"/>
        <w:jc w:val="both"/>
        <w:rPr>
          <w:rFonts w:eastAsia="Times New Roman"/>
          <w:sz w:val="28"/>
          <w:szCs w:val="28"/>
        </w:rPr>
      </w:pPr>
      <w:r w:rsidRPr="004C03EB">
        <w:rPr>
          <w:rFonts w:eastAsia="Times New Roman"/>
          <w:sz w:val="28"/>
          <w:szCs w:val="28"/>
        </w:rPr>
        <w:t xml:space="preserve">- </w:t>
      </w:r>
      <w:r w:rsidRPr="0035041F">
        <w:rPr>
          <w:rFonts w:eastAsia="Times New Roman"/>
          <w:sz w:val="28"/>
          <w:szCs w:val="28"/>
        </w:rPr>
        <w:t>экономически необоснованных расходов</w:t>
      </w:r>
      <w:r w:rsidRPr="004C03EB">
        <w:rPr>
          <w:rFonts w:eastAsia="Times New Roman"/>
          <w:sz w:val="28"/>
          <w:szCs w:val="28"/>
        </w:rPr>
        <w:t xml:space="preserve"> в размере 4</w:t>
      </w:r>
      <w:r w:rsidRPr="0035041F">
        <w:rPr>
          <w:rFonts w:eastAsia="Times New Roman"/>
          <w:sz w:val="28"/>
          <w:szCs w:val="28"/>
        </w:rPr>
        <w:t>,</w:t>
      </w:r>
      <w:r>
        <w:rPr>
          <w:rFonts w:eastAsia="Times New Roman"/>
          <w:sz w:val="28"/>
          <w:szCs w:val="28"/>
        </w:rPr>
        <w:t> 98</w:t>
      </w:r>
      <w:r w:rsidRPr="004C03EB">
        <w:rPr>
          <w:rFonts w:eastAsia="Times New Roman"/>
          <w:sz w:val="28"/>
          <w:szCs w:val="28"/>
        </w:rPr>
        <w:t xml:space="preserve"> </w:t>
      </w:r>
      <w:r w:rsidRPr="0035041F">
        <w:rPr>
          <w:rFonts w:eastAsia="Times New Roman"/>
          <w:sz w:val="28"/>
          <w:szCs w:val="28"/>
        </w:rPr>
        <w:t>млн</w:t>
      </w:r>
      <w:r w:rsidRPr="004C03EB">
        <w:rPr>
          <w:rFonts w:eastAsia="Times New Roman"/>
          <w:sz w:val="28"/>
          <w:szCs w:val="28"/>
        </w:rPr>
        <w:t xml:space="preserve">. руб. по оплате расходов на обучение персонала АО «РЭС» </w:t>
      </w:r>
      <w:r>
        <w:rPr>
          <w:rFonts w:eastAsia="Times New Roman"/>
          <w:sz w:val="28"/>
          <w:szCs w:val="28"/>
        </w:rPr>
        <w:t>(</w:t>
      </w:r>
      <w:r w:rsidRPr="004C03EB">
        <w:rPr>
          <w:rFonts w:eastAsia="Times New Roman"/>
          <w:sz w:val="28"/>
          <w:szCs w:val="28"/>
        </w:rPr>
        <w:t xml:space="preserve">на основании договоров от 21.07.2017 № ПД-69-17-01074/2017-09; от 08.02.2018 № ПД-69-18-00284/2018-04, заключенных </w:t>
      </w:r>
      <w:r>
        <w:rPr>
          <w:rFonts w:eastAsia="Times New Roman"/>
          <w:sz w:val="28"/>
          <w:szCs w:val="28"/>
        </w:rPr>
        <w:t xml:space="preserve">АО «РЭС» </w:t>
      </w:r>
      <w:r w:rsidRPr="004C03EB">
        <w:rPr>
          <w:rFonts w:eastAsia="Times New Roman"/>
          <w:sz w:val="28"/>
          <w:szCs w:val="28"/>
        </w:rPr>
        <w:t>с ООО «Международная Образовательная Академия»</w:t>
      </w:r>
      <w:r>
        <w:rPr>
          <w:rFonts w:eastAsia="Times New Roman"/>
          <w:sz w:val="28"/>
          <w:szCs w:val="28"/>
        </w:rPr>
        <w:t>);</w:t>
      </w:r>
      <w:r w:rsidRPr="004C03EB">
        <w:rPr>
          <w:rFonts w:eastAsia="Times New Roman"/>
          <w:sz w:val="28"/>
          <w:szCs w:val="28"/>
        </w:rPr>
        <w:t xml:space="preserve"> </w:t>
      </w:r>
    </w:p>
    <w:p w:rsidR="001E7B45" w:rsidRPr="004C03EB" w:rsidRDefault="001E7B45" w:rsidP="008C1AA9">
      <w:pPr>
        <w:autoSpaceDE w:val="0"/>
        <w:autoSpaceDN w:val="0"/>
        <w:spacing w:after="0" w:line="240" w:lineRule="auto"/>
        <w:ind w:firstLine="709"/>
        <w:jc w:val="both"/>
        <w:rPr>
          <w:rFonts w:eastAsia="Calibri"/>
          <w:sz w:val="28"/>
          <w:szCs w:val="28"/>
          <w:lang w:eastAsia="en-US"/>
        </w:rPr>
      </w:pPr>
      <w:r w:rsidRPr="004C03EB">
        <w:rPr>
          <w:rFonts w:eastAsia="Calibri"/>
          <w:color w:val="000000"/>
          <w:sz w:val="28"/>
          <w:szCs w:val="28"/>
        </w:rPr>
        <w:t xml:space="preserve">- </w:t>
      </w:r>
      <w:r w:rsidRPr="0035041F">
        <w:rPr>
          <w:rFonts w:eastAsia="Times New Roman"/>
          <w:color w:val="000000"/>
          <w:sz w:val="28"/>
          <w:szCs w:val="28"/>
        </w:rPr>
        <w:t>произведенных</w:t>
      </w:r>
      <w:r w:rsidRPr="004C03EB">
        <w:rPr>
          <w:rFonts w:eastAsia="Times New Roman"/>
          <w:color w:val="000000"/>
          <w:sz w:val="28"/>
          <w:szCs w:val="28"/>
        </w:rPr>
        <w:t xml:space="preserve"> АО</w:t>
      </w:r>
      <w:r w:rsidRPr="0035041F">
        <w:rPr>
          <w:rFonts w:eastAsia="Times New Roman"/>
          <w:color w:val="000000"/>
          <w:sz w:val="28"/>
          <w:szCs w:val="28"/>
        </w:rPr>
        <w:t xml:space="preserve"> «РЭС» в 2017-2018 г.г. расходов, отнесенных</w:t>
      </w:r>
      <w:r w:rsidRPr="004C03EB">
        <w:rPr>
          <w:rFonts w:eastAsia="Times New Roman"/>
          <w:color w:val="000000"/>
          <w:sz w:val="28"/>
          <w:szCs w:val="28"/>
        </w:rPr>
        <w:t xml:space="preserve"> организацией на регулируемые виды деятельности, </w:t>
      </w:r>
      <w:r w:rsidRPr="0035041F">
        <w:rPr>
          <w:rFonts w:eastAsia="Times New Roman"/>
          <w:sz w:val="28"/>
          <w:szCs w:val="28"/>
        </w:rPr>
        <w:t>выявленных</w:t>
      </w:r>
      <w:r w:rsidRPr="004C03EB">
        <w:rPr>
          <w:rFonts w:eastAsia="Times New Roman"/>
          <w:sz w:val="28"/>
          <w:szCs w:val="28"/>
        </w:rPr>
        <w:t xml:space="preserve"> в ходе проверки,</w:t>
      </w:r>
      <w:r w:rsidRPr="0035041F">
        <w:rPr>
          <w:rFonts w:eastAsia="Times New Roman"/>
          <w:sz w:val="28"/>
          <w:szCs w:val="28"/>
        </w:rPr>
        <w:t xml:space="preserve"> признанных</w:t>
      </w:r>
      <w:r w:rsidRPr="004C03EB">
        <w:rPr>
          <w:rFonts w:eastAsia="Times New Roman"/>
          <w:sz w:val="28"/>
          <w:szCs w:val="28"/>
        </w:rPr>
        <w:t xml:space="preserve"> экономически необоснованными (необязательными) расходами, в размере </w:t>
      </w:r>
      <w:r w:rsidRPr="0035041F">
        <w:rPr>
          <w:rFonts w:eastAsia="Times New Roman"/>
          <w:sz w:val="28"/>
          <w:szCs w:val="28"/>
        </w:rPr>
        <w:t>0,</w:t>
      </w:r>
      <w:r w:rsidRPr="004C03EB">
        <w:rPr>
          <w:rFonts w:eastAsia="Times New Roman"/>
          <w:sz w:val="28"/>
          <w:szCs w:val="28"/>
        </w:rPr>
        <w:t xml:space="preserve">67 </w:t>
      </w:r>
      <w:r w:rsidRPr="0035041F">
        <w:rPr>
          <w:rFonts w:eastAsia="Times New Roman"/>
          <w:sz w:val="28"/>
          <w:szCs w:val="28"/>
        </w:rPr>
        <w:t>млн</w:t>
      </w:r>
      <w:r w:rsidRPr="004C03EB">
        <w:rPr>
          <w:rFonts w:eastAsia="Times New Roman"/>
          <w:sz w:val="28"/>
          <w:szCs w:val="28"/>
        </w:rPr>
        <w:t>. руб. по прочим</w:t>
      </w:r>
      <w:r w:rsidRPr="004C03EB">
        <w:rPr>
          <w:rFonts w:eastAsia="Times New Roman"/>
          <w:color w:val="000000"/>
          <w:sz w:val="28"/>
          <w:szCs w:val="28"/>
        </w:rPr>
        <w:t xml:space="preserve"> расходам, учитываемым организацией на счете 91 б</w:t>
      </w:r>
      <w:r w:rsidRPr="004C03EB">
        <w:rPr>
          <w:rFonts w:eastAsia="Calibri"/>
          <w:sz w:val="28"/>
          <w:szCs w:val="28"/>
          <w:lang w:eastAsia="en-US"/>
        </w:rPr>
        <w:t xml:space="preserve">ухгалтерского учета «Прочие доходы и расходы», </w:t>
      </w:r>
    </w:p>
    <w:p w:rsidR="001E7B45" w:rsidRPr="00E74214" w:rsidRDefault="001E7B45" w:rsidP="008C1AA9">
      <w:pPr>
        <w:tabs>
          <w:tab w:val="left" w:pos="709"/>
        </w:tabs>
        <w:autoSpaceDE w:val="0"/>
        <w:autoSpaceDN w:val="0"/>
        <w:adjustRightInd w:val="0"/>
        <w:spacing w:after="0" w:line="240" w:lineRule="auto"/>
        <w:ind w:firstLine="709"/>
        <w:jc w:val="both"/>
        <w:rPr>
          <w:b/>
          <w:sz w:val="28"/>
          <w:szCs w:val="28"/>
        </w:rPr>
      </w:pPr>
      <w:r>
        <w:rPr>
          <w:sz w:val="28"/>
          <w:szCs w:val="28"/>
        </w:rPr>
        <w:t xml:space="preserve">- </w:t>
      </w:r>
      <w:r w:rsidRPr="00E74214">
        <w:rPr>
          <w:sz w:val="28"/>
          <w:szCs w:val="28"/>
        </w:rPr>
        <w:t>излишне полученного дохода, связанного с ростом пропуска электрической энергии п</w:t>
      </w:r>
      <w:r>
        <w:rPr>
          <w:sz w:val="28"/>
          <w:szCs w:val="28"/>
        </w:rPr>
        <w:t>о сети организации по факту 2018</w:t>
      </w:r>
      <w:r w:rsidRPr="00E74214">
        <w:rPr>
          <w:sz w:val="28"/>
          <w:szCs w:val="28"/>
        </w:rPr>
        <w:t xml:space="preserve"> года</w:t>
      </w:r>
      <w:r>
        <w:rPr>
          <w:sz w:val="28"/>
          <w:szCs w:val="28"/>
        </w:rPr>
        <w:t xml:space="preserve">, рассчитанного с учетом корректировки выручки за предыдущие периоды регулирования, </w:t>
      </w:r>
      <w:r w:rsidRPr="00E74214">
        <w:rPr>
          <w:sz w:val="28"/>
          <w:szCs w:val="28"/>
        </w:rPr>
        <w:t xml:space="preserve">и возникновением дополнительных доходов по </w:t>
      </w:r>
      <w:r w:rsidRPr="00E74214">
        <w:rPr>
          <w:color w:val="000000"/>
          <w:sz w:val="28"/>
          <w:szCs w:val="28"/>
        </w:rPr>
        <w:t xml:space="preserve">покупке потерь электрической энергии, обусловленных сокращением фактической цены покупки потерь в сравнении с ценой, учтённой в тарифе (в пределах норматива). В результате, общая сумма изъятия </w:t>
      </w:r>
      <w:r>
        <w:rPr>
          <w:color w:val="000000"/>
          <w:sz w:val="28"/>
          <w:szCs w:val="28"/>
        </w:rPr>
        <w:t>составила 511</w:t>
      </w:r>
      <w:r w:rsidRPr="00E74214">
        <w:rPr>
          <w:color w:val="000000"/>
          <w:sz w:val="28"/>
          <w:szCs w:val="28"/>
        </w:rPr>
        <w:t>,</w:t>
      </w:r>
      <w:r>
        <w:rPr>
          <w:color w:val="000000"/>
          <w:sz w:val="28"/>
          <w:szCs w:val="28"/>
        </w:rPr>
        <w:t>06</w:t>
      </w:r>
      <w:r w:rsidRPr="00E74214">
        <w:rPr>
          <w:color w:val="000000"/>
          <w:sz w:val="28"/>
          <w:szCs w:val="28"/>
        </w:rPr>
        <w:t xml:space="preserve"> млн. руб. </w:t>
      </w:r>
    </w:p>
    <w:p w:rsidR="001E7B45" w:rsidRPr="00617D00" w:rsidRDefault="001E7B45" w:rsidP="008C1AA9">
      <w:pPr>
        <w:autoSpaceDE w:val="0"/>
        <w:autoSpaceDN w:val="0"/>
        <w:adjustRightInd w:val="0"/>
        <w:spacing w:after="0" w:line="240" w:lineRule="auto"/>
        <w:ind w:firstLine="709"/>
        <w:jc w:val="both"/>
        <w:rPr>
          <w:rFonts w:eastAsia="Times New Roman"/>
          <w:color w:val="000000"/>
          <w:sz w:val="28"/>
          <w:szCs w:val="28"/>
        </w:rPr>
      </w:pPr>
      <w:r w:rsidRPr="00617D00">
        <w:rPr>
          <w:sz w:val="28"/>
          <w:szCs w:val="28"/>
          <w:lang w:eastAsia="en-US"/>
        </w:rPr>
        <w:t xml:space="preserve">Также </w:t>
      </w:r>
      <w:r w:rsidR="00B0259A">
        <w:rPr>
          <w:sz w:val="28"/>
          <w:szCs w:val="28"/>
          <w:lang w:eastAsia="en-US"/>
        </w:rPr>
        <w:t>Д</w:t>
      </w:r>
      <w:r w:rsidRPr="00617D00">
        <w:rPr>
          <w:sz w:val="28"/>
          <w:szCs w:val="28"/>
          <w:lang w:eastAsia="en-US"/>
        </w:rPr>
        <w:t xml:space="preserve">епартаментом </w:t>
      </w:r>
      <w:r w:rsidR="00B726B9">
        <w:rPr>
          <w:sz w:val="28"/>
          <w:szCs w:val="28"/>
          <w:lang w:eastAsia="en-US"/>
        </w:rPr>
        <w:t>учены результаты</w:t>
      </w:r>
      <w:r w:rsidRPr="00617D00">
        <w:rPr>
          <w:sz w:val="28"/>
          <w:szCs w:val="28"/>
          <w:lang w:eastAsia="en-US"/>
        </w:rPr>
        <w:t xml:space="preserve"> анализ</w:t>
      </w:r>
      <w:r w:rsidR="00B726B9">
        <w:rPr>
          <w:sz w:val="28"/>
          <w:szCs w:val="28"/>
          <w:lang w:eastAsia="en-US"/>
        </w:rPr>
        <w:t>а</w:t>
      </w:r>
      <w:r w:rsidRPr="00617D00">
        <w:rPr>
          <w:sz w:val="28"/>
          <w:szCs w:val="28"/>
          <w:lang w:eastAsia="en-US"/>
        </w:rPr>
        <w:t xml:space="preserve"> выполнения инвестиционных мероприятий за</w:t>
      </w:r>
      <w:r>
        <w:rPr>
          <w:sz w:val="28"/>
          <w:szCs w:val="28"/>
          <w:lang w:eastAsia="en-US"/>
        </w:rPr>
        <w:t xml:space="preserve"> 2018 год</w:t>
      </w:r>
      <w:r w:rsidRPr="00617D00">
        <w:rPr>
          <w:sz w:val="28"/>
          <w:szCs w:val="28"/>
          <w:lang w:eastAsia="en-US"/>
        </w:rPr>
        <w:t xml:space="preserve">, </w:t>
      </w:r>
      <w:r>
        <w:rPr>
          <w:sz w:val="28"/>
          <w:szCs w:val="28"/>
          <w:lang w:eastAsia="en-US"/>
        </w:rPr>
        <w:t>расходы на финансирование</w:t>
      </w:r>
      <w:r w:rsidR="00B726B9">
        <w:rPr>
          <w:sz w:val="28"/>
          <w:szCs w:val="28"/>
          <w:lang w:eastAsia="en-US"/>
        </w:rPr>
        <w:t>,</w:t>
      </w:r>
      <w:r>
        <w:rPr>
          <w:sz w:val="28"/>
          <w:szCs w:val="28"/>
          <w:lang w:eastAsia="en-US"/>
        </w:rPr>
        <w:t xml:space="preserve"> которых </w:t>
      </w:r>
      <w:r w:rsidR="00B726B9">
        <w:rPr>
          <w:sz w:val="28"/>
          <w:szCs w:val="28"/>
          <w:lang w:eastAsia="en-US"/>
        </w:rPr>
        <w:t>учитывались</w:t>
      </w:r>
      <w:r w:rsidRPr="00617D00">
        <w:rPr>
          <w:sz w:val="28"/>
          <w:szCs w:val="28"/>
          <w:lang w:eastAsia="en-US"/>
        </w:rPr>
        <w:t xml:space="preserve"> при формировании тарифов на услуги по передаче электрической энергии на основании утвержденной инвестиционной программы АО «РЭС». </w:t>
      </w:r>
      <w:r w:rsidRPr="00617D00">
        <w:rPr>
          <w:rFonts w:eastAsia="Times New Roman"/>
          <w:sz w:val="28"/>
          <w:szCs w:val="28"/>
        </w:rPr>
        <w:t>Департаментом была произведена корректировка НВВ АО «РЭС» на 2020 год в связи с выявленными фактами нецелевого финансирования инвестиционной программы АО «РЭС» по итогам регулируемой деятельности за 2018 год в размере 9,26 млн. руб.</w:t>
      </w:r>
      <w:r w:rsidRPr="00617D00">
        <w:rPr>
          <w:rFonts w:eastAsia="Times New Roman"/>
          <w:bCs/>
          <w:color w:val="000000"/>
          <w:sz w:val="28"/>
          <w:szCs w:val="28"/>
        </w:rPr>
        <w:t xml:space="preserve"> </w:t>
      </w:r>
    </w:p>
    <w:p w:rsidR="001E7B45" w:rsidRPr="00617D00" w:rsidRDefault="001E7B45" w:rsidP="008C1AA9">
      <w:pPr>
        <w:autoSpaceDE w:val="0"/>
        <w:autoSpaceDN w:val="0"/>
        <w:adjustRightInd w:val="0"/>
        <w:spacing w:after="0" w:line="240" w:lineRule="auto"/>
        <w:ind w:firstLine="709"/>
        <w:jc w:val="both"/>
        <w:rPr>
          <w:rFonts w:eastAsia="Times New Roman"/>
          <w:sz w:val="28"/>
          <w:szCs w:val="28"/>
        </w:rPr>
      </w:pPr>
      <w:r w:rsidRPr="00D74E27">
        <w:rPr>
          <w:sz w:val="28"/>
          <w:szCs w:val="28"/>
        </w:rPr>
        <w:t xml:space="preserve">В составе НВВ АО «РЭС» на 2020 год учтена </w:t>
      </w:r>
      <w:r w:rsidRPr="00D74E27">
        <w:rPr>
          <w:rFonts w:eastAsia="Times New Roman"/>
          <w:sz w:val="28"/>
          <w:szCs w:val="28"/>
        </w:rPr>
        <w:t>в</w:t>
      </w:r>
      <w:r w:rsidRPr="00617D00">
        <w:rPr>
          <w:rFonts w:eastAsia="Times New Roman"/>
          <w:sz w:val="28"/>
          <w:szCs w:val="28"/>
        </w:rPr>
        <w:t>еличина недополученного дохода АО «РЭС»</w:t>
      </w:r>
      <w:r w:rsidRPr="00617D00">
        <w:rPr>
          <w:rFonts w:eastAsia="Times New Roman"/>
          <w:b/>
          <w:sz w:val="28"/>
          <w:szCs w:val="28"/>
        </w:rPr>
        <w:t xml:space="preserve"> </w:t>
      </w:r>
      <w:r w:rsidRPr="00617D00">
        <w:rPr>
          <w:rFonts w:eastAsia="Times New Roman"/>
          <w:sz w:val="28"/>
          <w:szCs w:val="28"/>
        </w:rPr>
        <w:t xml:space="preserve">в размере 961 </w:t>
      </w:r>
      <w:r w:rsidRPr="00D74E27">
        <w:rPr>
          <w:rFonts w:eastAsia="Times New Roman"/>
          <w:sz w:val="28"/>
          <w:szCs w:val="28"/>
        </w:rPr>
        <w:t>млн</w:t>
      </w:r>
      <w:r w:rsidRPr="00617D00">
        <w:rPr>
          <w:rFonts w:eastAsia="Times New Roman"/>
          <w:sz w:val="28"/>
          <w:szCs w:val="28"/>
        </w:rPr>
        <w:t>. руб.</w:t>
      </w:r>
      <w:r w:rsidRPr="00D74E27">
        <w:rPr>
          <w:rFonts w:eastAsia="Times New Roman"/>
          <w:sz w:val="28"/>
          <w:szCs w:val="28"/>
        </w:rPr>
        <w:t>,</w:t>
      </w:r>
      <w:r w:rsidRPr="00617D00">
        <w:rPr>
          <w:rFonts w:eastAsia="Times New Roman"/>
          <w:sz w:val="28"/>
          <w:szCs w:val="28"/>
        </w:rPr>
        <w:t xml:space="preserve"> определен</w:t>
      </w:r>
      <w:r w:rsidRPr="00D74E27">
        <w:rPr>
          <w:rFonts w:eastAsia="Times New Roman"/>
          <w:sz w:val="28"/>
          <w:szCs w:val="28"/>
        </w:rPr>
        <w:t>н</w:t>
      </w:r>
      <w:r w:rsidRPr="00617D00">
        <w:rPr>
          <w:rFonts w:eastAsia="Times New Roman"/>
          <w:sz w:val="28"/>
          <w:szCs w:val="28"/>
        </w:rPr>
        <w:t>а</w:t>
      </w:r>
      <w:r w:rsidRPr="00D74E27">
        <w:rPr>
          <w:rFonts w:eastAsia="Times New Roman"/>
          <w:sz w:val="28"/>
          <w:szCs w:val="28"/>
        </w:rPr>
        <w:t>я</w:t>
      </w:r>
      <w:r w:rsidRPr="00617D00">
        <w:rPr>
          <w:rFonts w:eastAsia="Times New Roman"/>
          <w:sz w:val="28"/>
          <w:szCs w:val="28"/>
        </w:rPr>
        <w:t xml:space="preserve"> на основании сформированного </w:t>
      </w:r>
      <w:r w:rsidR="00B726B9">
        <w:rPr>
          <w:rFonts w:eastAsia="Times New Roman"/>
          <w:sz w:val="28"/>
          <w:szCs w:val="28"/>
        </w:rPr>
        <w:t>Д</w:t>
      </w:r>
      <w:r w:rsidRPr="00617D00">
        <w:rPr>
          <w:rFonts w:eastAsia="Times New Roman"/>
          <w:sz w:val="28"/>
          <w:szCs w:val="28"/>
        </w:rPr>
        <w:t xml:space="preserve">епартаментом на 2020 год объема НВВ регулируемых сетевых организаций исходя из непревышения на второе полугодие 2020 год ставок на содержание сетей единых (котловых) тарифов на услуги по передаче электрической </w:t>
      </w:r>
      <w:r w:rsidRPr="00617D00">
        <w:rPr>
          <w:rFonts w:eastAsia="Times New Roman"/>
          <w:sz w:val="28"/>
          <w:szCs w:val="28"/>
        </w:rPr>
        <w:lastRenderedPageBreak/>
        <w:t xml:space="preserve">энергии по прочим потребителям относительно ставок на содержание, утвержденных </w:t>
      </w:r>
      <w:r w:rsidR="00B726B9">
        <w:rPr>
          <w:rFonts w:eastAsia="Times New Roman"/>
          <w:sz w:val="28"/>
          <w:szCs w:val="28"/>
        </w:rPr>
        <w:t>Д</w:t>
      </w:r>
      <w:r w:rsidRPr="00617D00">
        <w:rPr>
          <w:rFonts w:eastAsia="Times New Roman"/>
          <w:sz w:val="28"/>
          <w:szCs w:val="28"/>
        </w:rPr>
        <w:t>епартаментом на второе полугодие 2019 года, в размере от 2,6% до 3,1% (в зависимости от уровня напряжения).</w:t>
      </w:r>
    </w:p>
    <w:p w:rsidR="001E7B45" w:rsidRPr="00106080" w:rsidRDefault="001E7B45" w:rsidP="008C1AA9">
      <w:pPr>
        <w:autoSpaceDE w:val="0"/>
        <w:autoSpaceDN w:val="0"/>
        <w:adjustRightInd w:val="0"/>
        <w:spacing w:after="0" w:line="240" w:lineRule="auto"/>
        <w:ind w:firstLine="709"/>
        <w:jc w:val="both"/>
        <w:rPr>
          <w:color w:val="000000"/>
          <w:sz w:val="28"/>
          <w:szCs w:val="28"/>
        </w:rPr>
      </w:pPr>
      <w:r w:rsidRPr="00DC426F">
        <w:rPr>
          <w:color w:val="000000"/>
          <w:sz w:val="28"/>
          <w:szCs w:val="28"/>
        </w:rPr>
        <w:t>Рост по оплате услуг смежных сетевых орга</w:t>
      </w:r>
      <w:r>
        <w:rPr>
          <w:color w:val="000000"/>
          <w:sz w:val="28"/>
          <w:szCs w:val="28"/>
        </w:rPr>
        <w:t xml:space="preserve">низаций в части </w:t>
      </w:r>
      <w:r w:rsidRPr="00DC426F">
        <w:rPr>
          <w:color w:val="000000"/>
          <w:sz w:val="28"/>
          <w:szCs w:val="28"/>
        </w:rPr>
        <w:t>содержан</w:t>
      </w:r>
      <w:r>
        <w:rPr>
          <w:color w:val="000000"/>
          <w:sz w:val="28"/>
          <w:szCs w:val="28"/>
        </w:rPr>
        <w:t xml:space="preserve">ия </w:t>
      </w:r>
      <w:r w:rsidRPr="00106080">
        <w:rPr>
          <w:color w:val="000000"/>
          <w:sz w:val="28"/>
          <w:szCs w:val="28"/>
        </w:rPr>
        <w:t>объектов электросетевого хозяйства составил 133,2 млн. руб. (111,0%), обусловлен, прежде всего, увеличением состава электросетевого оборудования, учитываемого при формировании необходимой валовой выручки смежных сетевых организаций, оказывающих услуги по передаче электрической энергии на т</w:t>
      </w:r>
      <w:r>
        <w:rPr>
          <w:color w:val="000000"/>
          <w:sz w:val="28"/>
          <w:szCs w:val="28"/>
        </w:rPr>
        <w:t>ерритории Новосибирской области.</w:t>
      </w:r>
    </w:p>
    <w:p w:rsidR="001E7B45" w:rsidRPr="00680182" w:rsidRDefault="001E7B45" w:rsidP="008C1AA9">
      <w:pPr>
        <w:spacing w:after="0" w:line="240" w:lineRule="auto"/>
        <w:ind w:firstLine="709"/>
        <w:contextualSpacing/>
        <w:jc w:val="both"/>
        <w:rPr>
          <w:rFonts w:eastAsia="Calibri"/>
          <w:sz w:val="28"/>
          <w:szCs w:val="28"/>
          <w:lang w:eastAsia="en-US"/>
        </w:rPr>
      </w:pPr>
      <w:r w:rsidRPr="00680182">
        <w:rPr>
          <w:sz w:val="28"/>
          <w:szCs w:val="28"/>
        </w:rPr>
        <w:t>Увеличение расходов на оплату технологического расхода электрической энергии на ее передачу на 2020 год составило 142,3 млн. руб. (104,0 % к плану 2019 года) и обусловлено, главным образом, ростом</w:t>
      </w:r>
      <w:r w:rsidRPr="00680182">
        <w:rPr>
          <w:rFonts w:eastAsia="Times New Roman"/>
          <w:color w:val="000000"/>
          <w:sz w:val="28"/>
          <w:szCs w:val="28"/>
        </w:rPr>
        <w:t xml:space="preserve"> </w:t>
      </w:r>
      <w:r w:rsidRPr="00680182">
        <w:rPr>
          <w:rFonts w:ascii="Times New Roman CYR" w:eastAsia="Times New Roman" w:hAnsi="Times New Roman CYR" w:cs="Times New Roman CYR"/>
          <w:color w:val="000000"/>
          <w:sz w:val="28"/>
          <w:szCs w:val="28"/>
        </w:rPr>
        <w:t>тарифа покупки потерь</w:t>
      </w:r>
      <w:r w:rsidRPr="00680182">
        <w:rPr>
          <w:rFonts w:eastAsia="Times New Roman"/>
          <w:color w:val="000000"/>
          <w:sz w:val="28"/>
          <w:szCs w:val="28"/>
        </w:rPr>
        <w:t xml:space="preserve"> </w:t>
      </w:r>
      <w:r w:rsidRPr="00680182">
        <w:rPr>
          <w:rFonts w:ascii="Times New Roman CYR" w:eastAsia="Times New Roman" w:hAnsi="Times New Roman CYR" w:cs="Times New Roman CYR"/>
          <w:color w:val="000000"/>
          <w:sz w:val="28"/>
          <w:szCs w:val="28"/>
        </w:rPr>
        <w:t xml:space="preserve">на 2020 год </w:t>
      </w:r>
      <w:r w:rsidRPr="00680182">
        <w:rPr>
          <w:rFonts w:eastAsia="Times New Roman"/>
          <w:color w:val="000000"/>
          <w:sz w:val="28"/>
          <w:szCs w:val="28"/>
        </w:rPr>
        <w:t>на 4,9% (в</w:t>
      </w:r>
      <w:r w:rsidRPr="00680182">
        <w:rPr>
          <w:rFonts w:ascii="Times New Roman CYR" w:eastAsia="Times New Roman" w:hAnsi="Times New Roman CYR" w:cs="Times New Roman CYR"/>
          <w:color w:val="000000"/>
          <w:sz w:val="28"/>
          <w:szCs w:val="28"/>
        </w:rPr>
        <w:t xml:space="preserve"> размере</w:t>
      </w:r>
      <w:r w:rsidRPr="00680182">
        <w:rPr>
          <w:rFonts w:eastAsia="Times New Roman"/>
          <w:sz w:val="28"/>
          <w:szCs w:val="28"/>
        </w:rPr>
        <w:t xml:space="preserve"> </w:t>
      </w:r>
      <w:r w:rsidRPr="00680182">
        <w:rPr>
          <w:rFonts w:eastAsia="Times New Roman"/>
          <w:color w:val="000000"/>
          <w:sz w:val="28"/>
          <w:szCs w:val="28"/>
        </w:rPr>
        <w:t xml:space="preserve">2 049,0 руб./МВтч.), что привело к существенному росту </w:t>
      </w:r>
      <w:r w:rsidRPr="00680182">
        <w:rPr>
          <w:rFonts w:eastAsia="Calibri"/>
          <w:sz w:val="28"/>
          <w:szCs w:val="28"/>
          <w:lang w:eastAsia="en-US"/>
        </w:rPr>
        <w:t>ставки на оплату технологического расхода (потерь) в электрических сетях (с дифференциацией по всем уровням напряжения) двухставочной цены (тарифа), учитываемой в ценах (тарифах) на услуги по передаче электрической энергии для прочих потребителей, на 2 полугодие 2020 года по отношению к 1 полугодию 2020 года (+115,0%).</w:t>
      </w:r>
      <w:r w:rsidRPr="00680182">
        <w:rPr>
          <w:rFonts w:eastAsia="Calibri"/>
          <w:b/>
          <w:sz w:val="28"/>
          <w:szCs w:val="28"/>
          <w:lang w:eastAsia="en-US"/>
        </w:rPr>
        <w:t xml:space="preserve"> </w:t>
      </w:r>
    </w:p>
    <w:p w:rsidR="001E7B45" w:rsidRPr="00DC426F" w:rsidRDefault="001E7B45" w:rsidP="008C1AA9">
      <w:pPr>
        <w:pStyle w:val="a6"/>
        <w:spacing w:after="0" w:line="240" w:lineRule="auto"/>
        <w:ind w:left="0" w:firstLine="709"/>
        <w:jc w:val="both"/>
        <w:rPr>
          <w:rFonts w:ascii="Times New Roman" w:hAnsi="Times New Roman"/>
          <w:sz w:val="28"/>
          <w:szCs w:val="28"/>
        </w:rPr>
      </w:pPr>
      <w:r w:rsidRPr="00DC426F">
        <w:rPr>
          <w:rFonts w:ascii="Times New Roman" w:hAnsi="Times New Roman"/>
          <w:sz w:val="28"/>
          <w:szCs w:val="28"/>
        </w:rPr>
        <w:t xml:space="preserve">Ниже приведена структура НВВ </w:t>
      </w:r>
      <w:r>
        <w:rPr>
          <w:rFonts w:ascii="Times New Roman" w:hAnsi="Times New Roman"/>
          <w:sz w:val="28"/>
          <w:szCs w:val="28"/>
        </w:rPr>
        <w:t xml:space="preserve">АО «РЭС», </w:t>
      </w:r>
      <w:r w:rsidRPr="00DC426F">
        <w:rPr>
          <w:rFonts w:ascii="Times New Roman" w:hAnsi="Times New Roman"/>
          <w:sz w:val="28"/>
          <w:szCs w:val="28"/>
        </w:rPr>
        <w:t xml:space="preserve">по единым (котловым) тарифам по основным статьям </w:t>
      </w:r>
      <w:r>
        <w:rPr>
          <w:rFonts w:ascii="Times New Roman" w:hAnsi="Times New Roman"/>
          <w:sz w:val="28"/>
          <w:szCs w:val="28"/>
        </w:rPr>
        <w:t>на 2019</w:t>
      </w:r>
      <w:r w:rsidRPr="00371FF6">
        <w:rPr>
          <w:rFonts w:ascii="Times New Roman" w:hAnsi="Times New Roman"/>
          <w:sz w:val="28"/>
          <w:szCs w:val="28"/>
        </w:rPr>
        <w:t xml:space="preserve"> </w:t>
      </w:r>
      <w:r>
        <w:rPr>
          <w:rFonts w:ascii="Times New Roman" w:hAnsi="Times New Roman"/>
          <w:sz w:val="28"/>
          <w:szCs w:val="28"/>
        </w:rPr>
        <w:t>-2020</w:t>
      </w:r>
      <w:r w:rsidRPr="00371FF6">
        <w:rPr>
          <w:rFonts w:ascii="Times New Roman" w:hAnsi="Times New Roman"/>
          <w:sz w:val="28"/>
          <w:szCs w:val="28"/>
        </w:rPr>
        <w:t xml:space="preserve"> годы.</w:t>
      </w:r>
    </w:p>
    <w:p w:rsidR="001E7B45" w:rsidRPr="00CC627A" w:rsidRDefault="001E7B45" w:rsidP="008C1AA9">
      <w:pPr>
        <w:pStyle w:val="a6"/>
        <w:spacing w:after="0" w:line="240" w:lineRule="auto"/>
        <w:ind w:left="709"/>
        <w:jc w:val="both"/>
        <w:rPr>
          <w:rFonts w:ascii="Times New Roman" w:hAnsi="Times New Roman"/>
          <w:sz w:val="28"/>
          <w:szCs w:val="28"/>
        </w:rPr>
      </w:pPr>
    </w:p>
    <w:p w:rsidR="001E7B45" w:rsidRDefault="001E7B45" w:rsidP="001E7B45">
      <w:pPr>
        <w:pStyle w:val="a6"/>
        <w:ind w:left="0" w:firstLine="993"/>
        <w:jc w:val="both"/>
        <w:rPr>
          <w:rFonts w:ascii="Times New Roman" w:hAnsi="Times New Roman"/>
          <w:b/>
          <w:color w:val="000000"/>
          <w:sz w:val="28"/>
          <w:szCs w:val="28"/>
        </w:rPr>
      </w:pPr>
      <w:r>
        <w:rPr>
          <w:noProof/>
          <w:lang w:eastAsia="ru-RU"/>
        </w:rPr>
        <w:drawing>
          <wp:inline distT="0" distB="0" distL="0" distR="0" wp14:anchorId="51551F77" wp14:editId="49A4F298">
            <wp:extent cx="5544922" cy="2414016"/>
            <wp:effectExtent l="0" t="0" r="0" b="5715"/>
            <wp:docPr id="3" name="Рисунок 6"/>
            <wp:cNvGraphicFramePr>
              <a:graphicFrameLocks xmlns:a="http://schemas.openxmlformats.org/drawingml/2006/main"/>
            </wp:cNvGraphicFramePr>
            <a:graphic xmlns:a="http://schemas.openxmlformats.org/drawingml/2006/main">
              <a:graphicData uri="http://schemas.openxmlformats.org/drawingml/2006/chart">
                <c:chart xmlns:c="http://schemas.openxmlformats.org/drawingml/2006/chart" xmlns:r="http://schemas.openxmlformats.org/officeDocument/2006/relationships" r:id="rId13"/>
              </a:graphicData>
            </a:graphic>
          </wp:inline>
        </w:drawing>
      </w:r>
    </w:p>
    <w:p w:rsidR="001E7B45" w:rsidRPr="008C1AA9" w:rsidRDefault="008C1AA9" w:rsidP="008C1AA9">
      <w:pPr>
        <w:pStyle w:val="a6"/>
        <w:ind w:left="0" w:firstLine="993"/>
        <w:jc w:val="center"/>
        <w:rPr>
          <w:rFonts w:ascii="Times New Roman" w:hAnsi="Times New Roman"/>
          <w:b/>
          <w:color w:val="000000"/>
          <w:sz w:val="24"/>
          <w:szCs w:val="24"/>
        </w:rPr>
      </w:pPr>
      <w:r w:rsidRPr="008C1AA9">
        <w:rPr>
          <w:rFonts w:ascii="Times New Roman" w:hAnsi="Times New Roman"/>
          <w:b/>
          <w:color w:val="000000"/>
          <w:sz w:val="24"/>
          <w:szCs w:val="24"/>
        </w:rPr>
        <w:t>Рис 2.2.1.</w:t>
      </w:r>
    </w:p>
    <w:p w:rsidR="001E7B45" w:rsidRDefault="008C1AA9" w:rsidP="001E7B45">
      <w:pPr>
        <w:pStyle w:val="a6"/>
        <w:ind w:left="0" w:firstLine="709"/>
        <w:jc w:val="both"/>
        <w:rPr>
          <w:rFonts w:ascii="Times New Roman" w:hAnsi="Times New Roman"/>
          <w:b/>
          <w:color w:val="000000"/>
          <w:sz w:val="28"/>
          <w:szCs w:val="28"/>
        </w:rPr>
      </w:pPr>
      <w:r>
        <w:rPr>
          <w:noProof/>
          <w:lang w:eastAsia="ru-RU"/>
        </w:rPr>
        <w:drawing>
          <wp:inline distT="0" distB="0" distL="0" distR="0" wp14:anchorId="57FB8D4E" wp14:editId="6868CC3D">
            <wp:extent cx="5779008" cy="2392070"/>
            <wp:effectExtent l="0" t="0" r="0" b="8255"/>
            <wp:docPr id="4" name="Диаграмма 4"/>
            <wp:cNvGraphicFramePr/>
            <a:graphic xmlns:a="http://schemas.openxmlformats.org/drawingml/2006/main">
              <a:graphicData uri="http://schemas.openxmlformats.org/drawingml/2006/chart">
                <c:chart xmlns:c="http://schemas.openxmlformats.org/drawingml/2006/chart" xmlns:r="http://schemas.openxmlformats.org/officeDocument/2006/relationships" r:id="rId14"/>
              </a:graphicData>
            </a:graphic>
          </wp:inline>
        </w:drawing>
      </w:r>
    </w:p>
    <w:p w:rsidR="008C1AA9" w:rsidRPr="008C1AA9" w:rsidRDefault="008C1AA9" w:rsidP="008C1AA9">
      <w:pPr>
        <w:pStyle w:val="a6"/>
        <w:ind w:left="0" w:firstLine="993"/>
        <w:jc w:val="center"/>
        <w:rPr>
          <w:rFonts w:ascii="Times New Roman" w:hAnsi="Times New Roman"/>
          <w:b/>
          <w:color w:val="000000"/>
          <w:sz w:val="24"/>
          <w:szCs w:val="24"/>
        </w:rPr>
      </w:pPr>
      <w:r w:rsidRPr="008C1AA9">
        <w:rPr>
          <w:rFonts w:ascii="Times New Roman" w:hAnsi="Times New Roman"/>
          <w:b/>
          <w:color w:val="000000"/>
          <w:sz w:val="24"/>
          <w:szCs w:val="24"/>
        </w:rPr>
        <w:t>Рис 2.2.</w:t>
      </w:r>
      <w:r>
        <w:rPr>
          <w:rFonts w:ascii="Times New Roman" w:hAnsi="Times New Roman"/>
          <w:b/>
          <w:color w:val="000000"/>
          <w:sz w:val="24"/>
          <w:szCs w:val="24"/>
        </w:rPr>
        <w:t>2</w:t>
      </w:r>
      <w:r w:rsidRPr="008C1AA9">
        <w:rPr>
          <w:rFonts w:ascii="Times New Roman" w:hAnsi="Times New Roman"/>
          <w:b/>
          <w:color w:val="000000"/>
          <w:sz w:val="24"/>
          <w:szCs w:val="24"/>
        </w:rPr>
        <w:t>.</w:t>
      </w:r>
    </w:p>
    <w:p w:rsidR="008C1AA9" w:rsidRDefault="008C1AA9" w:rsidP="001E7B45">
      <w:pPr>
        <w:pStyle w:val="a6"/>
        <w:ind w:left="0" w:firstLine="709"/>
        <w:jc w:val="both"/>
        <w:rPr>
          <w:rFonts w:ascii="Times New Roman" w:hAnsi="Times New Roman"/>
          <w:b/>
          <w:color w:val="000000"/>
          <w:sz w:val="28"/>
          <w:szCs w:val="28"/>
        </w:rPr>
      </w:pPr>
    </w:p>
    <w:p w:rsidR="001E7B45" w:rsidRPr="00DC426F" w:rsidRDefault="001E7B45" w:rsidP="001E7B45">
      <w:pPr>
        <w:pStyle w:val="a6"/>
        <w:ind w:left="0" w:firstLine="709"/>
        <w:jc w:val="both"/>
        <w:rPr>
          <w:rFonts w:ascii="Times New Roman" w:hAnsi="Times New Roman"/>
          <w:b/>
          <w:color w:val="000000"/>
          <w:sz w:val="28"/>
          <w:szCs w:val="28"/>
        </w:rPr>
      </w:pPr>
      <w:r>
        <w:rPr>
          <w:rFonts w:ascii="Times New Roman" w:hAnsi="Times New Roman"/>
          <w:b/>
          <w:color w:val="000000"/>
          <w:sz w:val="28"/>
          <w:szCs w:val="28"/>
        </w:rPr>
        <w:t>2.1</w:t>
      </w:r>
      <w:r w:rsidR="008C1AA9">
        <w:rPr>
          <w:rFonts w:ascii="Times New Roman" w:hAnsi="Times New Roman"/>
          <w:b/>
          <w:color w:val="000000"/>
          <w:sz w:val="28"/>
          <w:szCs w:val="28"/>
        </w:rPr>
        <w:t>.</w:t>
      </w:r>
      <w:r w:rsidR="008C1AA9" w:rsidRPr="008C1AA9">
        <w:rPr>
          <w:rFonts w:ascii="Times New Roman" w:hAnsi="Times New Roman"/>
          <w:b/>
          <w:color w:val="000000"/>
          <w:sz w:val="28"/>
          <w:szCs w:val="28"/>
        </w:rPr>
        <w:t>5</w:t>
      </w:r>
      <w:r w:rsidRPr="00DC426F">
        <w:rPr>
          <w:rFonts w:ascii="Times New Roman" w:hAnsi="Times New Roman"/>
          <w:b/>
          <w:color w:val="000000"/>
          <w:sz w:val="28"/>
          <w:szCs w:val="28"/>
        </w:rPr>
        <w:t>. Формирование сбытовых надбавок гарантирующего поставщика.</w:t>
      </w:r>
    </w:p>
    <w:p w:rsidR="001E7B45" w:rsidRPr="001E02D7" w:rsidRDefault="001E7B45" w:rsidP="008C1AA9">
      <w:pPr>
        <w:spacing w:after="0" w:line="240" w:lineRule="auto"/>
        <w:ind w:firstLine="709"/>
        <w:jc w:val="both"/>
        <w:rPr>
          <w:rFonts w:eastAsia="Times New Roman"/>
          <w:sz w:val="28"/>
          <w:szCs w:val="28"/>
        </w:rPr>
      </w:pPr>
      <w:r w:rsidRPr="001E02D7">
        <w:rPr>
          <w:rFonts w:eastAsia="Times New Roman"/>
          <w:sz w:val="28"/>
          <w:szCs w:val="28"/>
        </w:rPr>
        <w:t>В соответствии с требованиями Основных положений функционирования розничных рынков электрической энергии, утверждённых постановлением Правительства Российской Федерации от 04.05.2012 №442 «О функционировании розничных рынков электрической энергии, полном и (или) частичном ограничении режима потребления электрической энергии» (далее - Основные положения функционирования розничных рынков электрической энергии), функцию гарантирующего поставщика электрической энергии потребителям на территории Новосибирской области исполняет АО «Новосибирскэнергосбыт». Приказом ФСТ России от 09.02.2007 № 16-э «О включении организаций в Федеральный информационный реестр гарантирующих поставщиков и зон их деятельности» АО «Новосибирскэнергосбыт» в</w:t>
      </w:r>
      <w:r w:rsidRPr="001E02D7">
        <w:rPr>
          <w:rFonts w:eastAsia="Calibri"/>
          <w:sz w:val="28"/>
          <w:szCs w:val="28"/>
          <w:lang w:eastAsia="en-US"/>
        </w:rPr>
        <w:t>ключен в Федеральный информационный реестр гарантирующих поставщиков и зон их деятельности</w:t>
      </w:r>
      <w:r w:rsidRPr="001E02D7">
        <w:rPr>
          <w:rFonts w:eastAsia="Times New Roman"/>
          <w:sz w:val="28"/>
          <w:szCs w:val="28"/>
        </w:rPr>
        <w:t xml:space="preserve">. Статус гарантирующего поставщика и границы зоны деятельности АО «Новосибирскэнергосбыт» согласованы приказом </w:t>
      </w:r>
      <w:r w:rsidR="00B0259A">
        <w:rPr>
          <w:rFonts w:eastAsia="Times New Roman"/>
          <w:sz w:val="28"/>
          <w:szCs w:val="28"/>
        </w:rPr>
        <w:t>Д</w:t>
      </w:r>
      <w:r w:rsidRPr="001E02D7">
        <w:rPr>
          <w:rFonts w:eastAsia="Times New Roman"/>
          <w:sz w:val="28"/>
          <w:szCs w:val="28"/>
        </w:rPr>
        <w:t xml:space="preserve">епартамента от 15.12.2006 № 110-Е «О согласовании границы зоны деятельности гарантирующего поставщика» (в редакции приказов департамента от 29.08.2008 г. №17, от 24.02.2010 г. №12-Е, от 15.02.2012 г. №12-ЭЭ, от 15.01.2015 г. №1-Э, от 25.06.2018 г. №136-ЭЭ). </w:t>
      </w:r>
    </w:p>
    <w:p w:rsidR="001E7B45" w:rsidRPr="001E02D7" w:rsidRDefault="001E7B45" w:rsidP="008C1AA9">
      <w:pPr>
        <w:spacing w:after="0" w:line="240" w:lineRule="auto"/>
        <w:ind w:firstLine="709"/>
        <w:jc w:val="both"/>
        <w:rPr>
          <w:rFonts w:eastAsia="Times New Roman"/>
          <w:sz w:val="28"/>
          <w:szCs w:val="28"/>
        </w:rPr>
      </w:pPr>
      <w:r w:rsidRPr="001E02D7">
        <w:rPr>
          <w:rFonts w:eastAsia="Times New Roman"/>
          <w:sz w:val="28"/>
          <w:szCs w:val="28"/>
        </w:rPr>
        <w:t>Расчет сбытовых надбавок на 2020 год произведен согласно требованиям пунктов 65, 65 (1), 65 (2) Основ ценообразования, и в соответствии с Методическими указаниями по расчету сбытовых надбавок гарантирующих поставщиков с использованием метода сравнения аналогов, утвержденными приказом Федеральной антимонопольной службы от 21.11.2017 года №1554/17 (далее - Методические указания №1554/17).</w:t>
      </w:r>
    </w:p>
    <w:p w:rsidR="001E7B45" w:rsidRPr="001E02D7" w:rsidRDefault="001E7B45" w:rsidP="008C1AA9">
      <w:pPr>
        <w:spacing w:after="0" w:line="240" w:lineRule="auto"/>
        <w:ind w:firstLine="709"/>
        <w:jc w:val="both"/>
        <w:rPr>
          <w:rFonts w:eastAsia="Times New Roman"/>
          <w:sz w:val="28"/>
          <w:szCs w:val="28"/>
        </w:rPr>
      </w:pPr>
      <w:r w:rsidRPr="001E02D7">
        <w:rPr>
          <w:rFonts w:eastAsia="Times New Roman"/>
          <w:sz w:val="28"/>
          <w:szCs w:val="28"/>
        </w:rPr>
        <w:t>При формирован</w:t>
      </w:r>
      <w:r w:rsidR="00DF11F6">
        <w:rPr>
          <w:rFonts w:eastAsia="Times New Roman"/>
          <w:sz w:val="28"/>
          <w:szCs w:val="28"/>
        </w:rPr>
        <w:t>ии необходимой валовой выручки Д</w:t>
      </w:r>
      <w:r w:rsidRPr="001E02D7">
        <w:rPr>
          <w:rFonts w:eastAsia="Times New Roman"/>
          <w:sz w:val="28"/>
          <w:szCs w:val="28"/>
        </w:rPr>
        <w:t>епартаментом применен метод сравнения аналогов в соответствии с п.12 Основ ценообразования.</w:t>
      </w:r>
    </w:p>
    <w:p w:rsidR="001E7B45" w:rsidRPr="001E02D7" w:rsidRDefault="001E7B45" w:rsidP="008C1AA9">
      <w:pPr>
        <w:tabs>
          <w:tab w:val="left" w:pos="1134"/>
        </w:tabs>
        <w:autoSpaceDE w:val="0"/>
        <w:autoSpaceDN w:val="0"/>
        <w:adjustRightInd w:val="0"/>
        <w:spacing w:after="0" w:line="240" w:lineRule="auto"/>
        <w:ind w:firstLine="709"/>
        <w:jc w:val="both"/>
        <w:rPr>
          <w:rFonts w:eastAsia="Times New Roman"/>
          <w:sz w:val="28"/>
          <w:szCs w:val="28"/>
        </w:rPr>
      </w:pPr>
      <w:r w:rsidRPr="001E02D7">
        <w:rPr>
          <w:rFonts w:eastAsia="Times New Roman"/>
          <w:sz w:val="28"/>
          <w:szCs w:val="28"/>
        </w:rPr>
        <w:t xml:space="preserve">В результате проведенной </w:t>
      </w:r>
      <w:r w:rsidR="00DF11F6">
        <w:rPr>
          <w:rFonts w:eastAsia="Times New Roman"/>
          <w:sz w:val="28"/>
          <w:szCs w:val="28"/>
        </w:rPr>
        <w:t>Д</w:t>
      </w:r>
      <w:r w:rsidRPr="001E02D7">
        <w:rPr>
          <w:rFonts w:eastAsia="Times New Roman"/>
          <w:sz w:val="28"/>
          <w:szCs w:val="28"/>
        </w:rPr>
        <w:t>епартаментом экспертизы представленных      АО «Новосибирскэнергосбыт» материалов величина излишне полученных (-) (недополученных (+)) доходов составила 89 813,4</w:t>
      </w:r>
      <w:r w:rsidRPr="001E02D7">
        <w:rPr>
          <w:rFonts w:eastAsia="Times New Roman"/>
        </w:rPr>
        <w:t xml:space="preserve"> </w:t>
      </w:r>
      <w:r w:rsidRPr="001E02D7">
        <w:rPr>
          <w:rFonts w:eastAsia="Times New Roman"/>
          <w:sz w:val="28"/>
          <w:szCs w:val="28"/>
        </w:rPr>
        <w:t>тыс. руб., в том числе:</w:t>
      </w:r>
    </w:p>
    <w:p w:rsidR="001E7B45" w:rsidRPr="001E02D7" w:rsidRDefault="001E7B45" w:rsidP="008C1AA9">
      <w:pPr>
        <w:tabs>
          <w:tab w:val="left" w:pos="1134"/>
        </w:tabs>
        <w:autoSpaceDE w:val="0"/>
        <w:autoSpaceDN w:val="0"/>
        <w:adjustRightInd w:val="0"/>
        <w:spacing w:after="0" w:line="240" w:lineRule="auto"/>
        <w:ind w:firstLine="709"/>
        <w:jc w:val="both"/>
        <w:rPr>
          <w:rFonts w:eastAsia="Times New Roman"/>
          <w:sz w:val="28"/>
          <w:szCs w:val="28"/>
        </w:rPr>
      </w:pPr>
      <w:r w:rsidRPr="001E02D7">
        <w:rPr>
          <w:rFonts w:eastAsia="Times New Roman"/>
          <w:sz w:val="28"/>
          <w:szCs w:val="28"/>
        </w:rPr>
        <w:t>(-92 220,4)</w:t>
      </w:r>
      <w:r w:rsidRPr="001E02D7">
        <w:rPr>
          <w:rFonts w:eastAsia="Times New Roman"/>
        </w:rPr>
        <w:t xml:space="preserve"> </w:t>
      </w:r>
      <w:r w:rsidRPr="001E02D7">
        <w:rPr>
          <w:rFonts w:eastAsia="Times New Roman"/>
          <w:sz w:val="28"/>
          <w:szCs w:val="28"/>
        </w:rPr>
        <w:t>тыс. руб. в результате отклонения величины фактического полезного отпуска от величины, учтенной при установлении сбытовых надбавок на 2018 год;</w:t>
      </w:r>
    </w:p>
    <w:p w:rsidR="001E7B45" w:rsidRDefault="001E7B45" w:rsidP="008C1AA9">
      <w:pPr>
        <w:tabs>
          <w:tab w:val="left" w:pos="1134"/>
        </w:tabs>
        <w:autoSpaceDE w:val="0"/>
        <w:autoSpaceDN w:val="0"/>
        <w:adjustRightInd w:val="0"/>
        <w:spacing w:after="0" w:line="240" w:lineRule="auto"/>
        <w:ind w:firstLine="709"/>
        <w:jc w:val="both"/>
        <w:rPr>
          <w:rFonts w:eastAsia="Times New Roman"/>
          <w:sz w:val="28"/>
          <w:szCs w:val="28"/>
        </w:rPr>
      </w:pPr>
      <w:r w:rsidRPr="001E02D7">
        <w:rPr>
          <w:rFonts w:eastAsia="Times New Roman"/>
          <w:sz w:val="28"/>
          <w:szCs w:val="28"/>
        </w:rPr>
        <w:t>(-3 367,9) тыс. руб. в результате отклонения величины фактических неподконтрольных расходов (амортизация и налоги, за исключением налога на прибыль, признанных экономически обоснованными) за 2018 год от величины неподконтрольных расходов, учтенных при установлении сбытовых надбавок на 2018 г.;</w:t>
      </w:r>
    </w:p>
    <w:p w:rsidR="001E7B45" w:rsidRPr="001E02D7" w:rsidRDefault="001E7B45" w:rsidP="008C1AA9">
      <w:pPr>
        <w:tabs>
          <w:tab w:val="left" w:pos="1134"/>
        </w:tabs>
        <w:autoSpaceDE w:val="0"/>
        <w:autoSpaceDN w:val="0"/>
        <w:adjustRightInd w:val="0"/>
        <w:spacing w:after="0" w:line="240" w:lineRule="auto"/>
        <w:ind w:firstLine="709"/>
        <w:jc w:val="both"/>
        <w:rPr>
          <w:rFonts w:eastAsia="Times New Roman"/>
          <w:sz w:val="28"/>
          <w:szCs w:val="28"/>
        </w:rPr>
      </w:pPr>
      <w:r w:rsidRPr="001E02D7">
        <w:rPr>
          <w:rFonts w:eastAsia="Times New Roman"/>
          <w:sz w:val="28"/>
          <w:szCs w:val="28"/>
        </w:rPr>
        <w:t>(+5 774,9) тыс. руб. в результате отклонения фактического количества точек поставок и фактического ИПЦ от величин, учтенных при установлении сбытовых надбавок на 2018 год (при расчете эталонной выручки).</w:t>
      </w:r>
    </w:p>
    <w:p w:rsidR="001E7B45" w:rsidRPr="001E02D7" w:rsidRDefault="001E7B45" w:rsidP="008C1AA9">
      <w:pPr>
        <w:shd w:val="clear" w:color="auto" w:fill="FFFFFF"/>
        <w:spacing w:after="0" w:line="240" w:lineRule="auto"/>
        <w:ind w:firstLine="709"/>
        <w:jc w:val="both"/>
        <w:rPr>
          <w:rFonts w:eastAsia="Times New Roman"/>
          <w:color w:val="000000"/>
          <w:sz w:val="28"/>
          <w:szCs w:val="28"/>
        </w:rPr>
      </w:pPr>
      <w:r w:rsidRPr="001E02D7">
        <w:rPr>
          <w:rFonts w:eastAsia="Times New Roman"/>
          <w:color w:val="000000"/>
          <w:sz w:val="28"/>
          <w:szCs w:val="28"/>
        </w:rPr>
        <w:t xml:space="preserve">Указанные расходы в соответствии с </w:t>
      </w:r>
      <w:r w:rsidRPr="001E02D7">
        <w:rPr>
          <w:rFonts w:eastAsia="Times New Roman"/>
          <w:sz w:val="28"/>
          <w:szCs w:val="28"/>
        </w:rPr>
        <w:t xml:space="preserve">Методическими указаниями №1554/17 </w:t>
      </w:r>
      <w:r w:rsidRPr="001E02D7">
        <w:rPr>
          <w:rFonts w:eastAsia="Times New Roman"/>
          <w:color w:val="000000"/>
          <w:sz w:val="28"/>
          <w:szCs w:val="28"/>
        </w:rPr>
        <w:t>подлежат изъятию при формировании НВВ на 2020 г. (-∆НВВ).</w:t>
      </w:r>
    </w:p>
    <w:p w:rsidR="001E7B45" w:rsidRPr="001E02D7" w:rsidRDefault="001E7B45" w:rsidP="008C1AA9">
      <w:pPr>
        <w:spacing w:after="0" w:line="240" w:lineRule="auto"/>
        <w:ind w:firstLine="709"/>
        <w:jc w:val="both"/>
        <w:rPr>
          <w:rFonts w:eastAsia="Times New Roman"/>
          <w:sz w:val="28"/>
          <w:szCs w:val="28"/>
        </w:rPr>
      </w:pPr>
      <w:r w:rsidRPr="001E02D7">
        <w:rPr>
          <w:rFonts w:eastAsia="Times New Roman"/>
          <w:sz w:val="28"/>
          <w:szCs w:val="28"/>
        </w:rPr>
        <w:t xml:space="preserve">Величина эталонной выручки гарантирующего поставщика на 2020 год, сформированная методом сравнения аналогов, составила 3 625,6 млн. руб.  </w:t>
      </w:r>
    </w:p>
    <w:p w:rsidR="001E7B45" w:rsidRPr="001E02D7" w:rsidRDefault="001E7B45" w:rsidP="008C1AA9">
      <w:pPr>
        <w:spacing w:after="0" w:line="240" w:lineRule="auto"/>
        <w:ind w:firstLine="709"/>
        <w:jc w:val="both"/>
        <w:rPr>
          <w:rFonts w:eastAsia="Times New Roman"/>
          <w:sz w:val="28"/>
          <w:szCs w:val="28"/>
        </w:rPr>
      </w:pPr>
      <w:r w:rsidRPr="001E02D7">
        <w:rPr>
          <w:rFonts w:eastAsia="Times New Roman"/>
          <w:sz w:val="28"/>
          <w:szCs w:val="28"/>
        </w:rPr>
        <w:lastRenderedPageBreak/>
        <w:t>В соответствии с пунктом 65 Основ ценообразования, пунктом 5 Методических указаний №</w:t>
      </w:r>
      <w:r>
        <w:rPr>
          <w:rFonts w:eastAsia="Times New Roman"/>
          <w:sz w:val="28"/>
          <w:szCs w:val="28"/>
        </w:rPr>
        <w:t xml:space="preserve"> </w:t>
      </w:r>
      <w:r w:rsidRPr="001E02D7">
        <w:rPr>
          <w:rFonts w:eastAsia="Times New Roman"/>
          <w:sz w:val="28"/>
          <w:szCs w:val="28"/>
        </w:rPr>
        <w:t>1554/17 и пунктом 4 постановления Правительства Российской Федерации от 28 августа 2017 года №</w:t>
      </w:r>
      <w:r>
        <w:rPr>
          <w:rFonts w:eastAsia="Times New Roman"/>
          <w:sz w:val="28"/>
          <w:szCs w:val="28"/>
        </w:rPr>
        <w:t xml:space="preserve"> </w:t>
      </w:r>
      <w:r w:rsidRPr="001E02D7">
        <w:rPr>
          <w:rFonts w:eastAsia="Times New Roman"/>
          <w:sz w:val="28"/>
          <w:szCs w:val="28"/>
        </w:rPr>
        <w:t>1016 сбытовые надбавки для каждой из групп (подгрупп) потребителей с 1 июля 2018 года устанавливаются в рублях за киловатт-час без учета налога на добавленную стоимость. При расчетах потребителей (покупателей) с гарантирующим поставщиком налог на добавленную стоимость учитывается дополнительно.</w:t>
      </w:r>
    </w:p>
    <w:p w:rsidR="001E7B45" w:rsidRPr="001E02D7" w:rsidRDefault="001E7B45" w:rsidP="008C1AA9">
      <w:pPr>
        <w:tabs>
          <w:tab w:val="left" w:pos="1843"/>
        </w:tabs>
        <w:spacing w:after="0" w:line="240" w:lineRule="auto"/>
        <w:ind w:firstLine="709"/>
        <w:jc w:val="both"/>
        <w:rPr>
          <w:rFonts w:eastAsia="Times New Roman"/>
          <w:color w:val="000000"/>
          <w:sz w:val="28"/>
          <w:szCs w:val="28"/>
        </w:rPr>
      </w:pPr>
      <w:r w:rsidRPr="001E02D7">
        <w:rPr>
          <w:rFonts w:eastAsia="Times New Roman"/>
          <w:color w:val="000000"/>
          <w:sz w:val="28"/>
          <w:szCs w:val="28"/>
        </w:rPr>
        <w:t xml:space="preserve">Сбытовые надбавки для гарантирующего поставщика                             АО «Новосибирскэнергосбыт» установлены на 2020 год с календарной разбивкой приказом </w:t>
      </w:r>
      <w:r w:rsidR="00B0259A">
        <w:rPr>
          <w:rFonts w:eastAsia="Times New Roman"/>
          <w:color w:val="000000"/>
          <w:sz w:val="28"/>
          <w:szCs w:val="28"/>
        </w:rPr>
        <w:t>Д</w:t>
      </w:r>
      <w:r w:rsidRPr="001E02D7">
        <w:rPr>
          <w:rFonts w:eastAsia="Times New Roman"/>
          <w:color w:val="000000"/>
          <w:sz w:val="28"/>
          <w:szCs w:val="28"/>
        </w:rPr>
        <w:t>епартамента от 23.12.2019 №</w:t>
      </w:r>
      <w:r w:rsidRPr="001E02D7">
        <w:rPr>
          <w:rFonts w:eastAsia="Times New Roman"/>
        </w:rPr>
        <w:t> </w:t>
      </w:r>
      <w:r w:rsidRPr="001E02D7">
        <w:rPr>
          <w:rFonts w:eastAsia="Times New Roman"/>
          <w:sz w:val="28"/>
          <w:szCs w:val="28"/>
        </w:rPr>
        <w:t>751</w:t>
      </w:r>
      <w:r w:rsidRPr="001E02D7">
        <w:rPr>
          <w:rFonts w:eastAsia="Times New Roman"/>
          <w:color w:val="000000"/>
          <w:sz w:val="28"/>
          <w:szCs w:val="28"/>
        </w:rPr>
        <w:t>-ЭЭ.</w:t>
      </w:r>
    </w:p>
    <w:p w:rsidR="001E7B45" w:rsidRPr="001E02D7" w:rsidRDefault="001E7B45" w:rsidP="008C1AA9">
      <w:pPr>
        <w:autoSpaceDE w:val="0"/>
        <w:autoSpaceDN w:val="0"/>
        <w:adjustRightInd w:val="0"/>
        <w:spacing w:after="0" w:line="240" w:lineRule="auto"/>
        <w:ind w:firstLine="709"/>
        <w:jc w:val="both"/>
        <w:rPr>
          <w:rFonts w:eastAsia="Times New Roman"/>
          <w:color w:val="000000"/>
          <w:sz w:val="28"/>
          <w:szCs w:val="28"/>
        </w:rPr>
      </w:pPr>
      <w:r w:rsidRPr="001E02D7">
        <w:rPr>
          <w:rFonts w:eastAsia="Times New Roman"/>
          <w:color w:val="000000"/>
          <w:sz w:val="28"/>
          <w:szCs w:val="28"/>
        </w:rPr>
        <w:t xml:space="preserve">Размеры и рост установленных </w:t>
      </w:r>
      <w:r w:rsidR="00DF11F6">
        <w:rPr>
          <w:rFonts w:eastAsia="Times New Roman"/>
          <w:color w:val="000000"/>
          <w:sz w:val="28"/>
          <w:szCs w:val="28"/>
        </w:rPr>
        <w:t>Д</w:t>
      </w:r>
      <w:r w:rsidRPr="001E02D7">
        <w:rPr>
          <w:rFonts w:eastAsia="Times New Roman"/>
          <w:color w:val="000000"/>
          <w:sz w:val="28"/>
          <w:szCs w:val="28"/>
        </w:rPr>
        <w:t xml:space="preserve">епартаментом сбытовых надбавок              АО «Новосибирскэнергосбыт» за период 2019-2020 г.г. приведены в таблице ниже. </w:t>
      </w:r>
    </w:p>
    <w:p w:rsidR="001E7B45" w:rsidRPr="001E02D7" w:rsidRDefault="001E7B45" w:rsidP="00D818A7">
      <w:pPr>
        <w:spacing w:after="0" w:line="240" w:lineRule="auto"/>
        <w:rPr>
          <w:rFonts w:eastAsia="Times New Roman"/>
          <w:b/>
          <w:sz w:val="28"/>
        </w:rPr>
      </w:pPr>
      <w:r w:rsidRPr="001E02D7">
        <w:rPr>
          <w:rFonts w:eastAsia="Times New Roman"/>
          <w:b/>
          <w:sz w:val="28"/>
        </w:rPr>
        <w:t>Сбытовые надбавки</w:t>
      </w:r>
      <w:r w:rsidR="00D818A7">
        <w:rPr>
          <w:rFonts w:eastAsia="Times New Roman"/>
          <w:b/>
          <w:sz w:val="28"/>
        </w:rPr>
        <w:t xml:space="preserve"> </w:t>
      </w:r>
      <w:r w:rsidRPr="001E02D7">
        <w:rPr>
          <w:rFonts w:eastAsia="Times New Roman"/>
          <w:b/>
          <w:sz w:val="28"/>
        </w:rPr>
        <w:t xml:space="preserve">гарантирующего поставщика электрической энергии </w:t>
      </w:r>
    </w:p>
    <w:p w:rsidR="001E7B45" w:rsidRPr="001E02D7" w:rsidRDefault="001E7B45" w:rsidP="008C1AA9">
      <w:pPr>
        <w:spacing w:after="0" w:line="240" w:lineRule="auto"/>
        <w:jc w:val="center"/>
        <w:rPr>
          <w:rFonts w:eastAsia="Times New Roman"/>
          <w:b/>
          <w:sz w:val="28"/>
        </w:rPr>
      </w:pPr>
      <w:r w:rsidRPr="001E02D7">
        <w:rPr>
          <w:rFonts w:eastAsia="Times New Roman"/>
          <w:b/>
          <w:sz w:val="28"/>
        </w:rPr>
        <w:t>АО «Новосибирскэнергосбыт» за период 2019-2020 г.г.</w:t>
      </w:r>
    </w:p>
    <w:p w:rsidR="001E7B45" w:rsidRPr="001E02D7" w:rsidRDefault="001E7B45" w:rsidP="008C1AA9">
      <w:pPr>
        <w:spacing w:after="0" w:line="240" w:lineRule="auto"/>
        <w:jc w:val="center"/>
        <w:rPr>
          <w:rFonts w:eastAsia="Times New Roman"/>
          <w:b/>
          <w:sz w:val="20"/>
          <w:szCs w:val="20"/>
        </w:rPr>
      </w:pPr>
    </w:p>
    <w:tbl>
      <w:tblPr>
        <w:tblW w:w="9984" w:type="dxa"/>
        <w:tblInd w:w="250" w:type="dxa"/>
        <w:tblLayout w:type="fixed"/>
        <w:tblLook w:val="00A0" w:firstRow="1" w:lastRow="0" w:firstColumn="1" w:lastColumn="0" w:noHBand="0" w:noVBand="0"/>
      </w:tblPr>
      <w:tblGrid>
        <w:gridCol w:w="534"/>
        <w:gridCol w:w="1276"/>
        <w:gridCol w:w="1559"/>
        <w:gridCol w:w="1701"/>
        <w:gridCol w:w="1560"/>
        <w:gridCol w:w="1559"/>
        <w:gridCol w:w="1559"/>
        <w:gridCol w:w="236"/>
      </w:tblGrid>
      <w:tr w:rsidR="001E7B45" w:rsidRPr="001E02D7" w:rsidTr="00D818A7">
        <w:trPr>
          <w:gridAfter w:val="1"/>
          <w:wAfter w:w="236" w:type="dxa"/>
          <w:trHeight w:val="231"/>
        </w:trPr>
        <w:tc>
          <w:tcPr>
            <w:tcW w:w="534" w:type="dxa"/>
            <w:vMerge w:val="restart"/>
            <w:tcBorders>
              <w:top w:val="single" w:sz="8" w:space="0" w:color="auto"/>
              <w:left w:val="single" w:sz="8" w:space="0" w:color="auto"/>
              <w:bottom w:val="nil"/>
              <w:right w:val="single" w:sz="8" w:space="0" w:color="auto"/>
            </w:tcBorders>
            <w:vAlign w:val="center"/>
          </w:tcPr>
          <w:p w:rsidR="001E7B45" w:rsidRPr="001E02D7" w:rsidRDefault="001E7B45" w:rsidP="008C1AA9">
            <w:pPr>
              <w:spacing w:after="0" w:line="240" w:lineRule="auto"/>
              <w:jc w:val="center"/>
              <w:rPr>
                <w:rFonts w:eastAsia="Times New Roman"/>
                <w:color w:val="000000"/>
                <w:sz w:val="20"/>
                <w:szCs w:val="20"/>
              </w:rPr>
            </w:pPr>
            <w:r w:rsidRPr="001E02D7">
              <w:rPr>
                <w:rFonts w:eastAsia="Times New Roman"/>
                <w:color w:val="000000"/>
                <w:sz w:val="20"/>
                <w:szCs w:val="20"/>
              </w:rPr>
              <w:t>№ п/п</w:t>
            </w:r>
          </w:p>
        </w:tc>
        <w:tc>
          <w:tcPr>
            <w:tcW w:w="1276" w:type="dxa"/>
            <w:vMerge w:val="restart"/>
            <w:tcBorders>
              <w:top w:val="single" w:sz="8" w:space="0" w:color="auto"/>
              <w:left w:val="single" w:sz="8" w:space="0" w:color="auto"/>
              <w:bottom w:val="nil"/>
              <w:right w:val="single" w:sz="8" w:space="0" w:color="auto"/>
            </w:tcBorders>
            <w:vAlign w:val="center"/>
          </w:tcPr>
          <w:p w:rsidR="001E7B45" w:rsidRPr="001E02D7" w:rsidRDefault="001E7B45" w:rsidP="008C1AA9">
            <w:pPr>
              <w:spacing w:after="0" w:line="240" w:lineRule="auto"/>
              <w:jc w:val="center"/>
              <w:rPr>
                <w:rFonts w:eastAsia="Times New Roman"/>
                <w:color w:val="000000"/>
                <w:sz w:val="20"/>
                <w:szCs w:val="20"/>
              </w:rPr>
            </w:pPr>
            <w:r w:rsidRPr="001E02D7">
              <w:rPr>
                <w:rFonts w:eastAsia="Times New Roman"/>
                <w:color w:val="000000"/>
                <w:sz w:val="20"/>
                <w:szCs w:val="20"/>
              </w:rPr>
              <w:t xml:space="preserve">Период </w:t>
            </w:r>
          </w:p>
        </w:tc>
        <w:tc>
          <w:tcPr>
            <w:tcW w:w="7938" w:type="dxa"/>
            <w:gridSpan w:val="5"/>
            <w:tcBorders>
              <w:top w:val="single" w:sz="8" w:space="0" w:color="auto"/>
              <w:left w:val="nil"/>
              <w:bottom w:val="single" w:sz="8" w:space="0" w:color="auto"/>
              <w:right w:val="single" w:sz="8" w:space="0" w:color="000000"/>
            </w:tcBorders>
            <w:vAlign w:val="center"/>
          </w:tcPr>
          <w:p w:rsidR="001E7B45" w:rsidRPr="001E02D7" w:rsidRDefault="001E7B45" w:rsidP="008C1AA9">
            <w:pPr>
              <w:spacing w:after="0" w:line="240" w:lineRule="auto"/>
              <w:jc w:val="center"/>
              <w:rPr>
                <w:rFonts w:eastAsia="Times New Roman"/>
                <w:color w:val="000000"/>
                <w:sz w:val="20"/>
                <w:szCs w:val="20"/>
              </w:rPr>
            </w:pPr>
            <w:r w:rsidRPr="001E02D7">
              <w:rPr>
                <w:rFonts w:eastAsia="Times New Roman"/>
                <w:color w:val="000000"/>
                <w:sz w:val="20"/>
                <w:szCs w:val="20"/>
              </w:rPr>
              <w:t>Сбытовая надбавка</w:t>
            </w:r>
          </w:p>
        </w:tc>
      </w:tr>
      <w:tr w:rsidR="001E7B45" w:rsidRPr="001E02D7" w:rsidTr="00D818A7">
        <w:trPr>
          <w:gridAfter w:val="1"/>
          <w:wAfter w:w="236" w:type="dxa"/>
          <w:trHeight w:val="431"/>
        </w:trPr>
        <w:tc>
          <w:tcPr>
            <w:tcW w:w="534" w:type="dxa"/>
            <w:vMerge/>
            <w:tcBorders>
              <w:top w:val="single" w:sz="8" w:space="0" w:color="auto"/>
              <w:left w:val="single" w:sz="8" w:space="0" w:color="auto"/>
              <w:bottom w:val="nil"/>
              <w:right w:val="single" w:sz="8" w:space="0" w:color="auto"/>
            </w:tcBorders>
            <w:vAlign w:val="center"/>
          </w:tcPr>
          <w:p w:rsidR="001E7B45" w:rsidRPr="001E02D7" w:rsidRDefault="001E7B45" w:rsidP="008C1AA9">
            <w:pPr>
              <w:spacing w:after="0" w:line="240" w:lineRule="auto"/>
              <w:jc w:val="center"/>
              <w:rPr>
                <w:rFonts w:eastAsia="Times New Roman"/>
                <w:color w:val="000000"/>
                <w:sz w:val="20"/>
                <w:szCs w:val="20"/>
              </w:rPr>
            </w:pPr>
          </w:p>
        </w:tc>
        <w:tc>
          <w:tcPr>
            <w:tcW w:w="1276" w:type="dxa"/>
            <w:vMerge/>
            <w:tcBorders>
              <w:top w:val="single" w:sz="8" w:space="0" w:color="auto"/>
              <w:left w:val="single" w:sz="8" w:space="0" w:color="auto"/>
              <w:bottom w:val="nil"/>
              <w:right w:val="single" w:sz="8" w:space="0" w:color="auto"/>
            </w:tcBorders>
            <w:vAlign w:val="center"/>
          </w:tcPr>
          <w:p w:rsidR="001E7B45" w:rsidRPr="001E02D7" w:rsidRDefault="001E7B45" w:rsidP="008C1AA9">
            <w:pPr>
              <w:spacing w:after="0" w:line="240" w:lineRule="auto"/>
              <w:jc w:val="center"/>
              <w:rPr>
                <w:rFonts w:eastAsia="Times New Roman"/>
                <w:color w:val="000000"/>
                <w:sz w:val="20"/>
                <w:szCs w:val="20"/>
              </w:rPr>
            </w:pPr>
          </w:p>
        </w:tc>
        <w:tc>
          <w:tcPr>
            <w:tcW w:w="1559" w:type="dxa"/>
            <w:vMerge w:val="restart"/>
            <w:tcBorders>
              <w:top w:val="nil"/>
              <w:left w:val="single" w:sz="8" w:space="0" w:color="auto"/>
              <w:bottom w:val="nil"/>
              <w:right w:val="single" w:sz="8" w:space="0" w:color="auto"/>
            </w:tcBorders>
            <w:vAlign w:val="center"/>
          </w:tcPr>
          <w:p w:rsidR="001E7B45" w:rsidRPr="001E02D7" w:rsidRDefault="001E7B45" w:rsidP="008C1AA9">
            <w:pPr>
              <w:tabs>
                <w:tab w:val="left" w:pos="-108"/>
              </w:tabs>
              <w:spacing w:after="0" w:line="240" w:lineRule="auto"/>
              <w:ind w:left="34" w:right="34"/>
              <w:jc w:val="center"/>
              <w:rPr>
                <w:rFonts w:eastAsia="Times New Roman"/>
                <w:color w:val="000000"/>
                <w:sz w:val="20"/>
                <w:szCs w:val="20"/>
              </w:rPr>
            </w:pPr>
            <w:r w:rsidRPr="001E02D7">
              <w:rPr>
                <w:rFonts w:eastAsia="Times New Roman"/>
                <w:color w:val="000000"/>
                <w:sz w:val="20"/>
                <w:szCs w:val="20"/>
              </w:rPr>
              <w:t>Тарифная группа</w:t>
            </w:r>
          </w:p>
          <w:p w:rsidR="001E7B45" w:rsidRPr="001E02D7" w:rsidRDefault="001E7B45" w:rsidP="008C1AA9">
            <w:pPr>
              <w:tabs>
                <w:tab w:val="left" w:pos="-108"/>
              </w:tabs>
              <w:spacing w:after="0" w:line="240" w:lineRule="auto"/>
              <w:ind w:left="34" w:right="34"/>
              <w:jc w:val="center"/>
              <w:rPr>
                <w:rFonts w:eastAsia="Times New Roman"/>
                <w:color w:val="000000"/>
                <w:sz w:val="20"/>
                <w:szCs w:val="20"/>
              </w:rPr>
            </w:pPr>
            <w:r w:rsidRPr="001E02D7">
              <w:rPr>
                <w:rFonts w:eastAsia="Times New Roman"/>
                <w:color w:val="000000"/>
                <w:sz w:val="20"/>
                <w:szCs w:val="20"/>
              </w:rPr>
              <w:t>«население</w:t>
            </w:r>
          </w:p>
          <w:p w:rsidR="001E7B45" w:rsidRPr="001E02D7" w:rsidRDefault="001E7B45" w:rsidP="008C1AA9">
            <w:pPr>
              <w:tabs>
                <w:tab w:val="left" w:pos="-108"/>
              </w:tabs>
              <w:spacing w:after="0" w:line="240" w:lineRule="auto"/>
              <w:ind w:left="34" w:right="34"/>
              <w:jc w:val="center"/>
              <w:rPr>
                <w:rFonts w:eastAsia="Times New Roman"/>
                <w:color w:val="000000"/>
                <w:sz w:val="20"/>
                <w:szCs w:val="20"/>
              </w:rPr>
            </w:pPr>
            <w:r w:rsidRPr="001E02D7">
              <w:rPr>
                <w:rFonts w:eastAsia="Times New Roman"/>
                <w:color w:val="000000"/>
                <w:sz w:val="20"/>
                <w:szCs w:val="20"/>
              </w:rPr>
              <w:t>и приравнен-</w:t>
            </w:r>
          </w:p>
          <w:p w:rsidR="001E7B45" w:rsidRPr="001E02D7" w:rsidRDefault="001E7B45" w:rsidP="008C1AA9">
            <w:pPr>
              <w:tabs>
                <w:tab w:val="left" w:pos="-108"/>
              </w:tabs>
              <w:spacing w:after="0" w:line="240" w:lineRule="auto"/>
              <w:ind w:left="34" w:right="34"/>
              <w:jc w:val="center"/>
              <w:rPr>
                <w:rFonts w:eastAsia="Times New Roman"/>
                <w:color w:val="000000"/>
                <w:sz w:val="20"/>
                <w:szCs w:val="20"/>
              </w:rPr>
            </w:pPr>
            <w:r w:rsidRPr="001E02D7">
              <w:rPr>
                <w:rFonts w:eastAsia="Times New Roman"/>
                <w:color w:val="000000"/>
                <w:sz w:val="20"/>
                <w:szCs w:val="20"/>
              </w:rPr>
              <w:t>ные</w:t>
            </w:r>
          </w:p>
          <w:p w:rsidR="001E7B45" w:rsidRPr="001E02D7" w:rsidRDefault="001E7B45" w:rsidP="008C1AA9">
            <w:pPr>
              <w:tabs>
                <w:tab w:val="left" w:pos="-108"/>
              </w:tabs>
              <w:spacing w:after="0" w:line="240" w:lineRule="auto"/>
              <w:ind w:left="34" w:right="34"/>
              <w:jc w:val="center"/>
              <w:rPr>
                <w:rFonts w:eastAsia="Times New Roman"/>
                <w:color w:val="000000"/>
                <w:sz w:val="20"/>
                <w:szCs w:val="20"/>
              </w:rPr>
            </w:pPr>
            <w:r w:rsidRPr="001E02D7">
              <w:rPr>
                <w:rFonts w:eastAsia="Times New Roman"/>
                <w:color w:val="000000"/>
                <w:sz w:val="20"/>
                <w:szCs w:val="20"/>
              </w:rPr>
              <w:t>к нему категории потребите-</w:t>
            </w:r>
          </w:p>
          <w:p w:rsidR="001E7B45" w:rsidRPr="001E02D7" w:rsidRDefault="001E7B45" w:rsidP="008C1AA9">
            <w:pPr>
              <w:tabs>
                <w:tab w:val="left" w:pos="-108"/>
              </w:tabs>
              <w:spacing w:after="0" w:line="240" w:lineRule="auto"/>
              <w:ind w:left="34" w:right="34"/>
              <w:jc w:val="center"/>
              <w:rPr>
                <w:rFonts w:eastAsia="Times New Roman"/>
                <w:color w:val="000000"/>
                <w:sz w:val="20"/>
                <w:szCs w:val="20"/>
              </w:rPr>
            </w:pPr>
            <w:r w:rsidRPr="001E02D7">
              <w:rPr>
                <w:rFonts w:eastAsia="Times New Roman"/>
                <w:color w:val="000000"/>
                <w:sz w:val="20"/>
                <w:szCs w:val="20"/>
              </w:rPr>
              <w:t>лей»</w:t>
            </w:r>
          </w:p>
        </w:tc>
        <w:tc>
          <w:tcPr>
            <w:tcW w:w="1701" w:type="dxa"/>
            <w:vMerge w:val="restart"/>
            <w:tcBorders>
              <w:top w:val="nil"/>
              <w:left w:val="single" w:sz="8" w:space="0" w:color="auto"/>
              <w:bottom w:val="nil"/>
              <w:right w:val="single" w:sz="8" w:space="0" w:color="auto"/>
            </w:tcBorders>
            <w:vAlign w:val="center"/>
          </w:tcPr>
          <w:p w:rsidR="001E7B45" w:rsidRPr="001E02D7" w:rsidRDefault="001E7B45" w:rsidP="008C1AA9">
            <w:pPr>
              <w:spacing w:after="0" w:line="240" w:lineRule="auto"/>
              <w:jc w:val="center"/>
              <w:rPr>
                <w:rFonts w:eastAsia="Times New Roman"/>
                <w:color w:val="000000"/>
                <w:sz w:val="20"/>
                <w:szCs w:val="20"/>
              </w:rPr>
            </w:pPr>
            <w:r w:rsidRPr="001E02D7">
              <w:rPr>
                <w:rFonts w:eastAsia="Times New Roman"/>
                <w:color w:val="000000"/>
                <w:sz w:val="20"/>
                <w:szCs w:val="20"/>
              </w:rPr>
              <w:t>Тарифная группа   «сетевые организации, покупающие электрическую энергию для компенсации потерь электрической энергии»</w:t>
            </w:r>
          </w:p>
        </w:tc>
        <w:tc>
          <w:tcPr>
            <w:tcW w:w="4678" w:type="dxa"/>
            <w:gridSpan w:val="3"/>
            <w:tcBorders>
              <w:top w:val="nil"/>
              <w:left w:val="nil"/>
              <w:right w:val="single" w:sz="8" w:space="0" w:color="auto"/>
            </w:tcBorders>
            <w:vAlign w:val="center"/>
          </w:tcPr>
          <w:p w:rsidR="001E7B45" w:rsidRPr="001E02D7" w:rsidRDefault="001E7B45" w:rsidP="008C1AA9">
            <w:pPr>
              <w:spacing w:after="0" w:line="240" w:lineRule="auto"/>
              <w:jc w:val="center"/>
              <w:rPr>
                <w:rFonts w:eastAsia="Times New Roman"/>
                <w:color w:val="000000"/>
                <w:sz w:val="20"/>
                <w:szCs w:val="20"/>
              </w:rPr>
            </w:pPr>
            <w:r w:rsidRPr="001E02D7">
              <w:rPr>
                <w:rFonts w:eastAsia="Times New Roman"/>
                <w:color w:val="000000"/>
                <w:sz w:val="20"/>
                <w:szCs w:val="20"/>
              </w:rPr>
              <w:t>Тарифная группа «Прочие потребители»</w:t>
            </w:r>
          </w:p>
        </w:tc>
      </w:tr>
      <w:tr w:rsidR="001E7B45" w:rsidRPr="001E02D7" w:rsidTr="00D818A7">
        <w:trPr>
          <w:trHeight w:val="516"/>
        </w:trPr>
        <w:tc>
          <w:tcPr>
            <w:tcW w:w="534" w:type="dxa"/>
            <w:vMerge/>
            <w:tcBorders>
              <w:top w:val="single" w:sz="8" w:space="0" w:color="auto"/>
              <w:left w:val="single" w:sz="8" w:space="0" w:color="auto"/>
              <w:bottom w:val="single" w:sz="8" w:space="0" w:color="auto"/>
              <w:right w:val="single" w:sz="8" w:space="0" w:color="auto"/>
            </w:tcBorders>
            <w:vAlign w:val="center"/>
          </w:tcPr>
          <w:p w:rsidR="001E7B45" w:rsidRPr="001E02D7" w:rsidRDefault="001E7B45" w:rsidP="008C1AA9">
            <w:pPr>
              <w:spacing w:after="0" w:line="240" w:lineRule="auto"/>
              <w:jc w:val="center"/>
              <w:rPr>
                <w:rFonts w:eastAsia="Times New Roman"/>
                <w:color w:val="000000"/>
                <w:sz w:val="20"/>
                <w:szCs w:val="20"/>
              </w:rPr>
            </w:pPr>
          </w:p>
        </w:tc>
        <w:tc>
          <w:tcPr>
            <w:tcW w:w="1276" w:type="dxa"/>
            <w:vMerge/>
            <w:tcBorders>
              <w:top w:val="single" w:sz="8" w:space="0" w:color="auto"/>
              <w:left w:val="single" w:sz="8" w:space="0" w:color="auto"/>
              <w:bottom w:val="single" w:sz="8" w:space="0" w:color="auto"/>
              <w:right w:val="single" w:sz="8" w:space="0" w:color="auto"/>
            </w:tcBorders>
            <w:vAlign w:val="center"/>
          </w:tcPr>
          <w:p w:rsidR="001E7B45" w:rsidRPr="001E02D7" w:rsidRDefault="001E7B45" w:rsidP="008C1AA9">
            <w:pPr>
              <w:spacing w:after="0" w:line="240" w:lineRule="auto"/>
              <w:jc w:val="center"/>
              <w:rPr>
                <w:rFonts w:eastAsia="Times New Roman"/>
                <w:color w:val="000000"/>
                <w:sz w:val="20"/>
                <w:szCs w:val="20"/>
              </w:rPr>
            </w:pPr>
          </w:p>
        </w:tc>
        <w:tc>
          <w:tcPr>
            <w:tcW w:w="1559" w:type="dxa"/>
            <w:vMerge/>
            <w:tcBorders>
              <w:top w:val="nil"/>
              <w:left w:val="single" w:sz="8" w:space="0" w:color="auto"/>
              <w:bottom w:val="single" w:sz="8" w:space="0" w:color="auto"/>
              <w:right w:val="single" w:sz="8" w:space="0" w:color="auto"/>
            </w:tcBorders>
            <w:vAlign w:val="center"/>
          </w:tcPr>
          <w:p w:rsidR="001E7B45" w:rsidRPr="001E02D7" w:rsidRDefault="001E7B45" w:rsidP="008C1AA9">
            <w:pPr>
              <w:spacing w:after="0" w:line="240" w:lineRule="auto"/>
              <w:jc w:val="center"/>
              <w:rPr>
                <w:rFonts w:eastAsia="Times New Roman"/>
                <w:color w:val="000000"/>
                <w:sz w:val="20"/>
                <w:szCs w:val="20"/>
              </w:rPr>
            </w:pPr>
          </w:p>
        </w:tc>
        <w:tc>
          <w:tcPr>
            <w:tcW w:w="1701" w:type="dxa"/>
            <w:vMerge/>
            <w:tcBorders>
              <w:top w:val="nil"/>
              <w:left w:val="single" w:sz="8" w:space="0" w:color="auto"/>
              <w:bottom w:val="single" w:sz="8" w:space="0" w:color="auto"/>
              <w:right w:val="single" w:sz="8" w:space="0" w:color="auto"/>
            </w:tcBorders>
            <w:vAlign w:val="center"/>
          </w:tcPr>
          <w:p w:rsidR="001E7B45" w:rsidRPr="001E02D7" w:rsidRDefault="001E7B45" w:rsidP="008C1AA9">
            <w:pPr>
              <w:spacing w:after="0" w:line="240" w:lineRule="auto"/>
              <w:jc w:val="center"/>
              <w:rPr>
                <w:rFonts w:eastAsia="Times New Roman"/>
                <w:color w:val="000000"/>
                <w:sz w:val="20"/>
                <w:szCs w:val="20"/>
              </w:rPr>
            </w:pPr>
          </w:p>
        </w:tc>
        <w:tc>
          <w:tcPr>
            <w:tcW w:w="4678" w:type="dxa"/>
            <w:gridSpan w:val="3"/>
            <w:tcBorders>
              <w:top w:val="single" w:sz="8" w:space="0" w:color="auto"/>
              <w:left w:val="nil"/>
              <w:bottom w:val="single" w:sz="8" w:space="0" w:color="auto"/>
              <w:right w:val="single" w:sz="8" w:space="0" w:color="000000"/>
            </w:tcBorders>
            <w:vAlign w:val="center"/>
          </w:tcPr>
          <w:p w:rsidR="001E7B45" w:rsidRPr="001E02D7" w:rsidRDefault="001E7B45" w:rsidP="008C1AA9">
            <w:pPr>
              <w:spacing w:after="0" w:line="240" w:lineRule="auto"/>
              <w:jc w:val="center"/>
              <w:rPr>
                <w:rFonts w:eastAsia="Times New Roman"/>
                <w:color w:val="000000"/>
                <w:sz w:val="20"/>
                <w:szCs w:val="20"/>
              </w:rPr>
            </w:pPr>
            <w:r w:rsidRPr="001E02D7">
              <w:rPr>
                <w:rFonts w:eastAsia="Times New Roman"/>
                <w:color w:val="000000"/>
                <w:sz w:val="20"/>
                <w:szCs w:val="20"/>
              </w:rPr>
              <w:t>Подгруппы в зависимости от величины максимальной мощности принадлежащим потребителям энергопринимающих устройств</w:t>
            </w:r>
          </w:p>
        </w:tc>
        <w:tc>
          <w:tcPr>
            <w:tcW w:w="236" w:type="dxa"/>
            <w:vAlign w:val="center"/>
          </w:tcPr>
          <w:p w:rsidR="001E7B45" w:rsidRPr="001E02D7" w:rsidRDefault="001E7B45" w:rsidP="008C1AA9">
            <w:pPr>
              <w:spacing w:after="0" w:line="240" w:lineRule="auto"/>
              <w:rPr>
                <w:rFonts w:ascii="Calibri" w:eastAsia="Times New Roman" w:hAnsi="Calibri"/>
                <w:color w:val="000000"/>
                <w:sz w:val="20"/>
                <w:szCs w:val="20"/>
              </w:rPr>
            </w:pPr>
          </w:p>
        </w:tc>
      </w:tr>
      <w:tr w:rsidR="001E7B45" w:rsidRPr="001E02D7" w:rsidTr="00D818A7">
        <w:trPr>
          <w:gridAfter w:val="1"/>
          <w:wAfter w:w="236" w:type="dxa"/>
          <w:trHeight w:val="544"/>
        </w:trPr>
        <w:tc>
          <w:tcPr>
            <w:tcW w:w="534" w:type="dxa"/>
            <w:vMerge/>
            <w:tcBorders>
              <w:top w:val="single" w:sz="8" w:space="0" w:color="auto"/>
              <w:left w:val="single" w:sz="8" w:space="0" w:color="auto"/>
              <w:bottom w:val="single" w:sz="4" w:space="0" w:color="auto"/>
              <w:right w:val="single" w:sz="8" w:space="0" w:color="auto"/>
            </w:tcBorders>
            <w:vAlign w:val="center"/>
          </w:tcPr>
          <w:p w:rsidR="001E7B45" w:rsidRPr="001E02D7" w:rsidRDefault="001E7B45" w:rsidP="008C1AA9">
            <w:pPr>
              <w:spacing w:after="0" w:line="240" w:lineRule="auto"/>
              <w:rPr>
                <w:rFonts w:eastAsia="Times New Roman"/>
                <w:color w:val="000000"/>
                <w:sz w:val="20"/>
                <w:szCs w:val="20"/>
              </w:rPr>
            </w:pPr>
          </w:p>
        </w:tc>
        <w:tc>
          <w:tcPr>
            <w:tcW w:w="1276" w:type="dxa"/>
            <w:vMerge/>
            <w:tcBorders>
              <w:top w:val="single" w:sz="8" w:space="0" w:color="auto"/>
              <w:left w:val="single" w:sz="8" w:space="0" w:color="auto"/>
              <w:bottom w:val="single" w:sz="4" w:space="0" w:color="auto"/>
              <w:right w:val="single" w:sz="8" w:space="0" w:color="auto"/>
            </w:tcBorders>
            <w:vAlign w:val="center"/>
          </w:tcPr>
          <w:p w:rsidR="001E7B45" w:rsidRPr="001E02D7" w:rsidRDefault="001E7B45" w:rsidP="008C1AA9">
            <w:pPr>
              <w:spacing w:after="0" w:line="240" w:lineRule="auto"/>
              <w:rPr>
                <w:rFonts w:eastAsia="Times New Roman"/>
                <w:color w:val="000000"/>
                <w:sz w:val="20"/>
                <w:szCs w:val="20"/>
              </w:rPr>
            </w:pPr>
          </w:p>
        </w:tc>
        <w:tc>
          <w:tcPr>
            <w:tcW w:w="1559" w:type="dxa"/>
            <w:vMerge/>
            <w:tcBorders>
              <w:top w:val="single" w:sz="8" w:space="0" w:color="auto"/>
              <w:left w:val="single" w:sz="8" w:space="0" w:color="auto"/>
              <w:bottom w:val="single" w:sz="4" w:space="0" w:color="auto"/>
              <w:right w:val="single" w:sz="8" w:space="0" w:color="auto"/>
            </w:tcBorders>
            <w:vAlign w:val="center"/>
          </w:tcPr>
          <w:p w:rsidR="001E7B45" w:rsidRPr="001E02D7" w:rsidRDefault="001E7B45" w:rsidP="008C1AA9">
            <w:pPr>
              <w:spacing w:after="0" w:line="240" w:lineRule="auto"/>
              <w:rPr>
                <w:rFonts w:eastAsia="Times New Roman"/>
                <w:color w:val="000000"/>
                <w:sz w:val="20"/>
                <w:szCs w:val="20"/>
              </w:rPr>
            </w:pPr>
          </w:p>
        </w:tc>
        <w:tc>
          <w:tcPr>
            <w:tcW w:w="1701" w:type="dxa"/>
            <w:vMerge/>
            <w:tcBorders>
              <w:top w:val="single" w:sz="8" w:space="0" w:color="auto"/>
              <w:left w:val="single" w:sz="8" w:space="0" w:color="auto"/>
              <w:bottom w:val="single" w:sz="4" w:space="0" w:color="auto"/>
              <w:right w:val="single" w:sz="8" w:space="0" w:color="auto"/>
            </w:tcBorders>
            <w:vAlign w:val="center"/>
          </w:tcPr>
          <w:p w:rsidR="001E7B45" w:rsidRPr="001E02D7" w:rsidRDefault="001E7B45" w:rsidP="008C1AA9">
            <w:pPr>
              <w:spacing w:after="0" w:line="240" w:lineRule="auto"/>
              <w:rPr>
                <w:rFonts w:eastAsia="Times New Roman"/>
                <w:color w:val="000000"/>
                <w:sz w:val="20"/>
                <w:szCs w:val="20"/>
              </w:rPr>
            </w:pPr>
          </w:p>
        </w:tc>
        <w:tc>
          <w:tcPr>
            <w:tcW w:w="1560" w:type="dxa"/>
            <w:tcBorders>
              <w:top w:val="single" w:sz="8" w:space="0" w:color="auto"/>
              <w:left w:val="nil"/>
              <w:bottom w:val="single" w:sz="8" w:space="0" w:color="auto"/>
              <w:right w:val="single" w:sz="8" w:space="0" w:color="auto"/>
            </w:tcBorders>
            <w:vAlign w:val="center"/>
          </w:tcPr>
          <w:p w:rsidR="001E7B45" w:rsidRPr="001E02D7" w:rsidRDefault="001E7B45" w:rsidP="008C1AA9">
            <w:pPr>
              <w:spacing w:after="0" w:line="240" w:lineRule="auto"/>
              <w:jc w:val="center"/>
              <w:rPr>
                <w:rFonts w:eastAsia="Times New Roman"/>
                <w:color w:val="000000"/>
                <w:sz w:val="20"/>
                <w:szCs w:val="20"/>
              </w:rPr>
            </w:pPr>
            <w:r w:rsidRPr="001E02D7">
              <w:rPr>
                <w:rFonts w:eastAsia="Times New Roman"/>
                <w:color w:val="000000"/>
                <w:sz w:val="20"/>
                <w:szCs w:val="20"/>
              </w:rPr>
              <w:t>подгруппа менее 670 кВт</w:t>
            </w:r>
          </w:p>
        </w:tc>
        <w:tc>
          <w:tcPr>
            <w:tcW w:w="1559" w:type="dxa"/>
            <w:tcBorders>
              <w:top w:val="single" w:sz="8" w:space="0" w:color="auto"/>
              <w:left w:val="nil"/>
              <w:bottom w:val="single" w:sz="8" w:space="0" w:color="auto"/>
              <w:right w:val="single" w:sz="8" w:space="0" w:color="auto"/>
            </w:tcBorders>
            <w:vAlign w:val="center"/>
          </w:tcPr>
          <w:p w:rsidR="001E7B45" w:rsidRPr="001E02D7" w:rsidRDefault="001E7B45" w:rsidP="008C1AA9">
            <w:pPr>
              <w:spacing w:after="0" w:line="240" w:lineRule="auto"/>
              <w:jc w:val="center"/>
              <w:rPr>
                <w:rFonts w:eastAsia="Times New Roman"/>
                <w:color w:val="000000"/>
                <w:sz w:val="20"/>
                <w:szCs w:val="20"/>
              </w:rPr>
            </w:pPr>
            <w:r w:rsidRPr="001E02D7">
              <w:rPr>
                <w:rFonts w:eastAsia="Times New Roman"/>
                <w:color w:val="000000"/>
                <w:sz w:val="20"/>
                <w:szCs w:val="20"/>
              </w:rPr>
              <w:t>подгруппа от 670 кВт до 10 МВт</w:t>
            </w:r>
          </w:p>
        </w:tc>
        <w:tc>
          <w:tcPr>
            <w:tcW w:w="1559" w:type="dxa"/>
            <w:tcBorders>
              <w:top w:val="single" w:sz="8" w:space="0" w:color="auto"/>
              <w:left w:val="nil"/>
              <w:bottom w:val="single" w:sz="8" w:space="0" w:color="auto"/>
              <w:right w:val="single" w:sz="8" w:space="0" w:color="auto"/>
            </w:tcBorders>
            <w:vAlign w:val="center"/>
          </w:tcPr>
          <w:p w:rsidR="001E7B45" w:rsidRPr="001E02D7" w:rsidRDefault="001E7B45" w:rsidP="008C1AA9">
            <w:pPr>
              <w:spacing w:after="0" w:line="240" w:lineRule="auto"/>
              <w:jc w:val="center"/>
              <w:rPr>
                <w:rFonts w:eastAsia="Times New Roman"/>
                <w:color w:val="000000"/>
                <w:sz w:val="20"/>
                <w:szCs w:val="20"/>
              </w:rPr>
            </w:pPr>
            <w:r w:rsidRPr="001E02D7">
              <w:rPr>
                <w:rFonts w:eastAsia="Times New Roman"/>
                <w:color w:val="000000"/>
                <w:sz w:val="20"/>
                <w:szCs w:val="20"/>
              </w:rPr>
              <w:t>подгруппа не менее  10 МВт</w:t>
            </w:r>
          </w:p>
        </w:tc>
      </w:tr>
      <w:tr w:rsidR="001E7B45" w:rsidRPr="001E02D7" w:rsidTr="00D818A7">
        <w:trPr>
          <w:gridAfter w:val="1"/>
          <w:wAfter w:w="236" w:type="dxa"/>
          <w:trHeight w:val="190"/>
        </w:trPr>
        <w:tc>
          <w:tcPr>
            <w:tcW w:w="534" w:type="dxa"/>
            <w:tcBorders>
              <w:top w:val="single" w:sz="4" w:space="0" w:color="auto"/>
              <w:left w:val="single" w:sz="8" w:space="0" w:color="auto"/>
              <w:bottom w:val="single" w:sz="4" w:space="0" w:color="auto"/>
              <w:right w:val="single" w:sz="8" w:space="0" w:color="auto"/>
            </w:tcBorders>
            <w:vAlign w:val="center"/>
          </w:tcPr>
          <w:p w:rsidR="001E7B45" w:rsidRPr="001E02D7" w:rsidRDefault="001E7B45" w:rsidP="008C1AA9">
            <w:pPr>
              <w:spacing w:after="0" w:line="240" w:lineRule="auto"/>
              <w:jc w:val="center"/>
              <w:rPr>
                <w:rFonts w:eastAsia="Times New Roman"/>
                <w:color w:val="000000"/>
                <w:sz w:val="20"/>
                <w:szCs w:val="20"/>
              </w:rPr>
            </w:pPr>
          </w:p>
        </w:tc>
        <w:tc>
          <w:tcPr>
            <w:tcW w:w="1276" w:type="dxa"/>
            <w:tcBorders>
              <w:top w:val="single" w:sz="4" w:space="0" w:color="auto"/>
              <w:left w:val="single" w:sz="8" w:space="0" w:color="auto"/>
              <w:bottom w:val="single" w:sz="4" w:space="0" w:color="auto"/>
              <w:right w:val="single" w:sz="8" w:space="0" w:color="auto"/>
            </w:tcBorders>
            <w:vAlign w:val="center"/>
          </w:tcPr>
          <w:p w:rsidR="001E7B45" w:rsidRPr="001E02D7" w:rsidRDefault="001E7B45" w:rsidP="008C1AA9">
            <w:pPr>
              <w:spacing w:after="0" w:line="240" w:lineRule="auto"/>
              <w:jc w:val="center"/>
              <w:rPr>
                <w:rFonts w:eastAsia="Times New Roman"/>
                <w:color w:val="000000"/>
                <w:sz w:val="20"/>
                <w:szCs w:val="20"/>
              </w:rPr>
            </w:pPr>
          </w:p>
        </w:tc>
        <w:tc>
          <w:tcPr>
            <w:tcW w:w="1559" w:type="dxa"/>
            <w:tcBorders>
              <w:top w:val="single" w:sz="4" w:space="0" w:color="auto"/>
              <w:left w:val="nil"/>
              <w:bottom w:val="single" w:sz="4" w:space="0" w:color="auto"/>
              <w:right w:val="single" w:sz="8" w:space="0" w:color="auto"/>
            </w:tcBorders>
            <w:vAlign w:val="center"/>
          </w:tcPr>
          <w:p w:rsidR="001E7B45" w:rsidRPr="001E02D7" w:rsidRDefault="001E7B45" w:rsidP="008C1AA9">
            <w:pPr>
              <w:spacing w:after="0" w:line="240" w:lineRule="auto"/>
              <w:jc w:val="center"/>
              <w:rPr>
                <w:rFonts w:eastAsia="Times New Roman"/>
                <w:color w:val="000000"/>
                <w:sz w:val="20"/>
                <w:szCs w:val="20"/>
              </w:rPr>
            </w:pPr>
            <w:r w:rsidRPr="001E02D7">
              <w:rPr>
                <w:rFonts w:eastAsia="Times New Roman"/>
                <w:color w:val="000000"/>
                <w:sz w:val="20"/>
                <w:szCs w:val="20"/>
              </w:rPr>
              <w:t>руб./кВт·ч</w:t>
            </w:r>
          </w:p>
        </w:tc>
        <w:tc>
          <w:tcPr>
            <w:tcW w:w="1701" w:type="dxa"/>
            <w:tcBorders>
              <w:top w:val="single" w:sz="4" w:space="0" w:color="auto"/>
              <w:left w:val="nil"/>
              <w:bottom w:val="single" w:sz="4" w:space="0" w:color="auto"/>
              <w:right w:val="single" w:sz="8" w:space="0" w:color="auto"/>
            </w:tcBorders>
            <w:vAlign w:val="center"/>
          </w:tcPr>
          <w:p w:rsidR="001E7B45" w:rsidRPr="001E02D7" w:rsidRDefault="001E7B45" w:rsidP="008C1AA9">
            <w:pPr>
              <w:spacing w:after="0" w:line="240" w:lineRule="auto"/>
              <w:jc w:val="center"/>
              <w:rPr>
                <w:rFonts w:eastAsia="Times New Roman"/>
                <w:color w:val="000000"/>
                <w:sz w:val="20"/>
                <w:szCs w:val="20"/>
              </w:rPr>
            </w:pPr>
            <w:r w:rsidRPr="001E02D7">
              <w:rPr>
                <w:rFonts w:eastAsia="Times New Roman"/>
                <w:color w:val="000000"/>
                <w:sz w:val="20"/>
                <w:szCs w:val="20"/>
              </w:rPr>
              <w:t>руб./кВт·ч</w:t>
            </w:r>
          </w:p>
        </w:tc>
        <w:tc>
          <w:tcPr>
            <w:tcW w:w="1560" w:type="dxa"/>
            <w:tcBorders>
              <w:top w:val="nil"/>
              <w:left w:val="nil"/>
              <w:bottom w:val="single" w:sz="4" w:space="0" w:color="auto"/>
              <w:right w:val="single" w:sz="8" w:space="0" w:color="auto"/>
            </w:tcBorders>
            <w:vAlign w:val="center"/>
          </w:tcPr>
          <w:p w:rsidR="001E7B45" w:rsidRPr="001E02D7" w:rsidRDefault="001E7B45" w:rsidP="008C1AA9">
            <w:pPr>
              <w:spacing w:after="0" w:line="240" w:lineRule="auto"/>
              <w:jc w:val="center"/>
              <w:rPr>
                <w:rFonts w:eastAsia="Times New Roman"/>
                <w:color w:val="000000"/>
                <w:sz w:val="20"/>
                <w:szCs w:val="20"/>
              </w:rPr>
            </w:pPr>
            <w:r w:rsidRPr="001E02D7">
              <w:rPr>
                <w:rFonts w:eastAsia="Times New Roman"/>
                <w:color w:val="000000"/>
                <w:sz w:val="20"/>
                <w:szCs w:val="20"/>
              </w:rPr>
              <w:t xml:space="preserve">руб./кВт·ч </w:t>
            </w:r>
          </w:p>
        </w:tc>
        <w:tc>
          <w:tcPr>
            <w:tcW w:w="1559" w:type="dxa"/>
            <w:tcBorders>
              <w:top w:val="nil"/>
              <w:left w:val="nil"/>
              <w:bottom w:val="single" w:sz="4" w:space="0" w:color="auto"/>
              <w:right w:val="single" w:sz="8" w:space="0" w:color="auto"/>
            </w:tcBorders>
            <w:vAlign w:val="center"/>
          </w:tcPr>
          <w:p w:rsidR="001E7B45" w:rsidRPr="001E02D7" w:rsidRDefault="001E7B45" w:rsidP="008C1AA9">
            <w:pPr>
              <w:spacing w:after="0" w:line="240" w:lineRule="auto"/>
              <w:jc w:val="center"/>
              <w:rPr>
                <w:rFonts w:eastAsia="Times New Roman"/>
                <w:color w:val="000000"/>
                <w:sz w:val="20"/>
                <w:szCs w:val="20"/>
              </w:rPr>
            </w:pPr>
            <w:r w:rsidRPr="001E02D7">
              <w:rPr>
                <w:rFonts w:eastAsia="Times New Roman"/>
                <w:color w:val="000000"/>
                <w:sz w:val="20"/>
                <w:szCs w:val="20"/>
              </w:rPr>
              <w:t xml:space="preserve">руб./кВт·ч </w:t>
            </w:r>
          </w:p>
        </w:tc>
        <w:tc>
          <w:tcPr>
            <w:tcW w:w="1559" w:type="dxa"/>
            <w:tcBorders>
              <w:top w:val="nil"/>
              <w:left w:val="nil"/>
              <w:bottom w:val="single" w:sz="4" w:space="0" w:color="auto"/>
              <w:right w:val="single" w:sz="8" w:space="0" w:color="auto"/>
            </w:tcBorders>
            <w:vAlign w:val="center"/>
          </w:tcPr>
          <w:p w:rsidR="001E7B45" w:rsidRPr="001E02D7" w:rsidRDefault="001E7B45" w:rsidP="008C1AA9">
            <w:pPr>
              <w:spacing w:after="0" w:line="240" w:lineRule="auto"/>
              <w:jc w:val="center"/>
              <w:rPr>
                <w:rFonts w:eastAsia="Times New Roman"/>
                <w:color w:val="000000"/>
                <w:sz w:val="20"/>
                <w:szCs w:val="20"/>
              </w:rPr>
            </w:pPr>
            <w:r w:rsidRPr="001E02D7">
              <w:rPr>
                <w:rFonts w:eastAsia="Times New Roman"/>
                <w:color w:val="000000"/>
                <w:sz w:val="20"/>
                <w:szCs w:val="20"/>
              </w:rPr>
              <w:t xml:space="preserve">руб./кВт·ч </w:t>
            </w:r>
          </w:p>
        </w:tc>
      </w:tr>
      <w:tr w:rsidR="001E7B45" w:rsidRPr="001E02D7" w:rsidTr="00D818A7">
        <w:trPr>
          <w:gridAfter w:val="1"/>
          <w:wAfter w:w="236" w:type="dxa"/>
          <w:trHeight w:val="239"/>
        </w:trPr>
        <w:tc>
          <w:tcPr>
            <w:tcW w:w="534" w:type="dxa"/>
            <w:tcBorders>
              <w:top w:val="single" w:sz="4" w:space="0" w:color="auto"/>
              <w:left w:val="single" w:sz="4" w:space="0" w:color="auto"/>
              <w:bottom w:val="single" w:sz="4" w:space="0" w:color="auto"/>
              <w:right w:val="single" w:sz="8" w:space="0" w:color="auto"/>
            </w:tcBorders>
            <w:vAlign w:val="center"/>
          </w:tcPr>
          <w:p w:rsidR="001E7B45" w:rsidRPr="001E02D7" w:rsidRDefault="001E7B45" w:rsidP="008C1AA9">
            <w:pPr>
              <w:spacing w:after="0" w:line="240" w:lineRule="auto"/>
              <w:jc w:val="center"/>
              <w:rPr>
                <w:rFonts w:eastAsia="Times New Roman"/>
                <w:color w:val="000000"/>
                <w:sz w:val="20"/>
                <w:szCs w:val="20"/>
              </w:rPr>
            </w:pPr>
            <w:r w:rsidRPr="001E02D7">
              <w:rPr>
                <w:rFonts w:eastAsia="Times New Roman"/>
                <w:color w:val="000000"/>
                <w:sz w:val="20"/>
                <w:szCs w:val="20"/>
              </w:rPr>
              <w:t>1</w:t>
            </w:r>
          </w:p>
        </w:tc>
        <w:tc>
          <w:tcPr>
            <w:tcW w:w="1276" w:type="dxa"/>
            <w:tcBorders>
              <w:top w:val="single" w:sz="4" w:space="0" w:color="auto"/>
              <w:left w:val="nil"/>
              <w:bottom w:val="single" w:sz="4" w:space="0" w:color="auto"/>
              <w:right w:val="single" w:sz="8" w:space="0" w:color="auto"/>
            </w:tcBorders>
            <w:vAlign w:val="center"/>
          </w:tcPr>
          <w:p w:rsidR="001E7B45" w:rsidRPr="001E02D7" w:rsidRDefault="001E7B45" w:rsidP="008C1AA9">
            <w:pPr>
              <w:spacing w:after="0" w:line="240" w:lineRule="auto"/>
              <w:jc w:val="center"/>
              <w:rPr>
                <w:rFonts w:eastAsia="Times New Roman"/>
                <w:sz w:val="20"/>
                <w:szCs w:val="20"/>
              </w:rPr>
            </w:pPr>
            <w:r w:rsidRPr="001E02D7">
              <w:rPr>
                <w:rFonts w:eastAsia="Times New Roman"/>
                <w:sz w:val="20"/>
                <w:szCs w:val="20"/>
              </w:rPr>
              <w:t>2</w:t>
            </w:r>
          </w:p>
        </w:tc>
        <w:tc>
          <w:tcPr>
            <w:tcW w:w="1559" w:type="dxa"/>
            <w:tcBorders>
              <w:top w:val="single" w:sz="4" w:space="0" w:color="auto"/>
              <w:left w:val="nil"/>
              <w:bottom w:val="single" w:sz="4" w:space="0" w:color="auto"/>
              <w:right w:val="single" w:sz="8" w:space="0" w:color="auto"/>
            </w:tcBorders>
            <w:vAlign w:val="center"/>
          </w:tcPr>
          <w:p w:rsidR="001E7B45" w:rsidRPr="001E02D7" w:rsidRDefault="001E7B45" w:rsidP="008C1AA9">
            <w:pPr>
              <w:spacing w:after="0" w:line="240" w:lineRule="auto"/>
              <w:jc w:val="center"/>
              <w:rPr>
                <w:rFonts w:eastAsia="Times New Roman"/>
                <w:color w:val="000000"/>
                <w:sz w:val="20"/>
                <w:szCs w:val="20"/>
              </w:rPr>
            </w:pPr>
            <w:r w:rsidRPr="001E02D7">
              <w:rPr>
                <w:rFonts w:eastAsia="Times New Roman"/>
                <w:color w:val="000000"/>
                <w:sz w:val="20"/>
                <w:szCs w:val="20"/>
              </w:rPr>
              <w:t>3</w:t>
            </w:r>
          </w:p>
        </w:tc>
        <w:tc>
          <w:tcPr>
            <w:tcW w:w="1701" w:type="dxa"/>
            <w:tcBorders>
              <w:top w:val="single" w:sz="4" w:space="0" w:color="auto"/>
              <w:left w:val="nil"/>
              <w:bottom w:val="single" w:sz="4" w:space="0" w:color="auto"/>
              <w:right w:val="single" w:sz="8" w:space="0" w:color="auto"/>
            </w:tcBorders>
            <w:vAlign w:val="center"/>
          </w:tcPr>
          <w:p w:rsidR="001E7B45" w:rsidRPr="001E02D7" w:rsidRDefault="001E7B45" w:rsidP="008C1AA9">
            <w:pPr>
              <w:spacing w:after="0" w:line="240" w:lineRule="auto"/>
              <w:jc w:val="center"/>
              <w:rPr>
                <w:rFonts w:eastAsia="Times New Roman"/>
                <w:color w:val="000000"/>
                <w:sz w:val="20"/>
                <w:szCs w:val="20"/>
              </w:rPr>
            </w:pPr>
            <w:r w:rsidRPr="001E02D7">
              <w:rPr>
                <w:rFonts w:eastAsia="Times New Roman"/>
                <w:color w:val="000000"/>
                <w:sz w:val="20"/>
                <w:szCs w:val="20"/>
              </w:rPr>
              <w:t>4</w:t>
            </w:r>
          </w:p>
        </w:tc>
        <w:tc>
          <w:tcPr>
            <w:tcW w:w="1560" w:type="dxa"/>
            <w:tcBorders>
              <w:top w:val="single" w:sz="4" w:space="0" w:color="auto"/>
              <w:left w:val="nil"/>
              <w:bottom w:val="single" w:sz="4" w:space="0" w:color="auto"/>
              <w:right w:val="single" w:sz="8" w:space="0" w:color="auto"/>
            </w:tcBorders>
            <w:vAlign w:val="center"/>
          </w:tcPr>
          <w:p w:rsidR="001E7B45" w:rsidRPr="001E02D7" w:rsidRDefault="001E7B45" w:rsidP="008C1AA9">
            <w:pPr>
              <w:spacing w:after="0" w:line="240" w:lineRule="auto"/>
              <w:jc w:val="center"/>
              <w:rPr>
                <w:rFonts w:eastAsia="Times New Roman"/>
                <w:color w:val="000000"/>
                <w:sz w:val="20"/>
                <w:szCs w:val="20"/>
              </w:rPr>
            </w:pPr>
            <w:r w:rsidRPr="001E02D7">
              <w:rPr>
                <w:rFonts w:eastAsia="Times New Roman"/>
                <w:color w:val="000000"/>
                <w:sz w:val="20"/>
                <w:szCs w:val="20"/>
              </w:rPr>
              <w:t>5</w:t>
            </w:r>
          </w:p>
        </w:tc>
        <w:tc>
          <w:tcPr>
            <w:tcW w:w="1559" w:type="dxa"/>
            <w:tcBorders>
              <w:top w:val="single" w:sz="4" w:space="0" w:color="auto"/>
              <w:left w:val="nil"/>
              <w:bottom w:val="single" w:sz="4" w:space="0" w:color="auto"/>
              <w:right w:val="single" w:sz="8" w:space="0" w:color="auto"/>
            </w:tcBorders>
            <w:vAlign w:val="center"/>
          </w:tcPr>
          <w:p w:rsidR="001E7B45" w:rsidRPr="001E02D7" w:rsidRDefault="001E7B45" w:rsidP="008C1AA9">
            <w:pPr>
              <w:spacing w:after="0" w:line="240" w:lineRule="auto"/>
              <w:jc w:val="center"/>
              <w:rPr>
                <w:rFonts w:eastAsia="Times New Roman"/>
                <w:color w:val="000000"/>
                <w:sz w:val="20"/>
                <w:szCs w:val="20"/>
              </w:rPr>
            </w:pPr>
            <w:r w:rsidRPr="001E02D7">
              <w:rPr>
                <w:rFonts w:eastAsia="Times New Roman"/>
                <w:color w:val="000000"/>
                <w:sz w:val="20"/>
                <w:szCs w:val="20"/>
              </w:rPr>
              <w:t>7</w:t>
            </w:r>
          </w:p>
        </w:tc>
        <w:tc>
          <w:tcPr>
            <w:tcW w:w="1559" w:type="dxa"/>
            <w:tcBorders>
              <w:top w:val="single" w:sz="4" w:space="0" w:color="auto"/>
              <w:left w:val="nil"/>
              <w:bottom w:val="single" w:sz="4" w:space="0" w:color="auto"/>
              <w:right w:val="single" w:sz="4" w:space="0" w:color="auto"/>
            </w:tcBorders>
            <w:vAlign w:val="center"/>
          </w:tcPr>
          <w:p w:rsidR="001E7B45" w:rsidRPr="001E02D7" w:rsidRDefault="001E7B45" w:rsidP="008C1AA9">
            <w:pPr>
              <w:spacing w:after="0" w:line="240" w:lineRule="auto"/>
              <w:jc w:val="center"/>
              <w:rPr>
                <w:rFonts w:eastAsia="Times New Roman"/>
                <w:color w:val="000000"/>
                <w:sz w:val="20"/>
                <w:szCs w:val="20"/>
              </w:rPr>
            </w:pPr>
            <w:r w:rsidRPr="001E02D7">
              <w:rPr>
                <w:rFonts w:eastAsia="Times New Roman"/>
                <w:color w:val="000000"/>
                <w:sz w:val="20"/>
                <w:szCs w:val="20"/>
              </w:rPr>
              <w:t>8</w:t>
            </w:r>
          </w:p>
        </w:tc>
      </w:tr>
      <w:tr w:rsidR="001E7B45" w:rsidRPr="001E02D7" w:rsidTr="00D818A7">
        <w:trPr>
          <w:gridAfter w:val="1"/>
          <w:wAfter w:w="236" w:type="dxa"/>
          <w:trHeight w:val="602"/>
        </w:trPr>
        <w:tc>
          <w:tcPr>
            <w:tcW w:w="534" w:type="dxa"/>
            <w:tcBorders>
              <w:top w:val="single" w:sz="4" w:space="0" w:color="auto"/>
              <w:left w:val="single" w:sz="4" w:space="0" w:color="auto"/>
              <w:bottom w:val="single" w:sz="4" w:space="0" w:color="auto"/>
              <w:right w:val="single" w:sz="8" w:space="0" w:color="auto"/>
            </w:tcBorders>
            <w:vAlign w:val="center"/>
          </w:tcPr>
          <w:p w:rsidR="001E7B45" w:rsidRPr="001E02D7" w:rsidRDefault="001E7B45" w:rsidP="008C1AA9">
            <w:pPr>
              <w:spacing w:after="0" w:line="240" w:lineRule="auto"/>
              <w:jc w:val="center"/>
              <w:rPr>
                <w:rFonts w:eastAsia="Times New Roman"/>
                <w:color w:val="000000"/>
                <w:sz w:val="20"/>
                <w:szCs w:val="20"/>
              </w:rPr>
            </w:pPr>
            <w:r w:rsidRPr="001E02D7">
              <w:rPr>
                <w:rFonts w:eastAsia="Times New Roman"/>
                <w:color w:val="000000"/>
                <w:sz w:val="20"/>
                <w:szCs w:val="20"/>
              </w:rPr>
              <w:t>1</w:t>
            </w:r>
          </w:p>
        </w:tc>
        <w:tc>
          <w:tcPr>
            <w:tcW w:w="1276" w:type="dxa"/>
            <w:tcBorders>
              <w:top w:val="single" w:sz="4" w:space="0" w:color="auto"/>
              <w:left w:val="nil"/>
              <w:bottom w:val="single" w:sz="4" w:space="0" w:color="auto"/>
              <w:right w:val="single" w:sz="8" w:space="0" w:color="auto"/>
            </w:tcBorders>
            <w:vAlign w:val="center"/>
          </w:tcPr>
          <w:p w:rsidR="001E7B45" w:rsidRPr="001E02D7" w:rsidRDefault="001E7B45" w:rsidP="008C1AA9">
            <w:pPr>
              <w:spacing w:after="0" w:line="240" w:lineRule="auto"/>
              <w:jc w:val="center"/>
              <w:rPr>
                <w:rFonts w:eastAsia="Times New Roman"/>
                <w:b/>
                <w:sz w:val="20"/>
                <w:szCs w:val="20"/>
              </w:rPr>
            </w:pPr>
            <w:r w:rsidRPr="001E02D7">
              <w:rPr>
                <w:rFonts w:eastAsia="Times New Roman"/>
                <w:b/>
                <w:sz w:val="20"/>
                <w:szCs w:val="20"/>
              </w:rPr>
              <w:t xml:space="preserve">с 1 января 2019 года </w:t>
            </w:r>
          </w:p>
          <w:p w:rsidR="001E7B45" w:rsidRPr="001E02D7" w:rsidRDefault="001E7B45" w:rsidP="008C1AA9">
            <w:pPr>
              <w:spacing w:after="0" w:line="240" w:lineRule="auto"/>
              <w:jc w:val="center"/>
              <w:rPr>
                <w:rFonts w:eastAsia="Times New Roman"/>
                <w:b/>
                <w:sz w:val="20"/>
                <w:szCs w:val="20"/>
              </w:rPr>
            </w:pPr>
            <w:r w:rsidRPr="001E02D7">
              <w:rPr>
                <w:rFonts w:eastAsia="Times New Roman"/>
                <w:b/>
                <w:sz w:val="20"/>
                <w:szCs w:val="20"/>
              </w:rPr>
              <w:t>по 30 июня 2019 года</w:t>
            </w:r>
          </w:p>
        </w:tc>
        <w:tc>
          <w:tcPr>
            <w:tcW w:w="1559" w:type="dxa"/>
            <w:tcBorders>
              <w:top w:val="single" w:sz="4" w:space="0" w:color="auto"/>
              <w:left w:val="nil"/>
              <w:bottom w:val="single" w:sz="4" w:space="0" w:color="auto"/>
              <w:right w:val="single" w:sz="8" w:space="0" w:color="auto"/>
            </w:tcBorders>
            <w:vAlign w:val="center"/>
          </w:tcPr>
          <w:p w:rsidR="001E7B45" w:rsidRPr="001E02D7" w:rsidRDefault="001E7B45" w:rsidP="008C1AA9">
            <w:pPr>
              <w:spacing w:after="0" w:line="240" w:lineRule="auto"/>
              <w:jc w:val="center"/>
              <w:rPr>
                <w:rFonts w:eastAsia="Times New Roman"/>
                <w:b/>
                <w:color w:val="000000"/>
                <w:sz w:val="20"/>
                <w:szCs w:val="20"/>
              </w:rPr>
            </w:pPr>
            <w:r w:rsidRPr="001E02D7">
              <w:rPr>
                <w:rFonts w:eastAsia="Times New Roman"/>
                <w:b/>
                <w:color w:val="000000"/>
                <w:sz w:val="20"/>
                <w:szCs w:val="20"/>
              </w:rPr>
              <w:t>0,24454</w:t>
            </w:r>
          </w:p>
        </w:tc>
        <w:tc>
          <w:tcPr>
            <w:tcW w:w="1701" w:type="dxa"/>
            <w:tcBorders>
              <w:top w:val="single" w:sz="4" w:space="0" w:color="auto"/>
              <w:left w:val="nil"/>
              <w:bottom w:val="single" w:sz="4" w:space="0" w:color="auto"/>
              <w:right w:val="single" w:sz="8" w:space="0" w:color="auto"/>
            </w:tcBorders>
            <w:vAlign w:val="center"/>
          </w:tcPr>
          <w:p w:rsidR="001E7B45" w:rsidRPr="001E02D7" w:rsidRDefault="001E7B45" w:rsidP="008C1AA9">
            <w:pPr>
              <w:spacing w:after="0" w:line="240" w:lineRule="auto"/>
              <w:jc w:val="center"/>
              <w:rPr>
                <w:rFonts w:eastAsia="Times New Roman"/>
                <w:b/>
                <w:color w:val="000000"/>
                <w:sz w:val="20"/>
                <w:szCs w:val="20"/>
              </w:rPr>
            </w:pPr>
            <w:r w:rsidRPr="001E02D7">
              <w:rPr>
                <w:rFonts w:eastAsia="Times New Roman"/>
                <w:b/>
                <w:color w:val="000000"/>
                <w:sz w:val="20"/>
                <w:szCs w:val="20"/>
              </w:rPr>
              <w:t>0,03787</w:t>
            </w:r>
          </w:p>
        </w:tc>
        <w:tc>
          <w:tcPr>
            <w:tcW w:w="1560" w:type="dxa"/>
            <w:tcBorders>
              <w:top w:val="single" w:sz="4" w:space="0" w:color="auto"/>
              <w:left w:val="nil"/>
              <w:bottom w:val="single" w:sz="4" w:space="0" w:color="auto"/>
              <w:right w:val="single" w:sz="8" w:space="0" w:color="auto"/>
            </w:tcBorders>
            <w:vAlign w:val="center"/>
          </w:tcPr>
          <w:p w:rsidR="001E7B45" w:rsidRPr="001E02D7" w:rsidRDefault="001E7B45" w:rsidP="008C1AA9">
            <w:pPr>
              <w:spacing w:after="0" w:line="240" w:lineRule="auto"/>
              <w:jc w:val="center"/>
              <w:rPr>
                <w:rFonts w:eastAsia="Times New Roman"/>
                <w:b/>
                <w:color w:val="000000"/>
                <w:sz w:val="20"/>
                <w:szCs w:val="20"/>
              </w:rPr>
            </w:pPr>
            <w:r w:rsidRPr="001E02D7">
              <w:rPr>
                <w:rFonts w:eastAsia="Times New Roman"/>
                <w:b/>
                <w:color w:val="000000"/>
                <w:sz w:val="20"/>
                <w:szCs w:val="20"/>
              </w:rPr>
              <w:t>0,13276</w:t>
            </w:r>
          </w:p>
        </w:tc>
        <w:tc>
          <w:tcPr>
            <w:tcW w:w="1559" w:type="dxa"/>
            <w:tcBorders>
              <w:top w:val="single" w:sz="4" w:space="0" w:color="auto"/>
              <w:left w:val="nil"/>
              <w:bottom w:val="single" w:sz="4" w:space="0" w:color="auto"/>
              <w:right w:val="single" w:sz="8" w:space="0" w:color="auto"/>
            </w:tcBorders>
            <w:vAlign w:val="center"/>
          </w:tcPr>
          <w:p w:rsidR="001E7B45" w:rsidRPr="001E02D7" w:rsidRDefault="001E7B45" w:rsidP="008C1AA9">
            <w:pPr>
              <w:spacing w:after="0" w:line="240" w:lineRule="auto"/>
              <w:jc w:val="center"/>
              <w:rPr>
                <w:rFonts w:eastAsia="Times New Roman"/>
                <w:b/>
                <w:color w:val="000000"/>
                <w:sz w:val="20"/>
                <w:szCs w:val="20"/>
              </w:rPr>
            </w:pPr>
            <w:r w:rsidRPr="001E02D7">
              <w:rPr>
                <w:rFonts w:eastAsia="Times New Roman"/>
                <w:b/>
                <w:color w:val="000000"/>
                <w:sz w:val="20"/>
                <w:szCs w:val="20"/>
              </w:rPr>
              <w:t>0,05516</w:t>
            </w:r>
          </w:p>
        </w:tc>
        <w:tc>
          <w:tcPr>
            <w:tcW w:w="1559" w:type="dxa"/>
            <w:tcBorders>
              <w:top w:val="single" w:sz="4" w:space="0" w:color="auto"/>
              <w:left w:val="nil"/>
              <w:bottom w:val="single" w:sz="4" w:space="0" w:color="auto"/>
              <w:right w:val="single" w:sz="4" w:space="0" w:color="auto"/>
            </w:tcBorders>
            <w:vAlign w:val="center"/>
          </w:tcPr>
          <w:p w:rsidR="001E7B45" w:rsidRPr="001E02D7" w:rsidRDefault="001E7B45" w:rsidP="008C1AA9">
            <w:pPr>
              <w:spacing w:after="0" w:line="240" w:lineRule="auto"/>
              <w:jc w:val="center"/>
              <w:rPr>
                <w:rFonts w:eastAsia="Times New Roman"/>
                <w:b/>
                <w:color w:val="000000"/>
                <w:sz w:val="20"/>
                <w:szCs w:val="20"/>
              </w:rPr>
            </w:pPr>
            <w:r w:rsidRPr="001E02D7">
              <w:rPr>
                <w:rFonts w:eastAsia="Times New Roman"/>
                <w:b/>
                <w:color w:val="000000"/>
                <w:sz w:val="20"/>
                <w:szCs w:val="20"/>
              </w:rPr>
              <w:t>0,04425</w:t>
            </w:r>
          </w:p>
        </w:tc>
      </w:tr>
      <w:tr w:rsidR="001E7B45" w:rsidRPr="001E02D7" w:rsidTr="00D818A7">
        <w:trPr>
          <w:gridAfter w:val="1"/>
          <w:wAfter w:w="236" w:type="dxa"/>
          <w:trHeight w:val="516"/>
        </w:trPr>
        <w:tc>
          <w:tcPr>
            <w:tcW w:w="1810" w:type="dxa"/>
            <w:gridSpan w:val="2"/>
            <w:tcBorders>
              <w:top w:val="single" w:sz="4" w:space="0" w:color="auto"/>
              <w:left w:val="single" w:sz="4" w:space="0" w:color="auto"/>
              <w:bottom w:val="single" w:sz="4" w:space="0" w:color="auto"/>
              <w:right w:val="single" w:sz="8" w:space="0" w:color="auto"/>
            </w:tcBorders>
            <w:vAlign w:val="center"/>
          </w:tcPr>
          <w:p w:rsidR="001E7B45" w:rsidRPr="001E02D7" w:rsidRDefault="001E7B45" w:rsidP="008C1AA9">
            <w:pPr>
              <w:spacing w:after="0" w:line="240" w:lineRule="auto"/>
              <w:jc w:val="center"/>
              <w:rPr>
                <w:rFonts w:eastAsia="Times New Roman"/>
                <w:i/>
                <w:sz w:val="20"/>
                <w:szCs w:val="20"/>
              </w:rPr>
            </w:pPr>
            <w:r w:rsidRPr="001E02D7">
              <w:rPr>
                <w:rFonts w:eastAsia="Times New Roman"/>
                <w:i/>
                <w:sz w:val="20"/>
                <w:szCs w:val="20"/>
              </w:rPr>
              <w:t>Рост тарифа к предыдущему периоду в %</w:t>
            </w:r>
          </w:p>
        </w:tc>
        <w:tc>
          <w:tcPr>
            <w:tcW w:w="1559" w:type="dxa"/>
            <w:tcBorders>
              <w:top w:val="single" w:sz="4" w:space="0" w:color="auto"/>
              <w:left w:val="nil"/>
              <w:bottom w:val="single" w:sz="4" w:space="0" w:color="auto"/>
              <w:right w:val="single" w:sz="8" w:space="0" w:color="auto"/>
            </w:tcBorders>
            <w:vAlign w:val="center"/>
          </w:tcPr>
          <w:p w:rsidR="001E7B45" w:rsidRPr="001E02D7" w:rsidRDefault="001E7B45" w:rsidP="008C1AA9">
            <w:pPr>
              <w:spacing w:after="0" w:line="240" w:lineRule="auto"/>
              <w:jc w:val="center"/>
              <w:rPr>
                <w:rFonts w:eastAsia="Times New Roman"/>
                <w:i/>
                <w:color w:val="000000"/>
                <w:sz w:val="20"/>
                <w:szCs w:val="20"/>
              </w:rPr>
            </w:pPr>
            <w:r w:rsidRPr="001E02D7">
              <w:rPr>
                <w:rFonts w:eastAsia="Times New Roman"/>
                <w:i/>
                <w:color w:val="000000"/>
                <w:sz w:val="20"/>
                <w:szCs w:val="20"/>
              </w:rPr>
              <w:t>100,00</w:t>
            </w:r>
          </w:p>
        </w:tc>
        <w:tc>
          <w:tcPr>
            <w:tcW w:w="1701" w:type="dxa"/>
            <w:tcBorders>
              <w:top w:val="single" w:sz="4" w:space="0" w:color="auto"/>
              <w:left w:val="nil"/>
              <w:bottom w:val="single" w:sz="4" w:space="0" w:color="auto"/>
              <w:right w:val="single" w:sz="8" w:space="0" w:color="auto"/>
            </w:tcBorders>
            <w:vAlign w:val="center"/>
          </w:tcPr>
          <w:p w:rsidR="001E7B45" w:rsidRPr="001E02D7" w:rsidRDefault="001E7B45" w:rsidP="008C1AA9">
            <w:pPr>
              <w:spacing w:after="0" w:line="240" w:lineRule="auto"/>
              <w:jc w:val="center"/>
              <w:rPr>
                <w:rFonts w:eastAsia="Times New Roman"/>
                <w:i/>
                <w:color w:val="000000"/>
                <w:sz w:val="20"/>
                <w:szCs w:val="20"/>
              </w:rPr>
            </w:pPr>
            <w:r w:rsidRPr="001E02D7">
              <w:rPr>
                <w:rFonts w:eastAsia="Times New Roman"/>
                <w:i/>
                <w:color w:val="000000"/>
                <w:sz w:val="20"/>
                <w:szCs w:val="20"/>
              </w:rPr>
              <w:t>100,00</w:t>
            </w:r>
          </w:p>
        </w:tc>
        <w:tc>
          <w:tcPr>
            <w:tcW w:w="1560" w:type="dxa"/>
            <w:tcBorders>
              <w:top w:val="single" w:sz="4" w:space="0" w:color="auto"/>
              <w:left w:val="nil"/>
              <w:bottom w:val="single" w:sz="4" w:space="0" w:color="auto"/>
              <w:right w:val="single" w:sz="8" w:space="0" w:color="auto"/>
            </w:tcBorders>
            <w:vAlign w:val="center"/>
          </w:tcPr>
          <w:p w:rsidR="001E7B45" w:rsidRPr="001E02D7" w:rsidRDefault="001E7B45" w:rsidP="008C1AA9">
            <w:pPr>
              <w:spacing w:after="0" w:line="240" w:lineRule="auto"/>
              <w:jc w:val="center"/>
              <w:rPr>
                <w:rFonts w:eastAsia="Times New Roman"/>
                <w:i/>
                <w:color w:val="000000"/>
                <w:sz w:val="20"/>
                <w:szCs w:val="20"/>
              </w:rPr>
            </w:pPr>
            <w:r w:rsidRPr="001E02D7">
              <w:rPr>
                <w:rFonts w:eastAsia="Times New Roman"/>
                <w:i/>
                <w:color w:val="000000"/>
                <w:sz w:val="20"/>
                <w:szCs w:val="20"/>
              </w:rPr>
              <w:t>100,00</w:t>
            </w:r>
          </w:p>
        </w:tc>
        <w:tc>
          <w:tcPr>
            <w:tcW w:w="1559" w:type="dxa"/>
            <w:tcBorders>
              <w:top w:val="single" w:sz="4" w:space="0" w:color="auto"/>
              <w:left w:val="nil"/>
              <w:bottom w:val="single" w:sz="4" w:space="0" w:color="auto"/>
              <w:right w:val="single" w:sz="8" w:space="0" w:color="auto"/>
            </w:tcBorders>
            <w:vAlign w:val="center"/>
          </w:tcPr>
          <w:p w:rsidR="001E7B45" w:rsidRPr="001E02D7" w:rsidRDefault="001E7B45" w:rsidP="008C1AA9">
            <w:pPr>
              <w:spacing w:after="0" w:line="240" w:lineRule="auto"/>
              <w:jc w:val="center"/>
              <w:rPr>
                <w:rFonts w:eastAsia="Times New Roman"/>
                <w:i/>
                <w:color w:val="000000"/>
                <w:sz w:val="20"/>
                <w:szCs w:val="20"/>
              </w:rPr>
            </w:pPr>
            <w:r w:rsidRPr="001E02D7">
              <w:rPr>
                <w:rFonts w:eastAsia="Times New Roman"/>
                <w:i/>
                <w:color w:val="000000"/>
                <w:sz w:val="20"/>
                <w:szCs w:val="20"/>
              </w:rPr>
              <w:t>100,00</w:t>
            </w:r>
          </w:p>
        </w:tc>
        <w:tc>
          <w:tcPr>
            <w:tcW w:w="1559" w:type="dxa"/>
            <w:tcBorders>
              <w:top w:val="single" w:sz="4" w:space="0" w:color="auto"/>
              <w:left w:val="nil"/>
              <w:bottom w:val="single" w:sz="4" w:space="0" w:color="auto"/>
              <w:right w:val="single" w:sz="4" w:space="0" w:color="auto"/>
            </w:tcBorders>
            <w:vAlign w:val="center"/>
          </w:tcPr>
          <w:p w:rsidR="001E7B45" w:rsidRPr="001E02D7" w:rsidRDefault="001E7B45" w:rsidP="008C1AA9">
            <w:pPr>
              <w:spacing w:after="0" w:line="240" w:lineRule="auto"/>
              <w:jc w:val="center"/>
              <w:rPr>
                <w:rFonts w:eastAsia="Times New Roman"/>
                <w:i/>
                <w:color w:val="000000"/>
                <w:sz w:val="20"/>
                <w:szCs w:val="20"/>
              </w:rPr>
            </w:pPr>
            <w:r w:rsidRPr="001E02D7">
              <w:rPr>
                <w:rFonts w:eastAsia="Times New Roman"/>
                <w:i/>
                <w:color w:val="000000"/>
                <w:sz w:val="20"/>
                <w:szCs w:val="20"/>
              </w:rPr>
              <w:t>100,00</w:t>
            </w:r>
          </w:p>
        </w:tc>
      </w:tr>
      <w:tr w:rsidR="001E7B45" w:rsidRPr="001E02D7" w:rsidTr="00D818A7">
        <w:trPr>
          <w:gridAfter w:val="1"/>
          <w:wAfter w:w="236" w:type="dxa"/>
          <w:trHeight w:val="602"/>
        </w:trPr>
        <w:tc>
          <w:tcPr>
            <w:tcW w:w="534" w:type="dxa"/>
            <w:tcBorders>
              <w:top w:val="single" w:sz="4" w:space="0" w:color="auto"/>
              <w:left w:val="single" w:sz="4" w:space="0" w:color="auto"/>
              <w:bottom w:val="single" w:sz="4" w:space="0" w:color="auto"/>
              <w:right w:val="single" w:sz="8" w:space="0" w:color="auto"/>
            </w:tcBorders>
            <w:vAlign w:val="center"/>
          </w:tcPr>
          <w:p w:rsidR="001E7B45" w:rsidRPr="001E02D7" w:rsidRDefault="001E7B45" w:rsidP="008C1AA9">
            <w:pPr>
              <w:spacing w:after="0" w:line="240" w:lineRule="auto"/>
              <w:jc w:val="center"/>
              <w:rPr>
                <w:rFonts w:eastAsia="Times New Roman"/>
                <w:color w:val="000000"/>
                <w:sz w:val="20"/>
                <w:szCs w:val="20"/>
              </w:rPr>
            </w:pPr>
            <w:r w:rsidRPr="001E02D7">
              <w:rPr>
                <w:rFonts w:eastAsia="Times New Roman"/>
                <w:color w:val="000000"/>
                <w:sz w:val="20"/>
                <w:szCs w:val="20"/>
              </w:rPr>
              <w:t>2</w:t>
            </w:r>
          </w:p>
        </w:tc>
        <w:tc>
          <w:tcPr>
            <w:tcW w:w="1276" w:type="dxa"/>
            <w:tcBorders>
              <w:top w:val="single" w:sz="4" w:space="0" w:color="auto"/>
              <w:left w:val="nil"/>
              <w:bottom w:val="single" w:sz="4" w:space="0" w:color="auto"/>
              <w:right w:val="single" w:sz="8" w:space="0" w:color="auto"/>
            </w:tcBorders>
            <w:vAlign w:val="center"/>
          </w:tcPr>
          <w:p w:rsidR="001E7B45" w:rsidRPr="001E02D7" w:rsidRDefault="001E7B45" w:rsidP="008C1AA9">
            <w:pPr>
              <w:spacing w:after="0" w:line="240" w:lineRule="auto"/>
              <w:jc w:val="center"/>
              <w:rPr>
                <w:rFonts w:eastAsia="Times New Roman"/>
                <w:b/>
                <w:sz w:val="20"/>
                <w:szCs w:val="20"/>
              </w:rPr>
            </w:pPr>
            <w:r w:rsidRPr="001E02D7">
              <w:rPr>
                <w:rFonts w:eastAsia="Times New Roman"/>
                <w:b/>
                <w:sz w:val="20"/>
                <w:szCs w:val="20"/>
              </w:rPr>
              <w:t xml:space="preserve">с 1 июля 2019 года </w:t>
            </w:r>
          </w:p>
          <w:p w:rsidR="001E7B45" w:rsidRPr="001E02D7" w:rsidRDefault="001E7B45" w:rsidP="008C1AA9">
            <w:pPr>
              <w:spacing w:after="0" w:line="240" w:lineRule="auto"/>
              <w:jc w:val="center"/>
              <w:rPr>
                <w:rFonts w:eastAsia="Times New Roman"/>
                <w:b/>
                <w:sz w:val="20"/>
                <w:szCs w:val="20"/>
              </w:rPr>
            </w:pPr>
            <w:r w:rsidRPr="001E02D7">
              <w:rPr>
                <w:rFonts w:eastAsia="Times New Roman"/>
                <w:b/>
                <w:sz w:val="20"/>
                <w:szCs w:val="20"/>
              </w:rPr>
              <w:t>по 31 декабря 2019 года</w:t>
            </w:r>
          </w:p>
        </w:tc>
        <w:tc>
          <w:tcPr>
            <w:tcW w:w="1559" w:type="dxa"/>
            <w:tcBorders>
              <w:top w:val="single" w:sz="4" w:space="0" w:color="auto"/>
              <w:left w:val="nil"/>
              <w:bottom w:val="single" w:sz="4" w:space="0" w:color="auto"/>
              <w:right w:val="single" w:sz="8" w:space="0" w:color="auto"/>
            </w:tcBorders>
            <w:vAlign w:val="center"/>
          </w:tcPr>
          <w:p w:rsidR="001E7B45" w:rsidRPr="001E02D7" w:rsidRDefault="001E7B45" w:rsidP="008C1AA9">
            <w:pPr>
              <w:spacing w:after="0" w:line="240" w:lineRule="auto"/>
              <w:jc w:val="center"/>
              <w:rPr>
                <w:rFonts w:eastAsia="Times New Roman"/>
                <w:b/>
                <w:color w:val="000000"/>
                <w:sz w:val="20"/>
                <w:szCs w:val="20"/>
              </w:rPr>
            </w:pPr>
            <w:r w:rsidRPr="001E02D7">
              <w:rPr>
                <w:rFonts w:eastAsia="Times New Roman"/>
                <w:b/>
                <w:color w:val="000000"/>
                <w:sz w:val="20"/>
                <w:szCs w:val="20"/>
              </w:rPr>
              <w:t>0,37434</w:t>
            </w:r>
          </w:p>
        </w:tc>
        <w:tc>
          <w:tcPr>
            <w:tcW w:w="1701" w:type="dxa"/>
            <w:tcBorders>
              <w:top w:val="single" w:sz="4" w:space="0" w:color="auto"/>
              <w:left w:val="nil"/>
              <w:bottom w:val="single" w:sz="4" w:space="0" w:color="auto"/>
              <w:right w:val="single" w:sz="8" w:space="0" w:color="auto"/>
            </w:tcBorders>
            <w:vAlign w:val="center"/>
          </w:tcPr>
          <w:p w:rsidR="001E7B45" w:rsidRPr="001E02D7" w:rsidRDefault="001E7B45" w:rsidP="008C1AA9">
            <w:pPr>
              <w:spacing w:after="0" w:line="240" w:lineRule="auto"/>
              <w:jc w:val="center"/>
              <w:rPr>
                <w:rFonts w:eastAsia="Times New Roman"/>
                <w:b/>
                <w:color w:val="000000"/>
                <w:sz w:val="20"/>
                <w:szCs w:val="20"/>
              </w:rPr>
            </w:pPr>
            <w:r w:rsidRPr="001E02D7">
              <w:rPr>
                <w:rFonts w:eastAsia="Times New Roman"/>
                <w:b/>
                <w:color w:val="000000"/>
                <w:sz w:val="20"/>
                <w:szCs w:val="20"/>
              </w:rPr>
              <w:t>0,11515</w:t>
            </w:r>
          </w:p>
        </w:tc>
        <w:tc>
          <w:tcPr>
            <w:tcW w:w="1560" w:type="dxa"/>
            <w:tcBorders>
              <w:top w:val="single" w:sz="4" w:space="0" w:color="auto"/>
              <w:left w:val="nil"/>
              <w:bottom w:val="single" w:sz="4" w:space="0" w:color="auto"/>
              <w:right w:val="single" w:sz="8" w:space="0" w:color="auto"/>
            </w:tcBorders>
            <w:vAlign w:val="center"/>
          </w:tcPr>
          <w:p w:rsidR="001E7B45" w:rsidRPr="001E02D7" w:rsidRDefault="001E7B45" w:rsidP="008C1AA9">
            <w:pPr>
              <w:spacing w:after="0" w:line="240" w:lineRule="auto"/>
              <w:jc w:val="center"/>
              <w:rPr>
                <w:rFonts w:eastAsia="Times New Roman"/>
                <w:b/>
                <w:color w:val="000000"/>
                <w:sz w:val="20"/>
                <w:szCs w:val="20"/>
              </w:rPr>
            </w:pPr>
            <w:r w:rsidRPr="001E02D7">
              <w:rPr>
                <w:rFonts w:eastAsia="Times New Roman"/>
                <w:b/>
                <w:color w:val="000000"/>
                <w:sz w:val="20"/>
                <w:szCs w:val="20"/>
              </w:rPr>
              <w:t>0,28403*</w:t>
            </w:r>
          </w:p>
        </w:tc>
        <w:tc>
          <w:tcPr>
            <w:tcW w:w="1559" w:type="dxa"/>
            <w:tcBorders>
              <w:top w:val="single" w:sz="4" w:space="0" w:color="auto"/>
              <w:left w:val="nil"/>
              <w:bottom w:val="single" w:sz="4" w:space="0" w:color="auto"/>
              <w:right w:val="single" w:sz="8" w:space="0" w:color="auto"/>
            </w:tcBorders>
            <w:vAlign w:val="center"/>
          </w:tcPr>
          <w:p w:rsidR="001E7B45" w:rsidRPr="001E02D7" w:rsidRDefault="001E7B45" w:rsidP="008C1AA9">
            <w:pPr>
              <w:spacing w:after="0" w:line="240" w:lineRule="auto"/>
              <w:jc w:val="center"/>
              <w:rPr>
                <w:rFonts w:eastAsia="Times New Roman"/>
                <w:b/>
                <w:color w:val="000000"/>
                <w:sz w:val="20"/>
                <w:szCs w:val="20"/>
              </w:rPr>
            </w:pPr>
            <w:r w:rsidRPr="001E02D7">
              <w:rPr>
                <w:rFonts w:eastAsia="Times New Roman"/>
                <w:b/>
                <w:color w:val="000000"/>
                <w:sz w:val="20"/>
                <w:szCs w:val="20"/>
              </w:rPr>
              <w:t>0,11039*</w:t>
            </w:r>
          </w:p>
        </w:tc>
        <w:tc>
          <w:tcPr>
            <w:tcW w:w="1559" w:type="dxa"/>
            <w:tcBorders>
              <w:top w:val="single" w:sz="4" w:space="0" w:color="auto"/>
              <w:left w:val="nil"/>
              <w:bottom w:val="single" w:sz="4" w:space="0" w:color="auto"/>
              <w:right w:val="single" w:sz="4" w:space="0" w:color="auto"/>
            </w:tcBorders>
            <w:vAlign w:val="center"/>
          </w:tcPr>
          <w:p w:rsidR="001E7B45" w:rsidRPr="001E02D7" w:rsidRDefault="001E7B45" w:rsidP="008C1AA9">
            <w:pPr>
              <w:spacing w:after="0" w:line="240" w:lineRule="auto"/>
              <w:jc w:val="center"/>
              <w:rPr>
                <w:rFonts w:eastAsia="Times New Roman"/>
                <w:b/>
                <w:color w:val="000000"/>
                <w:sz w:val="20"/>
                <w:szCs w:val="20"/>
              </w:rPr>
            </w:pPr>
            <w:r w:rsidRPr="001E02D7">
              <w:rPr>
                <w:rFonts w:eastAsia="Times New Roman"/>
                <w:b/>
                <w:color w:val="000000"/>
                <w:sz w:val="20"/>
                <w:szCs w:val="20"/>
              </w:rPr>
              <w:t>0,09468*</w:t>
            </w:r>
          </w:p>
        </w:tc>
      </w:tr>
      <w:tr w:rsidR="001E7B45" w:rsidRPr="001E02D7" w:rsidTr="00D818A7">
        <w:trPr>
          <w:gridAfter w:val="1"/>
          <w:wAfter w:w="236" w:type="dxa"/>
          <w:trHeight w:val="132"/>
        </w:trPr>
        <w:tc>
          <w:tcPr>
            <w:tcW w:w="1810" w:type="dxa"/>
            <w:gridSpan w:val="2"/>
            <w:tcBorders>
              <w:top w:val="single" w:sz="4" w:space="0" w:color="auto"/>
              <w:left w:val="single" w:sz="4" w:space="0" w:color="auto"/>
              <w:bottom w:val="single" w:sz="4" w:space="0" w:color="auto"/>
              <w:right w:val="single" w:sz="8" w:space="0" w:color="auto"/>
            </w:tcBorders>
            <w:vAlign w:val="center"/>
          </w:tcPr>
          <w:p w:rsidR="001E7B45" w:rsidRPr="001E02D7" w:rsidRDefault="001E7B45" w:rsidP="008C1AA9">
            <w:pPr>
              <w:spacing w:after="0" w:line="240" w:lineRule="auto"/>
              <w:jc w:val="center"/>
              <w:rPr>
                <w:rFonts w:eastAsia="Times New Roman"/>
                <w:i/>
                <w:sz w:val="20"/>
                <w:szCs w:val="20"/>
              </w:rPr>
            </w:pPr>
            <w:r w:rsidRPr="001E02D7">
              <w:rPr>
                <w:rFonts w:eastAsia="Times New Roman"/>
                <w:i/>
                <w:sz w:val="20"/>
                <w:szCs w:val="20"/>
              </w:rPr>
              <w:t>Рост тарифа к предыдущему периоду в %</w:t>
            </w:r>
          </w:p>
        </w:tc>
        <w:tc>
          <w:tcPr>
            <w:tcW w:w="1559" w:type="dxa"/>
            <w:tcBorders>
              <w:top w:val="single" w:sz="4" w:space="0" w:color="auto"/>
              <w:left w:val="nil"/>
              <w:bottom w:val="single" w:sz="4" w:space="0" w:color="auto"/>
              <w:right w:val="single" w:sz="8" w:space="0" w:color="auto"/>
            </w:tcBorders>
            <w:vAlign w:val="center"/>
          </w:tcPr>
          <w:p w:rsidR="001E7B45" w:rsidRPr="001E02D7" w:rsidRDefault="001E7B45" w:rsidP="008C1AA9">
            <w:pPr>
              <w:spacing w:after="0" w:line="240" w:lineRule="auto"/>
              <w:jc w:val="center"/>
              <w:rPr>
                <w:rFonts w:eastAsia="Times New Roman"/>
                <w:i/>
                <w:color w:val="000000"/>
                <w:sz w:val="20"/>
                <w:szCs w:val="20"/>
              </w:rPr>
            </w:pPr>
            <w:r w:rsidRPr="001E02D7">
              <w:rPr>
                <w:rFonts w:eastAsia="Times New Roman"/>
                <w:i/>
                <w:color w:val="000000"/>
                <w:sz w:val="20"/>
                <w:szCs w:val="20"/>
              </w:rPr>
              <w:t>153,08</w:t>
            </w:r>
          </w:p>
        </w:tc>
        <w:tc>
          <w:tcPr>
            <w:tcW w:w="1701" w:type="dxa"/>
            <w:tcBorders>
              <w:top w:val="single" w:sz="4" w:space="0" w:color="auto"/>
              <w:left w:val="nil"/>
              <w:bottom w:val="single" w:sz="4" w:space="0" w:color="auto"/>
              <w:right w:val="single" w:sz="8" w:space="0" w:color="auto"/>
            </w:tcBorders>
            <w:vAlign w:val="center"/>
          </w:tcPr>
          <w:p w:rsidR="001E7B45" w:rsidRPr="001E02D7" w:rsidRDefault="001E7B45" w:rsidP="008C1AA9">
            <w:pPr>
              <w:spacing w:after="0" w:line="240" w:lineRule="auto"/>
              <w:jc w:val="center"/>
              <w:rPr>
                <w:rFonts w:eastAsia="Times New Roman"/>
                <w:i/>
                <w:color w:val="000000"/>
                <w:sz w:val="20"/>
                <w:szCs w:val="20"/>
              </w:rPr>
            </w:pPr>
            <w:r w:rsidRPr="001E02D7">
              <w:rPr>
                <w:rFonts w:eastAsia="Times New Roman"/>
                <w:i/>
                <w:color w:val="000000"/>
                <w:sz w:val="20"/>
                <w:szCs w:val="20"/>
              </w:rPr>
              <w:t>304,07</w:t>
            </w:r>
          </w:p>
        </w:tc>
        <w:tc>
          <w:tcPr>
            <w:tcW w:w="1560" w:type="dxa"/>
            <w:tcBorders>
              <w:top w:val="single" w:sz="4" w:space="0" w:color="auto"/>
              <w:left w:val="nil"/>
              <w:bottom w:val="single" w:sz="4" w:space="0" w:color="auto"/>
              <w:right w:val="single" w:sz="8" w:space="0" w:color="auto"/>
            </w:tcBorders>
            <w:vAlign w:val="center"/>
          </w:tcPr>
          <w:p w:rsidR="001E7B45" w:rsidRPr="001E02D7" w:rsidRDefault="001E7B45" w:rsidP="008C1AA9">
            <w:pPr>
              <w:spacing w:after="0" w:line="240" w:lineRule="auto"/>
              <w:jc w:val="center"/>
              <w:rPr>
                <w:rFonts w:eastAsia="Times New Roman"/>
                <w:i/>
                <w:color w:val="000000"/>
                <w:sz w:val="20"/>
                <w:szCs w:val="20"/>
              </w:rPr>
            </w:pPr>
            <w:r w:rsidRPr="001E02D7">
              <w:rPr>
                <w:rFonts w:eastAsia="Times New Roman"/>
                <w:i/>
                <w:color w:val="000000"/>
                <w:sz w:val="20"/>
                <w:szCs w:val="20"/>
              </w:rPr>
              <w:t>213,94</w:t>
            </w:r>
          </w:p>
        </w:tc>
        <w:tc>
          <w:tcPr>
            <w:tcW w:w="1559" w:type="dxa"/>
            <w:tcBorders>
              <w:top w:val="single" w:sz="4" w:space="0" w:color="auto"/>
              <w:left w:val="nil"/>
              <w:bottom w:val="single" w:sz="4" w:space="0" w:color="auto"/>
              <w:right w:val="single" w:sz="8" w:space="0" w:color="auto"/>
            </w:tcBorders>
            <w:vAlign w:val="center"/>
          </w:tcPr>
          <w:p w:rsidR="001E7B45" w:rsidRPr="001E02D7" w:rsidRDefault="001E7B45" w:rsidP="008C1AA9">
            <w:pPr>
              <w:spacing w:after="0" w:line="240" w:lineRule="auto"/>
              <w:jc w:val="center"/>
              <w:rPr>
                <w:rFonts w:eastAsia="Times New Roman"/>
                <w:i/>
                <w:color w:val="000000"/>
                <w:sz w:val="20"/>
                <w:szCs w:val="20"/>
              </w:rPr>
            </w:pPr>
            <w:r w:rsidRPr="001E02D7">
              <w:rPr>
                <w:rFonts w:eastAsia="Times New Roman"/>
                <w:i/>
                <w:color w:val="000000"/>
                <w:sz w:val="20"/>
                <w:szCs w:val="20"/>
              </w:rPr>
              <w:t>200,13</w:t>
            </w:r>
          </w:p>
        </w:tc>
        <w:tc>
          <w:tcPr>
            <w:tcW w:w="1559" w:type="dxa"/>
            <w:tcBorders>
              <w:top w:val="single" w:sz="4" w:space="0" w:color="auto"/>
              <w:left w:val="nil"/>
              <w:bottom w:val="single" w:sz="4" w:space="0" w:color="auto"/>
              <w:right w:val="single" w:sz="4" w:space="0" w:color="auto"/>
            </w:tcBorders>
            <w:vAlign w:val="center"/>
          </w:tcPr>
          <w:p w:rsidR="001E7B45" w:rsidRPr="001E02D7" w:rsidRDefault="001E7B45" w:rsidP="008C1AA9">
            <w:pPr>
              <w:spacing w:after="0" w:line="240" w:lineRule="auto"/>
              <w:jc w:val="center"/>
              <w:rPr>
                <w:rFonts w:eastAsia="Times New Roman"/>
                <w:i/>
                <w:color w:val="000000"/>
                <w:sz w:val="20"/>
                <w:szCs w:val="20"/>
              </w:rPr>
            </w:pPr>
            <w:r w:rsidRPr="001E02D7">
              <w:rPr>
                <w:rFonts w:eastAsia="Times New Roman"/>
                <w:i/>
                <w:color w:val="000000"/>
                <w:sz w:val="20"/>
                <w:szCs w:val="20"/>
              </w:rPr>
              <w:t>213,97</w:t>
            </w:r>
          </w:p>
        </w:tc>
      </w:tr>
      <w:tr w:rsidR="001E7B45" w:rsidRPr="001E02D7" w:rsidTr="00D818A7">
        <w:trPr>
          <w:gridAfter w:val="1"/>
          <w:wAfter w:w="236" w:type="dxa"/>
          <w:trHeight w:val="132"/>
        </w:trPr>
        <w:tc>
          <w:tcPr>
            <w:tcW w:w="534" w:type="dxa"/>
            <w:tcBorders>
              <w:top w:val="single" w:sz="4" w:space="0" w:color="auto"/>
              <w:left w:val="single" w:sz="4" w:space="0" w:color="auto"/>
              <w:bottom w:val="single" w:sz="4" w:space="0" w:color="auto"/>
              <w:right w:val="single" w:sz="8" w:space="0" w:color="auto"/>
            </w:tcBorders>
            <w:vAlign w:val="center"/>
          </w:tcPr>
          <w:p w:rsidR="001E7B45" w:rsidRPr="001E02D7" w:rsidRDefault="001E7B45" w:rsidP="008C1AA9">
            <w:pPr>
              <w:spacing w:after="0" w:line="240" w:lineRule="auto"/>
              <w:jc w:val="center"/>
              <w:rPr>
                <w:rFonts w:eastAsia="Times New Roman"/>
                <w:b/>
                <w:sz w:val="20"/>
                <w:szCs w:val="20"/>
              </w:rPr>
            </w:pPr>
            <w:r w:rsidRPr="001E02D7">
              <w:rPr>
                <w:rFonts w:eastAsia="Times New Roman"/>
                <w:sz w:val="20"/>
                <w:szCs w:val="20"/>
              </w:rPr>
              <w:t>3</w:t>
            </w:r>
          </w:p>
        </w:tc>
        <w:tc>
          <w:tcPr>
            <w:tcW w:w="1276" w:type="dxa"/>
            <w:tcBorders>
              <w:top w:val="single" w:sz="4" w:space="0" w:color="auto"/>
              <w:left w:val="single" w:sz="4" w:space="0" w:color="auto"/>
              <w:bottom w:val="single" w:sz="4" w:space="0" w:color="auto"/>
              <w:right w:val="single" w:sz="8" w:space="0" w:color="auto"/>
            </w:tcBorders>
            <w:vAlign w:val="center"/>
          </w:tcPr>
          <w:p w:rsidR="001E7B45" w:rsidRPr="001E02D7" w:rsidRDefault="001E7B45" w:rsidP="008C1AA9">
            <w:pPr>
              <w:spacing w:after="0" w:line="240" w:lineRule="auto"/>
              <w:jc w:val="center"/>
              <w:rPr>
                <w:rFonts w:eastAsia="Times New Roman"/>
                <w:b/>
                <w:sz w:val="20"/>
                <w:szCs w:val="20"/>
              </w:rPr>
            </w:pPr>
            <w:r w:rsidRPr="001E02D7">
              <w:rPr>
                <w:rFonts w:eastAsia="Times New Roman"/>
                <w:b/>
                <w:sz w:val="20"/>
                <w:szCs w:val="20"/>
              </w:rPr>
              <w:t xml:space="preserve">с 1 января 2020 года </w:t>
            </w:r>
          </w:p>
          <w:p w:rsidR="001E7B45" w:rsidRPr="001E02D7" w:rsidRDefault="001E7B45" w:rsidP="008C1AA9">
            <w:pPr>
              <w:spacing w:after="0" w:line="240" w:lineRule="auto"/>
              <w:jc w:val="center"/>
              <w:rPr>
                <w:rFonts w:eastAsia="Times New Roman"/>
                <w:sz w:val="20"/>
                <w:szCs w:val="20"/>
              </w:rPr>
            </w:pPr>
            <w:r w:rsidRPr="001E02D7">
              <w:rPr>
                <w:rFonts w:eastAsia="Times New Roman"/>
                <w:b/>
                <w:sz w:val="20"/>
                <w:szCs w:val="20"/>
              </w:rPr>
              <w:t>по 30 июня 2020 года</w:t>
            </w:r>
          </w:p>
        </w:tc>
        <w:tc>
          <w:tcPr>
            <w:tcW w:w="1559" w:type="dxa"/>
            <w:tcBorders>
              <w:top w:val="single" w:sz="4" w:space="0" w:color="auto"/>
              <w:left w:val="nil"/>
              <w:bottom w:val="single" w:sz="4" w:space="0" w:color="auto"/>
              <w:right w:val="single" w:sz="8" w:space="0" w:color="auto"/>
            </w:tcBorders>
            <w:vAlign w:val="center"/>
          </w:tcPr>
          <w:p w:rsidR="001E7B45" w:rsidRPr="001E02D7" w:rsidRDefault="001E7B45" w:rsidP="008C1AA9">
            <w:pPr>
              <w:spacing w:after="0" w:line="240" w:lineRule="auto"/>
              <w:jc w:val="center"/>
              <w:rPr>
                <w:rFonts w:eastAsia="Times New Roman"/>
                <w:b/>
                <w:color w:val="000000"/>
                <w:sz w:val="20"/>
                <w:szCs w:val="20"/>
              </w:rPr>
            </w:pPr>
            <w:r w:rsidRPr="001E02D7">
              <w:rPr>
                <w:rFonts w:eastAsia="Times New Roman"/>
                <w:b/>
                <w:color w:val="000000"/>
                <w:sz w:val="20"/>
                <w:szCs w:val="20"/>
              </w:rPr>
              <w:t>0,37434</w:t>
            </w:r>
          </w:p>
        </w:tc>
        <w:tc>
          <w:tcPr>
            <w:tcW w:w="1701" w:type="dxa"/>
            <w:tcBorders>
              <w:top w:val="single" w:sz="4" w:space="0" w:color="auto"/>
              <w:left w:val="nil"/>
              <w:bottom w:val="single" w:sz="4" w:space="0" w:color="auto"/>
              <w:right w:val="single" w:sz="8" w:space="0" w:color="auto"/>
            </w:tcBorders>
            <w:vAlign w:val="center"/>
          </w:tcPr>
          <w:p w:rsidR="001E7B45" w:rsidRPr="001E02D7" w:rsidRDefault="001E7B45" w:rsidP="008C1AA9">
            <w:pPr>
              <w:spacing w:after="0" w:line="240" w:lineRule="auto"/>
              <w:jc w:val="center"/>
              <w:rPr>
                <w:rFonts w:eastAsia="Times New Roman"/>
                <w:b/>
                <w:color w:val="000000"/>
                <w:sz w:val="20"/>
                <w:szCs w:val="20"/>
              </w:rPr>
            </w:pPr>
            <w:r w:rsidRPr="001E02D7">
              <w:rPr>
                <w:rFonts w:eastAsia="Times New Roman"/>
                <w:b/>
                <w:color w:val="000000"/>
                <w:sz w:val="20"/>
                <w:szCs w:val="20"/>
              </w:rPr>
              <w:t>0,10908</w:t>
            </w:r>
          </w:p>
        </w:tc>
        <w:tc>
          <w:tcPr>
            <w:tcW w:w="1560" w:type="dxa"/>
            <w:tcBorders>
              <w:top w:val="single" w:sz="4" w:space="0" w:color="auto"/>
              <w:left w:val="nil"/>
              <w:bottom w:val="single" w:sz="4" w:space="0" w:color="auto"/>
              <w:right w:val="single" w:sz="8" w:space="0" w:color="auto"/>
            </w:tcBorders>
            <w:vAlign w:val="center"/>
          </w:tcPr>
          <w:p w:rsidR="001E7B45" w:rsidRPr="001E02D7" w:rsidRDefault="001E7B45" w:rsidP="008C1AA9">
            <w:pPr>
              <w:spacing w:after="0" w:line="240" w:lineRule="auto"/>
              <w:jc w:val="center"/>
              <w:rPr>
                <w:rFonts w:eastAsia="Times New Roman"/>
                <w:b/>
                <w:color w:val="000000"/>
                <w:sz w:val="20"/>
                <w:szCs w:val="20"/>
              </w:rPr>
            </w:pPr>
            <w:r w:rsidRPr="001E02D7">
              <w:rPr>
                <w:rFonts w:eastAsia="Times New Roman"/>
                <w:b/>
                <w:color w:val="000000"/>
                <w:sz w:val="20"/>
                <w:szCs w:val="20"/>
              </w:rPr>
              <w:t>0,28306</w:t>
            </w:r>
          </w:p>
        </w:tc>
        <w:tc>
          <w:tcPr>
            <w:tcW w:w="1559" w:type="dxa"/>
            <w:tcBorders>
              <w:top w:val="single" w:sz="4" w:space="0" w:color="auto"/>
              <w:left w:val="nil"/>
              <w:bottom w:val="single" w:sz="4" w:space="0" w:color="auto"/>
              <w:right w:val="single" w:sz="8" w:space="0" w:color="auto"/>
            </w:tcBorders>
            <w:vAlign w:val="center"/>
          </w:tcPr>
          <w:p w:rsidR="001E7B45" w:rsidRPr="001E02D7" w:rsidRDefault="001E7B45" w:rsidP="008C1AA9">
            <w:pPr>
              <w:spacing w:after="0" w:line="240" w:lineRule="auto"/>
              <w:jc w:val="center"/>
              <w:rPr>
                <w:rFonts w:eastAsia="Times New Roman"/>
                <w:b/>
                <w:color w:val="000000"/>
                <w:sz w:val="20"/>
                <w:szCs w:val="20"/>
              </w:rPr>
            </w:pPr>
            <w:r w:rsidRPr="001E02D7">
              <w:rPr>
                <w:rFonts w:eastAsia="Times New Roman"/>
                <w:b/>
                <w:color w:val="000000"/>
                <w:sz w:val="20"/>
                <w:szCs w:val="20"/>
              </w:rPr>
              <w:t>0,11039</w:t>
            </w:r>
          </w:p>
        </w:tc>
        <w:tc>
          <w:tcPr>
            <w:tcW w:w="1559" w:type="dxa"/>
            <w:tcBorders>
              <w:top w:val="single" w:sz="4" w:space="0" w:color="auto"/>
              <w:left w:val="nil"/>
              <w:bottom w:val="single" w:sz="4" w:space="0" w:color="auto"/>
              <w:right w:val="single" w:sz="4" w:space="0" w:color="auto"/>
            </w:tcBorders>
            <w:vAlign w:val="center"/>
          </w:tcPr>
          <w:p w:rsidR="001E7B45" w:rsidRPr="001E02D7" w:rsidRDefault="001E7B45" w:rsidP="008C1AA9">
            <w:pPr>
              <w:spacing w:after="0" w:line="240" w:lineRule="auto"/>
              <w:jc w:val="center"/>
              <w:rPr>
                <w:rFonts w:eastAsia="Times New Roman"/>
                <w:b/>
                <w:color w:val="000000"/>
                <w:sz w:val="20"/>
                <w:szCs w:val="20"/>
              </w:rPr>
            </w:pPr>
            <w:r w:rsidRPr="001E02D7">
              <w:rPr>
                <w:rFonts w:eastAsia="Times New Roman"/>
                <w:b/>
                <w:color w:val="000000"/>
                <w:sz w:val="20"/>
                <w:szCs w:val="20"/>
              </w:rPr>
              <w:t>0,09435</w:t>
            </w:r>
          </w:p>
        </w:tc>
      </w:tr>
      <w:tr w:rsidR="001E7B45" w:rsidRPr="001E02D7" w:rsidTr="00D818A7">
        <w:trPr>
          <w:gridAfter w:val="1"/>
          <w:wAfter w:w="236" w:type="dxa"/>
          <w:trHeight w:val="132"/>
        </w:trPr>
        <w:tc>
          <w:tcPr>
            <w:tcW w:w="1810" w:type="dxa"/>
            <w:gridSpan w:val="2"/>
            <w:tcBorders>
              <w:top w:val="single" w:sz="4" w:space="0" w:color="auto"/>
              <w:left w:val="single" w:sz="4" w:space="0" w:color="auto"/>
              <w:bottom w:val="single" w:sz="4" w:space="0" w:color="auto"/>
              <w:right w:val="single" w:sz="8" w:space="0" w:color="auto"/>
            </w:tcBorders>
            <w:vAlign w:val="center"/>
          </w:tcPr>
          <w:p w:rsidR="001E7B45" w:rsidRPr="001E02D7" w:rsidRDefault="001E7B45" w:rsidP="008C1AA9">
            <w:pPr>
              <w:spacing w:after="0" w:line="240" w:lineRule="auto"/>
              <w:jc w:val="center"/>
              <w:rPr>
                <w:rFonts w:eastAsia="Times New Roman"/>
                <w:b/>
                <w:sz w:val="20"/>
                <w:szCs w:val="20"/>
              </w:rPr>
            </w:pPr>
            <w:r w:rsidRPr="001E02D7">
              <w:rPr>
                <w:rFonts w:eastAsia="Times New Roman"/>
                <w:i/>
                <w:sz w:val="20"/>
                <w:szCs w:val="20"/>
              </w:rPr>
              <w:t>Рост тарифа к предыдущему периоду в %</w:t>
            </w:r>
          </w:p>
        </w:tc>
        <w:tc>
          <w:tcPr>
            <w:tcW w:w="1559" w:type="dxa"/>
            <w:tcBorders>
              <w:top w:val="single" w:sz="4" w:space="0" w:color="auto"/>
              <w:left w:val="nil"/>
              <w:bottom w:val="single" w:sz="4" w:space="0" w:color="auto"/>
              <w:right w:val="single" w:sz="8" w:space="0" w:color="auto"/>
            </w:tcBorders>
            <w:vAlign w:val="center"/>
          </w:tcPr>
          <w:p w:rsidR="001E7B45" w:rsidRPr="001E02D7" w:rsidRDefault="001E7B45" w:rsidP="008C1AA9">
            <w:pPr>
              <w:spacing w:after="0" w:line="240" w:lineRule="auto"/>
              <w:jc w:val="center"/>
              <w:rPr>
                <w:rFonts w:eastAsia="Times New Roman"/>
                <w:i/>
                <w:color w:val="000000"/>
                <w:sz w:val="20"/>
                <w:szCs w:val="20"/>
              </w:rPr>
            </w:pPr>
            <w:r w:rsidRPr="001E02D7">
              <w:rPr>
                <w:rFonts w:eastAsia="Times New Roman"/>
                <w:i/>
                <w:color w:val="000000"/>
                <w:sz w:val="20"/>
                <w:szCs w:val="20"/>
              </w:rPr>
              <w:t>100,00</w:t>
            </w:r>
          </w:p>
        </w:tc>
        <w:tc>
          <w:tcPr>
            <w:tcW w:w="1701" w:type="dxa"/>
            <w:tcBorders>
              <w:top w:val="single" w:sz="4" w:space="0" w:color="auto"/>
              <w:left w:val="nil"/>
              <w:bottom w:val="single" w:sz="4" w:space="0" w:color="auto"/>
              <w:right w:val="single" w:sz="8" w:space="0" w:color="auto"/>
            </w:tcBorders>
            <w:vAlign w:val="center"/>
          </w:tcPr>
          <w:p w:rsidR="001E7B45" w:rsidRPr="001E02D7" w:rsidRDefault="001E7B45" w:rsidP="008C1AA9">
            <w:pPr>
              <w:spacing w:after="0" w:line="240" w:lineRule="auto"/>
              <w:jc w:val="center"/>
              <w:rPr>
                <w:rFonts w:eastAsia="Times New Roman"/>
                <w:i/>
                <w:color w:val="000000"/>
                <w:sz w:val="20"/>
                <w:szCs w:val="20"/>
              </w:rPr>
            </w:pPr>
            <w:r w:rsidRPr="001E02D7">
              <w:rPr>
                <w:rFonts w:eastAsia="Times New Roman"/>
                <w:i/>
                <w:color w:val="000000"/>
                <w:sz w:val="20"/>
                <w:szCs w:val="20"/>
              </w:rPr>
              <w:t>94,73</w:t>
            </w:r>
          </w:p>
        </w:tc>
        <w:tc>
          <w:tcPr>
            <w:tcW w:w="1560" w:type="dxa"/>
            <w:tcBorders>
              <w:top w:val="single" w:sz="4" w:space="0" w:color="auto"/>
              <w:left w:val="nil"/>
              <w:bottom w:val="single" w:sz="4" w:space="0" w:color="auto"/>
              <w:right w:val="single" w:sz="8" w:space="0" w:color="auto"/>
            </w:tcBorders>
            <w:vAlign w:val="center"/>
          </w:tcPr>
          <w:p w:rsidR="001E7B45" w:rsidRPr="001E02D7" w:rsidRDefault="001E7B45" w:rsidP="008C1AA9">
            <w:pPr>
              <w:spacing w:after="0" w:line="240" w:lineRule="auto"/>
              <w:jc w:val="center"/>
              <w:rPr>
                <w:rFonts w:eastAsia="Times New Roman"/>
                <w:i/>
                <w:color w:val="000000"/>
                <w:sz w:val="20"/>
                <w:szCs w:val="20"/>
              </w:rPr>
            </w:pPr>
            <w:r w:rsidRPr="001E02D7">
              <w:rPr>
                <w:rFonts w:eastAsia="Times New Roman"/>
                <w:i/>
                <w:color w:val="000000"/>
                <w:sz w:val="20"/>
                <w:szCs w:val="20"/>
              </w:rPr>
              <w:t>99,99</w:t>
            </w:r>
          </w:p>
        </w:tc>
        <w:tc>
          <w:tcPr>
            <w:tcW w:w="1559" w:type="dxa"/>
            <w:tcBorders>
              <w:top w:val="single" w:sz="4" w:space="0" w:color="auto"/>
              <w:left w:val="nil"/>
              <w:bottom w:val="single" w:sz="4" w:space="0" w:color="auto"/>
              <w:right w:val="single" w:sz="8" w:space="0" w:color="auto"/>
            </w:tcBorders>
            <w:vAlign w:val="center"/>
          </w:tcPr>
          <w:p w:rsidR="001E7B45" w:rsidRPr="001E02D7" w:rsidRDefault="001E7B45" w:rsidP="008C1AA9">
            <w:pPr>
              <w:spacing w:after="0" w:line="240" w:lineRule="auto"/>
              <w:jc w:val="center"/>
              <w:rPr>
                <w:rFonts w:eastAsia="Times New Roman"/>
                <w:i/>
                <w:color w:val="000000"/>
                <w:sz w:val="20"/>
                <w:szCs w:val="20"/>
              </w:rPr>
            </w:pPr>
            <w:r w:rsidRPr="001E02D7">
              <w:rPr>
                <w:rFonts w:eastAsia="Times New Roman"/>
                <w:i/>
                <w:color w:val="000000"/>
                <w:sz w:val="20"/>
                <w:szCs w:val="20"/>
              </w:rPr>
              <w:t>100,00</w:t>
            </w:r>
          </w:p>
        </w:tc>
        <w:tc>
          <w:tcPr>
            <w:tcW w:w="1559" w:type="dxa"/>
            <w:tcBorders>
              <w:top w:val="single" w:sz="4" w:space="0" w:color="auto"/>
              <w:left w:val="nil"/>
              <w:bottom w:val="single" w:sz="4" w:space="0" w:color="auto"/>
              <w:right w:val="single" w:sz="4" w:space="0" w:color="auto"/>
            </w:tcBorders>
            <w:vAlign w:val="center"/>
          </w:tcPr>
          <w:p w:rsidR="001E7B45" w:rsidRPr="001E02D7" w:rsidRDefault="001E7B45" w:rsidP="008C1AA9">
            <w:pPr>
              <w:spacing w:after="0" w:line="240" w:lineRule="auto"/>
              <w:jc w:val="center"/>
              <w:rPr>
                <w:rFonts w:eastAsia="Times New Roman"/>
                <w:i/>
                <w:color w:val="000000"/>
                <w:sz w:val="20"/>
                <w:szCs w:val="20"/>
              </w:rPr>
            </w:pPr>
            <w:r w:rsidRPr="001E02D7">
              <w:rPr>
                <w:rFonts w:eastAsia="Times New Roman"/>
                <w:i/>
                <w:color w:val="000000"/>
                <w:sz w:val="20"/>
                <w:szCs w:val="20"/>
              </w:rPr>
              <w:t>99,65</w:t>
            </w:r>
          </w:p>
        </w:tc>
      </w:tr>
      <w:tr w:rsidR="001E7B45" w:rsidRPr="001E02D7" w:rsidTr="00D818A7">
        <w:trPr>
          <w:gridAfter w:val="1"/>
          <w:wAfter w:w="236" w:type="dxa"/>
          <w:trHeight w:val="132"/>
        </w:trPr>
        <w:tc>
          <w:tcPr>
            <w:tcW w:w="534" w:type="dxa"/>
            <w:tcBorders>
              <w:top w:val="single" w:sz="4" w:space="0" w:color="auto"/>
              <w:left w:val="single" w:sz="4" w:space="0" w:color="auto"/>
              <w:bottom w:val="single" w:sz="4" w:space="0" w:color="auto"/>
              <w:right w:val="single" w:sz="8" w:space="0" w:color="auto"/>
            </w:tcBorders>
            <w:vAlign w:val="center"/>
          </w:tcPr>
          <w:p w:rsidR="001E7B45" w:rsidRPr="001E02D7" w:rsidRDefault="001E7B45" w:rsidP="008C1AA9">
            <w:pPr>
              <w:spacing w:after="0" w:line="240" w:lineRule="auto"/>
              <w:jc w:val="center"/>
              <w:rPr>
                <w:rFonts w:eastAsia="Times New Roman"/>
                <w:sz w:val="20"/>
                <w:szCs w:val="20"/>
              </w:rPr>
            </w:pPr>
            <w:r w:rsidRPr="001E02D7">
              <w:rPr>
                <w:rFonts w:eastAsia="Times New Roman"/>
                <w:sz w:val="20"/>
                <w:szCs w:val="20"/>
              </w:rPr>
              <w:t>4</w:t>
            </w:r>
          </w:p>
        </w:tc>
        <w:tc>
          <w:tcPr>
            <w:tcW w:w="1276" w:type="dxa"/>
            <w:tcBorders>
              <w:top w:val="single" w:sz="4" w:space="0" w:color="auto"/>
              <w:left w:val="single" w:sz="4" w:space="0" w:color="auto"/>
              <w:bottom w:val="single" w:sz="4" w:space="0" w:color="auto"/>
              <w:right w:val="single" w:sz="8" w:space="0" w:color="auto"/>
            </w:tcBorders>
            <w:vAlign w:val="center"/>
          </w:tcPr>
          <w:p w:rsidR="001E7B45" w:rsidRPr="001E02D7" w:rsidRDefault="001E7B45" w:rsidP="008C1AA9">
            <w:pPr>
              <w:spacing w:after="0" w:line="240" w:lineRule="auto"/>
              <w:jc w:val="center"/>
              <w:rPr>
                <w:rFonts w:eastAsia="Times New Roman"/>
                <w:b/>
                <w:sz w:val="20"/>
                <w:szCs w:val="20"/>
              </w:rPr>
            </w:pPr>
            <w:r w:rsidRPr="001E02D7">
              <w:rPr>
                <w:rFonts w:eastAsia="Times New Roman"/>
                <w:b/>
                <w:sz w:val="20"/>
                <w:szCs w:val="20"/>
              </w:rPr>
              <w:t xml:space="preserve">с 1 июля 2020 года </w:t>
            </w:r>
          </w:p>
          <w:p w:rsidR="001E7B45" w:rsidRPr="001E02D7" w:rsidRDefault="001E7B45" w:rsidP="008C1AA9">
            <w:pPr>
              <w:spacing w:after="0" w:line="240" w:lineRule="auto"/>
              <w:jc w:val="center"/>
              <w:rPr>
                <w:rFonts w:eastAsia="Times New Roman"/>
                <w:sz w:val="20"/>
                <w:szCs w:val="20"/>
              </w:rPr>
            </w:pPr>
            <w:r w:rsidRPr="001E02D7">
              <w:rPr>
                <w:rFonts w:eastAsia="Times New Roman"/>
                <w:b/>
                <w:sz w:val="20"/>
                <w:szCs w:val="20"/>
              </w:rPr>
              <w:t>по 31 декабря 2020 года</w:t>
            </w:r>
          </w:p>
        </w:tc>
        <w:tc>
          <w:tcPr>
            <w:tcW w:w="1559" w:type="dxa"/>
            <w:tcBorders>
              <w:top w:val="single" w:sz="4" w:space="0" w:color="auto"/>
              <w:left w:val="nil"/>
              <w:bottom w:val="single" w:sz="4" w:space="0" w:color="auto"/>
              <w:right w:val="single" w:sz="8" w:space="0" w:color="auto"/>
            </w:tcBorders>
            <w:vAlign w:val="center"/>
          </w:tcPr>
          <w:p w:rsidR="001E7B45" w:rsidRPr="001E02D7" w:rsidRDefault="001E7B45" w:rsidP="008C1AA9">
            <w:pPr>
              <w:spacing w:after="0" w:line="240" w:lineRule="auto"/>
              <w:jc w:val="center"/>
              <w:rPr>
                <w:rFonts w:eastAsia="Times New Roman"/>
                <w:b/>
                <w:color w:val="000000"/>
                <w:sz w:val="20"/>
                <w:szCs w:val="20"/>
              </w:rPr>
            </w:pPr>
            <w:r w:rsidRPr="001E02D7">
              <w:rPr>
                <w:rFonts w:eastAsia="Times New Roman"/>
                <w:b/>
                <w:color w:val="000000"/>
                <w:sz w:val="20"/>
                <w:szCs w:val="20"/>
              </w:rPr>
              <w:t>0,37704</w:t>
            </w:r>
          </w:p>
        </w:tc>
        <w:tc>
          <w:tcPr>
            <w:tcW w:w="1701" w:type="dxa"/>
            <w:tcBorders>
              <w:top w:val="single" w:sz="4" w:space="0" w:color="auto"/>
              <w:left w:val="nil"/>
              <w:bottom w:val="single" w:sz="4" w:space="0" w:color="auto"/>
              <w:right w:val="single" w:sz="8" w:space="0" w:color="auto"/>
            </w:tcBorders>
            <w:vAlign w:val="center"/>
          </w:tcPr>
          <w:p w:rsidR="001E7B45" w:rsidRPr="001E02D7" w:rsidRDefault="001E7B45" w:rsidP="008C1AA9">
            <w:pPr>
              <w:spacing w:after="0" w:line="240" w:lineRule="auto"/>
              <w:jc w:val="center"/>
              <w:rPr>
                <w:rFonts w:eastAsia="Times New Roman"/>
                <w:b/>
                <w:color w:val="000000"/>
                <w:sz w:val="20"/>
                <w:szCs w:val="20"/>
              </w:rPr>
            </w:pPr>
            <w:r w:rsidRPr="001E02D7">
              <w:rPr>
                <w:rFonts w:eastAsia="Times New Roman"/>
                <w:b/>
                <w:color w:val="000000"/>
                <w:sz w:val="20"/>
                <w:szCs w:val="20"/>
              </w:rPr>
              <w:t>0,10908</w:t>
            </w:r>
          </w:p>
        </w:tc>
        <w:tc>
          <w:tcPr>
            <w:tcW w:w="1560" w:type="dxa"/>
            <w:tcBorders>
              <w:top w:val="single" w:sz="4" w:space="0" w:color="auto"/>
              <w:left w:val="nil"/>
              <w:bottom w:val="single" w:sz="4" w:space="0" w:color="auto"/>
              <w:right w:val="single" w:sz="8" w:space="0" w:color="auto"/>
            </w:tcBorders>
            <w:vAlign w:val="center"/>
          </w:tcPr>
          <w:p w:rsidR="001E7B45" w:rsidRPr="001E02D7" w:rsidRDefault="001E7B45" w:rsidP="008C1AA9">
            <w:pPr>
              <w:spacing w:after="0" w:line="240" w:lineRule="auto"/>
              <w:jc w:val="center"/>
              <w:rPr>
                <w:rFonts w:eastAsia="Times New Roman"/>
                <w:b/>
                <w:color w:val="000000"/>
                <w:sz w:val="20"/>
                <w:szCs w:val="20"/>
              </w:rPr>
            </w:pPr>
            <w:r w:rsidRPr="001E02D7">
              <w:rPr>
                <w:rFonts w:eastAsia="Times New Roman"/>
                <w:b/>
                <w:color w:val="000000"/>
                <w:sz w:val="20"/>
                <w:szCs w:val="20"/>
              </w:rPr>
              <w:t>0,53665</w:t>
            </w:r>
          </w:p>
        </w:tc>
        <w:tc>
          <w:tcPr>
            <w:tcW w:w="1559" w:type="dxa"/>
            <w:tcBorders>
              <w:top w:val="single" w:sz="4" w:space="0" w:color="auto"/>
              <w:left w:val="nil"/>
              <w:bottom w:val="single" w:sz="4" w:space="0" w:color="auto"/>
              <w:right w:val="single" w:sz="8" w:space="0" w:color="auto"/>
            </w:tcBorders>
            <w:vAlign w:val="center"/>
          </w:tcPr>
          <w:p w:rsidR="001E7B45" w:rsidRPr="001E02D7" w:rsidRDefault="001E7B45" w:rsidP="008C1AA9">
            <w:pPr>
              <w:spacing w:after="0" w:line="240" w:lineRule="auto"/>
              <w:jc w:val="center"/>
              <w:rPr>
                <w:rFonts w:eastAsia="Times New Roman"/>
                <w:b/>
                <w:color w:val="000000"/>
                <w:sz w:val="20"/>
                <w:szCs w:val="20"/>
              </w:rPr>
            </w:pPr>
            <w:r w:rsidRPr="001E02D7">
              <w:rPr>
                <w:rFonts w:eastAsia="Times New Roman"/>
                <w:b/>
                <w:color w:val="000000"/>
                <w:sz w:val="20"/>
                <w:szCs w:val="20"/>
              </w:rPr>
              <w:t>0,19076</w:t>
            </w:r>
          </w:p>
        </w:tc>
        <w:tc>
          <w:tcPr>
            <w:tcW w:w="1559" w:type="dxa"/>
            <w:tcBorders>
              <w:top w:val="single" w:sz="4" w:space="0" w:color="auto"/>
              <w:left w:val="nil"/>
              <w:bottom w:val="single" w:sz="4" w:space="0" w:color="auto"/>
              <w:right w:val="single" w:sz="4" w:space="0" w:color="auto"/>
            </w:tcBorders>
            <w:vAlign w:val="center"/>
          </w:tcPr>
          <w:p w:rsidR="001E7B45" w:rsidRPr="001E02D7" w:rsidRDefault="001E7B45" w:rsidP="008C1AA9">
            <w:pPr>
              <w:spacing w:after="0" w:line="240" w:lineRule="auto"/>
              <w:jc w:val="center"/>
              <w:rPr>
                <w:rFonts w:eastAsia="Times New Roman"/>
                <w:b/>
                <w:color w:val="000000"/>
                <w:sz w:val="20"/>
                <w:szCs w:val="20"/>
              </w:rPr>
            </w:pPr>
            <w:r w:rsidRPr="001E02D7">
              <w:rPr>
                <w:rFonts w:eastAsia="Times New Roman"/>
                <w:b/>
                <w:color w:val="000000"/>
                <w:sz w:val="20"/>
                <w:szCs w:val="20"/>
              </w:rPr>
              <w:t>0,17888</w:t>
            </w:r>
          </w:p>
        </w:tc>
      </w:tr>
      <w:tr w:rsidR="001E7B45" w:rsidRPr="001E02D7" w:rsidTr="00D818A7">
        <w:trPr>
          <w:gridAfter w:val="1"/>
          <w:wAfter w:w="236" w:type="dxa"/>
          <w:trHeight w:val="132"/>
        </w:trPr>
        <w:tc>
          <w:tcPr>
            <w:tcW w:w="1810" w:type="dxa"/>
            <w:gridSpan w:val="2"/>
            <w:tcBorders>
              <w:top w:val="single" w:sz="4" w:space="0" w:color="auto"/>
              <w:left w:val="single" w:sz="4" w:space="0" w:color="auto"/>
              <w:bottom w:val="single" w:sz="4" w:space="0" w:color="auto"/>
              <w:right w:val="single" w:sz="8" w:space="0" w:color="auto"/>
            </w:tcBorders>
            <w:vAlign w:val="center"/>
          </w:tcPr>
          <w:p w:rsidR="001E7B45" w:rsidRPr="001E02D7" w:rsidRDefault="001E7B45" w:rsidP="008C1AA9">
            <w:pPr>
              <w:spacing w:after="0" w:line="240" w:lineRule="auto"/>
              <w:jc w:val="center"/>
              <w:rPr>
                <w:rFonts w:eastAsia="Times New Roman"/>
                <w:b/>
                <w:sz w:val="20"/>
                <w:szCs w:val="20"/>
              </w:rPr>
            </w:pPr>
            <w:r w:rsidRPr="001E02D7">
              <w:rPr>
                <w:rFonts w:eastAsia="Times New Roman"/>
                <w:i/>
                <w:sz w:val="20"/>
                <w:szCs w:val="20"/>
              </w:rPr>
              <w:t>Рост тарифа к предыдущему периоду в %</w:t>
            </w:r>
          </w:p>
        </w:tc>
        <w:tc>
          <w:tcPr>
            <w:tcW w:w="1559" w:type="dxa"/>
            <w:tcBorders>
              <w:top w:val="single" w:sz="4" w:space="0" w:color="auto"/>
              <w:left w:val="nil"/>
              <w:bottom w:val="single" w:sz="4" w:space="0" w:color="auto"/>
              <w:right w:val="single" w:sz="8" w:space="0" w:color="auto"/>
            </w:tcBorders>
            <w:vAlign w:val="center"/>
          </w:tcPr>
          <w:p w:rsidR="001E7B45" w:rsidRPr="001E02D7" w:rsidRDefault="001E7B45" w:rsidP="008C1AA9">
            <w:pPr>
              <w:spacing w:after="0" w:line="240" w:lineRule="auto"/>
              <w:jc w:val="center"/>
              <w:rPr>
                <w:rFonts w:eastAsia="Times New Roman"/>
                <w:i/>
                <w:color w:val="000000"/>
                <w:sz w:val="20"/>
                <w:szCs w:val="20"/>
              </w:rPr>
            </w:pPr>
            <w:r w:rsidRPr="001E02D7">
              <w:rPr>
                <w:rFonts w:eastAsia="Times New Roman"/>
                <w:i/>
                <w:color w:val="000000"/>
                <w:sz w:val="20"/>
                <w:szCs w:val="20"/>
              </w:rPr>
              <w:t>100,7</w:t>
            </w:r>
          </w:p>
        </w:tc>
        <w:tc>
          <w:tcPr>
            <w:tcW w:w="1701" w:type="dxa"/>
            <w:tcBorders>
              <w:top w:val="single" w:sz="4" w:space="0" w:color="auto"/>
              <w:left w:val="nil"/>
              <w:bottom w:val="single" w:sz="4" w:space="0" w:color="auto"/>
              <w:right w:val="single" w:sz="8" w:space="0" w:color="auto"/>
            </w:tcBorders>
            <w:vAlign w:val="center"/>
          </w:tcPr>
          <w:p w:rsidR="001E7B45" w:rsidRPr="001E02D7" w:rsidRDefault="001E7B45" w:rsidP="008C1AA9">
            <w:pPr>
              <w:spacing w:after="0" w:line="240" w:lineRule="auto"/>
              <w:jc w:val="center"/>
              <w:rPr>
                <w:rFonts w:eastAsia="Times New Roman"/>
                <w:i/>
                <w:color w:val="000000"/>
                <w:sz w:val="20"/>
                <w:szCs w:val="20"/>
              </w:rPr>
            </w:pPr>
            <w:r w:rsidRPr="001E02D7">
              <w:rPr>
                <w:rFonts w:eastAsia="Times New Roman"/>
                <w:i/>
                <w:color w:val="000000"/>
                <w:sz w:val="20"/>
                <w:szCs w:val="20"/>
              </w:rPr>
              <w:t>100,00</w:t>
            </w:r>
          </w:p>
        </w:tc>
        <w:tc>
          <w:tcPr>
            <w:tcW w:w="1560" w:type="dxa"/>
            <w:tcBorders>
              <w:top w:val="single" w:sz="4" w:space="0" w:color="auto"/>
              <w:left w:val="nil"/>
              <w:bottom w:val="single" w:sz="4" w:space="0" w:color="auto"/>
              <w:right w:val="single" w:sz="8" w:space="0" w:color="auto"/>
            </w:tcBorders>
            <w:vAlign w:val="center"/>
          </w:tcPr>
          <w:p w:rsidR="001E7B45" w:rsidRPr="001E02D7" w:rsidRDefault="001E7B45" w:rsidP="008C1AA9">
            <w:pPr>
              <w:spacing w:after="0" w:line="240" w:lineRule="auto"/>
              <w:jc w:val="center"/>
              <w:rPr>
                <w:rFonts w:eastAsia="Times New Roman"/>
                <w:i/>
                <w:color w:val="000000"/>
                <w:sz w:val="20"/>
                <w:szCs w:val="20"/>
              </w:rPr>
            </w:pPr>
            <w:r w:rsidRPr="001E02D7">
              <w:rPr>
                <w:rFonts w:eastAsia="Times New Roman"/>
                <w:i/>
                <w:color w:val="000000"/>
                <w:sz w:val="20"/>
                <w:szCs w:val="20"/>
              </w:rPr>
              <w:t>189,59</w:t>
            </w:r>
          </w:p>
        </w:tc>
        <w:tc>
          <w:tcPr>
            <w:tcW w:w="1559" w:type="dxa"/>
            <w:tcBorders>
              <w:top w:val="single" w:sz="4" w:space="0" w:color="auto"/>
              <w:left w:val="nil"/>
              <w:bottom w:val="single" w:sz="4" w:space="0" w:color="auto"/>
              <w:right w:val="single" w:sz="8" w:space="0" w:color="auto"/>
            </w:tcBorders>
            <w:vAlign w:val="center"/>
          </w:tcPr>
          <w:p w:rsidR="001E7B45" w:rsidRPr="001E02D7" w:rsidRDefault="001E7B45" w:rsidP="008C1AA9">
            <w:pPr>
              <w:spacing w:after="0" w:line="240" w:lineRule="auto"/>
              <w:jc w:val="center"/>
              <w:rPr>
                <w:rFonts w:eastAsia="Times New Roman"/>
                <w:i/>
                <w:color w:val="000000"/>
                <w:sz w:val="20"/>
                <w:szCs w:val="20"/>
              </w:rPr>
            </w:pPr>
            <w:r w:rsidRPr="001E02D7">
              <w:rPr>
                <w:rFonts w:eastAsia="Times New Roman"/>
                <w:i/>
                <w:color w:val="000000"/>
                <w:sz w:val="20"/>
                <w:szCs w:val="20"/>
              </w:rPr>
              <w:t>172,81</w:t>
            </w:r>
          </w:p>
        </w:tc>
        <w:tc>
          <w:tcPr>
            <w:tcW w:w="1559" w:type="dxa"/>
            <w:tcBorders>
              <w:top w:val="single" w:sz="4" w:space="0" w:color="auto"/>
              <w:left w:val="nil"/>
              <w:bottom w:val="single" w:sz="4" w:space="0" w:color="auto"/>
              <w:right w:val="single" w:sz="4" w:space="0" w:color="auto"/>
            </w:tcBorders>
            <w:vAlign w:val="center"/>
          </w:tcPr>
          <w:p w:rsidR="001E7B45" w:rsidRPr="001E02D7" w:rsidRDefault="001E7B45" w:rsidP="008C1AA9">
            <w:pPr>
              <w:spacing w:after="0" w:line="240" w:lineRule="auto"/>
              <w:jc w:val="center"/>
              <w:rPr>
                <w:rFonts w:eastAsia="Times New Roman"/>
                <w:i/>
                <w:color w:val="000000"/>
                <w:sz w:val="20"/>
                <w:szCs w:val="20"/>
              </w:rPr>
            </w:pPr>
            <w:r w:rsidRPr="001E02D7">
              <w:rPr>
                <w:rFonts w:eastAsia="Times New Roman"/>
                <w:i/>
                <w:color w:val="000000"/>
                <w:sz w:val="20"/>
                <w:szCs w:val="20"/>
              </w:rPr>
              <w:t>189,59</w:t>
            </w:r>
          </w:p>
        </w:tc>
      </w:tr>
    </w:tbl>
    <w:p w:rsidR="00DF11F6" w:rsidRPr="001E02D7" w:rsidRDefault="00DF11F6" w:rsidP="00DF11F6">
      <w:pPr>
        <w:autoSpaceDE w:val="0"/>
        <w:autoSpaceDN w:val="0"/>
        <w:adjustRightInd w:val="0"/>
        <w:spacing w:after="0" w:line="240" w:lineRule="auto"/>
        <w:ind w:firstLine="709"/>
        <w:jc w:val="both"/>
        <w:rPr>
          <w:rFonts w:eastAsia="Times New Roman"/>
          <w:color w:val="000000"/>
          <w:sz w:val="28"/>
          <w:szCs w:val="28"/>
        </w:rPr>
      </w:pPr>
      <w:r w:rsidRPr="001E02D7">
        <w:rPr>
          <w:rFonts w:eastAsia="Times New Roman"/>
          <w:color w:val="000000"/>
          <w:sz w:val="28"/>
          <w:szCs w:val="28"/>
        </w:rPr>
        <w:lastRenderedPageBreak/>
        <w:t>Следует отметить, что с 1 сентября 2019 года во исполнение предписания Ф</w:t>
      </w:r>
      <w:r>
        <w:rPr>
          <w:rFonts w:eastAsia="Times New Roman"/>
          <w:color w:val="000000"/>
          <w:sz w:val="28"/>
          <w:szCs w:val="28"/>
        </w:rPr>
        <w:t>АС Ро</w:t>
      </w:r>
      <w:r w:rsidRPr="001E02D7">
        <w:rPr>
          <w:rFonts w:eastAsia="Times New Roman"/>
          <w:color w:val="000000"/>
          <w:sz w:val="28"/>
          <w:szCs w:val="28"/>
        </w:rPr>
        <w:t xml:space="preserve">ссии от 12.08.2019 года №ВК/69749/19 </w:t>
      </w:r>
      <w:r>
        <w:rPr>
          <w:rFonts w:eastAsia="Times New Roman"/>
          <w:color w:val="000000"/>
          <w:sz w:val="28"/>
          <w:szCs w:val="28"/>
        </w:rPr>
        <w:t>Д</w:t>
      </w:r>
      <w:r w:rsidRPr="001E02D7">
        <w:rPr>
          <w:rFonts w:eastAsia="Times New Roman"/>
          <w:color w:val="000000"/>
          <w:sz w:val="28"/>
          <w:szCs w:val="28"/>
        </w:rPr>
        <w:t xml:space="preserve">епартаментом были пересмотрены сбытовые надбавки для прочих потребителей (приказ департамента по тарифам Новосибирской области от 29.02.2019 г. №259-ЭЭ). В связи с этим, во втором полугодии 2019 года по группе прочие потребители указаны сбытовые надбавки, действующие с 1.09.2019 года. </w:t>
      </w:r>
    </w:p>
    <w:p w:rsidR="001E7B45" w:rsidRPr="0055683D" w:rsidRDefault="001E7B45" w:rsidP="008C1AA9">
      <w:pPr>
        <w:tabs>
          <w:tab w:val="center" w:pos="4153"/>
          <w:tab w:val="right" w:pos="8306"/>
        </w:tabs>
        <w:spacing w:after="0" w:line="240" w:lineRule="auto"/>
        <w:ind w:left="720"/>
        <w:jc w:val="both"/>
        <w:rPr>
          <w:rFonts w:eastAsia="Times New Roman"/>
          <w:bCs/>
          <w:sz w:val="28"/>
          <w:szCs w:val="28"/>
        </w:rPr>
      </w:pPr>
    </w:p>
    <w:p w:rsidR="001E7B45" w:rsidRPr="00A4798F" w:rsidRDefault="001E7B45" w:rsidP="008C1AA9">
      <w:pPr>
        <w:tabs>
          <w:tab w:val="center" w:pos="4677"/>
          <w:tab w:val="right" w:pos="9355"/>
        </w:tabs>
        <w:spacing w:after="0" w:line="240" w:lineRule="auto"/>
        <w:ind w:firstLine="709"/>
        <w:jc w:val="both"/>
        <w:rPr>
          <w:b/>
          <w:color w:val="000000"/>
          <w:sz w:val="28"/>
          <w:szCs w:val="28"/>
        </w:rPr>
      </w:pPr>
      <w:r w:rsidRPr="00331C55">
        <w:rPr>
          <w:b/>
          <w:color w:val="000000"/>
          <w:sz w:val="28"/>
          <w:szCs w:val="28"/>
        </w:rPr>
        <w:t>2.</w:t>
      </w:r>
      <w:r w:rsidR="00D818A7">
        <w:rPr>
          <w:b/>
          <w:color w:val="000000"/>
          <w:sz w:val="28"/>
          <w:szCs w:val="28"/>
        </w:rPr>
        <w:t>1</w:t>
      </w:r>
      <w:r w:rsidRPr="00331C55">
        <w:rPr>
          <w:b/>
          <w:color w:val="000000"/>
          <w:sz w:val="28"/>
          <w:szCs w:val="28"/>
        </w:rPr>
        <w:t>.</w:t>
      </w:r>
      <w:r w:rsidR="00D818A7">
        <w:rPr>
          <w:b/>
          <w:color w:val="000000"/>
          <w:sz w:val="28"/>
          <w:szCs w:val="28"/>
        </w:rPr>
        <w:t>6.</w:t>
      </w:r>
      <w:r w:rsidRPr="00331C55">
        <w:rPr>
          <w:b/>
          <w:color w:val="000000"/>
          <w:sz w:val="28"/>
          <w:szCs w:val="28"/>
        </w:rPr>
        <w:t xml:space="preserve"> </w:t>
      </w:r>
      <w:r w:rsidRPr="00A4798F">
        <w:rPr>
          <w:b/>
          <w:color w:val="000000"/>
          <w:sz w:val="28"/>
          <w:szCs w:val="28"/>
        </w:rPr>
        <w:t>Финансирование инвестиционных программ территориальных сетевых организаций</w:t>
      </w:r>
    </w:p>
    <w:p w:rsidR="001E7B45" w:rsidRPr="00A4798F" w:rsidRDefault="001E7B45" w:rsidP="008C1AA9">
      <w:pPr>
        <w:autoSpaceDE w:val="0"/>
        <w:autoSpaceDN w:val="0"/>
        <w:spacing w:after="0" w:line="240" w:lineRule="auto"/>
        <w:ind w:firstLine="708"/>
        <w:jc w:val="both"/>
        <w:rPr>
          <w:rFonts w:eastAsia="Times New Roman"/>
          <w:sz w:val="28"/>
          <w:szCs w:val="28"/>
        </w:rPr>
      </w:pPr>
      <w:r w:rsidRPr="00A4798F">
        <w:rPr>
          <w:rFonts w:eastAsia="Times New Roman"/>
          <w:sz w:val="28"/>
          <w:szCs w:val="28"/>
        </w:rPr>
        <w:t xml:space="preserve">В рамках рассмотрения инвестиционных проектов территориальных сетевых организаций, направляемых на утверждение в Министерство жилищно-коммунального хозяйства и энергетики Новосибирской области, </w:t>
      </w:r>
      <w:r w:rsidR="00B0259A">
        <w:rPr>
          <w:rFonts w:eastAsia="Times New Roman"/>
          <w:sz w:val="28"/>
          <w:szCs w:val="28"/>
        </w:rPr>
        <w:t>Д</w:t>
      </w:r>
      <w:r w:rsidRPr="00A4798F">
        <w:rPr>
          <w:rFonts w:eastAsia="Times New Roman"/>
          <w:sz w:val="28"/>
          <w:szCs w:val="28"/>
        </w:rPr>
        <w:t xml:space="preserve">епартаментом </w:t>
      </w:r>
      <w:r>
        <w:rPr>
          <w:rFonts w:eastAsia="Times New Roman"/>
          <w:sz w:val="28"/>
          <w:szCs w:val="28"/>
        </w:rPr>
        <w:t xml:space="preserve">произведена </w:t>
      </w:r>
      <w:r w:rsidRPr="00A4798F">
        <w:rPr>
          <w:rFonts w:eastAsia="Times New Roman"/>
          <w:sz w:val="28"/>
          <w:szCs w:val="28"/>
        </w:rPr>
        <w:t>оценка финансирования инвестиционных мероприятий, затраты по которым</w:t>
      </w:r>
      <w:r>
        <w:rPr>
          <w:rFonts w:eastAsia="Times New Roman"/>
          <w:sz w:val="28"/>
          <w:szCs w:val="28"/>
        </w:rPr>
        <w:t>,</w:t>
      </w:r>
      <w:r w:rsidRPr="00A4798F">
        <w:rPr>
          <w:rFonts w:eastAsia="Times New Roman"/>
          <w:sz w:val="28"/>
          <w:szCs w:val="28"/>
        </w:rPr>
        <w:t xml:space="preserve"> уч</w:t>
      </w:r>
      <w:r>
        <w:rPr>
          <w:rFonts w:eastAsia="Times New Roman"/>
          <w:sz w:val="28"/>
          <w:szCs w:val="28"/>
        </w:rPr>
        <w:t>тены</w:t>
      </w:r>
      <w:r w:rsidRPr="00A4798F">
        <w:rPr>
          <w:rFonts w:eastAsia="Times New Roman"/>
          <w:sz w:val="28"/>
          <w:szCs w:val="28"/>
        </w:rPr>
        <w:t xml:space="preserve"> при формировании (корректировки) необходимой валовой выручки регулируемых организаций</w:t>
      </w:r>
      <w:r>
        <w:rPr>
          <w:rFonts w:eastAsia="Times New Roman"/>
          <w:sz w:val="28"/>
          <w:szCs w:val="28"/>
        </w:rPr>
        <w:t xml:space="preserve"> на 2020 год</w:t>
      </w:r>
      <w:r w:rsidRPr="00A4798F">
        <w:rPr>
          <w:rFonts w:eastAsia="Times New Roman"/>
          <w:sz w:val="28"/>
          <w:szCs w:val="28"/>
        </w:rPr>
        <w:t xml:space="preserve">. </w:t>
      </w:r>
    </w:p>
    <w:p w:rsidR="001E7B45" w:rsidRPr="00A4798F" w:rsidRDefault="001E7B45" w:rsidP="008C1AA9">
      <w:pPr>
        <w:autoSpaceDE w:val="0"/>
        <w:autoSpaceDN w:val="0"/>
        <w:adjustRightInd w:val="0"/>
        <w:spacing w:after="0" w:line="240" w:lineRule="auto"/>
        <w:ind w:firstLine="708"/>
        <w:jc w:val="both"/>
        <w:rPr>
          <w:rFonts w:eastAsia="Times New Roman"/>
          <w:bCs/>
          <w:sz w:val="28"/>
          <w:szCs w:val="28"/>
        </w:rPr>
      </w:pPr>
      <w:r>
        <w:rPr>
          <w:rFonts w:eastAsia="Times New Roman"/>
          <w:bCs/>
          <w:sz w:val="28"/>
          <w:szCs w:val="28"/>
        </w:rPr>
        <w:t>В частности, п</w:t>
      </w:r>
      <w:r w:rsidRPr="00A4798F">
        <w:rPr>
          <w:rFonts w:eastAsia="Times New Roman"/>
          <w:bCs/>
          <w:sz w:val="28"/>
          <w:szCs w:val="28"/>
        </w:rPr>
        <w:t xml:space="preserve">роект корректировки инвестиционной программы </w:t>
      </w:r>
      <w:r w:rsidRPr="00A4798F">
        <w:rPr>
          <w:rFonts w:eastAsia="Times New Roman"/>
          <w:sz w:val="28"/>
          <w:szCs w:val="28"/>
        </w:rPr>
        <w:t xml:space="preserve">АО «РЭС» </w:t>
      </w:r>
      <w:r>
        <w:rPr>
          <w:rFonts w:eastAsia="Times New Roman"/>
          <w:sz w:val="28"/>
          <w:szCs w:val="28"/>
        </w:rPr>
        <w:t xml:space="preserve">на период 2016-2020 годов </w:t>
      </w:r>
      <w:r>
        <w:rPr>
          <w:rFonts w:eastAsia="Times New Roman"/>
          <w:bCs/>
          <w:sz w:val="28"/>
          <w:szCs w:val="28"/>
        </w:rPr>
        <w:t xml:space="preserve">был </w:t>
      </w:r>
      <w:r w:rsidRPr="00A4798F">
        <w:rPr>
          <w:rFonts w:eastAsia="Times New Roman"/>
          <w:bCs/>
          <w:sz w:val="28"/>
          <w:szCs w:val="28"/>
        </w:rPr>
        <w:t>согласован</w:t>
      </w:r>
      <w:r>
        <w:rPr>
          <w:rFonts w:eastAsia="Times New Roman"/>
          <w:bCs/>
          <w:sz w:val="28"/>
          <w:szCs w:val="28"/>
        </w:rPr>
        <w:t>:</w:t>
      </w:r>
      <w:r w:rsidRPr="00A4798F">
        <w:rPr>
          <w:rFonts w:eastAsia="Times New Roman"/>
          <w:bCs/>
          <w:sz w:val="28"/>
          <w:szCs w:val="28"/>
        </w:rPr>
        <w:t xml:space="preserve"> </w:t>
      </w:r>
      <w:r>
        <w:rPr>
          <w:rFonts w:eastAsia="Times New Roman"/>
          <w:bCs/>
          <w:sz w:val="28"/>
          <w:szCs w:val="28"/>
        </w:rPr>
        <w:t>на 2019</w:t>
      </w:r>
      <w:r w:rsidRPr="00A4798F">
        <w:rPr>
          <w:rFonts w:eastAsia="Times New Roman"/>
          <w:bCs/>
          <w:sz w:val="28"/>
          <w:szCs w:val="28"/>
        </w:rPr>
        <w:t xml:space="preserve"> год в объеме финансирования капитальных вложений за счет тарифных источников в размере 1 730,6 млн.</w:t>
      </w:r>
      <w:r w:rsidR="00B0259A">
        <w:rPr>
          <w:rFonts w:eastAsia="Times New Roman"/>
          <w:bCs/>
          <w:sz w:val="28"/>
          <w:szCs w:val="28"/>
        </w:rPr>
        <w:t xml:space="preserve"> </w:t>
      </w:r>
      <w:r w:rsidRPr="00A4798F">
        <w:rPr>
          <w:rFonts w:eastAsia="Times New Roman"/>
          <w:bCs/>
          <w:sz w:val="28"/>
          <w:szCs w:val="28"/>
        </w:rPr>
        <w:t>руб. (без НДС), в том числе: амортизационные отчисления – 1 563,8 млн. руб., выпадающие доходы от деятельности по технологическому присоединению – 166,8 млн. руб. (реконструкция ПС «Животновод» и ПС «Горская»)</w:t>
      </w:r>
      <w:r>
        <w:rPr>
          <w:rFonts w:eastAsia="Times New Roman"/>
          <w:bCs/>
          <w:sz w:val="28"/>
          <w:szCs w:val="28"/>
        </w:rPr>
        <w:t>;</w:t>
      </w:r>
      <w:r w:rsidRPr="00A4798F">
        <w:rPr>
          <w:rFonts w:eastAsia="Times New Roman"/>
          <w:bCs/>
          <w:sz w:val="28"/>
          <w:szCs w:val="28"/>
        </w:rPr>
        <w:t xml:space="preserve"> </w:t>
      </w:r>
      <w:r>
        <w:rPr>
          <w:rFonts w:eastAsia="Times New Roman"/>
          <w:bCs/>
          <w:sz w:val="28"/>
          <w:szCs w:val="28"/>
        </w:rPr>
        <w:t>на 2020 год объем финансирования, заявленный АО на корректировку,</w:t>
      </w:r>
      <w:r w:rsidRPr="00931247">
        <w:rPr>
          <w:rFonts w:eastAsia="Times New Roman"/>
          <w:bCs/>
          <w:sz w:val="28"/>
          <w:szCs w:val="28"/>
        </w:rPr>
        <w:t xml:space="preserve"> </w:t>
      </w:r>
      <w:r w:rsidR="00DF11F6">
        <w:rPr>
          <w:rFonts w:eastAsia="Times New Roman"/>
          <w:bCs/>
          <w:sz w:val="28"/>
          <w:szCs w:val="28"/>
        </w:rPr>
        <w:t>Д</w:t>
      </w:r>
      <w:r>
        <w:rPr>
          <w:rFonts w:eastAsia="Times New Roman"/>
          <w:bCs/>
          <w:sz w:val="28"/>
          <w:szCs w:val="28"/>
        </w:rPr>
        <w:t xml:space="preserve">епартаментом не был согласован по причине отсутствия на момент согласования утвержденного Сводного прогнозного баланса на 2020 год, а также предельных уровней тарифов на услуги по передаче электрической энергии на 2020 год, утверждаемых ФАС России в установленном порядке. </w:t>
      </w:r>
    </w:p>
    <w:p w:rsidR="001E7B45" w:rsidRPr="00A4798F" w:rsidRDefault="001E7B45" w:rsidP="00D818A7">
      <w:pPr>
        <w:autoSpaceDE w:val="0"/>
        <w:autoSpaceDN w:val="0"/>
        <w:spacing w:line="240" w:lineRule="auto"/>
        <w:ind w:firstLine="709"/>
        <w:jc w:val="both"/>
        <w:rPr>
          <w:rFonts w:eastAsia="Times New Roman"/>
          <w:sz w:val="28"/>
          <w:szCs w:val="28"/>
        </w:rPr>
      </w:pPr>
      <w:r w:rsidRPr="00A4798F">
        <w:rPr>
          <w:rFonts w:eastAsia="Times New Roman"/>
          <w:sz w:val="28"/>
          <w:szCs w:val="28"/>
        </w:rPr>
        <w:t>Инвестиционные программы, финансируемые за счет тарифа на услуги по передаче электрической энергии на 2020</w:t>
      </w:r>
      <w:r>
        <w:rPr>
          <w:rFonts w:eastAsia="Times New Roman"/>
          <w:sz w:val="28"/>
          <w:szCs w:val="28"/>
        </w:rPr>
        <w:t xml:space="preserve"> год, утверждены (скорректир</w:t>
      </w:r>
      <w:r w:rsidRPr="00A4798F">
        <w:rPr>
          <w:rFonts w:eastAsia="Times New Roman"/>
          <w:sz w:val="28"/>
          <w:szCs w:val="28"/>
        </w:rPr>
        <w:t>ованы) в установленном порядке для восьми регулируемых организаций Новосибирской области: АО «РЭС», ООО «СибЭнергоТранс 54», ФГУП «Энергетик», ФГУП «УЭВ</w:t>
      </w:r>
      <w:r>
        <w:rPr>
          <w:rFonts w:eastAsia="Times New Roman"/>
          <w:sz w:val="28"/>
          <w:szCs w:val="28"/>
        </w:rPr>
        <w:t xml:space="preserve">, </w:t>
      </w:r>
      <w:r w:rsidRPr="00A4798F">
        <w:rPr>
          <w:rFonts w:eastAsia="Times New Roman"/>
          <w:sz w:val="28"/>
          <w:szCs w:val="28"/>
        </w:rPr>
        <w:t>Филиал</w:t>
      </w:r>
      <w:r>
        <w:rPr>
          <w:rFonts w:eastAsia="Times New Roman"/>
          <w:sz w:val="28"/>
          <w:szCs w:val="28"/>
        </w:rPr>
        <w:t xml:space="preserve"> </w:t>
      </w:r>
      <w:r w:rsidRPr="00A4798F">
        <w:rPr>
          <w:rFonts w:eastAsia="Times New Roman"/>
          <w:sz w:val="28"/>
          <w:szCs w:val="28"/>
        </w:rPr>
        <w:t>«Сибирский»</w:t>
      </w:r>
      <w:r>
        <w:rPr>
          <w:rFonts w:eastAsia="Times New Roman"/>
          <w:sz w:val="28"/>
          <w:szCs w:val="28"/>
        </w:rPr>
        <w:t xml:space="preserve"> </w:t>
      </w:r>
      <w:r w:rsidRPr="00A4798F">
        <w:rPr>
          <w:rFonts w:eastAsia="Times New Roman"/>
          <w:sz w:val="28"/>
          <w:szCs w:val="28"/>
        </w:rPr>
        <w:t xml:space="preserve">АО «Оборонэнерго», филиал «Сибирский» ОАО «ОЭК», филиал «ОАО «РЖД». </w:t>
      </w:r>
    </w:p>
    <w:p w:rsidR="001E7B45" w:rsidRPr="001E02D7" w:rsidRDefault="001E7B45" w:rsidP="00D818A7">
      <w:pPr>
        <w:spacing w:line="240" w:lineRule="auto"/>
        <w:rPr>
          <w:rFonts w:eastAsia="Times New Roman"/>
          <w:sz w:val="20"/>
          <w:szCs w:val="20"/>
        </w:rPr>
      </w:pPr>
    </w:p>
    <w:p w:rsidR="001E7B45" w:rsidRDefault="001E7B45" w:rsidP="00D818A7">
      <w:pPr>
        <w:pStyle w:val="a6"/>
        <w:spacing w:after="120" w:line="240" w:lineRule="auto"/>
        <w:ind w:left="284" w:firstLine="425"/>
        <w:rPr>
          <w:rFonts w:ascii="Times New Roman" w:hAnsi="Times New Roman"/>
          <w:b/>
          <w:color w:val="000000"/>
          <w:sz w:val="28"/>
          <w:szCs w:val="28"/>
        </w:rPr>
      </w:pPr>
      <w:r w:rsidRPr="00331C55">
        <w:rPr>
          <w:rFonts w:ascii="Times New Roman" w:hAnsi="Times New Roman"/>
          <w:b/>
          <w:color w:val="000000"/>
          <w:sz w:val="28"/>
          <w:szCs w:val="28"/>
        </w:rPr>
        <w:t>2.</w:t>
      </w:r>
      <w:r w:rsidR="00D818A7">
        <w:rPr>
          <w:rFonts w:ascii="Times New Roman" w:hAnsi="Times New Roman"/>
          <w:b/>
          <w:color w:val="000000"/>
          <w:sz w:val="28"/>
          <w:szCs w:val="28"/>
        </w:rPr>
        <w:t>1.7</w:t>
      </w:r>
      <w:r w:rsidRPr="00331C55">
        <w:rPr>
          <w:rFonts w:ascii="Times New Roman" w:hAnsi="Times New Roman"/>
          <w:b/>
          <w:color w:val="000000"/>
          <w:sz w:val="28"/>
          <w:szCs w:val="28"/>
        </w:rPr>
        <w:t>. Энергосбережение</w:t>
      </w:r>
    </w:p>
    <w:p w:rsidR="001E7B45" w:rsidRPr="00056A5C" w:rsidRDefault="001E7B45" w:rsidP="00D818A7">
      <w:pPr>
        <w:spacing w:after="0" w:line="240" w:lineRule="auto"/>
        <w:ind w:firstLine="708"/>
        <w:jc w:val="both"/>
        <w:rPr>
          <w:rFonts w:eastAsia="Calibri"/>
          <w:bCs/>
          <w:sz w:val="28"/>
          <w:szCs w:val="28"/>
          <w:lang w:eastAsia="en-US"/>
        </w:rPr>
      </w:pPr>
      <w:r w:rsidRPr="00056A5C">
        <w:rPr>
          <w:rFonts w:eastAsia="Calibri"/>
          <w:sz w:val="28"/>
          <w:szCs w:val="28"/>
          <w:lang w:eastAsia="en-US"/>
        </w:rPr>
        <w:t>Во исполнение Федерального закона от 23.11.2009г. №261-ФЗ «Об энергосбережении и о повышении энергетической эффективности и о внесении изменений в отдельные законодательные акты Российской Федерации», в соответствии с постановлением Правительства Российской Федерации от 15.05.2010г. №340 «О порядке установления требований к программам в области энергосбережения и повышения энергетической эффективности организаций, осуществляющих регулируемые виды деятельности» (далее</w:t>
      </w:r>
      <w:r w:rsidR="00B0259A">
        <w:rPr>
          <w:rFonts w:eastAsia="Calibri"/>
          <w:sz w:val="28"/>
          <w:szCs w:val="28"/>
          <w:lang w:eastAsia="en-US"/>
        </w:rPr>
        <w:t xml:space="preserve"> -</w:t>
      </w:r>
      <w:r w:rsidRPr="00056A5C">
        <w:rPr>
          <w:rFonts w:eastAsia="Calibri"/>
          <w:sz w:val="28"/>
          <w:szCs w:val="28"/>
          <w:lang w:eastAsia="en-US"/>
        </w:rPr>
        <w:t xml:space="preserve"> постановление №340) отделом регулирования электроэнергетики </w:t>
      </w:r>
      <w:r w:rsidR="00B0259A">
        <w:rPr>
          <w:rFonts w:eastAsia="Calibri"/>
          <w:sz w:val="28"/>
          <w:szCs w:val="28"/>
          <w:lang w:eastAsia="en-US"/>
        </w:rPr>
        <w:t xml:space="preserve">Департамента </w:t>
      </w:r>
      <w:r w:rsidRPr="00056A5C">
        <w:rPr>
          <w:rFonts w:eastAsia="Calibri"/>
          <w:sz w:val="28"/>
          <w:szCs w:val="28"/>
          <w:lang w:eastAsia="en-US"/>
        </w:rPr>
        <w:t xml:space="preserve">скорректированы требования </w:t>
      </w:r>
      <w:r w:rsidRPr="00056A5C">
        <w:rPr>
          <w:rFonts w:eastAsia="Calibri"/>
          <w:bCs/>
          <w:sz w:val="28"/>
          <w:szCs w:val="28"/>
          <w:lang w:eastAsia="en-US"/>
        </w:rPr>
        <w:t xml:space="preserve">к программам в области энергосбережения и повышения энергетической эффективности организаций, осуществляющих регулируемые виды деятельности, </w:t>
      </w:r>
      <w:r w:rsidRPr="00056A5C">
        <w:rPr>
          <w:rFonts w:eastAsia="Calibri"/>
          <w:sz w:val="28"/>
          <w:szCs w:val="28"/>
          <w:lang w:eastAsia="en-US"/>
        </w:rPr>
        <w:t>а именно утверждены следующие приказы: от 10.01.2019 №1-ЭЭ «</w:t>
      </w:r>
      <w:r w:rsidRPr="00056A5C">
        <w:rPr>
          <w:rFonts w:eastAsia="Calibri"/>
          <w:bCs/>
          <w:color w:val="000000"/>
          <w:sz w:val="28"/>
          <w:szCs w:val="28"/>
          <w:lang w:eastAsia="en-US"/>
        </w:rPr>
        <w:t xml:space="preserve">Об установлении на период 2019-2021 годов требований к программам в области энергосбережения и </w:t>
      </w:r>
      <w:r w:rsidRPr="00056A5C">
        <w:rPr>
          <w:rFonts w:eastAsia="Calibri"/>
          <w:bCs/>
          <w:color w:val="000000"/>
          <w:sz w:val="28"/>
          <w:szCs w:val="28"/>
          <w:lang w:eastAsia="en-US"/>
        </w:rPr>
        <w:lastRenderedPageBreak/>
        <w:t>повышения энергетической эффективности для организаций Новосибирской области, оказывающих услуги по передаче электрической энергии»,</w:t>
      </w:r>
      <w:r w:rsidRPr="00056A5C">
        <w:rPr>
          <w:rFonts w:eastAsia="Calibri"/>
          <w:sz w:val="28"/>
          <w:szCs w:val="28"/>
          <w:lang w:eastAsia="en-US"/>
        </w:rPr>
        <w:t xml:space="preserve"> от 12.03.2019 №62-ЭЭ «</w:t>
      </w:r>
      <w:r w:rsidRPr="00056A5C">
        <w:rPr>
          <w:rFonts w:eastAsia="Calibri"/>
          <w:bCs/>
          <w:sz w:val="28"/>
          <w:szCs w:val="28"/>
          <w:lang w:eastAsia="en-US"/>
        </w:rPr>
        <w:t>Об установлении на период 2020-2024 годов требований к программе в области энергосбережения и повышения энергетической эффективности для О</w:t>
      </w:r>
      <w:r w:rsidR="00B0259A">
        <w:rPr>
          <w:rFonts w:eastAsia="Calibri"/>
          <w:bCs/>
          <w:sz w:val="28"/>
          <w:szCs w:val="28"/>
          <w:lang w:eastAsia="en-US"/>
        </w:rPr>
        <w:t>ОО</w:t>
      </w:r>
      <w:r w:rsidRPr="00056A5C">
        <w:rPr>
          <w:rFonts w:eastAsia="Calibri"/>
          <w:bCs/>
          <w:sz w:val="28"/>
          <w:szCs w:val="28"/>
          <w:lang w:eastAsia="en-US"/>
        </w:rPr>
        <w:t xml:space="preserve"> «Сибирские электросети</w:t>
      </w:r>
      <w:r w:rsidRPr="00056A5C">
        <w:rPr>
          <w:rFonts w:eastAsia="Calibri"/>
          <w:bCs/>
          <w:color w:val="000000"/>
          <w:sz w:val="28"/>
          <w:szCs w:val="28"/>
          <w:lang w:eastAsia="en-US"/>
        </w:rPr>
        <w:t xml:space="preserve">», </w:t>
      </w:r>
      <w:r w:rsidRPr="00056A5C">
        <w:rPr>
          <w:rFonts w:eastAsia="Calibri"/>
          <w:bCs/>
          <w:sz w:val="28"/>
          <w:szCs w:val="28"/>
          <w:lang w:eastAsia="en-US"/>
        </w:rPr>
        <w:t>оказывающего услуги по передаче электрической энергии».</w:t>
      </w:r>
    </w:p>
    <w:p w:rsidR="001E7B45" w:rsidRPr="00056A5C" w:rsidRDefault="001E7B45" w:rsidP="00D818A7">
      <w:pPr>
        <w:autoSpaceDE w:val="0"/>
        <w:autoSpaceDN w:val="0"/>
        <w:adjustRightInd w:val="0"/>
        <w:spacing w:after="0" w:line="240" w:lineRule="auto"/>
        <w:ind w:firstLine="708"/>
        <w:jc w:val="both"/>
        <w:rPr>
          <w:rFonts w:eastAsia="Calibri"/>
          <w:sz w:val="28"/>
          <w:szCs w:val="28"/>
        </w:rPr>
      </w:pPr>
      <w:r w:rsidRPr="00056A5C">
        <w:rPr>
          <w:rFonts w:eastAsia="Calibri"/>
          <w:sz w:val="28"/>
          <w:szCs w:val="28"/>
        </w:rPr>
        <w:t xml:space="preserve">Отчеты о фактическом исполнении установленных требований за 2018 год (вид деятельности: оказание услуг по передаче электрической энергии)  регулируемые организации (до 1 февраля 2019г.) предоставили в </w:t>
      </w:r>
      <w:r w:rsidR="00B0259A">
        <w:rPr>
          <w:rFonts w:eastAsia="Calibri"/>
          <w:sz w:val="28"/>
          <w:szCs w:val="28"/>
        </w:rPr>
        <w:t>Д</w:t>
      </w:r>
      <w:r w:rsidRPr="00056A5C">
        <w:rPr>
          <w:rFonts w:eastAsia="Calibri"/>
          <w:sz w:val="28"/>
          <w:szCs w:val="28"/>
        </w:rPr>
        <w:t>епартамент согласно постановлению №340 и</w:t>
      </w:r>
      <w:r w:rsidRPr="00056A5C">
        <w:rPr>
          <w:rFonts w:eastAsia="Times New Roman"/>
          <w:color w:val="000000"/>
          <w:sz w:val="28"/>
          <w:szCs w:val="28"/>
        </w:rPr>
        <w:t xml:space="preserve"> приказу </w:t>
      </w:r>
      <w:r w:rsidR="00B0259A">
        <w:rPr>
          <w:rFonts w:eastAsia="Times New Roman"/>
          <w:color w:val="000000"/>
          <w:sz w:val="28"/>
          <w:szCs w:val="28"/>
        </w:rPr>
        <w:t>Д</w:t>
      </w:r>
      <w:r w:rsidRPr="00056A5C">
        <w:rPr>
          <w:rFonts w:eastAsia="Times New Roman"/>
          <w:color w:val="000000"/>
          <w:sz w:val="28"/>
          <w:szCs w:val="28"/>
        </w:rPr>
        <w:t xml:space="preserve">епартамента от 31.01.2011 № 11 «Об утверждении форм ежегодных отчетов организаций, осуществляющих регулируемые виды деятельности, о фактическом исполнении установленных требований к Программам в области </w:t>
      </w:r>
      <w:r w:rsidRPr="00056A5C">
        <w:rPr>
          <w:rFonts w:eastAsia="Times New Roman"/>
          <w:sz w:val="28"/>
          <w:szCs w:val="28"/>
        </w:rPr>
        <w:t xml:space="preserve">энергосбережения  и повышения энергетической эффективности». </w:t>
      </w:r>
    </w:p>
    <w:p w:rsidR="001E7B45" w:rsidRPr="00056A5C" w:rsidRDefault="001E7B45" w:rsidP="008C1AA9">
      <w:pPr>
        <w:spacing w:after="0" w:line="240" w:lineRule="auto"/>
        <w:ind w:firstLine="709"/>
        <w:jc w:val="both"/>
        <w:rPr>
          <w:rFonts w:eastAsia="Calibri"/>
          <w:sz w:val="28"/>
          <w:szCs w:val="28"/>
          <w:lang w:eastAsia="en-US"/>
        </w:rPr>
      </w:pPr>
      <w:r w:rsidRPr="00056A5C">
        <w:rPr>
          <w:rFonts w:eastAsia="Calibri"/>
          <w:sz w:val="28"/>
          <w:szCs w:val="28"/>
          <w:lang w:eastAsia="en-US"/>
        </w:rPr>
        <w:t xml:space="preserve">В рамках действующего законодательства в соответствии с «Административным регламентом исполнения департаментом по тарифам Новосибирской области государственной функции по осуществлению государственного контроля (надзора) за соблюдением организациями, осуществляющими регулируемые виды деятельности, в случае если цены (тарифы) на товары и услуги таких организаций подлежат установлению департаментом по тарифам Новосибирской области, требований о принятии программ в области энергосбережения и повышения энергетической эффективности и требований к этим программам, устанавливаемых </w:t>
      </w:r>
      <w:r w:rsidR="00B0259A">
        <w:rPr>
          <w:rFonts w:eastAsia="Calibri"/>
          <w:sz w:val="28"/>
          <w:szCs w:val="28"/>
          <w:lang w:eastAsia="en-US"/>
        </w:rPr>
        <w:t>Д</w:t>
      </w:r>
      <w:r w:rsidRPr="00056A5C">
        <w:rPr>
          <w:rFonts w:eastAsia="Calibri"/>
          <w:sz w:val="28"/>
          <w:szCs w:val="28"/>
          <w:lang w:eastAsia="en-US"/>
        </w:rPr>
        <w:t xml:space="preserve">епартаментом  применительно к регулируемым видам деятельности указанных организаций» (приказ </w:t>
      </w:r>
      <w:r w:rsidR="00DF11F6">
        <w:rPr>
          <w:rFonts w:eastAsia="Calibri"/>
          <w:sz w:val="28"/>
          <w:szCs w:val="28"/>
          <w:lang w:eastAsia="en-US"/>
        </w:rPr>
        <w:t>Д</w:t>
      </w:r>
      <w:r w:rsidRPr="00056A5C">
        <w:rPr>
          <w:rFonts w:eastAsia="Calibri"/>
          <w:sz w:val="28"/>
          <w:szCs w:val="28"/>
          <w:lang w:eastAsia="en-US"/>
        </w:rPr>
        <w:t xml:space="preserve">епартамента от 10.07.2018 № 165) при осуществлении функции государственного контроля (надзора) подготовлен отчет о проведении систематического наблюдения и анализа итогов 2018 года по 31 организации. </w:t>
      </w:r>
    </w:p>
    <w:p w:rsidR="001E7B45" w:rsidRPr="00056A5C" w:rsidRDefault="001E7B45" w:rsidP="008C1AA9">
      <w:pPr>
        <w:spacing w:after="0" w:line="240" w:lineRule="auto"/>
        <w:ind w:firstLine="709"/>
        <w:jc w:val="both"/>
        <w:rPr>
          <w:rFonts w:eastAsia="Calibri"/>
          <w:sz w:val="28"/>
          <w:szCs w:val="28"/>
          <w:lang w:eastAsia="en-US"/>
        </w:rPr>
      </w:pPr>
      <w:r w:rsidRPr="00056A5C">
        <w:rPr>
          <w:rFonts w:eastAsia="Calibri"/>
          <w:sz w:val="28"/>
          <w:szCs w:val="28"/>
          <w:lang w:eastAsia="en-US"/>
        </w:rPr>
        <w:t>По запросу Ф</w:t>
      </w:r>
      <w:r w:rsidR="00B0259A">
        <w:rPr>
          <w:rFonts w:eastAsia="Calibri"/>
          <w:sz w:val="28"/>
          <w:szCs w:val="28"/>
          <w:lang w:eastAsia="en-US"/>
        </w:rPr>
        <w:t>АС России</w:t>
      </w:r>
      <w:r w:rsidRPr="00056A5C">
        <w:rPr>
          <w:rFonts w:eastAsia="Calibri"/>
          <w:sz w:val="28"/>
          <w:szCs w:val="28"/>
          <w:lang w:eastAsia="en-US"/>
        </w:rPr>
        <w:t xml:space="preserve"> (в рамках согласительного совещания 27</w:t>
      </w:r>
      <w:r w:rsidR="00B0259A">
        <w:rPr>
          <w:rFonts w:eastAsia="Calibri"/>
          <w:sz w:val="28"/>
          <w:szCs w:val="28"/>
          <w:lang w:eastAsia="en-US"/>
        </w:rPr>
        <w:t>.05.</w:t>
      </w:r>
      <w:r w:rsidRPr="00056A5C">
        <w:rPr>
          <w:rFonts w:eastAsia="Calibri"/>
          <w:sz w:val="28"/>
          <w:szCs w:val="28"/>
          <w:lang w:eastAsia="en-US"/>
        </w:rPr>
        <w:t>2019</w:t>
      </w:r>
      <w:r w:rsidR="00B0259A">
        <w:rPr>
          <w:rFonts w:eastAsia="Calibri"/>
          <w:sz w:val="28"/>
          <w:szCs w:val="28"/>
          <w:lang w:eastAsia="en-US"/>
        </w:rPr>
        <w:t xml:space="preserve"> </w:t>
      </w:r>
      <w:r w:rsidRPr="00056A5C">
        <w:rPr>
          <w:rFonts w:eastAsia="Calibri"/>
          <w:sz w:val="28"/>
          <w:szCs w:val="28"/>
          <w:lang w:eastAsia="en-US"/>
        </w:rPr>
        <w:t xml:space="preserve">г. по вопросу параметров сводного прогнозного баланса производства и поставок электрической энергии в рамках ЕЭС России по субъектам Российской федерации на 2020год) направлены Программы </w:t>
      </w:r>
      <w:r w:rsidRPr="00056A5C">
        <w:rPr>
          <w:rFonts w:eastAsia="Calibri"/>
          <w:color w:val="000000"/>
          <w:sz w:val="28"/>
          <w:szCs w:val="28"/>
          <w:lang w:eastAsia="en-US"/>
        </w:rPr>
        <w:t xml:space="preserve">в области </w:t>
      </w:r>
      <w:r w:rsidRPr="00056A5C">
        <w:rPr>
          <w:rFonts w:eastAsia="Calibri"/>
          <w:sz w:val="28"/>
          <w:szCs w:val="28"/>
          <w:lang w:eastAsia="en-US"/>
        </w:rPr>
        <w:t>энергосбережения и повышения энергетической эффективности территориальных сетевых организаций, результаты реализации этих Программ за 2016-2018гг, их влияние на показатели работы организаций.</w:t>
      </w:r>
    </w:p>
    <w:p w:rsidR="001E7B45" w:rsidRPr="00056A5C" w:rsidRDefault="001E7B45" w:rsidP="008C1AA9">
      <w:pPr>
        <w:spacing w:after="0" w:line="240" w:lineRule="auto"/>
        <w:ind w:firstLine="708"/>
        <w:jc w:val="both"/>
        <w:rPr>
          <w:rFonts w:eastAsia="Calibri"/>
          <w:sz w:val="28"/>
          <w:szCs w:val="28"/>
          <w:lang w:eastAsia="en-US"/>
        </w:rPr>
      </w:pPr>
      <w:r w:rsidRPr="00056A5C">
        <w:rPr>
          <w:rFonts w:eastAsia="Calibri"/>
          <w:sz w:val="28"/>
          <w:szCs w:val="28"/>
          <w:lang w:eastAsia="en-US"/>
        </w:rPr>
        <w:t xml:space="preserve">В результатах реализации программ проанализирован основной целевой показатель энергосбережения и повышения энергетической эффективности, а именно: показатель снижения </w:t>
      </w:r>
      <w:r w:rsidRPr="00056A5C">
        <w:rPr>
          <w:rFonts w:eastAsia="Calibri"/>
          <w:sz w:val="28"/>
          <w:szCs w:val="28"/>
          <w:u w:val="single"/>
          <w:lang w:eastAsia="en-US"/>
        </w:rPr>
        <w:t xml:space="preserve">уровня потерь </w:t>
      </w:r>
      <w:r w:rsidRPr="00056A5C">
        <w:rPr>
          <w:rFonts w:eastAsia="Calibri"/>
          <w:bCs/>
          <w:sz w:val="28"/>
          <w:szCs w:val="28"/>
          <w:lang w:eastAsia="en-US"/>
        </w:rPr>
        <w:t>электрической энергии при её передаче по электрическим сетям в отчетном году по отношению к уровню потерь в предшествующем году реализации программы, достигнутый по итогам реализации программы</w:t>
      </w:r>
      <w:r w:rsidRPr="00056A5C">
        <w:rPr>
          <w:rFonts w:eastAsia="Calibri"/>
          <w:color w:val="000000"/>
          <w:sz w:val="28"/>
          <w:szCs w:val="28"/>
          <w:lang w:eastAsia="en-US"/>
        </w:rPr>
        <w:t>.</w:t>
      </w:r>
      <w:r w:rsidRPr="00056A5C">
        <w:rPr>
          <w:rFonts w:eastAsia="Calibri"/>
          <w:sz w:val="28"/>
          <w:szCs w:val="28"/>
          <w:lang w:eastAsia="en-US"/>
        </w:rPr>
        <w:t xml:space="preserve"> Плановое значение данного показателя для сетевых организаций  в составе требований</w:t>
      </w:r>
      <w:r w:rsidRPr="00056A5C">
        <w:rPr>
          <w:rFonts w:eastAsia="Calibri"/>
          <w:b/>
          <w:bCs/>
          <w:sz w:val="28"/>
          <w:szCs w:val="28"/>
          <w:lang w:eastAsia="en-US"/>
        </w:rPr>
        <w:t xml:space="preserve"> </w:t>
      </w:r>
      <w:r w:rsidRPr="00056A5C">
        <w:rPr>
          <w:rFonts w:eastAsia="Calibri"/>
          <w:bCs/>
          <w:sz w:val="28"/>
          <w:szCs w:val="28"/>
          <w:lang w:eastAsia="en-US"/>
        </w:rPr>
        <w:t>к программам в области энергосбережения и повышения энергетической эффективности</w:t>
      </w:r>
      <w:r w:rsidRPr="00056A5C">
        <w:rPr>
          <w:rFonts w:eastAsia="Calibri"/>
          <w:sz w:val="28"/>
          <w:szCs w:val="28"/>
          <w:lang w:eastAsia="en-US"/>
        </w:rPr>
        <w:t xml:space="preserve"> утверждается приказами </w:t>
      </w:r>
      <w:r w:rsidR="00B0259A">
        <w:rPr>
          <w:rFonts w:eastAsia="Calibri"/>
          <w:sz w:val="28"/>
          <w:szCs w:val="28"/>
          <w:lang w:eastAsia="en-US"/>
        </w:rPr>
        <w:t>Д</w:t>
      </w:r>
      <w:r w:rsidRPr="00056A5C">
        <w:rPr>
          <w:rFonts w:eastAsia="Calibri"/>
          <w:sz w:val="28"/>
          <w:szCs w:val="28"/>
          <w:lang w:eastAsia="en-US"/>
        </w:rPr>
        <w:t>епартамента в соответствии с постановлением Правительства РФ от 15.05.2010 №340.</w:t>
      </w:r>
    </w:p>
    <w:p w:rsidR="001E7B45" w:rsidRPr="00056A5C" w:rsidRDefault="001E7B45" w:rsidP="008C1AA9">
      <w:pPr>
        <w:spacing w:after="0" w:line="240" w:lineRule="auto"/>
        <w:ind w:firstLine="708"/>
        <w:jc w:val="both"/>
        <w:rPr>
          <w:rFonts w:eastAsia="Calibri"/>
          <w:sz w:val="28"/>
          <w:szCs w:val="28"/>
          <w:lang w:eastAsia="en-US"/>
        </w:rPr>
      </w:pPr>
    </w:p>
    <w:tbl>
      <w:tblPr>
        <w:tblW w:w="4405" w:type="pct"/>
        <w:tblInd w:w="56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773"/>
        <w:gridCol w:w="872"/>
        <w:gridCol w:w="876"/>
        <w:gridCol w:w="1318"/>
        <w:gridCol w:w="881"/>
        <w:gridCol w:w="1159"/>
        <w:gridCol w:w="1302"/>
      </w:tblGrid>
      <w:tr w:rsidR="001E7B45" w:rsidRPr="00056A5C" w:rsidTr="00BD58BF">
        <w:trPr>
          <w:trHeight w:val="2703"/>
        </w:trPr>
        <w:tc>
          <w:tcPr>
            <w:tcW w:w="1510" w:type="pct"/>
            <w:vAlign w:val="center"/>
          </w:tcPr>
          <w:p w:rsidR="001E7B45" w:rsidRPr="00056A5C" w:rsidRDefault="001E7B45" w:rsidP="008C1AA9">
            <w:pPr>
              <w:spacing w:after="0" w:line="240" w:lineRule="auto"/>
              <w:ind w:left="720"/>
              <w:contextualSpacing/>
              <w:rPr>
                <w:rFonts w:eastAsia="Calibri"/>
                <w:color w:val="000000"/>
                <w:lang w:eastAsia="en-US"/>
              </w:rPr>
            </w:pPr>
            <w:r w:rsidRPr="00056A5C">
              <w:rPr>
                <w:rFonts w:eastAsia="Calibri"/>
                <w:color w:val="000000"/>
                <w:lang w:eastAsia="en-US"/>
              </w:rPr>
              <w:lastRenderedPageBreak/>
              <w:t>Наименование организации</w:t>
            </w:r>
          </w:p>
        </w:tc>
        <w:tc>
          <w:tcPr>
            <w:tcW w:w="475" w:type="pct"/>
            <w:vAlign w:val="center"/>
          </w:tcPr>
          <w:p w:rsidR="001E7B45" w:rsidRPr="00056A5C" w:rsidRDefault="001E7B45" w:rsidP="008C1AA9">
            <w:pPr>
              <w:spacing w:after="0" w:line="240" w:lineRule="auto"/>
              <w:jc w:val="both"/>
              <w:rPr>
                <w:rFonts w:eastAsia="Calibri"/>
                <w:lang w:eastAsia="en-US"/>
              </w:rPr>
            </w:pPr>
            <w:r w:rsidRPr="00056A5C">
              <w:rPr>
                <w:rFonts w:eastAsia="Calibri"/>
                <w:lang w:eastAsia="en-US"/>
              </w:rPr>
              <w:t>Факт 201</w:t>
            </w:r>
            <w:r w:rsidRPr="00056A5C">
              <w:rPr>
                <w:rFonts w:eastAsia="Calibri"/>
                <w:lang w:val="en-US" w:eastAsia="en-US"/>
              </w:rPr>
              <w:t>6</w:t>
            </w:r>
            <w:r w:rsidRPr="00056A5C">
              <w:rPr>
                <w:rFonts w:eastAsia="Calibri"/>
                <w:lang w:eastAsia="en-US"/>
              </w:rPr>
              <w:t>г</w:t>
            </w:r>
          </w:p>
        </w:tc>
        <w:tc>
          <w:tcPr>
            <w:tcW w:w="477" w:type="pct"/>
            <w:vAlign w:val="center"/>
          </w:tcPr>
          <w:p w:rsidR="001E7B45" w:rsidRPr="00056A5C" w:rsidRDefault="001E7B45" w:rsidP="008C1AA9">
            <w:pPr>
              <w:spacing w:after="0" w:line="240" w:lineRule="auto"/>
              <w:jc w:val="both"/>
              <w:rPr>
                <w:rFonts w:eastAsia="Calibri"/>
                <w:lang w:eastAsia="en-US"/>
              </w:rPr>
            </w:pPr>
            <w:r w:rsidRPr="00056A5C">
              <w:rPr>
                <w:rFonts w:eastAsia="Calibri"/>
                <w:lang w:eastAsia="en-US"/>
              </w:rPr>
              <w:t>Факт 201</w:t>
            </w:r>
            <w:r w:rsidRPr="00056A5C">
              <w:rPr>
                <w:rFonts w:eastAsia="Calibri"/>
                <w:lang w:val="en-US" w:eastAsia="en-US"/>
              </w:rPr>
              <w:t>7</w:t>
            </w:r>
            <w:r w:rsidRPr="00056A5C">
              <w:rPr>
                <w:rFonts w:eastAsia="Calibri"/>
                <w:lang w:eastAsia="en-US"/>
              </w:rPr>
              <w:t>г</w:t>
            </w:r>
          </w:p>
        </w:tc>
        <w:tc>
          <w:tcPr>
            <w:tcW w:w="718" w:type="pct"/>
            <w:vAlign w:val="center"/>
          </w:tcPr>
          <w:p w:rsidR="001E7B45" w:rsidRPr="00056A5C" w:rsidRDefault="001E7B45" w:rsidP="008C1AA9">
            <w:pPr>
              <w:spacing w:after="0" w:line="240" w:lineRule="auto"/>
              <w:jc w:val="center"/>
              <w:rPr>
                <w:rFonts w:eastAsia="Calibri"/>
                <w:color w:val="000000"/>
                <w:lang w:eastAsia="en-US"/>
              </w:rPr>
            </w:pPr>
            <w:r w:rsidRPr="00056A5C">
              <w:rPr>
                <w:rFonts w:eastAsia="Calibri"/>
                <w:color w:val="000000"/>
                <w:lang w:eastAsia="en-US"/>
              </w:rPr>
              <w:t>% выпол</w:t>
            </w:r>
          </w:p>
          <w:p w:rsidR="001E7B45" w:rsidRPr="00056A5C" w:rsidRDefault="001E7B45" w:rsidP="008C1AA9">
            <w:pPr>
              <w:spacing w:after="0" w:line="240" w:lineRule="auto"/>
              <w:jc w:val="center"/>
              <w:rPr>
                <w:rFonts w:eastAsia="Calibri"/>
                <w:color w:val="000000"/>
                <w:lang w:eastAsia="en-US"/>
              </w:rPr>
            </w:pPr>
            <w:r w:rsidRPr="00056A5C">
              <w:rPr>
                <w:rFonts w:eastAsia="Calibri"/>
                <w:color w:val="000000"/>
                <w:lang w:eastAsia="en-US"/>
              </w:rPr>
              <w:t>нения целево</w:t>
            </w:r>
          </w:p>
          <w:p w:rsidR="001E7B45" w:rsidRPr="00056A5C" w:rsidRDefault="001E7B45" w:rsidP="008C1AA9">
            <w:pPr>
              <w:spacing w:after="0" w:line="240" w:lineRule="auto"/>
              <w:jc w:val="center"/>
              <w:rPr>
                <w:rFonts w:eastAsia="Calibri"/>
                <w:color w:val="000000"/>
                <w:lang w:eastAsia="en-US"/>
              </w:rPr>
            </w:pPr>
            <w:r w:rsidRPr="00056A5C">
              <w:rPr>
                <w:rFonts w:eastAsia="Calibri"/>
                <w:color w:val="000000"/>
                <w:lang w:eastAsia="en-US"/>
              </w:rPr>
              <w:t>го показа</w:t>
            </w:r>
          </w:p>
          <w:p w:rsidR="001E7B45" w:rsidRPr="00056A5C" w:rsidRDefault="001E7B45" w:rsidP="008C1AA9">
            <w:pPr>
              <w:spacing w:after="0" w:line="240" w:lineRule="auto"/>
              <w:jc w:val="center"/>
              <w:rPr>
                <w:rFonts w:eastAsia="Calibri"/>
                <w:color w:val="000000"/>
                <w:lang w:eastAsia="en-US"/>
              </w:rPr>
            </w:pPr>
            <w:r w:rsidRPr="00056A5C">
              <w:rPr>
                <w:rFonts w:eastAsia="Calibri"/>
                <w:color w:val="000000"/>
                <w:lang w:eastAsia="en-US"/>
              </w:rPr>
              <w:t>теля</w:t>
            </w:r>
          </w:p>
        </w:tc>
        <w:tc>
          <w:tcPr>
            <w:tcW w:w="480" w:type="pct"/>
            <w:vAlign w:val="center"/>
          </w:tcPr>
          <w:p w:rsidR="001E7B45" w:rsidRPr="00056A5C" w:rsidRDefault="001E7B45" w:rsidP="008C1AA9">
            <w:pPr>
              <w:spacing w:after="0" w:line="240" w:lineRule="auto"/>
              <w:jc w:val="both"/>
              <w:rPr>
                <w:rFonts w:eastAsia="Calibri"/>
                <w:lang w:eastAsia="en-US"/>
              </w:rPr>
            </w:pPr>
            <w:r w:rsidRPr="00056A5C">
              <w:rPr>
                <w:rFonts w:eastAsia="Calibri"/>
                <w:lang w:eastAsia="en-US"/>
              </w:rPr>
              <w:t>Факт 201</w:t>
            </w:r>
            <w:r w:rsidRPr="00056A5C">
              <w:rPr>
                <w:rFonts w:eastAsia="Calibri"/>
                <w:lang w:val="en-US" w:eastAsia="en-US"/>
              </w:rPr>
              <w:t>8</w:t>
            </w:r>
            <w:r w:rsidRPr="00056A5C">
              <w:rPr>
                <w:rFonts w:eastAsia="Calibri"/>
                <w:lang w:eastAsia="en-US"/>
              </w:rPr>
              <w:t>г</w:t>
            </w:r>
          </w:p>
        </w:tc>
        <w:tc>
          <w:tcPr>
            <w:tcW w:w="631" w:type="pct"/>
            <w:vAlign w:val="center"/>
          </w:tcPr>
          <w:p w:rsidR="001E7B45" w:rsidRPr="00056A5C" w:rsidRDefault="001E7B45" w:rsidP="008C1AA9">
            <w:pPr>
              <w:spacing w:after="0" w:line="240" w:lineRule="auto"/>
              <w:jc w:val="center"/>
              <w:rPr>
                <w:rFonts w:eastAsia="Calibri"/>
                <w:color w:val="000000"/>
                <w:lang w:eastAsia="en-US"/>
              </w:rPr>
            </w:pPr>
            <w:r w:rsidRPr="00056A5C">
              <w:rPr>
                <w:rFonts w:eastAsia="Calibri"/>
                <w:color w:val="000000"/>
                <w:lang w:eastAsia="en-US"/>
              </w:rPr>
              <w:t>% выпол</w:t>
            </w:r>
          </w:p>
          <w:p w:rsidR="001E7B45" w:rsidRPr="00056A5C" w:rsidRDefault="001E7B45" w:rsidP="008C1AA9">
            <w:pPr>
              <w:spacing w:after="0" w:line="240" w:lineRule="auto"/>
              <w:jc w:val="center"/>
              <w:rPr>
                <w:rFonts w:eastAsia="Calibri"/>
                <w:color w:val="000000"/>
                <w:lang w:eastAsia="en-US"/>
              </w:rPr>
            </w:pPr>
            <w:r w:rsidRPr="00056A5C">
              <w:rPr>
                <w:rFonts w:eastAsia="Calibri"/>
                <w:color w:val="000000"/>
                <w:lang w:eastAsia="en-US"/>
              </w:rPr>
              <w:t>нения целево</w:t>
            </w:r>
          </w:p>
          <w:p w:rsidR="001E7B45" w:rsidRPr="00056A5C" w:rsidRDefault="001E7B45" w:rsidP="008C1AA9">
            <w:pPr>
              <w:spacing w:after="0" w:line="240" w:lineRule="auto"/>
              <w:jc w:val="center"/>
              <w:rPr>
                <w:rFonts w:eastAsia="Calibri"/>
                <w:color w:val="000000"/>
                <w:lang w:eastAsia="en-US"/>
              </w:rPr>
            </w:pPr>
            <w:r w:rsidRPr="00056A5C">
              <w:rPr>
                <w:rFonts w:eastAsia="Calibri"/>
                <w:color w:val="000000"/>
                <w:lang w:eastAsia="en-US"/>
              </w:rPr>
              <w:t>го показа</w:t>
            </w:r>
          </w:p>
          <w:p w:rsidR="001E7B45" w:rsidRPr="00056A5C" w:rsidRDefault="001E7B45" w:rsidP="008C1AA9">
            <w:pPr>
              <w:spacing w:after="0" w:line="240" w:lineRule="auto"/>
              <w:jc w:val="center"/>
              <w:rPr>
                <w:rFonts w:eastAsia="Calibri"/>
                <w:color w:val="000000"/>
                <w:lang w:eastAsia="en-US"/>
              </w:rPr>
            </w:pPr>
            <w:r w:rsidRPr="00056A5C">
              <w:rPr>
                <w:rFonts w:eastAsia="Calibri"/>
                <w:color w:val="000000"/>
                <w:lang w:eastAsia="en-US"/>
              </w:rPr>
              <w:t>теля</w:t>
            </w:r>
          </w:p>
        </w:tc>
        <w:tc>
          <w:tcPr>
            <w:tcW w:w="709" w:type="pct"/>
          </w:tcPr>
          <w:p w:rsidR="001E7B45" w:rsidRPr="00056A5C" w:rsidRDefault="001E7B45" w:rsidP="008C1AA9">
            <w:pPr>
              <w:spacing w:after="0" w:line="240" w:lineRule="auto"/>
              <w:jc w:val="center"/>
              <w:rPr>
                <w:rFonts w:eastAsia="Calibri"/>
                <w:i/>
                <w:color w:val="000000"/>
                <w:lang w:eastAsia="en-US"/>
              </w:rPr>
            </w:pPr>
            <w:r w:rsidRPr="00056A5C">
              <w:rPr>
                <w:rFonts w:eastAsia="Calibri"/>
                <w:i/>
                <w:color w:val="000000"/>
                <w:lang w:eastAsia="en-US"/>
              </w:rPr>
              <w:t>Плановоезначение целевого показателя</w:t>
            </w:r>
          </w:p>
          <w:p w:rsidR="001E7B45" w:rsidRPr="00056A5C" w:rsidRDefault="001E7B45" w:rsidP="008C1AA9">
            <w:pPr>
              <w:spacing w:after="0" w:line="240" w:lineRule="auto"/>
              <w:jc w:val="center"/>
              <w:rPr>
                <w:rFonts w:eastAsia="Calibri"/>
                <w:i/>
                <w:color w:val="000000"/>
                <w:lang w:val="en-US" w:eastAsia="en-US"/>
              </w:rPr>
            </w:pPr>
            <w:r w:rsidRPr="00056A5C">
              <w:rPr>
                <w:rFonts w:eastAsia="Calibri"/>
                <w:i/>
                <w:color w:val="000000"/>
                <w:lang w:val="en-US" w:eastAsia="en-US"/>
              </w:rPr>
              <w:t xml:space="preserve">2017-2018 </w:t>
            </w:r>
            <w:r w:rsidRPr="00056A5C">
              <w:rPr>
                <w:rFonts w:eastAsia="Calibri"/>
                <w:i/>
                <w:color w:val="000000"/>
                <w:lang w:eastAsia="en-US"/>
              </w:rPr>
              <w:t>гг</w:t>
            </w:r>
            <w:r w:rsidRPr="00056A5C">
              <w:rPr>
                <w:rFonts w:eastAsia="Calibri"/>
                <w:i/>
                <w:color w:val="000000"/>
                <w:lang w:val="en-US" w:eastAsia="en-US"/>
              </w:rPr>
              <w:t>.</w:t>
            </w:r>
          </w:p>
        </w:tc>
      </w:tr>
      <w:tr w:rsidR="001E7B45" w:rsidRPr="00056A5C" w:rsidTr="00BD58BF">
        <w:tc>
          <w:tcPr>
            <w:tcW w:w="1510" w:type="pct"/>
            <w:vAlign w:val="center"/>
          </w:tcPr>
          <w:p w:rsidR="001E7B45" w:rsidRPr="00056A5C" w:rsidRDefault="001E7B45" w:rsidP="008C1AA9">
            <w:pPr>
              <w:spacing w:after="0" w:line="240" w:lineRule="auto"/>
              <w:ind w:left="720"/>
              <w:contextualSpacing/>
              <w:rPr>
                <w:rFonts w:eastAsia="Calibri"/>
                <w:i/>
                <w:color w:val="000000"/>
                <w:lang w:val="en-US" w:eastAsia="en-US"/>
              </w:rPr>
            </w:pPr>
            <w:r w:rsidRPr="00056A5C">
              <w:rPr>
                <w:rFonts w:eastAsia="Calibri"/>
                <w:i/>
                <w:color w:val="000000"/>
                <w:lang w:val="en-US" w:eastAsia="en-US"/>
              </w:rPr>
              <w:t>1</w:t>
            </w:r>
          </w:p>
        </w:tc>
        <w:tc>
          <w:tcPr>
            <w:tcW w:w="475" w:type="pct"/>
            <w:vAlign w:val="center"/>
          </w:tcPr>
          <w:p w:rsidR="001E7B45" w:rsidRPr="00056A5C" w:rsidRDefault="001E7B45" w:rsidP="008C1AA9">
            <w:pPr>
              <w:spacing w:after="0" w:line="240" w:lineRule="auto"/>
              <w:jc w:val="both"/>
              <w:rPr>
                <w:rFonts w:eastAsia="Calibri"/>
                <w:i/>
                <w:lang w:val="en-US" w:eastAsia="en-US"/>
              </w:rPr>
            </w:pPr>
            <w:r w:rsidRPr="00056A5C">
              <w:rPr>
                <w:rFonts w:eastAsia="Calibri"/>
                <w:i/>
                <w:lang w:val="en-US" w:eastAsia="en-US"/>
              </w:rPr>
              <w:t>2</w:t>
            </w:r>
          </w:p>
        </w:tc>
        <w:tc>
          <w:tcPr>
            <w:tcW w:w="477" w:type="pct"/>
            <w:vAlign w:val="center"/>
          </w:tcPr>
          <w:p w:rsidR="001E7B45" w:rsidRPr="00056A5C" w:rsidRDefault="001E7B45" w:rsidP="008C1AA9">
            <w:pPr>
              <w:spacing w:after="0" w:line="240" w:lineRule="auto"/>
              <w:jc w:val="both"/>
              <w:rPr>
                <w:rFonts w:eastAsia="Calibri"/>
                <w:i/>
                <w:lang w:val="en-US" w:eastAsia="en-US"/>
              </w:rPr>
            </w:pPr>
            <w:r w:rsidRPr="00056A5C">
              <w:rPr>
                <w:rFonts w:eastAsia="Calibri"/>
                <w:i/>
                <w:lang w:val="en-US" w:eastAsia="en-US"/>
              </w:rPr>
              <w:t>3</w:t>
            </w:r>
          </w:p>
        </w:tc>
        <w:tc>
          <w:tcPr>
            <w:tcW w:w="718" w:type="pct"/>
            <w:vAlign w:val="center"/>
          </w:tcPr>
          <w:p w:rsidR="001E7B45" w:rsidRPr="00056A5C" w:rsidRDefault="001E7B45" w:rsidP="008C1AA9">
            <w:pPr>
              <w:spacing w:after="0" w:line="240" w:lineRule="auto"/>
              <w:jc w:val="center"/>
              <w:rPr>
                <w:rFonts w:eastAsia="Calibri"/>
                <w:i/>
                <w:color w:val="000000"/>
                <w:lang w:val="en-US" w:eastAsia="en-US"/>
              </w:rPr>
            </w:pPr>
            <w:r w:rsidRPr="00056A5C">
              <w:rPr>
                <w:rFonts w:eastAsia="Calibri"/>
                <w:i/>
                <w:color w:val="000000"/>
                <w:lang w:val="en-US" w:eastAsia="en-US"/>
              </w:rPr>
              <w:t>4</w:t>
            </w:r>
          </w:p>
        </w:tc>
        <w:tc>
          <w:tcPr>
            <w:tcW w:w="480" w:type="pct"/>
            <w:vAlign w:val="center"/>
          </w:tcPr>
          <w:p w:rsidR="001E7B45" w:rsidRPr="00056A5C" w:rsidRDefault="001E7B45" w:rsidP="008C1AA9">
            <w:pPr>
              <w:spacing w:after="0" w:line="240" w:lineRule="auto"/>
              <w:jc w:val="both"/>
              <w:rPr>
                <w:rFonts w:eastAsia="Calibri"/>
                <w:i/>
                <w:lang w:val="en-US" w:eastAsia="en-US"/>
              </w:rPr>
            </w:pPr>
            <w:r w:rsidRPr="00056A5C">
              <w:rPr>
                <w:rFonts w:eastAsia="Calibri"/>
                <w:i/>
                <w:lang w:val="en-US" w:eastAsia="en-US"/>
              </w:rPr>
              <w:t>5</w:t>
            </w:r>
          </w:p>
        </w:tc>
        <w:tc>
          <w:tcPr>
            <w:tcW w:w="631" w:type="pct"/>
            <w:vAlign w:val="center"/>
          </w:tcPr>
          <w:p w:rsidR="001E7B45" w:rsidRPr="00056A5C" w:rsidRDefault="001E7B45" w:rsidP="008C1AA9">
            <w:pPr>
              <w:spacing w:after="0" w:line="240" w:lineRule="auto"/>
              <w:jc w:val="center"/>
              <w:rPr>
                <w:rFonts w:eastAsia="Calibri"/>
                <w:i/>
                <w:color w:val="000000"/>
                <w:lang w:val="en-US" w:eastAsia="en-US"/>
              </w:rPr>
            </w:pPr>
            <w:r w:rsidRPr="00056A5C">
              <w:rPr>
                <w:rFonts w:eastAsia="Calibri"/>
                <w:i/>
                <w:color w:val="000000"/>
                <w:lang w:val="en-US" w:eastAsia="en-US"/>
              </w:rPr>
              <w:t>6</w:t>
            </w:r>
          </w:p>
        </w:tc>
        <w:tc>
          <w:tcPr>
            <w:tcW w:w="709" w:type="pct"/>
          </w:tcPr>
          <w:p w:rsidR="001E7B45" w:rsidRPr="00056A5C" w:rsidRDefault="001E7B45" w:rsidP="008C1AA9">
            <w:pPr>
              <w:spacing w:after="0" w:line="240" w:lineRule="auto"/>
              <w:jc w:val="center"/>
              <w:rPr>
                <w:rFonts w:eastAsia="Calibri"/>
                <w:i/>
                <w:color w:val="000000"/>
                <w:lang w:val="en-US" w:eastAsia="en-US"/>
              </w:rPr>
            </w:pPr>
            <w:r w:rsidRPr="00056A5C">
              <w:rPr>
                <w:rFonts w:eastAsia="Calibri"/>
                <w:i/>
                <w:color w:val="000000"/>
                <w:lang w:val="en-US" w:eastAsia="en-US"/>
              </w:rPr>
              <w:t>7</w:t>
            </w:r>
          </w:p>
        </w:tc>
      </w:tr>
      <w:tr w:rsidR="001E7B45" w:rsidRPr="00056A5C" w:rsidTr="00BD58BF">
        <w:trPr>
          <w:trHeight w:val="1228"/>
        </w:trPr>
        <w:tc>
          <w:tcPr>
            <w:tcW w:w="1510" w:type="pct"/>
            <w:vAlign w:val="center"/>
          </w:tcPr>
          <w:p w:rsidR="001E7B45" w:rsidRPr="00056A5C" w:rsidRDefault="001E7B45" w:rsidP="008C1AA9">
            <w:pPr>
              <w:spacing w:after="0" w:line="240" w:lineRule="auto"/>
              <w:rPr>
                <w:rFonts w:eastAsia="Calibri"/>
                <w:lang w:eastAsia="en-US"/>
              </w:rPr>
            </w:pPr>
            <w:r w:rsidRPr="00056A5C">
              <w:rPr>
                <w:rFonts w:eastAsia="Calibri"/>
                <w:lang w:eastAsia="en-US"/>
              </w:rPr>
              <w:t>1. Акционерное общество «Региональные электрические сети»</w:t>
            </w:r>
          </w:p>
        </w:tc>
        <w:tc>
          <w:tcPr>
            <w:tcW w:w="475" w:type="pct"/>
            <w:vAlign w:val="center"/>
          </w:tcPr>
          <w:p w:rsidR="001E7B45" w:rsidRPr="00056A5C" w:rsidRDefault="001E7B45" w:rsidP="008C1AA9">
            <w:pPr>
              <w:spacing w:after="0" w:line="240" w:lineRule="auto"/>
              <w:jc w:val="both"/>
              <w:rPr>
                <w:rFonts w:eastAsia="Calibri"/>
                <w:lang w:val="en-US" w:eastAsia="en-US"/>
              </w:rPr>
            </w:pPr>
            <w:r w:rsidRPr="00056A5C">
              <w:rPr>
                <w:rFonts w:eastAsia="Calibri"/>
                <w:lang w:val="en-US" w:eastAsia="en-US"/>
              </w:rPr>
              <w:t>15,00</w:t>
            </w:r>
          </w:p>
        </w:tc>
        <w:tc>
          <w:tcPr>
            <w:tcW w:w="477" w:type="pct"/>
            <w:vAlign w:val="center"/>
          </w:tcPr>
          <w:p w:rsidR="001E7B45" w:rsidRPr="00056A5C" w:rsidRDefault="001E7B45" w:rsidP="008C1AA9">
            <w:pPr>
              <w:spacing w:after="0" w:line="240" w:lineRule="auto"/>
              <w:jc w:val="both"/>
              <w:rPr>
                <w:rFonts w:eastAsia="Calibri"/>
                <w:lang w:val="en-US" w:eastAsia="en-US"/>
              </w:rPr>
            </w:pPr>
            <w:r w:rsidRPr="00056A5C">
              <w:rPr>
                <w:rFonts w:eastAsia="Calibri"/>
                <w:lang w:val="en-US" w:eastAsia="en-US"/>
              </w:rPr>
              <w:t>13,52</w:t>
            </w:r>
          </w:p>
        </w:tc>
        <w:tc>
          <w:tcPr>
            <w:tcW w:w="718" w:type="pct"/>
            <w:vAlign w:val="center"/>
          </w:tcPr>
          <w:p w:rsidR="001E7B45" w:rsidRPr="00056A5C" w:rsidRDefault="001E7B45" w:rsidP="008C1AA9">
            <w:pPr>
              <w:spacing w:after="0" w:line="240" w:lineRule="auto"/>
              <w:jc w:val="center"/>
              <w:rPr>
                <w:rFonts w:eastAsia="Calibri"/>
                <w:color w:val="000000"/>
                <w:lang w:val="en-US" w:eastAsia="en-US"/>
              </w:rPr>
            </w:pPr>
            <w:r w:rsidRPr="00056A5C">
              <w:rPr>
                <w:rFonts w:eastAsia="Calibri"/>
                <w:color w:val="000000"/>
                <w:lang w:val="en-US" w:eastAsia="en-US"/>
              </w:rPr>
              <w:t>110,71</w:t>
            </w:r>
          </w:p>
        </w:tc>
        <w:tc>
          <w:tcPr>
            <w:tcW w:w="480" w:type="pct"/>
            <w:vAlign w:val="center"/>
          </w:tcPr>
          <w:p w:rsidR="001E7B45" w:rsidRPr="00056A5C" w:rsidRDefault="001E7B45" w:rsidP="008C1AA9">
            <w:pPr>
              <w:spacing w:after="0" w:line="240" w:lineRule="auto"/>
              <w:jc w:val="both"/>
              <w:rPr>
                <w:rFonts w:eastAsia="Calibri"/>
                <w:lang w:val="en-US" w:eastAsia="en-US"/>
              </w:rPr>
            </w:pPr>
            <w:r w:rsidRPr="00056A5C">
              <w:rPr>
                <w:rFonts w:eastAsia="Calibri"/>
                <w:lang w:val="en-US" w:eastAsia="en-US"/>
              </w:rPr>
              <w:t>12,78</w:t>
            </w:r>
          </w:p>
        </w:tc>
        <w:tc>
          <w:tcPr>
            <w:tcW w:w="631" w:type="pct"/>
            <w:vAlign w:val="center"/>
          </w:tcPr>
          <w:p w:rsidR="001E7B45" w:rsidRPr="00056A5C" w:rsidRDefault="001E7B45" w:rsidP="008C1AA9">
            <w:pPr>
              <w:spacing w:after="0" w:line="240" w:lineRule="auto"/>
              <w:jc w:val="center"/>
              <w:rPr>
                <w:rFonts w:eastAsia="Calibri"/>
                <w:color w:val="000000"/>
                <w:lang w:eastAsia="en-US"/>
              </w:rPr>
            </w:pPr>
            <w:r w:rsidRPr="00056A5C">
              <w:rPr>
                <w:rFonts w:eastAsia="Calibri"/>
                <w:color w:val="000000"/>
                <w:lang w:val="en-US" w:eastAsia="en-US"/>
              </w:rPr>
              <w:t>105,</w:t>
            </w:r>
            <w:r w:rsidRPr="00056A5C">
              <w:rPr>
                <w:rFonts w:eastAsia="Calibri"/>
                <w:color w:val="000000"/>
                <w:lang w:eastAsia="en-US"/>
              </w:rPr>
              <w:t>58</w:t>
            </w:r>
          </w:p>
        </w:tc>
        <w:tc>
          <w:tcPr>
            <w:tcW w:w="709" w:type="pct"/>
            <w:vAlign w:val="center"/>
          </w:tcPr>
          <w:p w:rsidR="001E7B45" w:rsidRPr="00056A5C" w:rsidRDefault="001E7B45" w:rsidP="008C1AA9">
            <w:pPr>
              <w:spacing w:after="0" w:line="240" w:lineRule="auto"/>
              <w:jc w:val="center"/>
              <w:rPr>
                <w:rFonts w:eastAsia="Calibri"/>
                <w:color w:val="000000"/>
                <w:lang w:val="en-US" w:eastAsia="en-US"/>
              </w:rPr>
            </w:pPr>
          </w:p>
          <w:p w:rsidR="001E7B45" w:rsidRPr="00056A5C" w:rsidRDefault="001E7B45" w:rsidP="008C1AA9">
            <w:pPr>
              <w:spacing w:after="0" w:line="240" w:lineRule="auto"/>
              <w:jc w:val="center"/>
              <w:rPr>
                <w:rFonts w:eastAsia="Calibri"/>
                <w:color w:val="000000"/>
                <w:lang w:val="en-US" w:eastAsia="en-US"/>
              </w:rPr>
            </w:pPr>
            <w:r w:rsidRPr="00056A5C">
              <w:rPr>
                <w:rFonts w:eastAsia="Calibri"/>
                <w:color w:val="000000"/>
                <w:lang w:val="en-US" w:eastAsia="en-US"/>
              </w:rPr>
              <w:t>0,</w:t>
            </w:r>
            <w:r w:rsidRPr="00056A5C">
              <w:rPr>
                <w:rFonts w:eastAsia="Calibri"/>
                <w:color w:val="000000"/>
                <w:lang w:eastAsia="en-US"/>
              </w:rPr>
              <w:t>21</w:t>
            </w:r>
            <w:r w:rsidRPr="00056A5C">
              <w:rPr>
                <w:rFonts w:eastAsia="Calibri"/>
                <w:color w:val="000000"/>
                <w:lang w:val="en-US" w:eastAsia="en-US"/>
              </w:rPr>
              <w:t>/</w:t>
            </w:r>
          </w:p>
          <w:p w:rsidR="001E7B45" w:rsidRPr="00056A5C" w:rsidRDefault="001E7B45" w:rsidP="008C1AA9">
            <w:pPr>
              <w:spacing w:after="0" w:line="240" w:lineRule="auto"/>
              <w:jc w:val="center"/>
              <w:rPr>
                <w:rFonts w:eastAsia="Calibri"/>
                <w:color w:val="000000"/>
                <w:lang w:val="en-US" w:eastAsia="en-US"/>
              </w:rPr>
            </w:pPr>
            <w:r w:rsidRPr="00056A5C">
              <w:rPr>
                <w:rFonts w:eastAsia="Calibri"/>
                <w:color w:val="000000"/>
                <w:lang w:eastAsia="en-US"/>
              </w:rPr>
              <w:t>0</w:t>
            </w:r>
            <w:r w:rsidRPr="00056A5C">
              <w:rPr>
                <w:rFonts w:eastAsia="Calibri"/>
                <w:color w:val="000000"/>
                <w:lang w:val="en-US" w:eastAsia="en-US"/>
              </w:rPr>
              <w:t>,2</w:t>
            </w:r>
          </w:p>
        </w:tc>
      </w:tr>
      <w:tr w:rsidR="001E7B45" w:rsidRPr="00056A5C" w:rsidTr="00BD58BF">
        <w:tc>
          <w:tcPr>
            <w:tcW w:w="1510" w:type="pct"/>
            <w:vAlign w:val="center"/>
          </w:tcPr>
          <w:p w:rsidR="001E7B45" w:rsidRPr="00056A5C" w:rsidRDefault="001E7B45" w:rsidP="008C1AA9">
            <w:pPr>
              <w:spacing w:after="0" w:line="240" w:lineRule="auto"/>
              <w:rPr>
                <w:rFonts w:eastAsia="Calibri"/>
                <w:lang w:eastAsia="en-US"/>
              </w:rPr>
            </w:pPr>
            <w:r w:rsidRPr="00056A5C">
              <w:rPr>
                <w:rFonts w:eastAsia="Calibri"/>
                <w:lang w:eastAsia="en-US"/>
              </w:rPr>
              <w:t>2.Общество с ограниченной ответственностью «Промышленная сетевая компания»</w:t>
            </w:r>
          </w:p>
        </w:tc>
        <w:tc>
          <w:tcPr>
            <w:tcW w:w="475" w:type="pct"/>
            <w:vAlign w:val="center"/>
          </w:tcPr>
          <w:p w:rsidR="001E7B45" w:rsidRPr="00056A5C" w:rsidRDefault="001E7B45" w:rsidP="008C1AA9">
            <w:pPr>
              <w:spacing w:after="0" w:line="240" w:lineRule="auto"/>
              <w:jc w:val="both"/>
              <w:rPr>
                <w:rFonts w:eastAsia="Calibri"/>
                <w:lang w:val="en-US" w:eastAsia="en-US"/>
              </w:rPr>
            </w:pPr>
            <w:r w:rsidRPr="00056A5C">
              <w:rPr>
                <w:rFonts w:eastAsia="Calibri"/>
                <w:lang w:val="en-US" w:eastAsia="en-US"/>
              </w:rPr>
              <w:t>3,02</w:t>
            </w:r>
          </w:p>
        </w:tc>
        <w:tc>
          <w:tcPr>
            <w:tcW w:w="477" w:type="pct"/>
            <w:vAlign w:val="center"/>
          </w:tcPr>
          <w:p w:rsidR="001E7B45" w:rsidRPr="00056A5C" w:rsidRDefault="001E7B45" w:rsidP="008C1AA9">
            <w:pPr>
              <w:spacing w:after="0" w:line="240" w:lineRule="auto"/>
              <w:jc w:val="both"/>
              <w:rPr>
                <w:rFonts w:eastAsia="Calibri"/>
                <w:lang w:val="en-US" w:eastAsia="en-US"/>
              </w:rPr>
            </w:pPr>
            <w:r w:rsidRPr="00056A5C">
              <w:rPr>
                <w:rFonts w:eastAsia="Calibri"/>
                <w:lang w:val="en-US" w:eastAsia="en-US"/>
              </w:rPr>
              <w:t>3,68</w:t>
            </w:r>
          </w:p>
        </w:tc>
        <w:tc>
          <w:tcPr>
            <w:tcW w:w="718" w:type="pct"/>
            <w:vAlign w:val="center"/>
          </w:tcPr>
          <w:p w:rsidR="001E7B45" w:rsidRPr="00056A5C" w:rsidRDefault="001E7B45" w:rsidP="008C1AA9">
            <w:pPr>
              <w:spacing w:after="0" w:line="240" w:lineRule="auto"/>
              <w:jc w:val="center"/>
              <w:rPr>
                <w:rFonts w:eastAsia="Calibri"/>
                <w:color w:val="000000"/>
                <w:lang w:val="en-US" w:eastAsia="en-US"/>
              </w:rPr>
            </w:pPr>
            <w:r w:rsidRPr="00056A5C">
              <w:rPr>
                <w:rFonts w:eastAsia="Calibri"/>
                <w:color w:val="000000"/>
                <w:lang w:val="en-US" w:eastAsia="en-US"/>
              </w:rPr>
              <w:t>81,54</w:t>
            </w:r>
          </w:p>
        </w:tc>
        <w:tc>
          <w:tcPr>
            <w:tcW w:w="480" w:type="pct"/>
            <w:vAlign w:val="center"/>
          </w:tcPr>
          <w:p w:rsidR="001E7B45" w:rsidRPr="00056A5C" w:rsidRDefault="001E7B45" w:rsidP="008C1AA9">
            <w:pPr>
              <w:spacing w:after="0" w:line="240" w:lineRule="auto"/>
              <w:jc w:val="both"/>
              <w:rPr>
                <w:rFonts w:eastAsia="Calibri"/>
                <w:lang w:val="en-US" w:eastAsia="en-US"/>
              </w:rPr>
            </w:pPr>
            <w:r w:rsidRPr="00056A5C">
              <w:rPr>
                <w:rFonts w:eastAsia="Calibri"/>
                <w:lang w:val="en-US" w:eastAsia="en-US"/>
              </w:rPr>
              <w:t>2,98</w:t>
            </w:r>
          </w:p>
        </w:tc>
        <w:tc>
          <w:tcPr>
            <w:tcW w:w="631" w:type="pct"/>
            <w:vAlign w:val="center"/>
          </w:tcPr>
          <w:p w:rsidR="001E7B45" w:rsidRPr="00056A5C" w:rsidRDefault="001E7B45" w:rsidP="008C1AA9">
            <w:pPr>
              <w:spacing w:after="0" w:line="240" w:lineRule="auto"/>
              <w:jc w:val="center"/>
              <w:rPr>
                <w:rFonts w:eastAsia="Calibri"/>
                <w:color w:val="000000"/>
                <w:lang w:val="en-US" w:eastAsia="en-US"/>
              </w:rPr>
            </w:pPr>
            <w:r w:rsidRPr="00056A5C">
              <w:rPr>
                <w:rFonts w:eastAsia="Calibri"/>
                <w:color w:val="000000"/>
                <w:lang w:val="en-US" w:eastAsia="en-US"/>
              </w:rPr>
              <w:t>122,64</w:t>
            </w:r>
          </w:p>
        </w:tc>
        <w:tc>
          <w:tcPr>
            <w:tcW w:w="709" w:type="pct"/>
            <w:vAlign w:val="center"/>
          </w:tcPr>
          <w:p w:rsidR="001E7B45" w:rsidRPr="00056A5C" w:rsidRDefault="001E7B45" w:rsidP="008C1AA9">
            <w:pPr>
              <w:spacing w:after="0" w:line="240" w:lineRule="auto"/>
              <w:jc w:val="center"/>
              <w:rPr>
                <w:rFonts w:eastAsia="Calibri"/>
                <w:lang w:val="en-US" w:eastAsia="en-US"/>
              </w:rPr>
            </w:pPr>
          </w:p>
          <w:p w:rsidR="001E7B45" w:rsidRPr="00056A5C" w:rsidRDefault="001E7B45" w:rsidP="008C1AA9">
            <w:pPr>
              <w:spacing w:after="0" w:line="240" w:lineRule="auto"/>
              <w:jc w:val="center"/>
              <w:rPr>
                <w:rFonts w:eastAsia="Calibri"/>
                <w:lang w:val="en-US" w:eastAsia="en-US"/>
              </w:rPr>
            </w:pPr>
            <w:r w:rsidRPr="00056A5C">
              <w:rPr>
                <w:rFonts w:eastAsia="Calibri"/>
                <w:lang w:val="en-US" w:eastAsia="en-US"/>
              </w:rPr>
              <w:t>0,</w:t>
            </w:r>
            <w:r w:rsidRPr="00056A5C">
              <w:rPr>
                <w:rFonts w:eastAsia="Calibri"/>
                <w:lang w:eastAsia="en-US"/>
              </w:rPr>
              <w:t>59</w:t>
            </w:r>
            <w:r w:rsidRPr="00056A5C">
              <w:rPr>
                <w:rFonts w:eastAsia="Calibri"/>
                <w:lang w:val="en-US" w:eastAsia="en-US"/>
              </w:rPr>
              <w:t>/</w:t>
            </w:r>
          </w:p>
          <w:p w:rsidR="001E7B45" w:rsidRPr="00056A5C" w:rsidRDefault="001E7B45" w:rsidP="008C1AA9">
            <w:pPr>
              <w:spacing w:after="0" w:line="240" w:lineRule="auto"/>
              <w:jc w:val="center"/>
              <w:rPr>
                <w:rFonts w:eastAsia="Calibri"/>
                <w:lang w:val="en-US" w:eastAsia="en-US"/>
              </w:rPr>
            </w:pPr>
            <w:r w:rsidRPr="00056A5C">
              <w:rPr>
                <w:rFonts w:eastAsia="Calibri"/>
                <w:lang w:val="en-US" w:eastAsia="en-US"/>
              </w:rPr>
              <w:t>0,59</w:t>
            </w:r>
          </w:p>
          <w:p w:rsidR="001E7B45" w:rsidRPr="00056A5C" w:rsidRDefault="001E7B45" w:rsidP="008C1AA9">
            <w:pPr>
              <w:spacing w:after="0" w:line="240" w:lineRule="auto"/>
              <w:jc w:val="center"/>
              <w:rPr>
                <w:rFonts w:eastAsia="Calibri"/>
                <w:color w:val="000000"/>
                <w:lang w:eastAsia="en-US"/>
              </w:rPr>
            </w:pPr>
          </w:p>
        </w:tc>
      </w:tr>
      <w:tr w:rsidR="001E7B45" w:rsidRPr="00056A5C" w:rsidTr="00BD58BF">
        <w:tc>
          <w:tcPr>
            <w:tcW w:w="1510" w:type="pct"/>
            <w:vAlign w:val="center"/>
          </w:tcPr>
          <w:p w:rsidR="001E7B45" w:rsidRPr="00056A5C" w:rsidRDefault="001E7B45" w:rsidP="008C1AA9">
            <w:pPr>
              <w:spacing w:after="0" w:line="240" w:lineRule="auto"/>
              <w:rPr>
                <w:rFonts w:eastAsia="Calibri"/>
                <w:lang w:eastAsia="en-US"/>
              </w:rPr>
            </w:pPr>
            <w:r w:rsidRPr="00056A5C">
              <w:rPr>
                <w:rFonts w:eastAsia="Calibri"/>
                <w:lang w:eastAsia="en-US"/>
              </w:rPr>
              <w:t xml:space="preserve">3.Закрытое акционерное общество  «Энергосервис Чкаловец» </w:t>
            </w:r>
          </w:p>
        </w:tc>
        <w:tc>
          <w:tcPr>
            <w:tcW w:w="475" w:type="pct"/>
            <w:vAlign w:val="center"/>
          </w:tcPr>
          <w:p w:rsidR="001E7B45" w:rsidRPr="00056A5C" w:rsidRDefault="001E7B45" w:rsidP="008C1AA9">
            <w:pPr>
              <w:spacing w:after="0" w:line="240" w:lineRule="auto"/>
              <w:jc w:val="both"/>
              <w:rPr>
                <w:rFonts w:eastAsia="Calibri"/>
                <w:lang w:val="en-US" w:eastAsia="en-US"/>
              </w:rPr>
            </w:pPr>
            <w:r w:rsidRPr="00056A5C">
              <w:rPr>
                <w:rFonts w:eastAsia="Calibri"/>
                <w:lang w:val="en-US" w:eastAsia="en-US"/>
              </w:rPr>
              <w:t>0,97</w:t>
            </w:r>
          </w:p>
        </w:tc>
        <w:tc>
          <w:tcPr>
            <w:tcW w:w="477" w:type="pct"/>
            <w:vAlign w:val="center"/>
          </w:tcPr>
          <w:p w:rsidR="001E7B45" w:rsidRPr="00056A5C" w:rsidRDefault="001E7B45" w:rsidP="008C1AA9">
            <w:pPr>
              <w:spacing w:after="0" w:line="240" w:lineRule="auto"/>
              <w:jc w:val="both"/>
              <w:rPr>
                <w:rFonts w:eastAsia="Calibri"/>
                <w:lang w:eastAsia="en-US"/>
              </w:rPr>
            </w:pPr>
            <w:r w:rsidRPr="00056A5C">
              <w:rPr>
                <w:rFonts w:eastAsia="Calibri"/>
                <w:lang w:val="en-US" w:eastAsia="en-US"/>
              </w:rPr>
              <w:t>1,</w:t>
            </w:r>
            <w:r w:rsidRPr="00056A5C">
              <w:rPr>
                <w:rFonts w:eastAsia="Calibri"/>
                <w:lang w:eastAsia="en-US"/>
              </w:rPr>
              <w:t>10</w:t>
            </w:r>
          </w:p>
        </w:tc>
        <w:tc>
          <w:tcPr>
            <w:tcW w:w="718" w:type="pct"/>
            <w:vAlign w:val="center"/>
          </w:tcPr>
          <w:p w:rsidR="001E7B45" w:rsidRPr="00056A5C" w:rsidRDefault="001E7B45" w:rsidP="008C1AA9">
            <w:pPr>
              <w:spacing w:after="0" w:line="240" w:lineRule="auto"/>
              <w:jc w:val="center"/>
              <w:rPr>
                <w:rFonts w:eastAsia="Calibri"/>
                <w:color w:val="000000"/>
                <w:lang w:val="en-US" w:eastAsia="en-US"/>
              </w:rPr>
            </w:pPr>
            <w:r w:rsidRPr="00056A5C">
              <w:rPr>
                <w:rFonts w:eastAsia="Calibri"/>
                <w:color w:val="000000"/>
                <w:lang w:val="en-US" w:eastAsia="en-US"/>
              </w:rPr>
              <w:t>88,35</w:t>
            </w:r>
          </w:p>
        </w:tc>
        <w:tc>
          <w:tcPr>
            <w:tcW w:w="480" w:type="pct"/>
            <w:vAlign w:val="center"/>
          </w:tcPr>
          <w:p w:rsidR="001E7B45" w:rsidRPr="00056A5C" w:rsidRDefault="001E7B45" w:rsidP="008C1AA9">
            <w:pPr>
              <w:spacing w:after="0" w:line="240" w:lineRule="auto"/>
              <w:jc w:val="both"/>
              <w:rPr>
                <w:rFonts w:eastAsia="Calibri"/>
                <w:lang w:val="en-US" w:eastAsia="en-US"/>
              </w:rPr>
            </w:pPr>
            <w:r w:rsidRPr="00056A5C">
              <w:rPr>
                <w:rFonts w:eastAsia="Calibri"/>
                <w:lang w:val="en-US" w:eastAsia="en-US"/>
              </w:rPr>
              <w:t>1,22</w:t>
            </w:r>
          </w:p>
        </w:tc>
        <w:tc>
          <w:tcPr>
            <w:tcW w:w="631" w:type="pct"/>
            <w:vAlign w:val="center"/>
          </w:tcPr>
          <w:p w:rsidR="001E7B45" w:rsidRPr="00056A5C" w:rsidRDefault="001E7B45" w:rsidP="008C1AA9">
            <w:pPr>
              <w:spacing w:after="0" w:line="240" w:lineRule="auto"/>
              <w:jc w:val="center"/>
              <w:rPr>
                <w:rFonts w:eastAsia="Calibri"/>
                <w:color w:val="000000"/>
                <w:lang w:val="en-US" w:eastAsia="en-US"/>
              </w:rPr>
            </w:pPr>
            <w:r w:rsidRPr="00056A5C">
              <w:rPr>
                <w:rFonts w:eastAsia="Calibri"/>
                <w:color w:val="000000"/>
                <w:lang w:val="en-US" w:eastAsia="en-US"/>
              </w:rPr>
              <w:t>88,49</w:t>
            </w:r>
          </w:p>
        </w:tc>
        <w:tc>
          <w:tcPr>
            <w:tcW w:w="709" w:type="pct"/>
            <w:vAlign w:val="center"/>
          </w:tcPr>
          <w:p w:rsidR="001E7B45" w:rsidRPr="00056A5C" w:rsidRDefault="001E7B45" w:rsidP="008C1AA9">
            <w:pPr>
              <w:spacing w:after="0" w:line="240" w:lineRule="auto"/>
              <w:jc w:val="center"/>
              <w:rPr>
                <w:rFonts w:eastAsia="Calibri"/>
                <w:color w:val="000000"/>
                <w:lang w:val="en-US" w:eastAsia="en-US"/>
              </w:rPr>
            </w:pPr>
          </w:p>
          <w:p w:rsidR="001E7B45" w:rsidRPr="00056A5C" w:rsidRDefault="001E7B45" w:rsidP="008C1AA9">
            <w:pPr>
              <w:spacing w:after="0" w:line="240" w:lineRule="auto"/>
              <w:jc w:val="center"/>
              <w:rPr>
                <w:rFonts w:eastAsia="Calibri"/>
                <w:color w:val="000000"/>
                <w:lang w:val="en-US" w:eastAsia="en-US"/>
              </w:rPr>
            </w:pPr>
            <w:r w:rsidRPr="00056A5C">
              <w:rPr>
                <w:rFonts w:eastAsia="Calibri"/>
                <w:color w:val="000000"/>
                <w:lang w:val="en-US" w:eastAsia="en-US"/>
              </w:rPr>
              <w:t>0,57/</w:t>
            </w:r>
          </w:p>
          <w:p w:rsidR="001E7B45" w:rsidRPr="00056A5C" w:rsidRDefault="001E7B45" w:rsidP="008C1AA9">
            <w:pPr>
              <w:spacing w:after="0" w:line="240" w:lineRule="auto"/>
              <w:jc w:val="center"/>
              <w:rPr>
                <w:rFonts w:eastAsia="Calibri"/>
                <w:color w:val="000000"/>
                <w:lang w:val="en-US" w:eastAsia="en-US"/>
              </w:rPr>
            </w:pPr>
            <w:r w:rsidRPr="00056A5C">
              <w:rPr>
                <w:rFonts w:eastAsia="Calibri"/>
                <w:color w:val="000000"/>
                <w:lang w:val="en-US" w:eastAsia="en-US"/>
              </w:rPr>
              <w:t>1,14</w:t>
            </w:r>
          </w:p>
          <w:p w:rsidR="001E7B45" w:rsidRPr="00056A5C" w:rsidRDefault="001E7B45" w:rsidP="008C1AA9">
            <w:pPr>
              <w:spacing w:after="0" w:line="240" w:lineRule="auto"/>
              <w:jc w:val="center"/>
              <w:rPr>
                <w:rFonts w:eastAsia="Calibri"/>
                <w:color w:val="000000"/>
                <w:lang w:val="en-US" w:eastAsia="en-US"/>
              </w:rPr>
            </w:pPr>
          </w:p>
        </w:tc>
      </w:tr>
      <w:tr w:rsidR="001E7B45" w:rsidRPr="00056A5C" w:rsidTr="00BD58BF">
        <w:tc>
          <w:tcPr>
            <w:tcW w:w="1510" w:type="pct"/>
          </w:tcPr>
          <w:p w:rsidR="001E7B45" w:rsidRPr="00056A5C" w:rsidRDefault="001E7B45" w:rsidP="008C1AA9">
            <w:pPr>
              <w:spacing w:after="0" w:line="240" w:lineRule="auto"/>
              <w:jc w:val="both"/>
              <w:rPr>
                <w:rFonts w:eastAsia="Calibri"/>
                <w:color w:val="000000"/>
                <w:lang w:eastAsia="en-US"/>
              </w:rPr>
            </w:pPr>
            <w:r w:rsidRPr="00056A5C">
              <w:rPr>
                <w:rFonts w:eastAsia="Calibri"/>
                <w:color w:val="000000"/>
                <w:lang w:eastAsia="en-US"/>
              </w:rPr>
              <w:t>4.Федеральное государственное унитарное предприятие «Энергетик»</w:t>
            </w:r>
          </w:p>
        </w:tc>
        <w:tc>
          <w:tcPr>
            <w:tcW w:w="475" w:type="pct"/>
            <w:vAlign w:val="center"/>
          </w:tcPr>
          <w:p w:rsidR="001E7B45" w:rsidRPr="00056A5C" w:rsidRDefault="001E7B45" w:rsidP="008C1AA9">
            <w:pPr>
              <w:spacing w:after="0" w:line="240" w:lineRule="auto"/>
              <w:jc w:val="both"/>
              <w:rPr>
                <w:rFonts w:eastAsia="Calibri"/>
                <w:lang w:val="en-US" w:eastAsia="en-US"/>
              </w:rPr>
            </w:pPr>
            <w:r w:rsidRPr="00056A5C">
              <w:rPr>
                <w:rFonts w:eastAsia="Calibri"/>
                <w:lang w:val="en-US" w:eastAsia="en-US"/>
              </w:rPr>
              <w:t>14,58</w:t>
            </w:r>
          </w:p>
        </w:tc>
        <w:tc>
          <w:tcPr>
            <w:tcW w:w="477" w:type="pct"/>
            <w:vAlign w:val="center"/>
          </w:tcPr>
          <w:p w:rsidR="001E7B45" w:rsidRPr="00056A5C" w:rsidRDefault="001E7B45" w:rsidP="008C1AA9">
            <w:pPr>
              <w:spacing w:after="0" w:line="240" w:lineRule="auto"/>
              <w:jc w:val="both"/>
              <w:rPr>
                <w:rFonts w:eastAsia="Calibri"/>
                <w:lang w:val="en-US" w:eastAsia="en-US"/>
              </w:rPr>
            </w:pPr>
            <w:r w:rsidRPr="00056A5C">
              <w:rPr>
                <w:rFonts w:eastAsia="Calibri"/>
                <w:lang w:val="en-US" w:eastAsia="en-US"/>
              </w:rPr>
              <w:t>14,14</w:t>
            </w:r>
          </w:p>
        </w:tc>
        <w:tc>
          <w:tcPr>
            <w:tcW w:w="718" w:type="pct"/>
            <w:vAlign w:val="center"/>
          </w:tcPr>
          <w:p w:rsidR="001E7B45" w:rsidRPr="00056A5C" w:rsidRDefault="001E7B45" w:rsidP="008C1AA9">
            <w:pPr>
              <w:spacing w:after="0" w:line="240" w:lineRule="auto"/>
              <w:jc w:val="center"/>
              <w:rPr>
                <w:rFonts w:eastAsia="Calibri"/>
                <w:color w:val="000000"/>
                <w:lang w:val="en-US" w:eastAsia="en-US"/>
              </w:rPr>
            </w:pPr>
            <w:r w:rsidRPr="00056A5C">
              <w:rPr>
                <w:rFonts w:eastAsia="Calibri"/>
                <w:color w:val="000000"/>
                <w:lang w:val="en-US" w:eastAsia="en-US"/>
              </w:rPr>
              <w:t>102,61</w:t>
            </w:r>
          </w:p>
        </w:tc>
        <w:tc>
          <w:tcPr>
            <w:tcW w:w="480" w:type="pct"/>
            <w:vAlign w:val="center"/>
          </w:tcPr>
          <w:p w:rsidR="001E7B45" w:rsidRPr="00056A5C" w:rsidRDefault="001E7B45" w:rsidP="008C1AA9">
            <w:pPr>
              <w:spacing w:after="0" w:line="240" w:lineRule="auto"/>
              <w:jc w:val="both"/>
              <w:rPr>
                <w:rFonts w:eastAsia="Calibri"/>
                <w:lang w:val="en-US" w:eastAsia="en-US"/>
              </w:rPr>
            </w:pPr>
            <w:r w:rsidRPr="00056A5C">
              <w:rPr>
                <w:rFonts w:eastAsia="Calibri"/>
                <w:lang w:val="en-US" w:eastAsia="en-US"/>
              </w:rPr>
              <w:t>14,44</w:t>
            </w:r>
          </w:p>
        </w:tc>
        <w:tc>
          <w:tcPr>
            <w:tcW w:w="631" w:type="pct"/>
            <w:vAlign w:val="center"/>
          </w:tcPr>
          <w:p w:rsidR="001E7B45" w:rsidRPr="00056A5C" w:rsidRDefault="001E7B45" w:rsidP="008C1AA9">
            <w:pPr>
              <w:spacing w:after="0" w:line="240" w:lineRule="auto"/>
              <w:jc w:val="center"/>
              <w:rPr>
                <w:rFonts w:eastAsia="Calibri"/>
                <w:color w:val="000000"/>
                <w:lang w:val="en-US" w:eastAsia="en-US"/>
              </w:rPr>
            </w:pPr>
            <w:r w:rsidRPr="00056A5C">
              <w:rPr>
                <w:rFonts w:eastAsia="Calibri"/>
                <w:color w:val="000000"/>
                <w:lang w:val="en-US" w:eastAsia="en-US"/>
              </w:rPr>
              <w:t>97,44</w:t>
            </w:r>
          </w:p>
        </w:tc>
        <w:tc>
          <w:tcPr>
            <w:tcW w:w="709" w:type="pct"/>
            <w:vAlign w:val="center"/>
          </w:tcPr>
          <w:p w:rsidR="001E7B45" w:rsidRPr="00056A5C" w:rsidRDefault="001E7B45" w:rsidP="008C1AA9">
            <w:pPr>
              <w:spacing w:after="0" w:line="240" w:lineRule="auto"/>
              <w:jc w:val="center"/>
              <w:rPr>
                <w:rFonts w:eastAsia="Calibri"/>
                <w:color w:val="000000"/>
                <w:lang w:val="en-US" w:eastAsia="en-US"/>
              </w:rPr>
            </w:pPr>
            <w:r w:rsidRPr="00056A5C">
              <w:rPr>
                <w:rFonts w:eastAsia="Calibri"/>
                <w:color w:val="000000"/>
                <w:lang w:val="en-US" w:eastAsia="en-US"/>
              </w:rPr>
              <w:t>0,5/</w:t>
            </w:r>
          </w:p>
          <w:p w:rsidR="001E7B45" w:rsidRPr="00056A5C" w:rsidRDefault="001E7B45" w:rsidP="008C1AA9">
            <w:pPr>
              <w:spacing w:after="0" w:line="240" w:lineRule="auto"/>
              <w:jc w:val="center"/>
              <w:rPr>
                <w:rFonts w:eastAsia="Calibri"/>
                <w:color w:val="000000"/>
                <w:lang w:val="en-US" w:eastAsia="en-US"/>
              </w:rPr>
            </w:pPr>
            <w:r w:rsidRPr="00056A5C">
              <w:rPr>
                <w:rFonts w:eastAsia="Calibri"/>
                <w:color w:val="000000"/>
                <w:lang w:val="en-US" w:eastAsia="en-US"/>
              </w:rPr>
              <w:t>0,5</w:t>
            </w:r>
          </w:p>
        </w:tc>
      </w:tr>
      <w:tr w:rsidR="001E7B45" w:rsidRPr="00056A5C" w:rsidTr="00BD58BF">
        <w:tc>
          <w:tcPr>
            <w:tcW w:w="1510" w:type="pct"/>
            <w:vAlign w:val="center"/>
          </w:tcPr>
          <w:p w:rsidR="001E7B45" w:rsidRPr="00056A5C" w:rsidRDefault="001E7B45" w:rsidP="008C1AA9">
            <w:pPr>
              <w:spacing w:after="0" w:line="240" w:lineRule="auto"/>
              <w:rPr>
                <w:rFonts w:eastAsia="Calibri"/>
                <w:lang w:eastAsia="en-US"/>
              </w:rPr>
            </w:pPr>
            <w:r w:rsidRPr="00056A5C">
              <w:rPr>
                <w:rFonts w:eastAsia="Calibri"/>
                <w:lang w:eastAsia="en-US"/>
              </w:rPr>
              <w:t xml:space="preserve">5.Общество с ограниченной ответственностью «Новосибирский оловянный комбинат» </w:t>
            </w:r>
          </w:p>
        </w:tc>
        <w:tc>
          <w:tcPr>
            <w:tcW w:w="475" w:type="pct"/>
            <w:vAlign w:val="center"/>
          </w:tcPr>
          <w:p w:rsidR="001E7B45" w:rsidRPr="00056A5C" w:rsidRDefault="001E7B45" w:rsidP="008C1AA9">
            <w:pPr>
              <w:spacing w:after="0" w:line="240" w:lineRule="auto"/>
              <w:jc w:val="both"/>
              <w:rPr>
                <w:rFonts w:eastAsia="Calibri"/>
                <w:lang w:val="en-US" w:eastAsia="en-US"/>
              </w:rPr>
            </w:pPr>
            <w:r w:rsidRPr="00056A5C">
              <w:rPr>
                <w:rFonts w:eastAsia="Calibri"/>
                <w:lang w:val="en-US" w:eastAsia="en-US"/>
              </w:rPr>
              <w:t>6,48</w:t>
            </w:r>
          </w:p>
        </w:tc>
        <w:tc>
          <w:tcPr>
            <w:tcW w:w="477" w:type="pct"/>
            <w:vAlign w:val="center"/>
          </w:tcPr>
          <w:p w:rsidR="001E7B45" w:rsidRPr="00056A5C" w:rsidRDefault="001E7B45" w:rsidP="008C1AA9">
            <w:pPr>
              <w:spacing w:after="0" w:line="240" w:lineRule="auto"/>
              <w:jc w:val="both"/>
              <w:rPr>
                <w:rFonts w:eastAsia="Calibri"/>
                <w:lang w:val="en-US" w:eastAsia="en-US"/>
              </w:rPr>
            </w:pPr>
            <w:r w:rsidRPr="00056A5C">
              <w:rPr>
                <w:rFonts w:eastAsia="Calibri"/>
                <w:lang w:eastAsia="en-US"/>
              </w:rPr>
              <w:t>6</w:t>
            </w:r>
            <w:r w:rsidRPr="00056A5C">
              <w:rPr>
                <w:rFonts w:eastAsia="Calibri"/>
                <w:lang w:val="en-US" w:eastAsia="en-US"/>
              </w:rPr>
              <w:t>,48</w:t>
            </w:r>
          </w:p>
        </w:tc>
        <w:tc>
          <w:tcPr>
            <w:tcW w:w="718" w:type="pct"/>
            <w:vAlign w:val="center"/>
          </w:tcPr>
          <w:p w:rsidR="001E7B45" w:rsidRPr="00056A5C" w:rsidRDefault="001E7B45" w:rsidP="008C1AA9">
            <w:pPr>
              <w:spacing w:after="0" w:line="240" w:lineRule="auto"/>
              <w:jc w:val="center"/>
              <w:rPr>
                <w:rFonts w:eastAsia="Calibri"/>
                <w:color w:val="000000"/>
                <w:lang w:val="en-US" w:eastAsia="en-US"/>
              </w:rPr>
            </w:pPr>
            <w:r w:rsidRPr="00056A5C">
              <w:rPr>
                <w:rFonts w:eastAsia="Calibri"/>
                <w:color w:val="000000"/>
                <w:lang w:val="en-US" w:eastAsia="en-US"/>
              </w:rPr>
              <w:t>99,50</w:t>
            </w:r>
          </w:p>
        </w:tc>
        <w:tc>
          <w:tcPr>
            <w:tcW w:w="480" w:type="pct"/>
            <w:vAlign w:val="center"/>
          </w:tcPr>
          <w:p w:rsidR="001E7B45" w:rsidRPr="00056A5C" w:rsidRDefault="001E7B45" w:rsidP="008C1AA9">
            <w:pPr>
              <w:spacing w:after="0" w:line="240" w:lineRule="auto"/>
              <w:jc w:val="both"/>
              <w:rPr>
                <w:rFonts w:eastAsia="Calibri"/>
                <w:lang w:val="en-US" w:eastAsia="en-US"/>
              </w:rPr>
            </w:pPr>
            <w:r w:rsidRPr="00056A5C">
              <w:rPr>
                <w:rFonts w:eastAsia="Calibri"/>
                <w:lang w:val="en-US" w:eastAsia="en-US"/>
              </w:rPr>
              <w:t>6,48</w:t>
            </w:r>
          </w:p>
        </w:tc>
        <w:tc>
          <w:tcPr>
            <w:tcW w:w="631" w:type="pct"/>
            <w:vAlign w:val="center"/>
          </w:tcPr>
          <w:p w:rsidR="001E7B45" w:rsidRPr="00056A5C" w:rsidRDefault="001E7B45" w:rsidP="008C1AA9">
            <w:pPr>
              <w:spacing w:after="0" w:line="240" w:lineRule="auto"/>
              <w:jc w:val="center"/>
              <w:rPr>
                <w:rFonts w:eastAsia="Calibri"/>
                <w:color w:val="000000"/>
                <w:lang w:val="en-US" w:eastAsia="en-US"/>
              </w:rPr>
            </w:pPr>
            <w:r w:rsidRPr="00056A5C">
              <w:rPr>
                <w:rFonts w:eastAsia="Calibri"/>
                <w:color w:val="000000"/>
                <w:lang w:val="en-US" w:eastAsia="en-US"/>
              </w:rPr>
              <w:t>99,50</w:t>
            </w:r>
          </w:p>
        </w:tc>
        <w:tc>
          <w:tcPr>
            <w:tcW w:w="709" w:type="pct"/>
            <w:vAlign w:val="center"/>
          </w:tcPr>
          <w:p w:rsidR="001E7B45" w:rsidRPr="00056A5C" w:rsidRDefault="001E7B45" w:rsidP="008C1AA9">
            <w:pPr>
              <w:spacing w:after="0" w:line="240" w:lineRule="auto"/>
              <w:jc w:val="center"/>
              <w:rPr>
                <w:rFonts w:eastAsia="Calibri"/>
                <w:color w:val="000000"/>
                <w:lang w:val="en-US" w:eastAsia="en-US"/>
              </w:rPr>
            </w:pPr>
            <w:r w:rsidRPr="00056A5C">
              <w:rPr>
                <w:rFonts w:eastAsia="Calibri"/>
                <w:color w:val="000000"/>
                <w:lang w:val="en-US" w:eastAsia="en-US"/>
              </w:rPr>
              <w:t>0,5/</w:t>
            </w:r>
          </w:p>
          <w:p w:rsidR="001E7B45" w:rsidRPr="00056A5C" w:rsidRDefault="001E7B45" w:rsidP="008C1AA9">
            <w:pPr>
              <w:spacing w:after="0" w:line="240" w:lineRule="auto"/>
              <w:jc w:val="center"/>
              <w:rPr>
                <w:rFonts w:eastAsia="Calibri"/>
                <w:color w:val="000000"/>
                <w:lang w:val="en-US" w:eastAsia="en-US"/>
              </w:rPr>
            </w:pPr>
            <w:r w:rsidRPr="00056A5C">
              <w:rPr>
                <w:rFonts w:eastAsia="Calibri"/>
                <w:color w:val="000000"/>
                <w:lang w:eastAsia="en-US"/>
              </w:rPr>
              <w:t>0</w:t>
            </w:r>
            <w:r w:rsidRPr="00056A5C">
              <w:rPr>
                <w:rFonts w:eastAsia="Calibri"/>
                <w:color w:val="000000"/>
                <w:lang w:val="en-US" w:eastAsia="en-US"/>
              </w:rPr>
              <w:t>,5</w:t>
            </w:r>
          </w:p>
        </w:tc>
      </w:tr>
      <w:tr w:rsidR="001E7B45" w:rsidRPr="00056A5C" w:rsidTr="00BD58BF">
        <w:trPr>
          <w:trHeight w:val="1448"/>
        </w:trPr>
        <w:tc>
          <w:tcPr>
            <w:tcW w:w="1510" w:type="pct"/>
            <w:vAlign w:val="center"/>
          </w:tcPr>
          <w:p w:rsidR="001E7B45" w:rsidRPr="00056A5C" w:rsidRDefault="001E7B45" w:rsidP="008C1AA9">
            <w:pPr>
              <w:spacing w:after="0" w:line="240" w:lineRule="auto"/>
              <w:rPr>
                <w:rFonts w:eastAsia="Calibri"/>
                <w:lang w:eastAsia="en-US"/>
              </w:rPr>
            </w:pPr>
            <w:r w:rsidRPr="00056A5C">
              <w:rPr>
                <w:rFonts w:eastAsia="Calibri"/>
                <w:lang w:eastAsia="en-US"/>
              </w:rPr>
              <w:t xml:space="preserve">6.Общество с ограниченной ответственностью «БЭМЗ-Энергосервис» </w:t>
            </w:r>
          </w:p>
        </w:tc>
        <w:tc>
          <w:tcPr>
            <w:tcW w:w="475" w:type="pct"/>
            <w:vAlign w:val="center"/>
          </w:tcPr>
          <w:p w:rsidR="001E7B45" w:rsidRPr="00056A5C" w:rsidRDefault="001E7B45" w:rsidP="008C1AA9">
            <w:pPr>
              <w:spacing w:after="0" w:line="240" w:lineRule="auto"/>
              <w:jc w:val="both"/>
              <w:rPr>
                <w:rFonts w:eastAsia="Calibri"/>
                <w:lang w:val="en-US" w:eastAsia="en-US"/>
              </w:rPr>
            </w:pPr>
            <w:r w:rsidRPr="00056A5C">
              <w:rPr>
                <w:rFonts w:eastAsia="Calibri"/>
                <w:lang w:eastAsia="en-US"/>
              </w:rPr>
              <w:t>0</w:t>
            </w:r>
            <w:r w:rsidRPr="00056A5C">
              <w:rPr>
                <w:rFonts w:eastAsia="Calibri"/>
                <w:lang w:val="en-US" w:eastAsia="en-US"/>
              </w:rPr>
              <w:t>,41</w:t>
            </w:r>
          </w:p>
        </w:tc>
        <w:tc>
          <w:tcPr>
            <w:tcW w:w="477" w:type="pct"/>
            <w:vAlign w:val="center"/>
          </w:tcPr>
          <w:p w:rsidR="001E7B45" w:rsidRPr="00056A5C" w:rsidRDefault="001E7B45" w:rsidP="008C1AA9">
            <w:pPr>
              <w:spacing w:after="0" w:line="240" w:lineRule="auto"/>
              <w:jc w:val="both"/>
              <w:rPr>
                <w:rFonts w:eastAsia="Calibri"/>
                <w:lang w:val="en-US" w:eastAsia="en-US"/>
              </w:rPr>
            </w:pPr>
            <w:r w:rsidRPr="00056A5C">
              <w:rPr>
                <w:rFonts w:eastAsia="Calibri"/>
                <w:lang w:val="en-US" w:eastAsia="en-US"/>
              </w:rPr>
              <w:t>0,34</w:t>
            </w:r>
          </w:p>
        </w:tc>
        <w:tc>
          <w:tcPr>
            <w:tcW w:w="718" w:type="pct"/>
            <w:vAlign w:val="center"/>
          </w:tcPr>
          <w:p w:rsidR="001E7B45" w:rsidRPr="00056A5C" w:rsidRDefault="001E7B45" w:rsidP="008C1AA9">
            <w:pPr>
              <w:spacing w:after="0" w:line="240" w:lineRule="auto"/>
              <w:jc w:val="center"/>
              <w:rPr>
                <w:rFonts w:eastAsia="Calibri"/>
                <w:color w:val="000000"/>
                <w:lang w:val="en-US" w:eastAsia="en-US"/>
              </w:rPr>
            </w:pPr>
            <w:r w:rsidRPr="00056A5C">
              <w:rPr>
                <w:rFonts w:eastAsia="Calibri"/>
                <w:color w:val="000000"/>
                <w:lang w:val="en-US" w:eastAsia="en-US"/>
              </w:rPr>
              <w:t>119,64</w:t>
            </w:r>
          </w:p>
        </w:tc>
        <w:tc>
          <w:tcPr>
            <w:tcW w:w="480" w:type="pct"/>
            <w:vAlign w:val="center"/>
          </w:tcPr>
          <w:p w:rsidR="001E7B45" w:rsidRPr="00056A5C" w:rsidRDefault="001E7B45" w:rsidP="008C1AA9">
            <w:pPr>
              <w:spacing w:after="0" w:line="240" w:lineRule="auto"/>
              <w:jc w:val="both"/>
              <w:rPr>
                <w:rFonts w:eastAsia="Calibri"/>
                <w:lang w:val="en-US" w:eastAsia="en-US"/>
              </w:rPr>
            </w:pPr>
            <w:r w:rsidRPr="00056A5C">
              <w:rPr>
                <w:rFonts w:eastAsia="Calibri"/>
                <w:lang w:val="en-US" w:eastAsia="en-US"/>
              </w:rPr>
              <w:t>0,35</w:t>
            </w:r>
          </w:p>
        </w:tc>
        <w:tc>
          <w:tcPr>
            <w:tcW w:w="631" w:type="pct"/>
            <w:vAlign w:val="center"/>
          </w:tcPr>
          <w:p w:rsidR="001E7B45" w:rsidRPr="00056A5C" w:rsidRDefault="001E7B45" w:rsidP="008C1AA9">
            <w:pPr>
              <w:spacing w:after="0" w:line="240" w:lineRule="auto"/>
              <w:jc w:val="center"/>
              <w:rPr>
                <w:rFonts w:eastAsia="Calibri"/>
                <w:color w:val="000000"/>
                <w:lang w:val="en-US" w:eastAsia="en-US"/>
              </w:rPr>
            </w:pPr>
            <w:r w:rsidRPr="00056A5C">
              <w:rPr>
                <w:rFonts w:eastAsia="Calibri"/>
                <w:color w:val="000000"/>
                <w:lang w:val="en-US" w:eastAsia="en-US"/>
              </w:rPr>
              <w:t>99,38</w:t>
            </w:r>
          </w:p>
        </w:tc>
        <w:tc>
          <w:tcPr>
            <w:tcW w:w="709" w:type="pct"/>
            <w:vAlign w:val="center"/>
          </w:tcPr>
          <w:p w:rsidR="001E7B45" w:rsidRPr="00056A5C" w:rsidRDefault="001E7B45" w:rsidP="008C1AA9">
            <w:pPr>
              <w:spacing w:after="0" w:line="240" w:lineRule="auto"/>
              <w:jc w:val="center"/>
              <w:rPr>
                <w:rFonts w:eastAsia="Calibri"/>
                <w:color w:val="000000"/>
                <w:lang w:val="en-US" w:eastAsia="en-US"/>
              </w:rPr>
            </w:pPr>
            <w:r w:rsidRPr="00056A5C">
              <w:rPr>
                <w:rFonts w:eastAsia="Calibri"/>
                <w:color w:val="000000"/>
                <w:lang w:val="en-US" w:eastAsia="en-US"/>
              </w:rPr>
              <w:t>0,1/</w:t>
            </w:r>
          </w:p>
          <w:p w:rsidR="001E7B45" w:rsidRPr="00056A5C" w:rsidRDefault="001E7B45" w:rsidP="008C1AA9">
            <w:pPr>
              <w:spacing w:after="0" w:line="240" w:lineRule="auto"/>
              <w:jc w:val="center"/>
              <w:rPr>
                <w:rFonts w:eastAsia="Calibri"/>
                <w:color w:val="000000"/>
                <w:lang w:val="en-US" w:eastAsia="en-US"/>
              </w:rPr>
            </w:pPr>
            <w:r w:rsidRPr="00056A5C">
              <w:rPr>
                <w:rFonts w:eastAsia="Calibri"/>
                <w:color w:val="000000"/>
                <w:lang w:val="en-US" w:eastAsia="en-US"/>
              </w:rPr>
              <w:t>0,05</w:t>
            </w:r>
          </w:p>
        </w:tc>
      </w:tr>
      <w:tr w:rsidR="001E7B45" w:rsidRPr="00056A5C" w:rsidTr="00BD58BF">
        <w:tc>
          <w:tcPr>
            <w:tcW w:w="1510" w:type="pct"/>
            <w:vAlign w:val="center"/>
          </w:tcPr>
          <w:p w:rsidR="001E7B45" w:rsidRPr="00056A5C" w:rsidRDefault="001E7B45" w:rsidP="008C1AA9">
            <w:pPr>
              <w:spacing w:after="0" w:line="240" w:lineRule="auto"/>
              <w:rPr>
                <w:rFonts w:eastAsia="Calibri"/>
                <w:lang w:eastAsia="en-US"/>
              </w:rPr>
            </w:pPr>
            <w:r w:rsidRPr="00056A5C">
              <w:rPr>
                <w:rFonts w:eastAsia="Calibri"/>
                <w:lang w:eastAsia="en-US"/>
              </w:rPr>
              <w:t xml:space="preserve">7.Акционерное общество «Аэропорт Толмачёво» </w:t>
            </w:r>
          </w:p>
        </w:tc>
        <w:tc>
          <w:tcPr>
            <w:tcW w:w="475" w:type="pct"/>
            <w:vAlign w:val="center"/>
          </w:tcPr>
          <w:p w:rsidR="001E7B45" w:rsidRPr="00056A5C" w:rsidRDefault="001E7B45" w:rsidP="008C1AA9">
            <w:pPr>
              <w:spacing w:after="0" w:line="240" w:lineRule="auto"/>
              <w:jc w:val="both"/>
              <w:rPr>
                <w:rFonts w:eastAsia="Calibri"/>
                <w:lang w:val="en-US" w:eastAsia="en-US"/>
              </w:rPr>
            </w:pPr>
            <w:r w:rsidRPr="00056A5C">
              <w:rPr>
                <w:rFonts w:eastAsia="Calibri"/>
                <w:lang w:val="en-US" w:eastAsia="en-US"/>
              </w:rPr>
              <w:t>4,81</w:t>
            </w:r>
          </w:p>
        </w:tc>
        <w:tc>
          <w:tcPr>
            <w:tcW w:w="477" w:type="pct"/>
            <w:vAlign w:val="center"/>
          </w:tcPr>
          <w:p w:rsidR="001E7B45" w:rsidRPr="00056A5C" w:rsidRDefault="001E7B45" w:rsidP="008C1AA9">
            <w:pPr>
              <w:spacing w:after="0" w:line="240" w:lineRule="auto"/>
              <w:jc w:val="both"/>
              <w:rPr>
                <w:rFonts w:eastAsia="Calibri"/>
                <w:lang w:val="en-US" w:eastAsia="en-US"/>
              </w:rPr>
            </w:pPr>
            <w:r w:rsidRPr="00056A5C">
              <w:rPr>
                <w:rFonts w:eastAsia="Calibri"/>
                <w:lang w:val="en-US" w:eastAsia="en-US"/>
              </w:rPr>
              <w:t>4,81</w:t>
            </w:r>
          </w:p>
        </w:tc>
        <w:tc>
          <w:tcPr>
            <w:tcW w:w="718" w:type="pct"/>
            <w:vAlign w:val="center"/>
          </w:tcPr>
          <w:p w:rsidR="001E7B45" w:rsidRPr="00056A5C" w:rsidRDefault="001E7B45" w:rsidP="008C1AA9">
            <w:pPr>
              <w:spacing w:after="0" w:line="240" w:lineRule="auto"/>
              <w:jc w:val="center"/>
              <w:rPr>
                <w:rFonts w:eastAsia="Calibri"/>
                <w:color w:val="000000"/>
                <w:lang w:val="en-US" w:eastAsia="en-US"/>
              </w:rPr>
            </w:pPr>
            <w:r w:rsidRPr="00056A5C">
              <w:rPr>
                <w:rFonts w:eastAsia="Calibri"/>
                <w:color w:val="000000"/>
                <w:lang w:val="en-US" w:eastAsia="en-US"/>
              </w:rPr>
              <w:t>99,60</w:t>
            </w:r>
          </w:p>
        </w:tc>
        <w:tc>
          <w:tcPr>
            <w:tcW w:w="480" w:type="pct"/>
            <w:vAlign w:val="center"/>
          </w:tcPr>
          <w:p w:rsidR="001E7B45" w:rsidRPr="00056A5C" w:rsidRDefault="001E7B45" w:rsidP="008C1AA9">
            <w:pPr>
              <w:spacing w:after="0" w:line="240" w:lineRule="auto"/>
              <w:jc w:val="both"/>
              <w:rPr>
                <w:rFonts w:eastAsia="Calibri"/>
                <w:lang w:val="en-US" w:eastAsia="en-US"/>
              </w:rPr>
            </w:pPr>
            <w:r w:rsidRPr="00056A5C">
              <w:rPr>
                <w:rFonts w:eastAsia="Calibri"/>
                <w:lang w:val="en-US" w:eastAsia="en-US"/>
              </w:rPr>
              <w:t>4,81</w:t>
            </w:r>
          </w:p>
        </w:tc>
        <w:tc>
          <w:tcPr>
            <w:tcW w:w="631" w:type="pct"/>
            <w:vAlign w:val="center"/>
          </w:tcPr>
          <w:p w:rsidR="001E7B45" w:rsidRPr="00056A5C" w:rsidRDefault="001E7B45" w:rsidP="008C1AA9">
            <w:pPr>
              <w:spacing w:after="0" w:line="240" w:lineRule="auto"/>
              <w:jc w:val="center"/>
              <w:rPr>
                <w:rFonts w:eastAsia="Calibri"/>
                <w:color w:val="000000"/>
                <w:lang w:val="en-US" w:eastAsia="en-US"/>
              </w:rPr>
            </w:pPr>
            <w:r w:rsidRPr="00056A5C">
              <w:rPr>
                <w:rFonts w:eastAsia="Calibri"/>
                <w:color w:val="000000"/>
                <w:lang w:val="en-US" w:eastAsia="en-US"/>
              </w:rPr>
              <w:t>99,60</w:t>
            </w:r>
          </w:p>
        </w:tc>
        <w:tc>
          <w:tcPr>
            <w:tcW w:w="709" w:type="pct"/>
            <w:vAlign w:val="center"/>
          </w:tcPr>
          <w:p w:rsidR="001E7B45" w:rsidRPr="00056A5C" w:rsidRDefault="001E7B45" w:rsidP="008C1AA9">
            <w:pPr>
              <w:spacing w:after="0" w:line="240" w:lineRule="auto"/>
              <w:jc w:val="center"/>
              <w:rPr>
                <w:rFonts w:eastAsia="Calibri"/>
                <w:color w:val="000000"/>
                <w:lang w:val="en-US" w:eastAsia="en-US"/>
              </w:rPr>
            </w:pPr>
            <w:r w:rsidRPr="00056A5C">
              <w:rPr>
                <w:rFonts w:eastAsia="Calibri"/>
                <w:color w:val="000000"/>
                <w:lang w:val="en-US" w:eastAsia="en-US"/>
              </w:rPr>
              <w:t>0,4/</w:t>
            </w:r>
          </w:p>
          <w:p w:rsidR="001E7B45" w:rsidRPr="00056A5C" w:rsidRDefault="001E7B45" w:rsidP="008C1AA9">
            <w:pPr>
              <w:spacing w:after="0" w:line="240" w:lineRule="auto"/>
              <w:jc w:val="center"/>
              <w:rPr>
                <w:rFonts w:eastAsia="Calibri"/>
                <w:color w:val="000000"/>
                <w:lang w:val="en-US" w:eastAsia="en-US"/>
              </w:rPr>
            </w:pPr>
            <w:r w:rsidRPr="00056A5C">
              <w:rPr>
                <w:rFonts w:eastAsia="Calibri"/>
                <w:color w:val="000000"/>
                <w:lang w:val="en-US" w:eastAsia="en-US"/>
              </w:rPr>
              <w:t>0,4</w:t>
            </w:r>
          </w:p>
        </w:tc>
      </w:tr>
      <w:tr w:rsidR="001E7B45" w:rsidRPr="00056A5C" w:rsidTr="00BD58BF">
        <w:tc>
          <w:tcPr>
            <w:tcW w:w="1510" w:type="pct"/>
            <w:tcBorders>
              <w:top w:val="single" w:sz="4" w:space="0" w:color="auto"/>
              <w:left w:val="single" w:sz="4" w:space="0" w:color="auto"/>
              <w:bottom w:val="single" w:sz="4" w:space="0" w:color="auto"/>
              <w:right w:val="single" w:sz="4" w:space="0" w:color="auto"/>
            </w:tcBorders>
            <w:vAlign w:val="center"/>
          </w:tcPr>
          <w:p w:rsidR="001E7B45" w:rsidRPr="00056A5C" w:rsidRDefault="001E7B45" w:rsidP="008C1AA9">
            <w:pPr>
              <w:spacing w:after="0" w:line="240" w:lineRule="auto"/>
              <w:rPr>
                <w:rFonts w:eastAsia="Calibri"/>
                <w:lang w:eastAsia="en-US"/>
              </w:rPr>
            </w:pPr>
            <w:r w:rsidRPr="00056A5C">
              <w:rPr>
                <w:rFonts w:eastAsia="Calibri"/>
                <w:lang w:eastAsia="en-US"/>
              </w:rPr>
              <w:t xml:space="preserve">8.Федеральное государственное унитарное предприятие «Управление энергетики и водоснабжения» </w:t>
            </w:r>
          </w:p>
        </w:tc>
        <w:tc>
          <w:tcPr>
            <w:tcW w:w="475" w:type="pct"/>
            <w:tcBorders>
              <w:top w:val="single" w:sz="4" w:space="0" w:color="auto"/>
              <w:left w:val="single" w:sz="4" w:space="0" w:color="auto"/>
              <w:bottom w:val="single" w:sz="4" w:space="0" w:color="auto"/>
              <w:right w:val="single" w:sz="4" w:space="0" w:color="auto"/>
            </w:tcBorders>
            <w:vAlign w:val="center"/>
          </w:tcPr>
          <w:p w:rsidR="001E7B45" w:rsidRPr="00056A5C" w:rsidRDefault="001E7B45" w:rsidP="008C1AA9">
            <w:pPr>
              <w:spacing w:after="0" w:line="240" w:lineRule="auto"/>
              <w:jc w:val="both"/>
              <w:rPr>
                <w:rFonts w:eastAsia="Calibri"/>
                <w:lang w:val="en-US" w:eastAsia="en-US"/>
              </w:rPr>
            </w:pPr>
            <w:r w:rsidRPr="00056A5C">
              <w:rPr>
                <w:rFonts w:eastAsia="Calibri"/>
                <w:lang w:val="en-US" w:eastAsia="en-US"/>
              </w:rPr>
              <w:t>9,55</w:t>
            </w:r>
          </w:p>
        </w:tc>
        <w:tc>
          <w:tcPr>
            <w:tcW w:w="477" w:type="pct"/>
            <w:tcBorders>
              <w:top w:val="single" w:sz="4" w:space="0" w:color="auto"/>
              <w:left w:val="single" w:sz="4" w:space="0" w:color="auto"/>
              <w:bottom w:val="single" w:sz="4" w:space="0" w:color="auto"/>
              <w:right w:val="single" w:sz="4" w:space="0" w:color="auto"/>
            </w:tcBorders>
            <w:vAlign w:val="center"/>
          </w:tcPr>
          <w:p w:rsidR="001E7B45" w:rsidRPr="00056A5C" w:rsidRDefault="001E7B45" w:rsidP="008C1AA9">
            <w:pPr>
              <w:spacing w:after="0" w:line="240" w:lineRule="auto"/>
              <w:jc w:val="both"/>
              <w:rPr>
                <w:rFonts w:eastAsia="Calibri"/>
                <w:lang w:val="en-US" w:eastAsia="en-US"/>
              </w:rPr>
            </w:pPr>
            <w:r w:rsidRPr="00056A5C">
              <w:rPr>
                <w:rFonts w:eastAsia="Calibri"/>
                <w:lang w:val="en-US" w:eastAsia="en-US"/>
              </w:rPr>
              <w:t>6,82</w:t>
            </w:r>
          </w:p>
        </w:tc>
        <w:tc>
          <w:tcPr>
            <w:tcW w:w="718" w:type="pct"/>
            <w:tcBorders>
              <w:top w:val="single" w:sz="4" w:space="0" w:color="auto"/>
              <w:left w:val="single" w:sz="4" w:space="0" w:color="auto"/>
              <w:bottom w:val="single" w:sz="4" w:space="0" w:color="auto"/>
              <w:right w:val="single" w:sz="4" w:space="0" w:color="auto"/>
            </w:tcBorders>
            <w:vAlign w:val="center"/>
          </w:tcPr>
          <w:p w:rsidR="001E7B45" w:rsidRPr="00056A5C" w:rsidRDefault="001E7B45" w:rsidP="008C1AA9">
            <w:pPr>
              <w:spacing w:after="0" w:line="240" w:lineRule="auto"/>
              <w:jc w:val="center"/>
              <w:rPr>
                <w:rFonts w:eastAsia="Calibri"/>
                <w:color w:val="000000"/>
                <w:lang w:val="en-US" w:eastAsia="en-US"/>
              </w:rPr>
            </w:pPr>
            <w:r w:rsidRPr="00056A5C">
              <w:rPr>
                <w:rFonts w:eastAsia="Calibri"/>
                <w:color w:val="000000"/>
                <w:lang w:val="en-US" w:eastAsia="en-US"/>
              </w:rPr>
              <w:t>139,22</w:t>
            </w:r>
          </w:p>
        </w:tc>
        <w:tc>
          <w:tcPr>
            <w:tcW w:w="480" w:type="pct"/>
            <w:tcBorders>
              <w:top w:val="single" w:sz="4" w:space="0" w:color="auto"/>
              <w:left w:val="single" w:sz="4" w:space="0" w:color="auto"/>
              <w:bottom w:val="single" w:sz="4" w:space="0" w:color="auto"/>
              <w:right w:val="single" w:sz="4" w:space="0" w:color="auto"/>
            </w:tcBorders>
            <w:vAlign w:val="center"/>
          </w:tcPr>
          <w:p w:rsidR="001E7B45" w:rsidRPr="00056A5C" w:rsidRDefault="001E7B45" w:rsidP="008C1AA9">
            <w:pPr>
              <w:spacing w:after="0" w:line="240" w:lineRule="auto"/>
              <w:jc w:val="both"/>
              <w:rPr>
                <w:rFonts w:eastAsia="Calibri"/>
                <w:lang w:val="en-US" w:eastAsia="en-US"/>
              </w:rPr>
            </w:pPr>
            <w:r w:rsidRPr="00056A5C">
              <w:rPr>
                <w:rFonts w:eastAsia="Calibri"/>
                <w:lang w:val="en-US" w:eastAsia="en-US"/>
              </w:rPr>
              <w:t>7,78</w:t>
            </w:r>
          </w:p>
        </w:tc>
        <w:tc>
          <w:tcPr>
            <w:tcW w:w="631" w:type="pct"/>
            <w:tcBorders>
              <w:top w:val="single" w:sz="4" w:space="0" w:color="auto"/>
              <w:left w:val="single" w:sz="4" w:space="0" w:color="auto"/>
              <w:bottom w:val="single" w:sz="4" w:space="0" w:color="auto"/>
              <w:right w:val="single" w:sz="4" w:space="0" w:color="auto"/>
            </w:tcBorders>
            <w:vAlign w:val="center"/>
          </w:tcPr>
          <w:p w:rsidR="001E7B45" w:rsidRPr="00056A5C" w:rsidRDefault="001E7B45" w:rsidP="008C1AA9">
            <w:pPr>
              <w:spacing w:after="0" w:line="240" w:lineRule="auto"/>
              <w:jc w:val="center"/>
              <w:rPr>
                <w:rFonts w:eastAsia="Calibri"/>
                <w:color w:val="000000"/>
                <w:lang w:val="en-US" w:eastAsia="en-US"/>
              </w:rPr>
            </w:pPr>
            <w:r w:rsidRPr="00056A5C">
              <w:rPr>
                <w:rFonts w:eastAsia="Calibri"/>
                <w:color w:val="000000"/>
                <w:lang w:val="en-US" w:eastAsia="en-US"/>
              </w:rPr>
              <w:t>87,27</w:t>
            </w:r>
          </w:p>
        </w:tc>
        <w:tc>
          <w:tcPr>
            <w:tcW w:w="709" w:type="pct"/>
            <w:tcBorders>
              <w:top w:val="single" w:sz="4" w:space="0" w:color="auto"/>
              <w:left w:val="single" w:sz="4" w:space="0" w:color="auto"/>
              <w:bottom w:val="single" w:sz="4" w:space="0" w:color="auto"/>
              <w:right w:val="single" w:sz="4" w:space="0" w:color="auto"/>
            </w:tcBorders>
            <w:vAlign w:val="center"/>
          </w:tcPr>
          <w:p w:rsidR="001E7B45" w:rsidRPr="00056A5C" w:rsidRDefault="001E7B45" w:rsidP="008C1AA9">
            <w:pPr>
              <w:spacing w:after="0" w:line="240" w:lineRule="auto"/>
              <w:jc w:val="center"/>
              <w:rPr>
                <w:rFonts w:eastAsia="Calibri"/>
                <w:color w:val="000000"/>
                <w:lang w:val="en-US" w:eastAsia="en-US"/>
              </w:rPr>
            </w:pPr>
            <w:r w:rsidRPr="00056A5C">
              <w:rPr>
                <w:rFonts w:eastAsia="Calibri"/>
                <w:color w:val="000000"/>
                <w:lang w:val="en-US" w:eastAsia="en-US"/>
              </w:rPr>
              <w:t>0,5/</w:t>
            </w:r>
          </w:p>
          <w:p w:rsidR="001E7B45" w:rsidRPr="00056A5C" w:rsidRDefault="001E7B45" w:rsidP="008C1AA9">
            <w:pPr>
              <w:spacing w:after="0" w:line="240" w:lineRule="auto"/>
              <w:jc w:val="center"/>
              <w:rPr>
                <w:rFonts w:eastAsia="Calibri"/>
                <w:color w:val="000000"/>
                <w:lang w:val="en-US" w:eastAsia="en-US"/>
              </w:rPr>
            </w:pPr>
            <w:r w:rsidRPr="00056A5C">
              <w:rPr>
                <w:rFonts w:eastAsia="Calibri"/>
                <w:color w:val="000000"/>
                <w:lang w:val="en-US" w:eastAsia="en-US"/>
              </w:rPr>
              <w:t>0,5</w:t>
            </w:r>
          </w:p>
        </w:tc>
      </w:tr>
      <w:tr w:rsidR="001E7B45" w:rsidRPr="00056A5C" w:rsidTr="00BD58BF">
        <w:tc>
          <w:tcPr>
            <w:tcW w:w="1510" w:type="pct"/>
            <w:tcBorders>
              <w:top w:val="single" w:sz="4" w:space="0" w:color="auto"/>
              <w:left w:val="single" w:sz="4" w:space="0" w:color="auto"/>
              <w:bottom w:val="single" w:sz="4" w:space="0" w:color="auto"/>
              <w:right w:val="single" w:sz="4" w:space="0" w:color="auto"/>
            </w:tcBorders>
            <w:vAlign w:val="center"/>
          </w:tcPr>
          <w:p w:rsidR="001E7B45" w:rsidRPr="00056A5C" w:rsidRDefault="001E7B45" w:rsidP="008C1AA9">
            <w:pPr>
              <w:spacing w:after="0" w:line="240" w:lineRule="auto"/>
              <w:rPr>
                <w:rFonts w:eastAsia="Calibri"/>
                <w:lang w:eastAsia="en-US"/>
              </w:rPr>
            </w:pPr>
            <w:r w:rsidRPr="00056A5C">
              <w:rPr>
                <w:rFonts w:eastAsia="Calibri"/>
                <w:lang w:eastAsia="en-US"/>
              </w:rPr>
              <w:t xml:space="preserve">9.Акционерное общество «Новосибирский завод искусственного волокна» </w:t>
            </w:r>
          </w:p>
        </w:tc>
        <w:tc>
          <w:tcPr>
            <w:tcW w:w="475" w:type="pct"/>
            <w:tcBorders>
              <w:top w:val="single" w:sz="4" w:space="0" w:color="auto"/>
              <w:left w:val="single" w:sz="4" w:space="0" w:color="auto"/>
              <w:bottom w:val="single" w:sz="4" w:space="0" w:color="auto"/>
              <w:right w:val="single" w:sz="4" w:space="0" w:color="auto"/>
            </w:tcBorders>
            <w:vAlign w:val="center"/>
          </w:tcPr>
          <w:p w:rsidR="001E7B45" w:rsidRPr="00056A5C" w:rsidRDefault="001E7B45" w:rsidP="008C1AA9">
            <w:pPr>
              <w:spacing w:after="0" w:line="240" w:lineRule="auto"/>
              <w:jc w:val="both"/>
              <w:rPr>
                <w:rFonts w:eastAsia="Calibri"/>
                <w:lang w:val="en-US" w:eastAsia="en-US"/>
              </w:rPr>
            </w:pPr>
            <w:r w:rsidRPr="00056A5C">
              <w:rPr>
                <w:rFonts w:eastAsia="Calibri"/>
                <w:lang w:val="en-US" w:eastAsia="en-US"/>
              </w:rPr>
              <w:t>4,67</w:t>
            </w:r>
          </w:p>
        </w:tc>
        <w:tc>
          <w:tcPr>
            <w:tcW w:w="477" w:type="pct"/>
            <w:tcBorders>
              <w:top w:val="single" w:sz="4" w:space="0" w:color="auto"/>
              <w:left w:val="single" w:sz="4" w:space="0" w:color="auto"/>
              <w:bottom w:val="single" w:sz="4" w:space="0" w:color="auto"/>
              <w:right w:val="single" w:sz="4" w:space="0" w:color="auto"/>
            </w:tcBorders>
            <w:vAlign w:val="center"/>
          </w:tcPr>
          <w:p w:rsidR="001E7B45" w:rsidRPr="00056A5C" w:rsidRDefault="001E7B45" w:rsidP="008C1AA9">
            <w:pPr>
              <w:spacing w:after="0" w:line="240" w:lineRule="auto"/>
              <w:jc w:val="both"/>
              <w:rPr>
                <w:rFonts w:eastAsia="Calibri"/>
                <w:lang w:val="en-US" w:eastAsia="en-US"/>
              </w:rPr>
            </w:pPr>
            <w:r w:rsidRPr="00056A5C">
              <w:rPr>
                <w:rFonts w:eastAsia="Calibri"/>
                <w:lang w:val="en-US" w:eastAsia="en-US"/>
              </w:rPr>
              <w:t>4,79</w:t>
            </w:r>
          </w:p>
        </w:tc>
        <w:tc>
          <w:tcPr>
            <w:tcW w:w="718" w:type="pct"/>
            <w:tcBorders>
              <w:top w:val="single" w:sz="4" w:space="0" w:color="auto"/>
              <w:left w:val="single" w:sz="4" w:space="0" w:color="auto"/>
              <w:bottom w:val="single" w:sz="4" w:space="0" w:color="auto"/>
              <w:right w:val="single" w:sz="4" w:space="0" w:color="auto"/>
            </w:tcBorders>
            <w:vAlign w:val="center"/>
          </w:tcPr>
          <w:p w:rsidR="001E7B45" w:rsidRPr="00056A5C" w:rsidRDefault="001E7B45" w:rsidP="008C1AA9">
            <w:pPr>
              <w:spacing w:after="0" w:line="240" w:lineRule="auto"/>
              <w:jc w:val="center"/>
              <w:rPr>
                <w:rFonts w:eastAsia="Calibri"/>
                <w:color w:val="000000"/>
                <w:lang w:val="en-US" w:eastAsia="en-US"/>
              </w:rPr>
            </w:pPr>
            <w:r w:rsidRPr="00056A5C">
              <w:rPr>
                <w:rFonts w:eastAsia="Calibri"/>
                <w:color w:val="000000"/>
                <w:lang w:val="en-US" w:eastAsia="en-US"/>
              </w:rPr>
              <w:t>97,12</w:t>
            </w:r>
          </w:p>
        </w:tc>
        <w:tc>
          <w:tcPr>
            <w:tcW w:w="480" w:type="pct"/>
            <w:tcBorders>
              <w:top w:val="single" w:sz="4" w:space="0" w:color="auto"/>
              <w:left w:val="single" w:sz="4" w:space="0" w:color="auto"/>
              <w:bottom w:val="single" w:sz="4" w:space="0" w:color="auto"/>
              <w:right w:val="single" w:sz="4" w:space="0" w:color="auto"/>
            </w:tcBorders>
            <w:vAlign w:val="center"/>
          </w:tcPr>
          <w:p w:rsidR="001E7B45" w:rsidRPr="00056A5C" w:rsidRDefault="001E7B45" w:rsidP="008C1AA9">
            <w:pPr>
              <w:spacing w:after="0" w:line="240" w:lineRule="auto"/>
              <w:jc w:val="both"/>
              <w:rPr>
                <w:rFonts w:eastAsia="Calibri"/>
                <w:lang w:val="en-US" w:eastAsia="en-US"/>
              </w:rPr>
            </w:pPr>
            <w:r w:rsidRPr="00056A5C">
              <w:rPr>
                <w:rFonts w:eastAsia="Calibri"/>
                <w:lang w:val="en-US" w:eastAsia="en-US"/>
              </w:rPr>
              <w:t>4,72</w:t>
            </w:r>
          </w:p>
        </w:tc>
        <w:tc>
          <w:tcPr>
            <w:tcW w:w="631" w:type="pct"/>
            <w:tcBorders>
              <w:top w:val="single" w:sz="4" w:space="0" w:color="auto"/>
              <w:left w:val="single" w:sz="4" w:space="0" w:color="auto"/>
              <w:bottom w:val="single" w:sz="4" w:space="0" w:color="auto"/>
              <w:right w:val="single" w:sz="4" w:space="0" w:color="auto"/>
            </w:tcBorders>
            <w:vAlign w:val="center"/>
          </w:tcPr>
          <w:p w:rsidR="001E7B45" w:rsidRPr="00056A5C" w:rsidRDefault="001E7B45" w:rsidP="008C1AA9">
            <w:pPr>
              <w:spacing w:after="0" w:line="240" w:lineRule="auto"/>
              <w:jc w:val="center"/>
              <w:rPr>
                <w:rFonts w:eastAsia="Calibri"/>
                <w:color w:val="000000"/>
                <w:lang w:val="en-US" w:eastAsia="en-US"/>
              </w:rPr>
            </w:pPr>
            <w:r w:rsidRPr="00056A5C">
              <w:rPr>
                <w:rFonts w:eastAsia="Calibri"/>
                <w:color w:val="000000"/>
                <w:lang w:val="en-US" w:eastAsia="en-US"/>
              </w:rPr>
              <w:t>100,98</w:t>
            </w:r>
          </w:p>
        </w:tc>
        <w:tc>
          <w:tcPr>
            <w:tcW w:w="709" w:type="pct"/>
            <w:tcBorders>
              <w:top w:val="single" w:sz="4" w:space="0" w:color="auto"/>
              <w:left w:val="single" w:sz="4" w:space="0" w:color="auto"/>
              <w:bottom w:val="single" w:sz="4" w:space="0" w:color="auto"/>
              <w:right w:val="single" w:sz="4" w:space="0" w:color="auto"/>
            </w:tcBorders>
            <w:vAlign w:val="center"/>
          </w:tcPr>
          <w:p w:rsidR="001E7B45" w:rsidRPr="00056A5C" w:rsidRDefault="001E7B45" w:rsidP="008C1AA9">
            <w:pPr>
              <w:spacing w:after="0" w:line="240" w:lineRule="auto"/>
              <w:jc w:val="center"/>
              <w:rPr>
                <w:rFonts w:eastAsia="Calibri"/>
                <w:color w:val="000000"/>
                <w:lang w:val="en-US" w:eastAsia="en-US"/>
              </w:rPr>
            </w:pPr>
            <w:r w:rsidRPr="00056A5C">
              <w:rPr>
                <w:rFonts w:eastAsia="Calibri"/>
                <w:color w:val="000000"/>
                <w:lang w:val="en-US" w:eastAsia="en-US"/>
              </w:rPr>
              <w:t>0,57/</w:t>
            </w:r>
          </w:p>
          <w:p w:rsidR="001E7B45" w:rsidRPr="00056A5C" w:rsidRDefault="001E7B45" w:rsidP="008C1AA9">
            <w:pPr>
              <w:spacing w:after="0" w:line="240" w:lineRule="auto"/>
              <w:jc w:val="center"/>
              <w:rPr>
                <w:rFonts w:eastAsia="Calibri"/>
                <w:color w:val="000000"/>
                <w:lang w:val="en-US" w:eastAsia="en-US"/>
              </w:rPr>
            </w:pPr>
            <w:r w:rsidRPr="00056A5C">
              <w:rPr>
                <w:rFonts w:eastAsia="Calibri"/>
                <w:color w:val="000000"/>
                <w:lang w:val="en-US" w:eastAsia="en-US"/>
              </w:rPr>
              <w:t>0,5</w:t>
            </w:r>
          </w:p>
          <w:p w:rsidR="001E7B45" w:rsidRPr="00056A5C" w:rsidRDefault="001E7B45" w:rsidP="008C1AA9">
            <w:pPr>
              <w:spacing w:after="0" w:line="240" w:lineRule="auto"/>
              <w:jc w:val="center"/>
              <w:rPr>
                <w:rFonts w:eastAsia="Calibri"/>
                <w:color w:val="000000"/>
                <w:lang w:val="en-US" w:eastAsia="en-US"/>
              </w:rPr>
            </w:pPr>
          </w:p>
        </w:tc>
      </w:tr>
      <w:tr w:rsidR="001E7B45" w:rsidRPr="00056A5C" w:rsidTr="00BD58BF">
        <w:tc>
          <w:tcPr>
            <w:tcW w:w="1510" w:type="pct"/>
            <w:tcBorders>
              <w:top w:val="single" w:sz="4" w:space="0" w:color="auto"/>
              <w:left w:val="single" w:sz="4" w:space="0" w:color="auto"/>
              <w:bottom w:val="single" w:sz="4" w:space="0" w:color="auto"/>
              <w:right w:val="single" w:sz="4" w:space="0" w:color="auto"/>
            </w:tcBorders>
            <w:vAlign w:val="center"/>
          </w:tcPr>
          <w:p w:rsidR="001E7B45" w:rsidRPr="00056A5C" w:rsidRDefault="001E7B45" w:rsidP="008C1AA9">
            <w:pPr>
              <w:spacing w:after="0" w:line="240" w:lineRule="auto"/>
              <w:rPr>
                <w:rFonts w:eastAsia="Calibri"/>
                <w:lang w:eastAsia="en-US"/>
              </w:rPr>
            </w:pPr>
            <w:r w:rsidRPr="00056A5C">
              <w:rPr>
                <w:rFonts w:eastAsia="Calibri"/>
                <w:lang w:eastAsia="en-US"/>
              </w:rPr>
              <w:t xml:space="preserve">10.Общество с ограниченной </w:t>
            </w:r>
            <w:r w:rsidRPr="00056A5C">
              <w:rPr>
                <w:rFonts w:eastAsia="Calibri"/>
                <w:lang w:eastAsia="en-US"/>
              </w:rPr>
              <w:lastRenderedPageBreak/>
              <w:t xml:space="preserve">ответственностью «Промстройэнерго» </w:t>
            </w:r>
          </w:p>
        </w:tc>
        <w:tc>
          <w:tcPr>
            <w:tcW w:w="475" w:type="pct"/>
            <w:tcBorders>
              <w:top w:val="single" w:sz="4" w:space="0" w:color="auto"/>
              <w:left w:val="single" w:sz="4" w:space="0" w:color="auto"/>
              <w:bottom w:val="single" w:sz="4" w:space="0" w:color="auto"/>
              <w:right w:val="single" w:sz="4" w:space="0" w:color="auto"/>
            </w:tcBorders>
            <w:vAlign w:val="center"/>
          </w:tcPr>
          <w:p w:rsidR="001E7B45" w:rsidRPr="00056A5C" w:rsidRDefault="001E7B45" w:rsidP="008C1AA9">
            <w:pPr>
              <w:spacing w:after="0" w:line="240" w:lineRule="auto"/>
              <w:jc w:val="both"/>
              <w:rPr>
                <w:rFonts w:eastAsia="Calibri"/>
                <w:lang w:val="en-US" w:eastAsia="en-US"/>
              </w:rPr>
            </w:pPr>
            <w:r w:rsidRPr="00056A5C">
              <w:rPr>
                <w:rFonts w:eastAsia="Calibri"/>
                <w:lang w:val="en-US" w:eastAsia="en-US"/>
              </w:rPr>
              <w:lastRenderedPageBreak/>
              <w:t>2,90</w:t>
            </w:r>
          </w:p>
        </w:tc>
        <w:tc>
          <w:tcPr>
            <w:tcW w:w="477" w:type="pct"/>
            <w:tcBorders>
              <w:top w:val="single" w:sz="4" w:space="0" w:color="auto"/>
              <w:left w:val="single" w:sz="4" w:space="0" w:color="auto"/>
              <w:bottom w:val="single" w:sz="4" w:space="0" w:color="auto"/>
              <w:right w:val="single" w:sz="4" w:space="0" w:color="auto"/>
            </w:tcBorders>
            <w:vAlign w:val="center"/>
          </w:tcPr>
          <w:p w:rsidR="001E7B45" w:rsidRPr="00056A5C" w:rsidRDefault="001E7B45" w:rsidP="008C1AA9">
            <w:pPr>
              <w:spacing w:after="0" w:line="240" w:lineRule="auto"/>
              <w:jc w:val="both"/>
              <w:rPr>
                <w:rFonts w:eastAsia="Calibri"/>
                <w:lang w:val="en-US" w:eastAsia="en-US"/>
              </w:rPr>
            </w:pPr>
            <w:r w:rsidRPr="00056A5C">
              <w:rPr>
                <w:rFonts w:eastAsia="Calibri"/>
                <w:lang w:val="en-US" w:eastAsia="en-US"/>
              </w:rPr>
              <w:t>2,90</w:t>
            </w:r>
          </w:p>
        </w:tc>
        <w:tc>
          <w:tcPr>
            <w:tcW w:w="718" w:type="pct"/>
            <w:tcBorders>
              <w:top w:val="single" w:sz="4" w:space="0" w:color="auto"/>
              <w:left w:val="single" w:sz="4" w:space="0" w:color="auto"/>
              <w:bottom w:val="single" w:sz="4" w:space="0" w:color="auto"/>
              <w:right w:val="single" w:sz="4" w:space="0" w:color="auto"/>
            </w:tcBorders>
            <w:vAlign w:val="center"/>
          </w:tcPr>
          <w:p w:rsidR="001E7B45" w:rsidRPr="00056A5C" w:rsidRDefault="001E7B45" w:rsidP="008C1AA9">
            <w:pPr>
              <w:spacing w:after="0" w:line="240" w:lineRule="auto"/>
              <w:jc w:val="center"/>
              <w:rPr>
                <w:rFonts w:eastAsia="Calibri"/>
                <w:color w:val="000000"/>
                <w:lang w:val="en-US" w:eastAsia="en-US"/>
              </w:rPr>
            </w:pPr>
            <w:r w:rsidRPr="00056A5C">
              <w:rPr>
                <w:rFonts w:eastAsia="Calibri"/>
                <w:color w:val="000000"/>
                <w:lang w:val="en-US" w:eastAsia="en-US"/>
              </w:rPr>
              <w:t>99,43</w:t>
            </w:r>
          </w:p>
        </w:tc>
        <w:tc>
          <w:tcPr>
            <w:tcW w:w="480" w:type="pct"/>
            <w:tcBorders>
              <w:top w:val="single" w:sz="4" w:space="0" w:color="auto"/>
              <w:left w:val="single" w:sz="4" w:space="0" w:color="auto"/>
              <w:bottom w:val="single" w:sz="4" w:space="0" w:color="auto"/>
              <w:right w:val="single" w:sz="4" w:space="0" w:color="auto"/>
            </w:tcBorders>
            <w:vAlign w:val="center"/>
          </w:tcPr>
          <w:p w:rsidR="001E7B45" w:rsidRPr="00056A5C" w:rsidRDefault="001E7B45" w:rsidP="008C1AA9">
            <w:pPr>
              <w:spacing w:after="0" w:line="240" w:lineRule="auto"/>
              <w:jc w:val="both"/>
              <w:rPr>
                <w:rFonts w:eastAsia="Calibri"/>
                <w:lang w:val="en-US" w:eastAsia="en-US"/>
              </w:rPr>
            </w:pPr>
            <w:r w:rsidRPr="00056A5C">
              <w:rPr>
                <w:rFonts w:eastAsia="Calibri"/>
                <w:lang w:val="en-US" w:eastAsia="en-US"/>
              </w:rPr>
              <w:t>2,95</w:t>
            </w:r>
          </w:p>
        </w:tc>
        <w:tc>
          <w:tcPr>
            <w:tcW w:w="631" w:type="pct"/>
            <w:tcBorders>
              <w:top w:val="single" w:sz="4" w:space="0" w:color="auto"/>
              <w:left w:val="single" w:sz="4" w:space="0" w:color="auto"/>
              <w:bottom w:val="single" w:sz="4" w:space="0" w:color="auto"/>
              <w:right w:val="single" w:sz="4" w:space="0" w:color="auto"/>
            </w:tcBorders>
            <w:vAlign w:val="center"/>
          </w:tcPr>
          <w:p w:rsidR="001E7B45" w:rsidRPr="00056A5C" w:rsidRDefault="001E7B45" w:rsidP="008C1AA9">
            <w:pPr>
              <w:spacing w:after="0" w:line="240" w:lineRule="auto"/>
              <w:jc w:val="center"/>
              <w:rPr>
                <w:rFonts w:eastAsia="Calibri"/>
                <w:color w:val="000000"/>
                <w:lang w:val="en-US" w:eastAsia="en-US"/>
              </w:rPr>
            </w:pPr>
            <w:r w:rsidRPr="00056A5C">
              <w:rPr>
                <w:rFonts w:eastAsia="Calibri"/>
                <w:color w:val="000000"/>
                <w:lang w:val="en-US" w:eastAsia="en-US"/>
              </w:rPr>
              <w:t>97,97</w:t>
            </w:r>
          </w:p>
        </w:tc>
        <w:tc>
          <w:tcPr>
            <w:tcW w:w="709" w:type="pct"/>
            <w:tcBorders>
              <w:top w:val="single" w:sz="4" w:space="0" w:color="auto"/>
              <w:left w:val="single" w:sz="4" w:space="0" w:color="auto"/>
              <w:bottom w:val="single" w:sz="4" w:space="0" w:color="auto"/>
              <w:right w:val="single" w:sz="4" w:space="0" w:color="auto"/>
            </w:tcBorders>
            <w:vAlign w:val="center"/>
          </w:tcPr>
          <w:p w:rsidR="001E7B45" w:rsidRPr="00056A5C" w:rsidRDefault="001E7B45" w:rsidP="008C1AA9">
            <w:pPr>
              <w:spacing w:after="0" w:line="240" w:lineRule="auto"/>
              <w:jc w:val="center"/>
              <w:rPr>
                <w:rFonts w:eastAsia="Calibri"/>
                <w:color w:val="000000"/>
                <w:lang w:val="en-US" w:eastAsia="en-US"/>
              </w:rPr>
            </w:pPr>
            <w:r w:rsidRPr="00056A5C">
              <w:rPr>
                <w:rFonts w:eastAsia="Calibri"/>
                <w:color w:val="000000"/>
                <w:lang w:val="en-US" w:eastAsia="en-US"/>
              </w:rPr>
              <w:t>0,5/</w:t>
            </w:r>
          </w:p>
          <w:p w:rsidR="001E7B45" w:rsidRPr="00056A5C" w:rsidRDefault="001E7B45" w:rsidP="008C1AA9">
            <w:pPr>
              <w:spacing w:after="0" w:line="240" w:lineRule="auto"/>
              <w:jc w:val="center"/>
              <w:rPr>
                <w:rFonts w:eastAsia="Calibri"/>
                <w:color w:val="000000"/>
                <w:lang w:val="en-US" w:eastAsia="en-US"/>
              </w:rPr>
            </w:pPr>
            <w:r w:rsidRPr="00056A5C">
              <w:rPr>
                <w:rFonts w:eastAsia="Calibri"/>
                <w:color w:val="000000"/>
                <w:lang w:val="en-US" w:eastAsia="en-US"/>
              </w:rPr>
              <w:t>0,5</w:t>
            </w:r>
          </w:p>
        </w:tc>
      </w:tr>
      <w:tr w:rsidR="001E7B45" w:rsidRPr="00056A5C" w:rsidTr="00BD58BF">
        <w:tc>
          <w:tcPr>
            <w:tcW w:w="1510" w:type="pct"/>
            <w:tcBorders>
              <w:top w:val="single" w:sz="4" w:space="0" w:color="auto"/>
              <w:left w:val="single" w:sz="4" w:space="0" w:color="auto"/>
              <w:bottom w:val="single" w:sz="4" w:space="0" w:color="auto"/>
              <w:right w:val="single" w:sz="4" w:space="0" w:color="auto"/>
            </w:tcBorders>
            <w:vAlign w:val="center"/>
          </w:tcPr>
          <w:p w:rsidR="001E7B45" w:rsidRPr="00056A5C" w:rsidRDefault="001E7B45" w:rsidP="008C1AA9">
            <w:pPr>
              <w:spacing w:after="0" w:line="240" w:lineRule="auto"/>
              <w:rPr>
                <w:rFonts w:eastAsia="Calibri"/>
                <w:lang w:eastAsia="en-US"/>
              </w:rPr>
            </w:pPr>
            <w:r w:rsidRPr="00056A5C">
              <w:rPr>
                <w:rFonts w:eastAsia="Calibri"/>
                <w:lang w:eastAsia="en-US"/>
              </w:rPr>
              <w:lastRenderedPageBreak/>
              <w:t xml:space="preserve">11.Общество с ограниченной ответственностью «Энергоресурс» </w:t>
            </w:r>
          </w:p>
        </w:tc>
        <w:tc>
          <w:tcPr>
            <w:tcW w:w="475" w:type="pct"/>
            <w:tcBorders>
              <w:top w:val="single" w:sz="4" w:space="0" w:color="auto"/>
              <w:left w:val="single" w:sz="4" w:space="0" w:color="auto"/>
              <w:bottom w:val="single" w:sz="4" w:space="0" w:color="auto"/>
              <w:right w:val="single" w:sz="4" w:space="0" w:color="auto"/>
            </w:tcBorders>
            <w:vAlign w:val="center"/>
          </w:tcPr>
          <w:p w:rsidR="001E7B45" w:rsidRPr="00056A5C" w:rsidRDefault="001E7B45" w:rsidP="008C1AA9">
            <w:pPr>
              <w:spacing w:after="0" w:line="240" w:lineRule="auto"/>
              <w:jc w:val="both"/>
              <w:rPr>
                <w:rFonts w:eastAsia="Calibri"/>
                <w:lang w:val="en-US" w:eastAsia="en-US"/>
              </w:rPr>
            </w:pPr>
            <w:r w:rsidRPr="00056A5C">
              <w:rPr>
                <w:rFonts w:eastAsia="Calibri"/>
                <w:lang w:val="en-US" w:eastAsia="en-US"/>
              </w:rPr>
              <w:t>5,19</w:t>
            </w:r>
          </w:p>
        </w:tc>
        <w:tc>
          <w:tcPr>
            <w:tcW w:w="477" w:type="pct"/>
            <w:tcBorders>
              <w:top w:val="single" w:sz="4" w:space="0" w:color="auto"/>
              <w:left w:val="single" w:sz="4" w:space="0" w:color="auto"/>
              <w:bottom w:val="single" w:sz="4" w:space="0" w:color="auto"/>
              <w:right w:val="single" w:sz="4" w:space="0" w:color="auto"/>
            </w:tcBorders>
            <w:vAlign w:val="center"/>
          </w:tcPr>
          <w:p w:rsidR="001E7B45" w:rsidRPr="00056A5C" w:rsidRDefault="001E7B45" w:rsidP="008C1AA9">
            <w:pPr>
              <w:spacing w:after="0" w:line="240" w:lineRule="auto"/>
              <w:jc w:val="both"/>
              <w:rPr>
                <w:rFonts w:eastAsia="Calibri"/>
                <w:lang w:val="en-US" w:eastAsia="en-US"/>
              </w:rPr>
            </w:pPr>
            <w:r w:rsidRPr="00056A5C">
              <w:rPr>
                <w:rFonts w:eastAsia="Calibri"/>
                <w:lang w:val="en-US" w:eastAsia="en-US"/>
              </w:rPr>
              <w:t>4,25</w:t>
            </w:r>
          </w:p>
        </w:tc>
        <w:tc>
          <w:tcPr>
            <w:tcW w:w="718" w:type="pct"/>
            <w:tcBorders>
              <w:top w:val="single" w:sz="4" w:space="0" w:color="auto"/>
              <w:left w:val="single" w:sz="4" w:space="0" w:color="auto"/>
              <w:bottom w:val="single" w:sz="4" w:space="0" w:color="auto"/>
              <w:right w:val="single" w:sz="4" w:space="0" w:color="auto"/>
            </w:tcBorders>
            <w:vAlign w:val="center"/>
          </w:tcPr>
          <w:p w:rsidR="001E7B45" w:rsidRPr="00056A5C" w:rsidRDefault="001E7B45" w:rsidP="008C1AA9">
            <w:pPr>
              <w:spacing w:after="0" w:line="240" w:lineRule="auto"/>
              <w:jc w:val="center"/>
              <w:rPr>
                <w:rFonts w:eastAsia="Calibri"/>
                <w:color w:val="000000"/>
                <w:lang w:val="en-US" w:eastAsia="en-US"/>
              </w:rPr>
            </w:pPr>
            <w:r w:rsidRPr="00056A5C">
              <w:rPr>
                <w:rFonts w:eastAsia="Calibri"/>
                <w:color w:val="000000"/>
                <w:lang w:val="en-US" w:eastAsia="en-US"/>
              </w:rPr>
              <w:t>121,44</w:t>
            </w:r>
          </w:p>
        </w:tc>
        <w:tc>
          <w:tcPr>
            <w:tcW w:w="480" w:type="pct"/>
            <w:tcBorders>
              <w:top w:val="single" w:sz="4" w:space="0" w:color="auto"/>
              <w:left w:val="single" w:sz="4" w:space="0" w:color="auto"/>
              <w:bottom w:val="single" w:sz="4" w:space="0" w:color="auto"/>
              <w:right w:val="single" w:sz="4" w:space="0" w:color="auto"/>
            </w:tcBorders>
            <w:vAlign w:val="center"/>
          </w:tcPr>
          <w:p w:rsidR="001E7B45" w:rsidRPr="00056A5C" w:rsidRDefault="001E7B45" w:rsidP="008C1AA9">
            <w:pPr>
              <w:spacing w:after="0" w:line="240" w:lineRule="auto"/>
              <w:jc w:val="both"/>
              <w:rPr>
                <w:rFonts w:eastAsia="Calibri"/>
                <w:lang w:val="en-US" w:eastAsia="en-US"/>
              </w:rPr>
            </w:pPr>
            <w:r w:rsidRPr="00056A5C">
              <w:rPr>
                <w:rFonts w:eastAsia="Calibri"/>
                <w:lang w:val="en-US" w:eastAsia="en-US"/>
              </w:rPr>
              <w:t>5,36</w:t>
            </w:r>
          </w:p>
        </w:tc>
        <w:tc>
          <w:tcPr>
            <w:tcW w:w="631" w:type="pct"/>
            <w:tcBorders>
              <w:top w:val="single" w:sz="4" w:space="0" w:color="auto"/>
              <w:left w:val="single" w:sz="4" w:space="0" w:color="auto"/>
              <w:bottom w:val="single" w:sz="4" w:space="0" w:color="auto"/>
              <w:right w:val="single" w:sz="4" w:space="0" w:color="auto"/>
            </w:tcBorders>
            <w:vAlign w:val="center"/>
          </w:tcPr>
          <w:p w:rsidR="001E7B45" w:rsidRPr="00056A5C" w:rsidRDefault="001E7B45" w:rsidP="008C1AA9">
            <w:pPr>
              <w:spacing w:after="0" w:line="240" w:lineRule="auto"/>
              <w:jc w:val="center"/>
              <w:rPr>
                <w:rFonts w:eastAsia="Calibri"/>
                <w:color w:val="000000"/>
                <w:lang w:val="en-US" w:eastAsia="en-US"/>
              </w:rPr>
            </w:pPr>
            <w:r w:rsidRPr="00056A5C">
              <w:rPr>
                <w:rFonts w:eastAsia="Calibri"/>
                <w:color w:val="000000"/>
                <w:lang w:val="en-US" w:eastAsia="en-US"/>
              </w:rPr>
              <w:t>78,89</w:t>
            </w:r>
          </w:p>
        </w:tc>
        <w:tc>
          <w:tcPr>
            <w:tcW w:w="709" w:type="pct"/>
            <w:tcBorders>
              <w:top w:val="single" w:sz="4" w:space="0" w:color="auto"/>
              <w:left w:val="single" w:sz="4" w:space="0" w:color="auto"/>
              <w:bottom w:val="single" w:sz="4" w:space="0" w:color="auto"/>
              <w:right w:val="single" w:sz="4" w:space="0" w:color="auto"/>
            </w:tcBorders>
            <w:vAlign w:val="center"/>
          </w:tcPr>
          <w:p w:rsidR="001E7B45" w:rsidRPr="00056A5C" w:rsidRDefault="001E7B45" w:rsidP="008C1AA9">
            <w:pPr>
              <w:spacing w:after="0" w:line="240" w:lineRule="auto"/>
              <w:jc w:val="center"/>
              <w:rPr>
                <w:rFonts w:eastAsia="Calibri"/>
                <w:color w:val="000000"/>
                <w:lang w:val="en-US" w:eastAsia="en-US"/>
              </w:rPr>
            </w:pPr>
            <w:r w:rsidRPr="00056A5C">
              <w:rPr>
                <w:rFonts w:eastAsia="Calibri"/>
                <w:color w:val="000000"/>
                <w:lang w:val="en-US" w:eastAsia="en-US"/>
              </w:rPr>
              <w:t>0,5/</w:t>
            </w:r>
          </w:p>
          <w:p w:rsidR="001E7B45" w:rsidRPr="00056A5C" w:rsidRDefault="001E7B45" w:rsidP="008C1AA9">
            <w:pPr>
              <w:spacing w:after="0" w:line="240" w:lineRule="auto"/>
              <w:jc w:val="center"/>
              <w:rPr>
                <w:rFonts w:eastAsia="Calibri"/>
                <w:color w:val="000000"/>
                <w:lang w:val="en-US" w:eastAsia="en-US"/>
              </w:rPr>
            </w:pPr>
            <w:r w:rsidRPr="00056A5C">
              <w:rPr>
                <w:rFonts w:eastAsia="Calibri"/>
                <w:color w:val="000000"/>
                <w:lang w:val="en-US" w:eastAsia="en-US"/>
              </w:rPr>
              <w:t>0,5</w:t>
            </w:r>
          </w:p>
        </w:tc>
      </w:tr>
      <w:tr w:rsidR="001E7B45" w:rsidRPr="00056A5C" w:rsidTr="00BD58BF">
        <w:tc>
          <w:tcPr>
            <w:tcW w:w="1510" w:type="pct"/>
            <w:tcBorders>
              <w:top w:val="single" w:sz="4" w:space="0" w:color="auto"/>
              <w:left w:val="single" w:sz="4" w:space="0" w:color="auto"/>
              <w:bottom w:val="single" w:sz="4" w:space="0" w:color="auto"/>
              <w:right w:val="single" w:sz="4" w:space="0" w:color="auto"/>
            </w:tcBorders>
            <w:vAlign w:val="center"/>
          </w:tcPr>
          <w:p w:rsidR="001E7B45" w:rsidRPr="00056A5C" w:rsidRDefault="001E7B45" w:rsidP="008C1AA9">
            <w:pPr>
              <w:spacing w:after="0" w:line="240" w:lineRule="auto"/>
              <w:rPr>
                <w:rFonts w:eastAsia="Calibri"/>
                <w:lang w:eastAsia="en-US"/>
              </w:rPr>
            </w:pPr>
            <w:r w:rsidRPr="00056A5C">
              <w:rPr>
                <w:rFonts w:eastAsia="Calibri"/>
                <w:lang w:eastAsia="en-US"/>
              </w:rPr>
              <w:t xml:space="preserve">12.Муниципальное унитарное энергетическое предприятие «Промтехэнерго» </w:t>
            </w:r>
          </w:p>
        </w:tc>
        <w:tc>
          <w:tcPr>
            <w:tcW w:w="475" w:type="pct"/>
            <w:tcBorders>
              <w:top w:val="single" w:sz="4" w:space="0" w:color="auto"/>
              <w:left w:val="single" w:sz="4" w:space="0" w:color="auto"/>
              <w:bottom w:val="single" w:sz="4" w:space="0" w:color="auto"/>
              <w:right w:val="single" w:sz="4" w:space="0" w:color="auto"/>
            </w:tcBorders>
            <w:vAlign w:val="center"/>
          </w:tcPr>
          <w:p w:rsidR="001E7B45" w:rsidRPr="00056A5C" w:rsidRDefault="001E7B45" w:rsidP="008C1AA9">
            <w:pPr>
              <w:spacing w:after="0" w:line="240" w:lineRule="auto"/>
              <w:jc w:val="both"/>
              <w:rPr>
                <w:rFonts w:eastAsia="Calibri"/>
                <w:lang w:val="en-US" w:eastAsia="en-US"/>
              </w:rPr>
            </w:pPr>
            <w:r w:rsidRPr="00056A5C">
              <w:rPr>
                <w:rFonts w:eastAsia="Calibri"/>
                <w:lang w:val="en-US" w:eastAsia="en-US"/>
              </w:rPr>
              <w:t>4,19</w:t>
            </w:r>
          </w:p>
        </w:tc>
        <w:tc>
          <w:tcPr>
            <w:tcW w:w="477" w:type="pct"/>
            <w:tcBorders>
              <w:top w:val="single" w:sz="4" w:space="0" w:color="auto"/>
              <w:left w:val="single" w:sz="4" w:space="0" w:color="auto"/>
              <w:bottom w:val="single" w:sz="4" w:space="0" w:color="auto"/>
              <w:right w:val="single" w:sz="4" w:space="0" w:color="auto"/>
            </w:tcBorders>
            <w:vAlign w:val="center"/>
          </w:tcPr>
          <w:p w:rsidR="001E7B45" w:rsidRPr="00056A5C" w:rsidRDefault="001E7B45" w:rsidP="008C1AA9">
            <w:pPr>
              <w:spacing w:after="0" w:line="240" w:lineRule="auto"/>
              <w:jc w:val="both"/>
              <w:rPr>
                <w:rFonts w:eastAsia="Calibri"/>
                <w:lang w:val="en-US" w:eastAsia="en-US"/>
              </w:rPr>
            </w:pPr>
            <w:r w:rsidRPr="00056A5C">
              <w:rPr>
                <w:rFonts w:eastAsia="Calibri"/>
                <w:lang w:val="en-US" w:eastAsia="en-US"/>
              </w:rPr>
              <w:t>4,75</w:t>
            </w:r>
          </w:p>
        </w:tc>
        <w:tc>
          <w:tcPr>
            <w:tcW w:w="718" w:type="pct"/>
            <w:tcBorders>
              <w:top w:val="single" w:sz="4" w:space="0" w:color="auto"/>
              <w:left w:val="single" w:sz="4" w:space="0" w:color="auto"/>
              <w:bottom w:val="single" w:sz="4" w:space="0" w:color="auto"/>
              <w:right w:val="single" w:sz="4" w:space="0" w:color="auto"/>
            </w:tcBorders>
            <w:vAlign w:val="center"/>
          </w:tcPr>
          <w:p w:rsidR="001E7B45" w:rsidRPr="00056A5C" w:rsidRDefault="001E7B45" w:rsidP="008C1AA9">
            <w:pPr>
              <w:spacing w:after="0" w:line="240" w:lineRule="auto"/>
              <w:jc w:val="center"/>
              <w:rPr>
                <w:rFonts w:eastAsia="Calibri"/>
                <w:color w:val="000000"/>
                <w:lang w:val="en-US" w:eastAsia="en-US"/>
              </w:rPr>
            </w:pPr>
            <w:r w:rsidRPr="00056A5C">
              <w:rPr>
                <w:rFonts w:eastAsia="Calibri"/>
                <w:color w:val="000000"/>
                <w:lang w:val="en-US" w:eastAsia="en-US"/>
              </w:rPr>
              <w:t>87,76</w:t>
            </w:r>
          </w:p>
        </w:tc>
        <w:tc>
          <w:tcPr>
            <w:tcW w:w="480" w:type="pct"/>
            <w:tcBorders>
              <w:top w:val="single" w:sz="4" w:space="0" w:color="auto"/>
              <w:left w:val="single" w:sz="4" w:space="0" w:color="auto"/>
              <w:bottom w:val="single" w:sz="4" w:space="0" w:color="auto"/>
              <w:right w:val="single" w:sz="4" w:space="0" w:color="auto"/>
            </w:tcBorders>
            <w:vAlign w:val="center"/>
          </w:tcPr>
          <w:p w:rsidR="001E7B45" w:rsidRPr="00056A5C" w:rsidRDefault="001E7B45" w:rsidP="008C1AA9">
            <w:pPr>
              <w:spacing w:after="0" w:line="240" w:lineRule="auto"/>
              <w:jc w:val="both"/>
              <w:rPr>
                <w:rFonts w:eastAsia="Calibri"/>
                <w:lang w:val="en-US" w:eastAsia="en-US"/>
              </w:rPr>
            </w:pPr>
            <w:r w:rsidRPr="00056A5C">
              <w:rPr>
                <w:rFonts w:eastAsia="Calibri"/>
                <w:lang w:val="en-US" w:eastAsia="en-US"/>
              </w:rPr>
              <w:t>4,23</w:t>
            </w:r>
          </w:p>
        </w:tc>
        <w:tc>
          <w:tcPr>
            <w:tcW w:w="631" w:type="pct"/>
            <w:tcBorders>
              <w:top w:val="single" w:sz="4" w:space="0" w:color="auto"/>
              <w:left w:val="single" w:sz="4" w:space="0" w:color="auto"/>
              <w:bottom w:val="single" w:sz="4" w:space="0" w:color="auto"/>
              <w:right w:val="single" w:sz="4" w:space="0" w:color="auto"/>
            </w:tcBorders>
            <w:vAlign w:val="center"/>
          </w:tcPr>
          <w:p w:rsidR="001E7B45" w:rsidRPr="00056A5C" w:rsidRDefault="001E7B45" w:rsidP="008C1AA9">
            <w:pPr>
              <w:spacing w:after="0" w:line="240" w:lineRule="auto"/>
              <w:jc w:val="center"/>
              <w:rPr>
                <w:rFonts w:eastAsia="Calibri"/>
                <w:color w:val="000000"/>
                <w:lang w:val="en-US" w:eastAsia="en-US"/>
              </w:rPr>
            </w:pPr>
            <w:r w:rsidRPr="00056A5C">
              <w:rPr>
                <w:rFonts w:eastAsia="Calibri"/>
                <w:color w:val="000000"/>
                <w:lang w:val="en-US" w:eastAsia="en-US"/>
              </w:rPr>
              <w:t>111,52</w:t>
            </w:r>
          </w:p>
        </w:tc>
        <w:tc>
          <w:tcPr>
            <w:tcW w:w="709" w:type="pct"/>
            <w:tcBorders>
              <w:top w:val="single" w:sz="4" w:space="0" w:color="auto"/>
              <w:left w:val="single" w:sz="4" w:space="0" w:color="auto"/>
              <w:bottom w:val="single" w:sz="4" w:space="0" w:color="auto"/>
              <w:right w:val="single" w:sz="4" w:space="0" w:color="auto"/>
            </w:tcBorders>
            <w:vAlign w:val="center"/>
          </w:tcPr>
          <w:p w:rsidR="001E7B45" w:rsidRPr="00056A5C" w:rsidRDefault="001E7B45" w:rsidP="008C1AA9">
            <w:pPr>
              <w:spacing w:after="0" w:line="240" w:lineRule="auto"/>
              <w:jc w:val="center"/>
              <w:rPr>
                <w:rFonts w:eastAsia="Calibri"/>
                <w:color w:val="000000"/>
                <w:lang w:val="en-US" w:eastAsia="en-US"/>
              </w:rPr>
            </w:pPr>
            <w:r w:rsidRPr="00056A5C">
              <w:rPr>
                <w:rFonts w:eastAsia="Calibri"/>
                <w:color w:val="000000"/>
                <w:lang w:val="en-US" w:eastAsia="en-US"/>
              </w:rPr>
              <w:t>0,5/</w:t>
            </w:r>
          </w:p>
          <w:p w:rsidR="001E7B45" w:rsidRPr="00056A5C" w:rsidRDefault="001E7B45" w:rsidP="008C1AA9">
            <w:pPr>
              <w:spacing w:after="0" w:line="240" w:lineRule="auto"/>
              <w:jc w:val="center"/>
              <w:rPr>
                <w:rFonts w:eastAsia="Calibri"/>
                <w:color w:val="000000"/>
                <w:lang w:val="en-US" w:eastAsia="en-US"/>
              </w:rPr>
            </w:pPr>
            <w:r w:rsidRPr="00056A5C">
              <w:rPr>
                <w:rFonts w:eastAsia="Calibri"/>
                <w:color w:val="000000"/>
                <w:lang w:val="en-US" w:eastAsia="en-US"/>
              </w:rPr>
              <w:t>0,5</w:t>
            </w:r>
          </w:p>
        </w:tc>
      </w:tr>
      <w:tr w:rsidR="001E7B45" w:rsidRPr="00056A5C" w:rsidTr="00BD58BF">
        <w:tc>
          <w:tcPr>
            <w:tcW w:w="1510" w:type="pct"/>
            <w:tcBorders>
              <w:top w:val="single" w:sz="4" w:space="0" w:color="auto"/>
              <w:left w:val="single" w:sz="4" w:space="0" w:color="auto"/>
              <w:bottom w:val="single" w:sz="4" w:space="0" w:color="auto"/>
              <w:right w:val="single" w:sz="4" w:space="0" w:color="auto"/>
            </w:tcBorders>
            <w:vAlign w:val="center"/>
          </w:tcPr>
          <w:p w:rsidR="001E7B45" w:rsidRPr="00056A5C" w:rsidRDefault="001E7B45" w:rsidP="008C1AA9">
            <w:pPr>
              <w:spacing w:after="0" w:line="240" w:lineRule="auto"/>
              <w:rPr>
                <w:rFonts w:eastAsia="Calibri"/>
                <w:lang w:eastAsia="en-US"/>
              </w:rPr>
            </w:pPr>
            <w:r w:rsidRPr="00056A5C">
              <w:rPr>
                <w:rFonts w:eastAsia="Calibri"/>
                <w:lang w:eastAsia="en-US"/>
              </w:rPr>
              <w:t xml:space="preserve">13.Открытое Акционерное общество «Новосибирское производственное объединение «Сибсельмаш» </w:t>
            </w:r>
          </w:p>
        </w:tc>
        <w:tc>
          <w:tcPr>
            <w:tcW w:w="475" w:type="pct"/>
            <w:tcBorders>
              <w:top w:val="single" w:sz="4" w:space="0" w:color="auto"/>
              <w:left w:val="single" w:sz="4" w:space="0" w:color="auto"/>
              <w:bottom w:val="single" w:sz="4" w:space="0" w:color="auto"/>
              <w:right w:val="single" w:sz="4" w:space="0" w:color="auto"/>
            </w:tcBorders>
            <w:vAlign w:val="center"/>
          </w:tcPr>
          <w:p w:rsidR="001E7B45" w:rsidRPr="00056A5C" w:rsidRDefault="001E7B45" w:rsidP="008C1AA9">
            <w:pPr>
              <w:spacing w:after="0" w:line="240" w:lineRule="auto"/>
              <w:jc w:val="both"/>
              <w:rPr>
                <w:rFonts w:eastAsia="Calibri"/>
                <w:lang w:val="en-US" w:eastAsia="en-US"/>
              </w:rPr>
            </w:pPr>
            <w:r w:rsidRPr="00056A5C">
              <w:rPr>
                <w:rFonts w:eastAsia="Calibri"/>
                <w:lang w:val="en-US" w:eastAsia="en-US"/>
              </w:rPr>
              <w:t>3,91</w:t>
            </w:r>
          </w:p>
        </w:tc>
        <w:tc>
          <w:tcPr>
            <w:tcW w:w="477" w:type="pct"/>
            <w:tcBorders>
              <w:top w:val="single" w:sz="4" w:space="0" w:color="auto"/>
              <w:left w:val="single" w:sz="4" w:space="0" w:color="auto"/>
              <w:bottom w:val="single" w:sz="4" w:space="0" w:color="auto"/>
              <w:right w:val="single" w:sz="4" w:space="0" w:color="auto"/>
            </w:tcBorders>
            <w:vAlign w:val="center"/>
          </w:tcPr>
          <w:p w:rsidR="001E7B45" w:rsidRPr="00056A5C" w:rsidRDefault="001E7B45" w:rsidP="008C1AA9">
            <w:pPr>
              <w:spacing w:after="0" w:line="240" w:lineRule="auto"/>
              <w:jc w:val="both"/>
              <w:rPr>
                <w:rFonts w:eastAsia="Calibri"/>
                <w:lang w:val="en-US" w:eastAsia="en-US"/>
              </w:rPr>
            </w:pPr>
            <w:r w:rsidRPr="00056A5C">
              <w:rPr>
                <w:rFonts w:eastAsia="Calibri"/>
                <w:lang w:val="en-US" w:eastAsia="en-US"/>
              </w:rPr>
              <w:t>3,91</w:t>
            </w:r>
          </w:p>
        </w:tc>
        <w:tc>
          <w:tcPr>
            <w:tcW w:w="718" w:type="pct"/>
            <w:tcBorders>
              <w:top w:val="single" w:sz="4" w:space="0" w:color="auto"/>
              <w:left w:val="single" w:sz="4" w:space="0" w:color="auto"/>
              <w:bottom w:val="single" w:sz="4" w:space="0" w:color="auto"/>
              <w:right w:val="single" w:sz="4" w:space="0" w:color="auto"/>
            </w:tcBorders>
            <w:vAlign w:val="center"/>
          </w:tcPr>
          <w:p w:rsidR="001E7B45" w:rsidRPr="00056A5C" w:rsidRDefault="001E7B45" w:rsidP="008C1AA9">
            <w:pPr>
              <w:spacing w:after="0" w:line="240" w:lineRule="auto"/>
              <w:jc w:val="center"/>
              <w:rPr>
                <w:rFonts w:eastAsia="Calibri"/>
                <w:color w:val="000000"/>
                <w:lang w:val="en-US" w:eastAsia="en-US"/>
              </w:rPr>
            </w:pPr>
            <w:r w:rsidRPr="00056A5C">
              <w:rPr>
                <w:rFonts w:eastAsia="Calibri"/>
                <w:color w:val="000000"/>
                <w:lang w:val="en-US" w:eastAsia="en-US"/>
              </w:rPr>
              <w:t>99,81</w:t>
            </w:r>
          </w:p>
        </w:tc>
        <w:tc>
          <w:tcPr>
            <w:tcW w:w="480" w:type="pct"/>
            <w:tcBorders>
              <w:top w:val="single" w:sz="4" w:space="0" w:color="auto"/>
              <w:left w:val="single" w:sz="4" w:space="0" w:color="auto"/>
              <w:bottom w:val="single" w:sz="4" w:space="0" w:color="auto"/>
              <w:right w:val="single" w:sz="4" w:space="0" w:color="auto"/>
            </w:tcBorders>
            <w:vAlign w:val="center"/>
          </w:tcPr>
          <w:p w:rsidR="001E7B45" w:rsidRPr="00056A5C" w:rsidRDefault="001E7B45" w:rsidP="008C1AA9">
            <w:pPr>
              <w:spacing w:after="0" w:line="240" w:lineRule="auto"/>
              <w:jc w:val="both"/>
              <w:rPr>
                <w:rFonts w:eastAsia="Calibri"/>
                <w:lang w:val="en-US" w:eastAsia="en-US"/>
              </w:rPr>
            </w:pPr>
            <w:r w:rsidRPr="00056A5C">
              <w:rPr>
                <w:rFonts w:eastAsia="Calibri"/>
                <w:lang w:val="en-US" w:eastAsia="en-US"/>
              </w:rPr>
              <w:t>3,91</w:t>
            </w:r>
          </w:p>
        </w:tc>
        <w:tc>
          <w:tcPr>
            <w:tcW w:w="631" w:type="pct"/>
            <w:tcBorders>
              <w:top w:val="single" w:sz="4" w:space="0" w:color="auto"/>
              <w:left w:val="single" w:sz="4" w:space="0" w:color="auto"/>
              <w:bottom w:val="single" w:sz="4" w:space="0" w:color="auto"/>
              <w:right w:val="single" w:sz="4" w:space="0" w:color="auto"/>
            </w:tcBorders>
            <w:vAlign w:val="center"/>
          </w:tcPr>
          <w:p w:rsidR="001E7B45" w:rsidRPr="00056A5C" w:rsidRDefault="001E7B45" w:rsidP="008C1AA9">
            <w:pPr>
              <w:spacing w:after="0" w:line="240" w:lineRule="auto"/>
              <w:jc w:val="center"/>
              <w:rPr>
                <w:rFonts w:eastAsia="Calibri"/>
                <w:color w:val="000000"/>
                <w:lang w:val="en-US" w:eastAsia="en-US"/>
              </w:rPr>
            </w:pPr>
            <w:r w:rsidRPr="00056A5C">
              <w:rPr>
                <w:rFonts w:eastAsia="Calibri"/>
                <w:color w:val="000000"/>
                <w:lang w:val="en-US" w:eastAsia="en-US"/>
              </w:rPr>
              <w:t>99,81</w:t>
            </w:r>
          </w:p>
        </w:tc>
        <w:tc>
          <w:tcPr>
            <w:tcW w:w="709" w:type="pct"/>
            <w:tcBorders>
              <w:top w:val="single" w:sz="4" w:space="0" w:color="auto"/>
              <w:left w:val="single" w:sz="4" w:space="0" w:color="auto"/>
              <w:bottom w:val="single" w:sz="4" w:space="0" w:color="auto"/>
              <w:right w:val="single" w:sz="4" w:space="0" w:color="auto"/>
            </w:tcBorders>
            <w:vAlign w:val="center"/>
          </w:tcPr>
          <w:p w:rsidR="001E7B45" w:rsidRPr="00056A5C" w:rsidRDefault="001E7B45" w:rsidP="008C1AA9">
            <w:pPr>
              <w:spacing w:after="0" w:line="240" w:lineRule="auto"/>
              <w:jc w:val="center"/>
              <w:rPr>
                <w:rFonts w:eastAsia="Calibri"/>
                <w:color w:val="000000"/>
                <w:lang w:val="en-US" w:eastAsia="en-US"/>
              </w:rPr>
            </w:pPr>
            <w:r w:rsidRPr="00056A5C">
              <w:rPr>
                <w:rFonts w:eastAsia="Calibri"/>
                <w:color w:val="000000"/>
                <w:lang w:val="en-US" w:eastAsia="en-US"/>
              </w:rPr>
              <w:t>0,1/</w:t>
            </w:r>
          </w:p>
          <w:p w:rsidR="001E7B45" w:rsidRPr="00056A5C" w:rsidRDefault="001E7B45" w:rsidP="008C1AA9">
            <w:pPr>
              <w:spacing w:after="0" w:line="240" w:lineRule="auto"/>
              <w:jc w:val="center"/>
              <w:rPr>
                <w:rFonts w:eastAsia="Calibri"/>
                <w:color w:val="000000"/>
                <w:lang w:val="en-US" w:eastAsia="en-US"/>
              </w:rPr>
            </w:pPr>
            <w:r w:rsidRPr="00056A5C">
              <w:rPr>
                <w:rFonts w:eastAsia="Calibri"/>
                <w:color w:val="000000"/>
                <w:lang w:val="en-US" w:eastAsia="en-US"/>
              </w:rPr>
              <w:t>0,1</w:t>
            </w:r>
          </w:p>
        </w:tc>
      </w:tr>
      <w:tr w:rsidR="001E7B45" w:rsidRPr="00056A5C" w:rsidTr="00BD58BF">
        <w:tc>
          <w:tcPr>
            <w:tcW w:w="1510" w:type="pct"/>
            <w:tcBorders>
              <w:top w:val="single" w:sz="4" w:space="0" w:color="auto"/>
              <w:left w:val="single" w:sz="4" w:space="0" w:color="auto"/>
              <w:bottom w:val="single" w:sz="4" w:space="0" w:color="auto"/>
              <w:right w:val="single" w:sz="4" w:space="0" w:color="auto"/>
            </w:tcBorders>
            <w:vAlign w:val="center"/>
          </w:tcPr>
          <w:p w:rsidR="001E7B45" w:rsidRPr="00056A5C" w:rsidRDefault="001E7B45" w:rsidP="008C1AA9">
            <w:pPr>
              <w:spacing w:after="0" w:line="240" w:lineRule="auto"/>
              <w:rPr>
                <w:rFonts w:eastAsia="Calibri"/>
                <w:lang w:eastAsia="en-US"/>
              </w:rPr>
            </w:pPr>
            <w:r w:rsidRPr="00056A5C">
              <w:rPr>
                <w:rFonts w:eastAsia="Calibri"/>
                <w:lang w:eastAsia="en-US"/>
              </w:rPr>
              <w:t xml:space="preserve">14.Акционерное общество «Оборонэнерго» в лице филиала «Забайкальский» </w:t>
            </w:r>
          </w:p>
        </w:tc>
        <w:tc>
          <w:tcPr>
            <w:tcW w:w="475" w:type="pct"/>
            <w:tcBorders>
              <w:top w:val="single" w:sz="4" w:space="0" w:color="auto"/>
              <w:left w:val="single" w:sz="4" w:space="0" w:color="auto"/>
              <w:bottom w:val="single" w:sz="4" w:space="0" w:color="auto"/>
              <w:right w:val="single" w:sz="4" w:space="0" w:color="auto"/>
            </w:tcBorders>
            <w:vAlign w:val="center"/>
          </w:tcPr>
          <w:p w:rsidR="001E7B45" w:rsidRPr="00056A5C" w:rsidRDefault="001E7B45" w:rsidP="008C1AA9">
            <w:pPr>
              <w:spacing w:after="0" w:line="240" w:lineRule="auto"/>
              <w:jc w:val="both"/>
              <w:rPr>
                <w:rFonts w:eastAsia="Calibri"/>
                <w:lang w:val="en-US" w:eastAsia="en-US"/>
              </w:rPr>
            </w:pPr>
            <w:r w:rsidRPr="00056A5C">
              <w:rPr>
                <w:rFonts w:eastAsia="Calibri"/>
                <w:lang w:val="en-US" w:eastAsia="en-US"/>
              </w:rPr>
              <w:t>10,19</w:t>
            </w:r>
          </w:p>
        </w:tc>
        <w:tc>
          <w:tcPr>
            <w:tcW w:w="477" w:type="pct"/>
            <w:tcBorders>
              <w:top w:val="single" w:sz="4" w:space="0" w:color="auto"/>
              <w:left w:val="single" w:sz="4" w:space="0" w:color="auto"/>
              <w:bottom w:val="single" w:sz="4" w:space="0" w:color="auto"/>
              <w:right w:val="single" w:sz="4" w:space="0" w:color="auto"/>
            </w:tcBorders>
            <w:vAlign w:val="center"/>
          </w:tcPr>
          <w:p w:rsidR="001E7B45" w:rsidRPr="00056A5C" w:rsidRDefault="001E7B45" w:rsidP="008C1AA9">
            <w:pPr>
              <w:spacing w:after="0" w:line="240" w:lineRule="auto"/>
              <w:jc w:val="both"/>
              <w:rPr>
                <w:rFonts w:eastAsia="Calibri"/>
                <w:lang w:val="en-US" w:eastAsia="en-US"/>
              </w:rPr>
            </w:pPr>
            <w:r w:rsidRPr="00056A5C">
              <w:rPr>
                <w:rFonts w:eastAsia="Calibri"/>
                <w:lang w:val="en-US" w:eastAsia="en-US"/>
              </w:rPr>
              <w:t>13,38</w:t>
            </w:r>
          </w:p>
        </w:tc>
        <w:tc>
          <w:tcPr>
            <w:tcW w:w="718" w:type="pct"/>
            <w:tcBorders>
              <w:top w:val="single" w:sz="4" w:space="0" w:color="auto"/>
              <w:left w:val="single" w:sz="4" w:space="0" w:color="auto"/>
              <w:bottom w:val="single" w:sz="4" w:space="0" w:color="auto"/>
              <w:right w:val="single" w:sz="4" w:space="0" w:color="auto"/>
            </w:tcBorders>
            <w:vAlign w:val="center"/>
          </w:tcPr>
          <w:p w:rsidR="001E7B45" w:rsidRPr="00056A5C" w:rsidRDefault="001E7B45" w:rsidP="008C1AA9">
            <w:pPr>
              <w:spacing w:after="0" w:line="240" w:lineRule="auto"/>
              <w:jc w:val="center"/>
              <w:rPr>
                <w:rFonts w:eastAsia="Calibri"/>
                <w:color w:val="000000"/>
                <w:lang w:val="en-US" w:eastAsia="en-US"/>
              </w:rPr>
            </w:pPr>
            <w:r w:rsidRPr="00056A5C">
              <w:rPr>
                <w:rFonts w:eastAsia="Calibri"/>
                <w:color w:val="000000"/>
                <w:lang w:val="en-US" w:eastAsia="en-US"/>
              </w:rPr>
              <w:t>76,25</w:t>
            </w:r>
          </w:p>
        </w:tc>
        <w:tc>
          <w:tcPr>
            <w:tcW w:w="480" w:type="pct"/>
            <w:tcBorders>
              <w:top w:val="single" w:sz="4" w:space="0" w:color="auto"/>
              <w:left w:val="single" w:sz="4" w:space="0" w:color="auto"/>
              <w:bottom w:val="single" w:sz="4" w:space="0" w:color="auto"/>
              <w:right w:val="single" w:sz="4" w:space="0" w:color="auto"/>
            </w:tcBorders>
            <w:vAlign w:val="center"/>
          </w:tcPr>
          <w:p w:rsidR="001E7B45" w:rsidRPr="00056A5C" w:rsidRDefault="001E7B45" w:rsidP="008C1AA9">
            <w:pPr>
              <w:spacing w:after="0" w:line="240" w:lineRule="auto"/>
              <w:jc w:val="both"/>
              <w:rPr>
                <w:rFonts w:eastAsia="Calibri"/>
                <w:lang w:val="en-US" w:eastAsia="en-US"/>
              </w:rPr>
            </w:pPr>
            <w:r w:rsidRPr="00056A5C">
              <w:rPr>
                <w:rFonts w:eastAsia="Calibri"/>
                <w:lang w:val="en-US" w:eastAsia="en-US"/>
              </w:rPr>
              <w:t>13,87</w:t>
            </w:r>
          </w:p>
        </w:tc>
        <w:tc>
          <w:tcPr>
            <w:tcW w:w="631" w:type="pct"/>
            <w:tcBorders>
              <w:top w:val="single" w:sz="4" w:space="0" w:color="auto"/>
              <w:left w:val="single" w:sz="4" w:space="0" w:color="auto"/>
              <w:bottom w:val="single" w:sz="4" w:space="0" w:color="auto"/>
              <w:right w:val="single" w:sz="4" w:space="0" w:color="auto"/>
            </w:tcBorders>
            <w:vAlign w:val="center"/>
          </w:tcPr>
          <w:p w:rsidR="001E7B45" w:rsidRPr="00056A5C" w:rsidRDefault="001E7B45" w:rsidP="008C1AA9">
            <w:pPr>
              <w:spacing w:after="0" w:line="240" w:lineRule="auto"/>
              <w:jc w:val="center"/>
              <w:rPr>
                <w:rFonts w:eastAsia="Calibri"/>
                <w:color w:val="000000"/>
                <w:lang w:val="en-US" w:eastAsia="en-US"/>
              </w:rPr>
            </w:pPr>
            <w:r w:rsidRPr="00056A5C">
              <w:rPr>
                <w:rFonts w:eastAsia="Calibri"/>
                <w:color w:val="000000"/>
                <w:lang w:val="en-US" w:eastAsia="en-US"/>
              </w:rPr>
              <w:t>96,40</w:t>
            </w:r>
          </w:p>
        </w:tc>
        <w:tc>
          <w:tcPr>
            <w:tcW w:w="709" w:type="pct"/>
            <w:tcBorders>
              <w:top w:val="single" w:sz="4" w:space="0" w:color="auto"/>
              <w:left w:val="single" w:sz="4" w:space="0" w:color="auto"/>
              <w:bottom w:val="single" w:sz="4" w:space="0" w:color="auto"/>
              <w:right w:val="single" w:sz="4" w:space="0" w:color="auto"/>
            </w:tcBorders>
            <w:vAlign w:val="center"/>
          </w:tcPr>
          <w:p w:rsidR="001E7B45" w:rsidRPr="00056A5C" w:rsidRDefault="001E7B45" w:rsidP="008C1AA9">
            <w:pPr>
              <w:spacing w:after="0" w:line="240" w:lineRule="auto"/>
              <w:jc w:val="center"/>
              <w:rPr>
                <w:rFonts w:eastAsia="Calibri"/>
                <w:color w:val="000000"/>
                <w:lang w:val="en-US" w:eastAsia="en-US"/>
              </w:rPr>
            </w:pPr>
            <w:r w:rsidRPr="00056A5C">
              <w:rPr>
                <w:rFonts w:eastAsia="Calibri"/>
                <w:color w:val="000000"/>
                <w:lang w:val="en-US" w:eastAsia="en-US"/>
              </w:rPr>
              <w:t>0,02/</w:t>
            </w:r>
          </w:p>
          <w:p w:rsidR="001E7B45" w:rsidRPr="00056A5C" w:rsidRDefault="001E7B45" w:rsidP="008C1AA9">
            <w:pPr>
              <w:spacing w:after="0" w:line="240" w:lineRule="auto"/>
              <w:jc w:val="center"/>
              <w:rPr>
                <w:rFonts w:eastAsia="Calibri"/>
                <w:color w:val="000000"/>
                <w:lang w:val="en-US" w:eastAsia="en-US"/>
              </w:rPr>
            </w:pPr>
            <w:r w:rsidRPr="00056A5C">
              <w:rPr>
                <w:rFonts w:eastAsia="Calibri"/>
                <w:color w:val="000000"/>
                <w:lang w:val="en-US" w:eastAsia="en-US"/>
              </w:rPr>
              <w:t>0,02</w:t>
            </w:r>
          </w:p>
        </w:tc>
      </w:tr>
      <w:tr w:rsidR="001E7B45" w:rsidRPr="00056A5C" w:rsidTr="00BD58BF">
        <w:tc>
          <w:tcPr>
            <w:tcW w:w="1510" w:type="pct"/>
            <w:tcBorders>
              <w:top w:val="single" w:sz="4" w:space="0" w:color="auto"/>
              <w:left w:val="single" w:sz="4" w:space="0" w:color="auto"/>
              <w:bottom w:val="single" w:sz="4" w:space="0" w:color="auto"/>
              <w:right w:val="single" w:sz="4" w:space="0" w:color="auto"/>
            </w:tcBorders>
            <w:vAlign w:val="center"/>
          </w:tcPr>
          <w:p w:rsidR="001E7B45" w:rsidRPr="00056A5C" w:rsidRDefault="001E7B45" w:rsidP="008C1AA9">
            <w:pPr>
              <w:spacing w:after="0" w:line="240" w:lineRule="auto"/>
              <w:rPr>
                <w:rFonts w:eastAsia="Calibri"/>
                <w:lang w:eastAsia="en-US"/>
              </w:rPr>
            </w:pPr>
            <w:r w:rsidRPr="00056A5C">
              <w:rPr>
                <w:rFonts w:eastAsia="Calibri"/>
                <w:lang w:eastAsia="en-US"/>
              </w:rPr>
              <w:t xml:space="preserve">15.Общество с ограниченной ответственностью «Сибирские Энергетические Сети»  </w:t>
            </w:r>
          </w:p>
        </w:tc>
        <w:tc>
          <w:tcPr>
            <w:tcW w:w="475" w:type="pct"/>
            <w:tcBorders>
              <w:top w:val="single" w:sz="4" w:space="0" w:color="auto"/>
              <w:left w:val="single" w:sz="4" w:space="0" w:color="auto"/>
              <w:bottom w:val="single" w:sz="4" w:space="0" w:color="auto"/>
              <w:right w:val="single" w:sz="4" w:space="0" w:color="auto"/>
            </w:tcBorders>
            <w:vAlign w:val="center"/>
          </w:tcPr>
          <w:p w:rsidR="001E7B45" w:rsidRPr="00056A5C" w:rsidRDefault="001E7B45" w:rsidP="008C1AA9">
            <w:pPr>
              <w:spacing w:after="0" w:line="240" w:lineRule="auto"/>
              <w:jc w:val="both"/>
              <w:rPr>
                <w:rFonts w:eastAsia="Calibri"/>
                <w:lang w:val="en-US" w:eastAsia="en-US"/>
              </w:rPr>
            </w:pPr>
            <w:r w:rsidRPr="00056A5C">
              <w:rPr>
                <w:rFonts w:eastAsia="Calibri"/>
                <w:lang w:val="en-US" w:eastAsia="en-US"/>
              </w:rPr>
              <w:t>8,54</w:t>
            </w:r>
          </w:p>
        </w:tc>
        <w:tc>
          <w:tcPr>
            <w:tcW w:w="477" w:type="pct"/>
            <w:tcBorders>
              <w:top w:val="single" w:sz="4" w:space="0" w:color="auto"/>
              <w:left w:val="single" w:sz="4" w:space="0" w:color="auto"/>
              <w:bottom w:val="single" w:sz="4" w:space="0" w:color="auto"/>
              <w:right w:val="single" w:sz="4" w:space="0" w:color="auto"/>
            </w:tcBorders>
            <w:vAlign w:val="center"/>
          </w:tcPr>
          <w:p w:rsidR="001E7B45" w:rsidRPr="00056A5C" w:rsidRDefault="001E7B45" w:rsidP="008C1AA9">
            <w:pPr>
              <w:spacing w:after="0" w:line="240" w:lineRule="auto"/>
              <w:jc w:val="both"/>
              <w:rPr>
                <w:rFonts w:eastAsia="Calibri"/>
                <w:lang w:val="en-US" w:eastAsia="en-US"/>
              </w:rPr>
            </w:pPr>
            <w:r w:rsidRPr="00056A5C">
              <w:rPr>
                <w:rFonts w:eastAsia="Calibri"/>
                <w:lang w:val="en-US" w:eastAsia="en-US"/>
              </w:rPr>
              <w:t>10,12</w:t>
            </w:r>
          </w:p>
        </w:tc>
        <w:tc>
          <w:tcPr>
            <w:tcW w:w="718" w:type="pct"/>
            <w:tcBorders>
              <w:top w:val="single" w:sz="4" w:space="0" w:color="auto"/>
              <w:left w:val="single" w:sz="4" w:space="0" w:color="auto"/>
              <w:bottom w:val="single" w:sz="4" w:space="0" w:color="auto"/>
              <w:right w:val="single" w:sz="4" w:space="0" w:color="auto"/>
            </w:tcBorders>
            <w:vAlign w:val="center"/>
          </w:tcPr>
          <w:p w:rsidR="001E7B45" w:rsidRPr="00056A5C" w:rsidRDefault="001E7B45" w:rsidP="008C1AA9">
            <w:pPr>
              <w:spacing w:after="0" w:line="240" w:lineRule="auto"/>
              <w:jc w:val="center"/>
              <w:rPr>
                <w:rFonts w:eastAsia="Calibri"/>
                <w:color w:val="000000"/>
                <w:lang w:val="en-US" w:eastAsia="en-US"/>
              </w:rPr>
            </w:pPr>
            <w:r w:rsidRPr="00056A5C">
              <w:rPr>
                <w:rFonts w:eastAsia="Calibri"/>
                <w:color w:val="000000"/>
                <w:lang w:val="en-US" w:eastAsia="en-US"/>
              </w:rPr>
              <w:t>84</w:t>
            </w:r>
          </w:p>
        </w:tc>
        <w:tc>
          <w:tcPr>
            <w:tcW w:w="480" w:type="pct"/>
            <w:tcBorders>
              <w:top w:val="single" w:sz="4" w:space="0" w:color="auto"/>
              <w:left w:val="single" w:sz="4" w:space="0" w:color="auto"/>
              <w:bottom w:val="single" w:sz="4" w:space="0" w:color="auto"/>
              <w:right w:val="single" w:sz="4" w:space="0" w:color="auto"/>
            </w:tcBorders>
            <w:vAlign w:val="center"/>
          </w:tcPr>
          <w:p w:rsidR="001E7B45" w:rsidRPr="00056A5C" w:rsidRDefault="001E7B45" w:rsidP="008C1AA9">
            <w:pPr>
              <w:spacing w:after="0" w:line="240" w:lineRule="auto"/>
              <w:jc w:val="both"/>
              <w:rPr>
                <w:rFonts w:eastAsia="Calibri"/>
                <w:lang w:val="en-US" w:eastAsia="en-US"/>
              </w:rPr>
            </w:pPr>
            <w:r w:rsidRPr="00056A5C">
              <w:rPr>
                <w:rFonts w:eastAsia="Calibri"/>
                <w:lang w:val="en-US" w:eastAsia="en-US"/>
              </w:rPr>
              <w:t>8,27</w:t>
            </w:r>
          </w:p>
        </w:tc>
        <w:tc>
          <w:tcPr>
            <w:tcW w:w="631" w:type="pct"/>
            <w:tcBorders>
              <w:top w:val="single" w:sz="4" w:space="0" w:color="auto"/>
              <w:left w:val="single" w:sz="4" w:space="0" w:color="auto"/>
              <w:bottom w:val="single" w:sz="4" w:space="0" w:color="auto"/>
              <w:right w:val="single" w:sz="4" w:space="0" w:color="auto"/>
            </w:tcBorders>
            <w:vAlign w:val="center"/>
          </w:tcPr>
          <w:p w:rsidR="001E7B45" w:rsidRPr="00056A5C" w:rsidRDefault="001E7B45" w:rsidP="008C1AA9">
            <w:pPr>
              <w:spacing w:after="0" w:line="240" w:lineRule="auto"/>
              <w:jc w:val="center"/>
              <w:rPr>
                <w:rFonts w:eastAsia="Calibri"/>
                <w:color w:val="000000"/>
                <w:lang w:val="en-US" w:eastAsia="en-US"/>
              </w:rPr>
            </w:pPr>
            <w:r w:rsidRPr="00056A5C">
              <w:rPr>
                <w:rFonts w:eastAsia="Calibri"/>
                <w:color w:val="000000"/>
                <w:lang w:val="en-US" w:eastAsia="en-US"/>
              </w:rPr>
              <w:t>121,79</w:t>
            </w:r>
          </w:p>
        </w:tc>
        <w:tc>
          <w:tcPr>
            <w:tcW w:w="709" w:type="pct"/>
            <w:tcBorders>
              <w:top w:val="single" w:sz="4" w:space="0" w:color="auto"/>
              <w:left w:val="single" w:sz="4" w:space="0" w:color="auto"/>
              <w:bottom w:val="single" w:sz="4" w:space="0" w:color="auto"/>
              <w:right w:val="single" w:sz="4" w:space="0" w:color="auto"/>
            </w:tcBorders>
            <w:vAlign w:val="center"/>
          </w:tcPr>
          <w:p w:rsidR="001E7B45" w:rsidRPr="00056A5C" w:rsidRDefault="001E7B45" w:rsidP="008C1AA9">
            <w:pPr>
              <w:spacing w:after="0" w:line="240" w:lineRule="auto"/>
              <w:jc w:val="center"/>
              <w:rPr>
                <w:rFonts w:eastAsia="Calibri"/>
                <w:color w:val="000000"/>
                <w:lang w:val="en-US" w:eastAsia="en-US"/>
              </w:rPr>
            </w:pPr>
            <w:r w:rsidRPr="00056A5C">
              <w:rPr>
                <w:rFonts w:eastAsia="Calibri"/>
                <w:color w:val="000000"/>
                <w:lang w:val="en-US" w:eastAsia="en-US"/>
              </w:rPr>
              <w:t>0,5/</w:t>
            </w:r>
          </w:p>
          <w:p w:rsidR="001E7B45" w:rsidRPr="00056A5C" w:rsidRDefault="001E7B45" w:rsidP="008C1AA9">
            <w:pPr>
              <w:spacing w:after="0" w:line="240" w:lineRule="auto"/>
              <w:jc w:val="center"/>
              <w:rPr>
                <w:rFonts w:eastAsia="Calibri"/>
                <w:color w:val="000000"/>
                <w:lang w:val="en-US" w:eastAsia="en-US"/>
              </w:rPr>
            </w:pPr>
            <w:r w:rsidRPr="00056A5C">
              <w:rPr>
                <w:rFonts w:eastAsia="Calibri"/>
                <w:color w:val="000000"/>
                <w:lang w:val="en-US" w:eastAsia="en-US"/>
              </w:rPr>
              <w:t>0,5</w:t>
            </w:r>
          </w:p>
        </w:tc>
      </w:tr>
      <w:tr w:rsidR="001E7B45" w:rsidRPr="00056A5C" w:rsidTr="00BD58BF">
        <w:tc>
          <w:tcPr>
            <w:tcW w:w="1510" w:type="pct"/>
            <w:tcBorders>
              <w:top w:val="single" w:sz="4" w:space="0" w:color="auto"/>
              <w:left w:val="single" w:sz="4" w:space="0" w:color="auto"/>
              <w:bottom w:val="single" w:sz="4" w:space="0" w:color="auto"/>
              <w:right w:val="single" w:sz="4" w:space="0" w:color="auto"/>
            </w:tcBorders>
            <w:vAlign w:val="center"/>
          </w:tcPr>
          <w:p w:rsidR="001E7B45" w:rsidRPr="00056A5C" w:rsidRDefault="001E7B45" w:rsidP="008C1AA9">
            <w:pPr>
              <w:spacing w:after="0" w:line="240" w:lineRule="auto"/>
              <w:rPr>
                <w:rFonts w:eastAsia="Calibri"/>
                <w:lang w:eastAsia="en-US"/>
              </w:rPr>
            </w:pPr>
            <w:r w:rsidRPr="00056A5C">
              <w:rPr>
                <w:rFonts w:eastAsia="Calibri"/>
                <w:lang w:eastAsia="en-US"/>
              </w:rPr>
              <w:t>16.Открытое Акционерное общество «Российские железные дороги» в лице Западно-Сибирской дирекции по энергообеспечению – структурного подразделения филиала Трансэнерго</w:t>
            </w:r>
          </w:p>
        </w:tc>
        <w:tc>
          <w:tcPr>
            <w:tcW w:w="475" w:type="pct"/>
            <w:tcBorders>
              <w:top w:val="single" w:sz="4" w:space="0" w:color="auto"/>
              <w:left w:val="single" w:sz="4" w:space="0" w:color="auto"/>
              <w:bottom w:val="single" w:sz="4" w:space="0" w:color="auto"/>
              <w:right w:val="single" w:sz="4" w:space="0" w:color="auto"/>
            </w:tcBorders>
            <w:vAlign w:val="center"/>
          </w:tcPr>
          <w:p w:rsidR="001E7B45" w:rsidRPr="00056A5C" w:rsidRDefault="001E7B45" w:rsidP="008C1AA9">
            <w:pPr>
              <w:spacing w:after="0" w:line="240" w:lineRule="auto"/>
              <w:jc w:val="both"/>
              <w:rPr>
                <w:rFonts w:eastAsia="Calibri"/>
                <w:lang w:val="en-US" w:eastAsia="en-US"/>
              </w:rPr>
            </w:pPr>
            <w:r w:rsidRPr="00056A5C">
              <w:rPr>
                <w:rFonts w:eastAsia="Calibri"/>
                <w:lang w:val="en-US" w:eastAsia="en-US"/>
              </w:rPr>
              <w:t>2,29</w:t>
            </w:r>
          </w:p>
        </w:tc>
        <w:tc>
          <w:tcPr>
            <w:tcW w:w="477" w:type="pct"/>
            <w:tcBorders>
              <w:top w:val="single" w:sz="4" w:space="0" w:color="auto"/>
              <w:left w:val="single" w:sz="4" w:space="0" w:color="auto"/>
              <w:bottom w:val="single" w:sz="4" w:space="0" w:color="auto"/>
              <w:right w:val="single" w:sz="4" w:space="0" w:color="auto"/>
            </w:tcBorders>
            <w:vAlign w:val="center"/>
          </w:tcPr>
          <w:p w:rsidR="001E7B45" w:rsidRPr="00056A5C" w:rsidRDefault="001E7B45" w:rsidP="008C1AA9">
            <w:pPr>
              <w:spacing w:after="0" w:line="240" w:lineRule="auto"/>
              <w:jc w:val="both"/>
              <w:rPr>
                <w:rFonts w:eastAsia="Calibri"/>
                <w:lang w:val="en-US" w:eastAsia="en-US"/>
              </w:rPr>
            </w:pPr>
            <w:r w:rsidRPr="00056A5C">
              <w:rPr>
                <w:rFonts w:eastAsia="Calibri"/>
                <w:lang w:val="en-US" w:eastAsia="en-US"/>
              </w:rPr>
              <w:t>2,13</w:t>
            </w:r>
          </w:p>
        </w:tc>
        <w:tc>
          <w:tcPr>
            <w:tcW w:w="718" w:type="pct"/>
            <w:tcBorders>
              <w:top w:val="single" w:sz="4" w:space="0" w:color="auto"/>
              <w:left w:val="single" w:sz="4" w:space="0" w:color="auto"/>
              <w:bottom w:val="single" w:sz="4" w:space="0" w:color="auto"/>
              <w:right w:val="single" w:sz="4" w:space="0" w:color="auto"/>
            </w:tcBorders>
            <w:vAlign w:val="center"/>
          </w:tcPr>
          <w:p w:rsidR="001E7B45" w:rsidRPr="00056A5C" w:rsidRDefault="001E7B45" w:rsidP="008C1AA9">
            <w:pPr>
              <w:spacing w:after="0" w:line="240" w:lineRule="auto"/>
              <w:jc w:val="center"/>
              <w:rPr>
                <w:rFonts w:eastAsia="Calibri"/>
                <w:color w:val="000000"/>
                <w:lang w:val="en-US" w:eastAsia="en-US"/>
              </w:rPr>
            </w:pPr>
            <w:r w:rsidRPr="00056A5C">
              <w:rPr>
                <w:rFonts w:eastAsia="Calibri"/>
                <w:color w:val="000000"/>
                <w:lang w:val="en-US" w:eastAsia="en-US"/>
              </w:rPr>
              <w:t>106,93</w:t>
            </w:r>
          </w:p>
        </w:tc>
        <w:tc>
          <w:tcPr>
            <w:tcW w:w="480" w:type="pct"/>
            <w:tcBorders>
              <w:top w:val="single" w:sz="4" w:space="0" w:color="auto"/>
              <w:left w:val="single" w:sz="4" w:space="0" w:color="auto"/>
              <w:bottom w:val="single" w:sz="4" w:space="0" w:color="auto"/>
              <w:right w:val="single" w:sz="4" w:space="0" w:color="auto"/>
            </w:tcBorders>
            <w:vAlign w:val="center"/>
          </w:tcPr>
          <w:p w:rsidR="001E7B45" w:rsidRPr="00056A5C" w:rsidRDefault="001E7B45" w:rsidP="008C1AA9">
            <w:pPr>
              <w:spacing w:after="0" w:line="240" w:lineRule="auto"/>
              <w:jc w:val="both"/>
              <w:rPr>
                <w:rFonts w:eastAsia="Calibri"/>
                <w:lang w:val="en-US" w:eastAsia="en-US"/>
              </w:rPr>
            </w:pPr>
            <w:r w:rsidRPr="00056A5C">
              <w:rPr>
                <w:rFonts w:eastAsia="Calibri"/>
                <w:lang w:val="en-US" w:eastAsia="en-US"/>
              </w:rPr>
              <w:t>2,29</w:t>
            </w:r>
          </w:p>
        </w:tc>
        <w:tc>
          <w:tcPr>
            <w:tcW w:w="631" w:type="pct"/>
            <w:tcBorders>
              <w:top w:val="single" w:sz="4" w:space="0" w:color="auto"/>
              <w:left w:val="single" w:sz="4" w:space="0" w:color="auto"/>
              <w:bottom w:val="single" w:sz="4" w:space="0" w:color="auto"/>
              <w:right w:val="single" w:sz="4" w:space="0" w:color="auto"/>
            </w:tcBorders>
            <w:vAlign w:val="center"/>
          </w:tcPr>
          <w:p w:rsidR="001E7B45" w:rsidRPr="00056A5C" w:rsidRDefault="001E7B45" w:rsidP="008C1AA9">
            <w:pPr>
              <w:spacing w:after="0" w:line="240" w:lineRule="auto"/>
              <w:jc w:val="center"/>
              <w:rPr>
                <w:rFonts w:eastAsia="Calibri"/>
                <w:color w:val="000000"/>
                <w:lang w:val="en-US" w:eastAsia="en-US"/>
              </w:rPr>
            </w:pPr>
            <w:r w:rsidRPr="00056A5C">
              <w:rPr>
                <w:rFonts w:eastAsia="Calibri"/>
                <w:color w:val="000000"/>
                <w:lang w:val="en-US" w:eastAsia="en-US"/>
              </w:rPr>
              <w:t>92,59</w:t>
            </w:r>
          </w:p>
        </w:tc>
        <w:tc>
          <w:tcPr>
            <w:tcW w:w="709" w:type="pct"/>
            <w:tcBorders>
              <w:top w:val="single" w:sz="4" w:space="0" w:color="auto"/>
              <w:left w:val="single" w:sz="4" w:space="0" w:color="auto"/>
              <w:bottom w:val="single" w:sz="4" w:space="0" w:color="auto"/>
              <w:right w:val="single" w:sz="4" w:space="0" w:color="auto"/>
            </w:tcBorders>
            <w:vAlign w:val="center"/>
          </w:tcPr>
          <w:p w:rsidR="001E7B45" w:rsidRPr="00056A5C" w:rsidRDefault="001E7B45" w:rsidP="008C1AA9">
            <w:pPr>
              <w:spacing w:after="0" w:line="240" w:lineRule="auto"/>
              <w:jc w:val="center"/>
              <w:rPr>
                <w:rFonts w:eastAsia="Calibri"/>
                <w:color w:val="000000"/>
                <w:lang w:val="en-US" w:eastAsia="en-US"/>
              </w:rPr>
            </w:pPr>
            <w:r w:rsidRPr="00056A5C">
              <w:rPr>
                <w:rFonts w:eastAsia="Calibri"/>
                <w:color w:val="000000"/>
                <w:lang w:val="en-US" w:eastAsia="en-US"/>
              </w:rPr>
              <w:t>0,5/</w:t>
            </w:r>
          </w:p>
          <w:p w:rsidR="001E7B45" w:rsidRPr="00056A5C" w:rsidRDefault="001E7B45" w:rsidP="008C1AA9">
            <w:pPr>
              <w:spacing w:after="0" w:line="240" w:lineRule="auto"/>
              <w:jc w:val="center"/>
              <w:rPr>
                <w:rFonts w:eastAsia="Calibri"/>
                <w:color w:val="000000"/>
                <w:lang w:val="en-US" w:eastAsia="en-US"/>
              </w:rPr>
            </w:pPr>
            <w:r w:rsidRPr="00056A5C">
              <w:rPr>
                <w:rFonts w:eastAsia="Calibri"/>
                <w:color w:val="000000"/>
                <w:lang w:val="en-US" w:eastAsia="en-US"/>
              </w:rPr>
              <w:t>0,5</w:t>
            </w:r>
          </w:p>
        </w:tc>
      </w:tr>
      <w:tr w:rsidR="001E7B45" w:rsidRPr="00056A5C" w:rsidTr="00BD58BF">
        <w:tc>
          <w:tcPr>
            <w:tcW w:w="1510" w:type="pct"/>
            <w:tcBorders>
              <w:top w:val="single" w:sz="4" w:space="0" w:color="auto"/>
              <w:left w:val="single" w:sz="4" w:space="0" w:color="auto"/>
              <w:bottom w:val="single" w:sz="4" w:space="0" w:color="auto"/>
              <w:right w:val="single" w:sz="4" w:space="0" w:color="auto"/>
            </w:tcBorders>
            <w:vAlign w:val="center"/>
          </w:tcPr>
          <w:p w:rsidR="001E7B45" w:rsidRPr="00056A5C" w:rsidRDefault="001E7B45" w:rsidP="008C1AA9">
            <w:pPr>
              <w:spacing w:after="0" w:line="240" w:lineRule="auto"/>
              <w:rPr>
                <w:rFonts w:eastAsia="Calibri"/>
                <w:lang w:eastAsia="en-US"/>
              </w:rPr>
            </w:pPr>
            <w:r w:rsidRPr="00056A5C">
              <w:rPr>
                <w:rFonts w:eastAsia="Calibri"/>
                <w:lang w:eastAsia="en-US"/>
              </w:rPr>
              <w:t xml:space="preserve">17.Акционерное общество «Управляющая компания «Промышленно-логистический парк» </w:t>
            </w:r>
          </w:p>
        </w:tc>
        <w:tc>
          <w:tcPr>
            <w:tcW w:w="475" w:type="pct"/>
            <w:tcBorders>
              <w:top w:val="single" w:sz="4" w:space="0" w:color="auto"/>
              <w:left w:val="single" w:sz="4" w:space="0" w:color="auto"/>
              <w:bottom w:val="single" w:sz="4" w:space="0" w:color="auto"/>
              <w:right w:val="single" w:sz="4" w:space="0" w:color="auto"/>
            </w:tcBorders>
            <w:vAlign w:val="center"/>
          </w:tcPr>
          <w:p w:rsidR="001E7B45" w:rsidRPr="00056A5C" w:rsidRDefault="001E7B45" w:rsidP="008C1AA9">
            <w:pPr>
              <w:spacing w:after="0" w:line="240" w:lineRule="auto"/>
              <w:jc w:val="both"/>
              <w:rPr>
                <w:rFonts w:eastAsia="Calibri"/>
                <w:lang w:val="en-US" w:eastAsia="en-US"/>
              </w:rPr>
            </w:pPr>
            <w:r w:rsidRPr="00056A5C">
              <w:rPr>
                <w:rFonts w:eastAsia="Calibri"/>
                <w:lang w:val="en-US" w:eastAsia="en-US"/>
              </w:rPr>
              <w:t>3,35</w:t>
            </w:r>
          </w:p>
        </w:tc>
        <w:tc>
          <w:tcPr>
            <w:tcW w:w="477" w:type="pct"/>
            <w:tcBorders>
              <w:top w:val="single" w:sz="4" w:space="0" w:color="auto"/>
              <w:left w:val="single" w:sz="4" w:space="0" w:color="auto"/>
              <w:bottom w:val="single" w:sz="4" w:space="0" w:color="auto"/>
              <w:right w:val="single" w:sz="4" w:space="0" w:color="auto"/>
            </w:tcBorders>
            <w:vAlign w:val="center"/>
          </w:tcPr>
          <w:p w:rsidR="001E7B45" w:rsidRPr="00056A5C" w:rsidRDefault="001E7B45" w:rsidP="008C1AA9">
            <w:pPr>
              <w:spacing w:after="0" w:line="240" w:lineRule="auto"/>
              <w:jc w:val="both"/>
              <w:rPr>
                <w:rFonts w:eastAsia="Calibri"/>
                <w:lang w:val="en-US" w:eastAsia="en-US"/>
              </w:rPr>
            </w:pPr>
            <w:r w:rsidRPr="00056A5C">
              <w:rPr>
                <w:rFonts w:eastAsia="Calibri"/>
                <w:lang w:val="en-US" w:eastAsia="en-US"/>
              </w:rPr>
              <w:t>3,01</w:t>
            </w:r>
          </w:p>
        </w:tc>
        <w:tc>
          <w:tcPr>
            <w:tcW w:w="718" w:type="pct"/>
            <w:tcBorders>
              <w:top w:val="single" w:sz="4" w:space="0" w:color="auto"/>
              <w:left w:val="single" w:sz="4" w:space="0" w:color="auto"/>
              <w:bottom w:val="single" w:sz="4" w:space="0" w:color="auto"/>
              <w:right w:val="single" w:sz="4" w:space="0" w:color="auto"/>
            </w:tcBorders>
            <w:vAlign w:val="center"/>
          </w:tcPr>
          <w:p w:rsidR="001E7B45" w:rsidRPr="00056A5C" w:rsidRDefault="001E7B45" w:rsidP="008C1AA9">
            <w:pPr>
              <w:spacing w:after="0" w:line="240" w:lineRule="auto"/>
              <w:jc w:val="center"/>
              <w:rPr>
                <w:rFonts w:eastAsia="Calibri"/>
                <w:color w:val="000000"/>
                <w:lang w:val="en-US" w:eastAsia="en-US"/>
              </w:rPr>
            </w:pPr>
            <w:r w:rsidRPr="00056A5C">
              <w:rPr>
                <w:rFonts w:eastAsia="Calibri"/>
                <w:color w:val="000000"/>
                <w:lang w:val="en-US" w:eastAsia="en-US"/>
              </w:rPr>
              <w:t>110,94</w:t>
            </w:r>
          </w:p>
        </w:tc>
        <w:tc>
          <w:tcPr>
            <w:tcW w:w="480" w:type="pct"/>
            <w:tcBorders>
              <w:top w:val="single" w:sz="4" w:space="0" w:color="auto"/>
              <w:left w:val="single" w:sz="4" w:space="0" w:color="auto"/>
              <w:bottom w:val="single" w:sz="4" w:space="0" w:color="auto"/>
              <w:right w:val="single" w:sz="4" w:space="0" w:color="auto"/>
            </w:tcBorders>
            <w:vAlign w:val="center"/>
          </w:tcPr>
          <w:p w:rsidR="001E7B45" w:rsidRPr="00056A5C" w:rsidRDefault="001E7B45" w:rsidP="008C1AA9">
            <w:pPr>
              <w:spacing w:after="0" w:line="240" w:lineRule="auto"/>
              <w:jc w:val="both"/>
              <w:rPr>
                <w:rFonts w:eastAsia="Calibri"/>
                <w:lang w:val="en-US" w:eastAsia="en-US"/>
              </w:rPr>
            </w:pPr>
            <w:r w:rsidRPr="00056A5C">
              <w:rPr>
                <w:rFonts w:eastAsia="Calibri"/>
                <w:lang w:val="en-US" w:eastAsia="en-US"/>
              </w:rPr>
              <w:t>3,35</w:t>
            </w:r>
          </w:p>
        </w:tc>
        <w:tc>
          <w:tcPr>
            <w:tcW w:w="631" w:type="pct"/>
            <w:tcBorders>
              <w:top w:val="single" w:sz="4" w:space="0" w:color="auto"/>
              <w:left w:val="single" w:sz="4" w:space="0" w:color="auto"/>
              <w:bottom w:val="single" w:sz="4" w:space="0" w:color="auto"/>
              <w:right w:val="single" w:sz="4" w:space="0" w:color="auto"/>
            </w:tcBorders>
            <w:vAlign w:val="center"/>
          </w:tcPr>
          <w:p w:rsidR="001E7B45" w:rsidRPr="00056A5C" w:rsidRDefault="001E7B45" w:rsidP="008C1AA9">
            <w:pPr>
              <w:spacing w:after="0" w:line="240" w:lineRule="auto"/>
              <w:jc w:val="center"/>
              <w:rPr>
                <w:rFonts w:eastAsia="Calibri"/>
                <w:color w:val="000000"/>
                <w:lang w:val="en-US" w:eastAsia="en-US"/>
              </w:rPr>
            </w:pPr>
            <w:r w:rsidRPr="00056A5C">
              <w:rPr>
                <w:rFonts w:eastAsia="Calibri"/>
                <w:color w:val="000000"/>
                <w:lang w:val="en-US" w:eastAsia="en-US"/>
              </w:rPr>
              <w:t>90,05</w:t>
            </w:r>
          </w:p>
        </w:tc>
        <w:tc>
          <w:tcPr>
            <w:tcW w:w="709" w:type="pct"/>
            <w:tcBorders>
              <w:top w:val="single" w:sz="4" w:space="0" w:color="auto"/>
              <w:left w:val="single" w:sz="4" w:space="0" w:color="auto"/>
              <w:bottom w:val="single" w:sz="4" w:space="0" w:color="auto"/>
              <w:right w:val="single" w:sz="4" w:space="0" w:color="auto"/>
            </w:tcBorders>
            <w:vAlign w:val="center"/>
          </w:tcPr>
          <w:p w:rsidR="001E7B45" w:rsidRPr="00056A5C" w:rsidRDefault="001E7B45" w:rsidP="008C1AA9">
            <w:pPr>
              <w:spacing w:after="0" w:line="240" w:lineRule="auto"/>
              <w:jc w:val="center"/>
              <w:rPr>
                <w:rFonts w:eastAsia="Calibri"/>
                <w:color w:val="000000"/>
                <w:lang w:val="en-US" w:eastAsia="en-US"/>
              </w:rPr>
            </w:pPr>
            <w:r w:rsidRPr="00056A5C">
              <w:rPr>
                <w:rFonts w:eastAsia="Calibri"/>
                <w:color w:val="000000"/>
                <w:lang w:val="en-US" w:eastAsia="en-US"/>
              </w:rPr>
              <w:t>0,05/</w:t>
            </w:r>
          </w:p>
          <w:p w:rsidR="001E7B45" w:rsidRPr="00056A5C" w:rsidRDefault="001E7B45" w:rsidP="008C1AA9">
            <w:pPr>
              <w:spacing w:after="0" w:line="240" w:lineRule="auto"/>
              <w:jc w:val="center"/>
              <w:rPr>
                <w:rFonts w:eastAsia="Calibri"/>
                <w:color w:val="000000"/>
                <w:lang w:val="en-US" w:eastAsia="en-US"/>
              </w:rPr>
            </w:pPr>
            <w:r w:rsidRPr="00056A5C">
              <w:rPr>
                <w:rFonts w:eastAsia="Calibri"/>
                <w:color w:val="000000"/>
                <w:lang w:val="en-US" w:eastAsia="en-US"/>
              </w:rPr>
              <w:t>0,05</w:t>
            </w:r>
          </w:p>
        </w:tc>
      </w:tr>
      <w:tr w:rsidR="001E7B45" w:rsidRPr="00056A5C" w:rsidTr="00BD58BF">
        <w:tc>
          <w:tcPr>
            <w:tcW w:w="1510" w:type="pct"/>
            <w:tcBorders>
              <w:top w:val="single" w:sz="4" w:space="0" w:color="auto"/>
              <w:left w:val="single" w:sz="4" w:space="0" w:color="auto"/>
              <w:bottom w:val="single" w:sz="4" w:space="0" w:color="auto"/>
              <w:right w:val="single" w:sz="4" w:space="0" w:color="auto"/>
            </w:tcBorders>
            <w:vAlign w:val="center"/>
          </w:tcPr>
          <w:p w:rsidR="001E7B45" w:rsidRPr="00056A5C" w:rsidRDefault="001E7B45" w:rsidP="008C1AA9">
            <w:pPr>
              <w:spacing w:after="0" w:line="240" w:lineRule="auto"/>
              <w:rPr>
                <w:rFonts w:eastAsia="Calibri"/>
                <w:lang w:eastAsia="en-US"/>
              </w:rPr>
            </w:pPr>
            <w:r w:rsidRPr="00056A5C">
              <w:rPr>
                <w:rFonts w:eastAsia="Calibri"/>
                <w:lang w:eastAsia="en-US"/>
              </w:rPr>
              <w:t xml:space="preserve">18.Общество с ограниченной ответственностью «РП-10» </w:t>
            </w:r>
          </w:p>
        </w:tc>
        <w:tc>
          <w:tcPr>
            <w:tcW w:w="475" w:type="pct"/>
            <w:tcBorders>
              <w:top w:val="single" w:sz="4" w:space="0" w:color="auto"/>
              <w:left w:val="single" w:sz="4" w:space="0" w:color="auto"/>
              <w:bottom w:val="single" w:sz="4" w:space="0" w:color="auto"/>
              <w:right w:val="single" w:sz="4" w:space="0" w:color="auto"/>
            </w:tcBorders>
            <w:vAlign w:val="center"/>
          </w:tcPr>
          <w:p w:rsidR="001E7B45" w:rsidRPr="00056A5C" w:rsidRDefault="001E7B45" w:rsidP="008C1AA9">
            <w:pPr>
              <w:spacing w:after="0" w:line="240" w:lineRule="auto"/>
              <w:jc w:val="both"/>
              <w:rPr>
                <w:rFonts w:eastAsia="Calibri"/>
                <w:lang w:val="en-US" w:eastAsia="en-US"/>
              </w:rPr>
            </w:pPr>
            <w:r w:rsidRPr="00056A5C">
              <w:rPr>
                <w:rFonts w:eastAsia="Calibri"/>
                <w:lang w:val="en-US" w:eastAsia="en-US"/>
              </w:rPr>
              <w:t>0,94</w:t>
            </w:r>
          </w:p>
        </w:tc>
        <w:tc>
          <w:tcPr>
            <w:tcW w:w="477" w:type="pct"/>
            <w:tcBorders>
              <w:top w:val="single" w:sz="4" w:space="0" w:color="auto"/>
              <w:left w:val="single" w:sz="4" w:space="0" w:color="auto"/>
              <w:bottom w:val="single" w:sz="4" w:space="0" w:color="auto"/>
              <w:right w:val="single" w:sz="4" w:space="0" w:color="auto"/>
            </w:tcBorders>
            <w:vAlign w:val="center"/>
          </w:tcPr>
          <w:p w:rsidR="001E7B45" w:rsidRPr="00056A5C" w:rsidRDefault="001E7B45" w:rsidP="008C1AA9">
            <w:pPr>
              <w:spacing w:after="0" w:line="240" w:lineRule="auto"/>
              <w:jc w:val="both"/>
              <w:rPr>
                <w:rFonts w:eastAsia="Calibri"/>
                <w:lang w:val="en-US" w:eastAsia="en-US"/>
              </w:rPr>
            </w:pPr>
            <w:r w:rsidRPr="00056A5C">
              <w:rPr>
                <w:rFonts w:eastAsia="Calibri"/>
                <w:lang w:val="en-US" w:eastAsia="en-US"/>
              </w:rPr>
              <w:t>0,69</w:t>
            </w:r>
          </w:p>
        </w:tc>
        <w:tc>
          <w:tcPr>
            <w:tcW w:w="718" w:type="pct"/>
            <w:tcBorders>
              <w:top w:val="single" w:sz="4" w:space="0" w:color="auto"/>
              <w:left w:val="single" w:sz="4" w:space="0" w:color="auto"/>
              <w:bottom w:val="single" w:sz="4" w:space="0" w:color="auto"/>
              <w:right w:val="single" w:sz="4" w:space="0" w:color="auto"/>
            </w:tcBorders>
            <w:vAlign w:val="center"/>
          </w:tcPr>
          <w:p w:rsidR="001E7B45" w:rsidRPr="00056A5C" w:rsidRDefault="001E7B45" w:rsidP="008C1AA9">
            <w:pPr>
              <w:spacing w:after="0" w:line="240" w:lineRule="auto"/>
              <w:jc w:val="center"/>
              <w:rPr>
                <w:rFonts w:eastAsia="Calibri"/>
                <w:color w:val="000000"/>
                <w:lang w:val="en-US" w:eastAsia="en-US"/>
              </w:rPr>
            </w:pPr>
            <w:r w:rsidRPr="00056A5C">
              <w:rPr>
                <w:rFonts w:eastAsia="Calibri"/>
                <w:color w:val="000000"/>
                <w:lang w:val="en-US" w:eastAsia="en-US"/>
              </w:rPr>
              <w:t>134,74</w:t>
            </w:r>
          </w:p>
        </w:tc>
        <w:tc>
          <w:tcPr>
            <w:tcW w:w="480" w:type="pct"/>
            <w:tcBorders>
              <w:top w:val="single" w:sz="4" w:space="0" w:color="auto"/>
              <w:left w:val="single" w:sz="4" w:space="0" w:color="auto"/>
              <w:bottom w:val="single" w:sz="4" w:space="0" w:color="auto"/>
              <w:right w:val="single" w:sz="4" w:space="0" w:color="auto"/>
            </w:tcBorders>
            <w:vAlign w:val="center"/>
          </w:tcPr>
          <w:p w:rsidR="001E7B45" w:rsidRPr="00056A5C" w:rsidRDefault="001E7B45" w:rsidP="008C1AA9">
            <w:pPr>
              <w:spacing w:after="0" w:line="240" w:lineRule="auto"/>
              <w:jc w:val="both"/>
              <w:rPr>
                <w:rFonts w:eastAsia="Calibri"/>
                <w:lang w:val="en-US" w:eastAsia="en-US"/>
              </w:rPr>
            </w:pPr>
            <w:r w:rsidRPr="00056A5C">
              <w:rPr>
                <w:rFonts w:eastAsia="Calibri"/>
                <w:lang w:val="en-US" w:eastAsia="en-US"/>
              </w:rPr>
              <w:t>0,75</w:t>
            </w:r>
          </w:p>
        </w:tc>
        <w:tc>
          <w:tcPr>
            <w:tcW w:w="631" w:type="pct"/>
            <w:tcBorders>
              <w:top w:val="single" w:sz="4" w:space="0" w:color="auto"/>
              <w:left w:val="single" w:sz="4" w:space="0" w:color="auto"/>
              <w:bottom w:val="single" w:sz="4" w:space="0" w:color="auto"/>
              <w:right w:val="single" w:sz="4" w:space="0" w:color="auto"/>
            </w:tcBorders>
            <w:vAlign w:val="center"/>
          </w:tcPr>
          <w:p w:rsidR="001E7B45" w:rsidRPr="00056A5C" w:rsidRDefault="001E7B45" w:rsidP="008C1AA9">
            <w:pPr>
              <w:spacing w:after="0" w:line="240" w:lineRule="auto"/>
              <w:jc w:val="center"/>
              <w:rPr>
                <w:rFonts w:eastAsia="Calibri"/>
                <w:color w:val="000000"/>
                <w:lang w:val="en-US" w:eastAsia="en-US"/>
              </w:rPr>
            </w:pPr>
            <w:r w:rsidRPr="00056A5C">
              <w:rPr>
                <w:rFonts w:eastAsia="Calibri"/>
                <w:color w:val="000000"/>
                <w:lang w:val="en-US" w:eastAsia="en-US"/>
              </w:rPr>
              <w:t>91,76</w:t>
            </w:r>
          </w:p>
        </w:tc>
        <w:tc>
          <w:tcPr>
            <w:tcW w:w="709" w:type="pct"/>
            <w:tcBorders>
              <w:top w:val="single" w:sz="4" w:space="0" w:color="auto"/>
              <w:left w:val="single" w:sz="4" w:space="0" w:color="auto"/>
              <w:bottom w:val="single" w:sz="4" w:space="0" w:color="auto"/>
              <w:right w:val="single" w:sz="4" w:space="0" w:color="auto"/>
            </w:tcBorders>
            <w:vAlign w:val="center"/>
          </w:tcPr>
          <w:p w:rsidR="001E7B45" w:rsidRPr="00056A5C" w:rsidRDefault="001E7B45" w:rsidP="008C1AA9">
            <w:pPr>
              <w:spacing w:after="0" w:line="240" w:lineRule="auto"/>
              <w:jc w:val="center"/>
              <w:rPr>
                <w:rFonts w:eastAsia="Calibri"/>
                <w:color w:val="000000"/>
                <w:lang w:val="en-US" w:eastAsia="en-US"/>
              </w:rPr>
            </w:pPr>
          </w:p>
          <w:p w:rsidR="001E7B45" w:rsidRPr="00056A5C" w:rsidRDefault="001E7B45" w:rsidP="008C1AA9">
            <w:pPr>
              <w:spacing w:after="0" w:line="240" w:lineRule="auto"/>
              <w:jc w:val="center"/>
              <w:rPr>
                <w:rFonts w:eastAsia="Calibri"/>
                <w:color w:val="000000"/>
                <w:lang w:val="en-US" w:eastAsia="en-US"/>
              </w:rPr>
            </w:pPr>
            <w:r w:rsidRPr="00056A5C">
              <w:rPr>
                <w:rFonts w:eastAsia="Calibri"/>
                <w:color w:val="000000"/>
                <w:lang w:val="en-US" w:eastAsia="en-US"/>
              </w:rPr>
              <w:t>0,24/</w:t>
            </w:r>
          </w:p>
          <w:p w:rsidR="001E7B45" w:rsidRPr="00056A5C" w:rsidRDefault="001E7B45" w:rsidP="008C1AA9">
            <w:pPr>
              <w:spacing w:after="0" w:line="240" w:lineRule="auto"/>
              <w:jc w:val="center"/>
              <w:rPr>
                <w:rFonts w:eastAsia="Calibri"/>
                <w:color w:val="000000"/>
                <w:lang w:val="en-US" w:eastAsia="en-US"/>
              </w:rPr>
            </w:pPr>
            <w:r w:rsidRPr="00056A5C">
              <w:rPr>
                <w:rFonts w:eastAsia="Calibri"/>
                <w:color w:val="000000"/>
                <w:lang w:val="en-US" w:eastAsia="en-US"/>
              </w:rPr>
              <w:t>0,52</w:t>
            </w:r>
          </w:p>
        </w:tc>
      </w:tr>
      <w:tr w:rsidR="001E7B45" w:rsidRPr="00056A5C" w:rsidTr="00BD58BF">
        <w:tc>
          <w:tcPr>
            <w:tcW w:w="1510" w:type="pct"/>
            <w:tcBorders>
              <w:top w:val="single" w:sz="4" w:space="0" w:color="auto"/>
              <w:left w:val="single" w:sz="4" w:space="0" w:color="auto"/>
              <w:bottom w:val="single" w:sz="4" w:space="0" w:color="auto"/>
              <w:right w:val="single" w:sz="4" w:space="0" w:color="auto"/>
            </w:tcBorders>
            <w:vAlign w:val="center"/>
          </w:tcPr>
          <w:p w:rsidR="001E7B45" w:rsidRPr="00056A5C" w:rsidRDefault="001E7B45" w:rsidP="008C1AA9">
            <w:pPr>
              <w:spacing w:after="0" w:line="240" w:lineRule="auto"/>
              <w:rPr>
                <w:rFonts w:eastAsia="Calibri"/>
                <w:lang w:eastAsia="en-US"/>
              </w:rPr>
            </w:pPr>
            <w:r w:rsidRPr="00056A5C">
              <w:rPr>
                <w:rFonts w:eastAsia="Calibri"/>
                <w:lang w:eastAsia="en-US"/>
              </w:rPr>
              <w:t xml:space="preserve">19.Общество с ограниченной ответственностью «Энергосети Сибири» </w:t>
            </w:r>
          </w:p>
        </w:tc>
        <w:tc>
          <w:tcPr>
            <w:tcW w:w="475" w:type="pct"/>
            <w:tcBorders>
              <w:top w:val="single" w:sz="4" w:space="0" w:color="auto"/>
              <w:left w:val="single" w:sz="4" w:space="0" w:color="auto"/>
              <w:bottom w:val="single" w:sz="4" w:space="0" w:color="auto"/>
              <w:right w:val="single" w:sz="4" w:space="0" w:color="auto"/>
            </w:tcBorders>
            <w:vAlign w:val="center"/>
          </w:tcPr>
          <w:p w:rsidR="001E7B45" w:rsidRPr="00056A5C" w:rsidRDefault="001E7B45" w:rsidP="008C1AA9">
            <w:pPr>
              <w:spacing w:after="0" w:line="240" w:lineRule="auto"/>
              <w:jc w:val="both"/>
              <w:rPr>
                <w:rFonts w:eastAsia="Calibri"/>
                <w:lang w:val="en-US" w:eastAsia="en-US"/>
              </w:rPr>
            </w:pPr>
            <w:r w:rsidRPr="00056A5C">
              <w:rPr>
                <w:rFonts w:eastAsia="Calibri"/>
                <w:lang w:val="en-US" w:eastAsia="en-US"/>
              </w:rPr>
              <w:t>9,57</w:t>
            </w:r>
          </w:p>
        </w:tc>
        <w:tc>
          <w:tcPr>
            <w:tcW w:w="477" w:type="pct"/>
            <w:tcBorders>
              <w:top w:val="single" w:sz="4" w:space="0" w:color="auto"/>
              <w:left w:val="single" w:sz="4" w:space="0" w:color="auto"/>
              <w:bottom w:val="single" w:sz="4" w:space="0" w:color="auto"/>
              <w:right w:val="single" w:sz="4" w:space="0" w:color="auto"/>
            </w:tcBorders>
            <w:vAlign w:val="center"/>
          </w:tcPr>
          <w:p w:rsidR="001E7B45" w:rsidRPr="00056A5C" w:rsidRDefault="001E7B45" w:rsidP="008C1AA9">
            <w:pPr>
              <w:spacing w:after="0" w:line="240" w:lineRule="auto"/>
              <w:jc w:val="both"/>
              <w:rPr>
                <w:rFonts w:eastAsia="Calibri"/>
                <w:lang w:val="en-US" w:eastAsia="en-US"/>
              </w:rPr>
            </w:pPr>
            <w:r w:rsidRPr="00056A5C">
              <w:rPr>
                <w:rFonts w:eastAsia="Calibri"/>
                <w:lang w:val="en-US" w:eastAsia="en-US"/>
              </w:rPr>
              <w:t>9,86</w:t>
            </w:r>
          </w:p>
        </w:tc>
        <w:tc>
          <w:tcPr>
            <w:tcW w:w="718" w:type="pct"/>
            <w:tcBorders>
              <w:top w:val="single" w:sz="4" w:space="0" w:color="auto"/>
              <w:left w:val="single" w:sz="4" w:space="0" w:color="auto"/>
              <w:bottom w:val="single" w:sz="4" w:space="0" w:color="auto"/>
              <w:right w:val="single" w:sz="4" w:space="0" w:color="auto"/>
            </w:tcBorders>
            <w:vAlign w:val="center"/>
          </w:tcPr>
          <w:p w:rsidR="001E7B45" w:rsidRPr="00056A5C" w:rsidRDefault="001E7B45" w:rsidP="008C1AA9">
            <w:pPr>
              <w:spacing w:after="0" w:line="240" w:lineRule="auto"/>
              <w:jc w:val="center"/>
              <w:rPr>
                <w:rFonts w:eastAsia="Calibri"/>
                <w:color w:val="000000"/>
                <w:lang w:val="en-US" w:eastAsia="en-US"/>
              </w:rPr>
            </w:pPr>
            <w:r w:rsidRPr="00056A5C">
              <w:rPr>
                <w:rFonts w:eastAsia="Calibri"/>
                <w:color w:val="000000"/>
                <w:lang w:val="en-US" w:eastAsia="en-US"/>
              </w:rPr>
              <w:t>96,63</w:t>
            </w:r>
          </w:p>
        </w:tc>
        <w:tc>
          <w:tcPr>
            <w:tcW w:w="480" w:type="pct"/>
            <w:tcBorders>
              <w:top w:val="single" w:sz="4" w:space="0" w:color="auto"/>
              <w:left w:val="single" w:sz="4" w:space="0" w:color="auto"/>
              <w:bottom w:val="single" w:sz="4" w:space="0" w:color="auto"/>
              <w:right w:val="single" w:sz="4" w:space="0" w:color="auto"/>
            </w:tcBorders>
            <w:vAlign w:val="center"/>
          </w:tcPr>
          <w:p w:rsidR="001E7B45" w:rsidRPr="00056A5C" w:rsidRDefault="001E7B45" w:rsidP="008C1AA9">
            <w:pPr>
              <w:spacing w:after="0" w:line="240" w:lineRule="auto"/>
              <w:jc w:val="both"/>
              <w:rPr>
                <w:rFonts w:eastAsia="Calibri"/>
                <w:lang w:val="en-US" w:eastAsia="en-US"/>
              </w:rPr>
            </w:pPr>
            <w:r w:rsidRPr="00056A5C">
              <w:rPr>
                <w:rFonts w:eastAsia="Calibri"/>
                <w:lang w:val="en-US" w:eastAsia="en-US"/>
              </w:rPr>
              <w:t>11,19</w:t>
            </w:r>
          </w:p>
        </w:tc>
        <w:tc>
          <w:tcPr>
            <w:tcW w:w="631" w:type="pct"/>
            <w:tcBorders>
              <w:top w:val="single" w:sz="4" w:space="0" w:color="auto"/>
              <w:left w:val="single" w:sz="4" w:space="0" w:color="auto"/>
              <w:bottom w:val="single" w:sz="4" w:space="0" w:color="auto"/>
              <w:right w:val="single" w:sz="4" w:space="0" w:color="auto"/>
            </w:tcBorders>
            <w:vAlign w:val="center"/>
          </w:tcPr>
          <w:p w:rsidR="001E7B45" w:rsidRPr="00056A5C" w:rsidRDefault="001E7B45" w:rsidP="008C1AA9">
            <w:pPr>
              <w:spacing w:after="0" w:line="240" w:lineRule="auto"/>
              <w:jc w:val="center"/>
              <w:rPr>
                <w:rFonts w:eastAsia="Calibri"/>
                <w:color w:val="000000"/>
                <w:lang w:val="en-US" w:eastAsia="en-US"/>
              </w:rPr>
            </w:pPr>
            <w:r w:rsidRPr="00056A5C">
              <w:rPr>
                <w:rFonts w:eastAsia="Calibri"/>
                <w:color w:val="000000"/>
                <w:lang w:val="en-US" w:eastAsia="en-US"/>
              </w:rPr>
              <w:t>87,63</w:t>
            </w:r>
          </w:p>
        </w:tc>
        <w:tc>
          <w:tcPr>
            <w:tcW w:w="709" w:type="pct"/>
            <w:tcBorders>
              <w:top w:val="single" w:sz="4" w:space="0" w:color="auto"/>
              <w:left w:val="single" w:sz="4" w:space="0" w:color="auto"/>
              <w:bottom w:val="single" w:sz="4" w:space="0" w:color="auto"/>
              <w:right w:val="single" w:sz="4" w:space="0" w:color="auto"/>
            </w:tcBorders>
            <w:vAlign w:val="center"/>
          </w:tcPr>
          <w:p w:rsidR="001E7B45" w:rsidRPr="00056A5C" w:rsidRDefault="001E7B45" w:rsidP="008C1AA9">
            <w:pPr>
              <w:spacing w:after="0" w:line="240" w:lineRule="auto"/>
              <w:jc w:val="center"/>
              <w:rPr>
                <w:rFonts w:eastAsia="Calibri"/>
                <w:color w:val="000000"/>
                <w:lang w:val="en-US" w:eastAsia="en-US"/>
              </w:rPr>
            </w:pPr>
            <w:r w:rsidRPr="00056A5C">
              <w:rPr>
                <w:rFonts w:eastAsia="Calibri"/>
                <w:color w:val="000000"/>
                <w:lang w:val="en-US" w:eastAsia="en-US"/>
              </w:rPr>
              <w:t>0,5/</w:t>
            </w:r>
          </w:p>
          <w:p w:rsidR="001E7B45" w:rsidRPr="00056A5C" w:rsidRDefault="001E7B45" w:rsidP="008C1AA9">
            <w:pPr>
              <w:spacing w:after="0" w:line="240" w:lineRule="auto"/>
              <w:jc w:val="center"/>
              <w:rPr>
                <w:rFonts w:eastAsia="Calibri"/>
                <w:color w:val="000000"/>
                <w:lang w:val="en-US" w:eastAsia="en-US"/>
              </w:rPr>
            </w:pPr>
            <w:r w:rsidRPr="00056A5C">
              <w:rPr>
                <w:rFonts w:eastAsia="Calibri"/>
                <w:color w:val="000000"/>
                <w:lang w:val="en-US" w:eastAsia="en-US"/>
              </w:rPr>
              <w:t>0,5</w:t>
            </w:r>
          </w:p>
        </w:tc>
      </w:tr>
      <w:tr w:rsidR="001E7B45" w:rsidRPr="00056A5C" w:rsidTr="00BD58BF">
        <w:tc>
          <w:tcPr>
            <w:tcW w:w="1510" w:type="pct"/>
            <w:tcBorders>
              <w:top w:val="single" w:sz="4" w:space="0" w:color="auto"/>
              <w:left w:val="single" w:sz="4" w:space="0" w:color="auto"/>
              <w:bottom w:val="single" w:sz="4" w:space="0" w:color="auto"/>
              <w:right w:val="single" w:sz="4" w:space="0" w:color="auto"/>
            </w:tcBorders>
            <w:vAlign w:val="center"/>
          </w:tcPr>
          <w:p w:rsidR="001E7B45" w:rsidRPr="00056A5C" w:rsidRDefault="001E7B45" w:rsidP="008C1AA9">
            <w:pPr>
              <w:spacing w:after="0" w:line="240" w:lineRule="auto"/>
              <w:rPr>
                <w:rFonts w:eastAsia="Calibri"/>
                <w:lang w:eastAsia="en-US"/>
              </w:rPr>
            </w:pPr>
            <w:r w:rsidRPr="00056A5C">
              <w:rPr>
                <w:rFonts w:eastAsia="Calibri"/>
                <w:lang w:eastAsia="en-US"/>
              </w:rPr>
              <w:t xml:space="preserve">20.Открытое Акционерное общество «Объединенная энергетическая </w:t>
            </w:r>
            <w:r w:rsidRPr="00056A5C">
              <w:rPr>
                <w:rFonts w:eastAsia="Calibri"/>
                <w:lang w:eastAsia="en-US"/>
              </w:rPr>
              <w:lastRenderedPageBreak/>
              <w:t xml:space="preserve">компания» в лице филиала «Сибирский» </w:t>
            </w:r>
          </w:p>
        </w:tc>
        <w:tc>
          <w:tcPr>
            <w:tcW w:w="475" w:type="pct"/>
            <w:tcBorders>
              <w:top w:val="single" w:sz="4" w:space="0" w:color="auto"/>
              <w:left w:val="single" w:sz="4" w:space="0" w:color="auto"/>
              <w:bottom w:val="single" w:sz="4" w:space="0" w:color="auto"/>
              <w:right w:val="single" w:sz="4" w:space="0" w:color="auto"/>
            </w:tcBorders>
            <w:vAlign w:val="center"/>
          </w:tcPr>
          <w:p w:rsidR="001E7B45" w:rsidRPr="00056A5C" w:rsidRDefault="001E7B45" w:rsidP="008C1AA9">
            <w:pPr>
              <w:spacing w:after="0" w:line="240" w:lineRule="auto"/>
              <w:jc w:val="both"/>
              <w:rPr>
                <w:rFonts w:eastAsia="Calibri"/>
                <w:lang w:val="en-US" w:eastAsia="en-US"/>
              </w:rPr>
            </w:pPr>
            <w:r w:rsidRPr="00056A5C">
              <w:rPr>
                <w:rFonts w:eastAsia="Calibri"/>
                <w:lang w:val="en-US" w:eastAsia="en-US"/>
              </w:rPr>
              <w:lastRenderedPageBreak/>
              <w:t>4,34</w:t>
            </w:r>
          </w:p>
        </w:tc>
        <w:tc>
          <w:tcPr>
            <w:tcW w:w="477" w:type="pct"/>
            <w:tcBorders>
              <w:top w:val="single" w:sz="4" w:space="0" w:color="auto"/>
              <w:left w:val="single" w:sz="4" w:space="0" w:color="auto"/>
              <w:bottom w:val="single" w:sz="4" w:space="0" w:color="auto"/>
              <w:right w:val="single" w:sz="4" w:space="0" w:color="auto"/>
            </w:tcBorders>
            <w:vAlign w:val="center"/>
          </w:tcPr>
          <w:p w:rsidR="001E7B45" w:rsidRPr="00056A5C" w:rsidRDefault="001E7B45" w:rsidP="008C1AA9">
            <w:pPr>
              <w:spacing w:after="0" w:line="240" w:lineRule="auto"/>
              <w:jc w:val="both"/>
              <w:rPr>
                <w:rFonts w:eastAsia="Calibri"/>
                <w:lang w:val="en-US" w:eastAsia="en-US"/>
              </w:rPr>
            </w:pPr>
            <w:r w:rsidRPr="00056A5C">
              <w:rPr>
                <w:rFonts w:eastAsia="Calibri"/>
                <w:lang w:val="en-US" w:eastAsia="en-US"/>
              </w:rPr>
              <w:t>9,06</w:t>
            </w:r>
          </w:p>
        </w:tc>
        <w:tc>
          <w:tcPr>
            <w:tcW w:w="718" w:type="pct"/>
            <w:tcBorders>
              <w:top w:val="single" w:sz="4" w:space="0" w:color="auto"/>
              <w:left w:val="single" w:sz="4" w:space="0" w:color="auto"/>
              <w:bottom w:val="single" w:sz="4" w:space="0" w:color="auto"/>
              <w:right w:val="single" w:sz="4" w:space="0" w:color="auto"/>
            </w:tcBorders>
            <w:vAlign w:val="center"/>
          </w:tcPr>
          <w:p w:rsidR="001E7B45" w:rsidRPr="00056A5C" w:rsidRDefault="001E7B45" w:rsidP="008C1AA9">
            <w:pPr>
              <w:spacing w:after="0" w:line="240" w:lineRule="auto"/>
              <w:jc w:val="center"/>
              <w:rPr>
                <w:rFonts w:eastAsia="Calibri"/>
                <w:color w:val="000000"/>
                <w:lang w:val="en-US" w:eastAsia="en-US"/>
              </w:rPr>
            </w:pPr>
            <w:r w:rsidRPr="00056A5C">
              <w:rPr>
                <w:rFonts w:eastAsia="Calibri"/>
                <w:color w:val="000000"/>
                <w:lang w:val="en-US" w:eastAsia="en-US"/>
              </w:rPr>
              <w:t>47,90</w:t>
            </w:r>
          </w:p>
        </w:tc>
        <w:tc>
          <w:tcPr>
            <w:tcW w:w="480" w:type="pct"/>
            <w:tcBorders>
              <w:top w:val="single" w:sz="4" w:space="0" w:color="auto"/>
              <w:left w:val="single" w:sz="4" w:space="0" w:color="auto"/>
              <w:bottom w:val="single" w:sz="4" w:space="0" w:color="auto"/>
              <w:right w:val="single" w:sz="4" w:space="0" w:color="auto"/>
            </w:tcBorders>
            <w:vAlign w:val="center"/>
          </w:tcPr>
          <w:p w:rsidR="001E7B45" w:rsidRPr="00056A5C" w:rsidRDefault="001E7B45" w:rsidP="008C1AA9">
            <w:pPr>
              <w:spacing w:after="0" w:line="240" w:lineRule="auto"/>
              <w:jc w:val="both"/>
              <w:rPr>
                <w:rFonts w:eastAsia="Calibri"/>
                <w:lang w:val="en-US" w:eastAsia="en-US"/>
              </w:rPr>
            </w:pPr>
            <w:r w:rsidRPr="00056A5C">
              <w:rPr>
                <w:rFonts w:eastAsia="Calibri"/>
                <w:lang w:val="en-US" w:eastAsia="en-US"/>
              </w:rPr>
              <w:t>6,88</w:t>
            </w:r>
          </w:p>
        </w:tc>
        <w:tc>
          <w:tcPr>
            <w:tcW w:w="631" w:type="pct"/>
            <w:tcBorders>
              <w:top w:val="single" w:sz="4" w:space="0" w:color="auto"/>
              <w:left w:val="single" w:sz="4" w:space="0" w:color="auto"/>
              <w:bottom w:val="single" w:sz="4" w:space="0" w:color="auto"/>
              <w:right w:val="single" w:sz="4" w:space="0" w:color="auto"/>
            </w:tcBorders>
            <w:vAlign w:val="center"/>
          </w:tcPr>
          <w:p w:rsidR="001E7B45" w:rsidRPr="00056A5C" w:rsidRDefault="001E7B45" w:rsidP="008C1AA9">
            <w:pPr>
              <w:spacing w:after="0" w:line="240" w:lineRule="auto"/>
              <w:jc w:val="center"/>
              <w:rPr>
                <w:rFonts w:eastAsia="Calibri"/>
                <w:color w:val="000000"/>
                <w:lang w:val="en-US" w:eastAsia="en-US"/>
              </w:rPr>
            </w:pPr>
            <w:r w:rsidRPr="00056A5C">
              <w:rPr>
                <w:rFonts w:eastAsia="Calibri"/>
                <w:color w:val="000000"/>
                <w:lang w:val="en-US" w:eastAsia="en-US"/>
              </w:rPr>
              <w:t>131,32</w:t>
            </w:r>
          </w:p>
        </w:tc>
        <w:tc>
          <w:tcPr>
            <w:tcW w:w="709" w:type="pct"/>
            <w:tcBorders>
              <w:top w:val="single" w:sz="4" w:space="0" w:color="auto"/>
              <w:left w:val="single" w:sz="4" w:space="0" w:color="auto"/>
              <w:bottom w:val="single" w:sz="4" w:space="0" w:color="auto"/>
              <w:right w:val="single" w:sz="4" w:space="0" w:color="auto"/>
            </w:tcBorders>
            <w:vAlign w:val="center"/>
          </w:tcPr>
          <w:p w:rsidR="001E7B45" w:rsidRPr="00056A5C" w:rsidRDefault="001E7B45" w:rsidP="008C1AA9">
            <w:pPr>
              <w:spacing w:after="0" w:line="240" w:lineRule="auto"/>
              <w:jc w:val="center"/>
              <w:rPr>
                <w:rFonts w:eastAsia="Calibri"/>
                <w:color w:val="000000"/>
                <w:lang w:val="en-US" w:eastAsia="en-US"/>
              </w:rPr>
            </w:pPr>
            <w:r w:rsidRPr="00056A5C">
              <w:rPr>
                <w:rFonts w:eastAsia="Calibri"/>
                <w:color w:val="000000"/>
                <w:lang w:val="en-US" w:eastAsia="en-US"/>
              </w:rPr>
              <w:t>0,5/</w:t>
            </w:r>
          </w:p>
          <w:p w:rsidR="001E7B45" w:rsidRPr="00056A5C" w:rsidRDefault="001E7B45" w:rsidP="008C1AA9">
            <w:pPr>
              <w:spacing w:after="0" w:line="240" w:lineRule="auto"/>
              <w:jc w:val="center"/>
              <w:rPr>
                <w:rFonts w:eastAsia="Calibri"/>
                <w:color w:val="000000"/>
                <w:lang w:val="en-US" w:eastAsia="en-US"/>
              </w:rPr>
            </w:pPr>
            <w:r w:rsidRPr="00056A5C">
              <w:rPr>
                <w:rFonts w:eastAsia="Calibri"/>
                <w:color w:val="000000"/>
                <w:lang w:val="en-US" w:eastAsia="en-US"/>
              </w:rPr>
              <w:t>0,2</w:t>
            </w:r>
          </w:p>
        </w:tc>
      </w:tr>
      <w:tr w:rsidR="001E7B45" w:rsidRPr="00056A5C" w:rsidTr="00BD58BF">
        <w:tc>
          <w:tcPr>
            <w:tcW w:w="1510" w:type="pct"/>
            <w:tcBorders>
              <w:top w:val="single" w:sz="4" w:space="0" w:color="auto"/>
              <w:left w:val="single" w:sz="4" w:space="0" w:color="auto"/>
              <w:bottom w:val="single" w:sz="4" w:space="0" w:color="auto"/>
              <w:right w:val="single" w:sz="4" w:space="0" w:color="auto"/>
            </w:tcBorders>
            <w:vAlign w:val="center"/>
          </w:tcPr>
          <w:p w:rsidR="001E7B45" w:rsidRPr="00056A5C" w:rsidRDefault="001E7B45" w:rsidP="008C1AA9">
            <w:pPr>
              <w:spacing w:after="0" w:line="240" w:lineRule="auto"/>
              <w:rPr>
                <w:rFonts w:eastAsia="Calibri"/>
                <w:lang w:eastAsia="en-US"/>
              </w:rPr>
            </w:pPr>
            <w:r w:rsidRPr="00056A5C">
              <w:rPr>
                <w:rFonts w:eastAsia="Calibri"/>
                <w:lang w:eastAsia="en-US"/>
              </w:rPr>
              <w:lastRenderedPageBreak/>
              <w:t>21.Акционерное общество «Энерготранзит»</w:t>
            </w:r>
          </w:p>
        </w:tc>
        <w:tc>
          <w:tcPr>
            <w:tcW w:w="475" w:type="pct"/>
            <w:tcBorders>
              <w:top w:val="single" w:sz="4" w:space="0" w:color="auto"/>
              <w:left w:val="single" w:sz="4" w:space="0" w:color="auto"/>
              <w:bottom w:val="single" w:sz="4" w:space="0" w:color="auto"/>
              <w:right w:val="single" w:sz="4" w:space="0" w:color="auto"/>
            </w:tcBorders>
            <w:vAlign w:val="center"/>
          </w:tcPr>
          <w:p w:rsidR="001E7B45" w:rsidRPr="00056A5C" w:rsidRDefault="001E7B45" w:rsidP="008C1AA9">
            <w:pPr>
              <w:spacing w:after="0" w:line="240" w:lineRule="auto"/>
              <w:jc w:val="both"/>
              <w:rPr>
                <w:rFonts w:eastAsia="Calibri"/>
                <w:lang w:val="en-US" w:eastAsia="en-US"/>
              </w:rPr>
            </w:pPr>
            <w:r w:rsidRPr="00056A5C">
              <w:rPr>
                <w:rFonts w:eastAsia="Calibri"/>
                <w:lang w:val="en-US" w:eastAsia="en-US"/>
              </w:rPr>
              <w:t>2,47</w:t>
            </w:r>
          </w:p>
        </w:tc>
        <w:tc>
          <w:tcPr>
            <w:tcW w:w="477" w:type="pct"/>
            <w:tcBorders>
              <w:top w:val="single" w:sz="4" w:space="0" w:color="auto"/>
              <w:left w:val="single" w:sz="4" w:space="0" w:color="auto"/>
              <w:bottom w:val="single" w:sz="4" w:space="0" w:color="auto"/>
              <w:right w:val="single" w:sz="4" w:space="0" w:color="auto"/>
            </w:tcBorders>
            <w:vAlign w:val="center"/>
          </w:tcPr>
          <w:p w:rsidR="001E7B45" w:rsidRPr="00056A5C" w:rsidRDefault="001E7B45" w:rsidP="008C1AA9">
            <w:pPr>
              <w:spacing w:after="0" w:line="240" w:lineRule="auto"/>
              <w:jc w:val="both"/>
              <w:rPr>
                <w:rFonts w:eastAsia="Calibri"/>
                <w:lang w:val="en-US" w:eastAsia="en-US"/>
              </w:rPr>
            </w:pPr>
            <w:r w:rsidRPr="00056A5C">
              <w:rPr>
                <w:rFonts w:eastAsia="Calibri"/>
                <w:lang w:val="en-US" w:eastAsia="en-US"/>
              </w:rPr>
              <w:t>1,63</w:t>
            </w:r>
          </w:p>
        </w:tc>
        <w:tc>
          <w:tcPr>
            <w:tcW w:w="718" w:type="pct"/>
            <w:tcBorders>
              <w:top w:val="single" w:sz="4" w:space="0" w:color="auto"/>
              <w:left w:val="single" w:sz="4" w:space="0" w:color="auto"/>
              <w:bottom w:val="single" w:sz="4" w:space="0" w:color="auto"/>
              <w:right w:val="single" w:sz="4" w:space="0" w:color="auto"/>
            </w:tcBorders>
            <w:vAlign w:val="center"/>
          </w:tcPr>
          <w:p w:rsidR="001E7B45" w:rsidRPr="00056A5C" w:rsidRDefault="001E7B45" w:rsidP="008C1AA9">
            <w:pPr>
              <w:spacing w:after="0" w:line="240" w:lineRule="auto"/>
              <w:jc w:val="center"/>
              <w:rPr>
                <w:rFonts w:eastAsia="Calibri"/>
                <w:color w:val="000000"/>
                <w:lang w:val="en-US" w:eastAsia="en-US"/>
              </w:rPr>
            </w:pPr>
            <w:r w:rsidRPr="00056A5C">
              <w:rPr>
                <w:rFonts w:eastAsia="Calibri"/>
                <w:color w:val="000000"/>
                <w:lang w:val="en-US" w:eastAsia="en-US"/>
              </w:rPr>
              <w:t>151,38</w:t>
            </w:r>
          </w:p>
        </w:tc>
        <w:tc>
          <w:tcPr>
            <w:tcW w:w="480" w:type="pct"/>
            <w:tcBorders>
              <w:top w:val="single" w:sz="4" w:space="0" w:color="auto"/>
              <w:left w:val="single" w:sz="4" w:space="0" w:color="auto"/>
              <w:bottom w:val="single" w:sz="4" w:space="0" w:color="auto"/>
              <w:right w:val="single" w:sz="4" w:space="0" w:color="auto"/>
            </w:tcBorders>
            <w:vAlign w:val="center"/>
          </w:tcPr>
          <w:p w:rsidR="001E7B45" w:rsidRPr="00056A5C" w:rsidRDefault="001E7B45" w:rsidP="008C1AA9">
            <w:pPr>
              <w:spacing w:after="0" w:line="240" w:lineRule="auto"/>
              <w:jc w:val="both"/>
              <w:rPr>
                <w:rFonts w:eastAsia="Calibri"/>
                <w:lang w:val="en-US" w:eastAsia="en-US"/>
              </w:rPr>
            </w:pPr>
            <w:r w:rsidRPr="00056A5C">
              <w:rPr>
                <w:rFonts w:eastAsia="Calibri"/>
                <w:lang w:val="en-US" w:eastAsia="en-US"/>
              </w:rPr>
              <w:t>0,71</w:t>
            </w:r>
          </w:p>
        </w:tc>
        <w:tc>
          <w:tcPr>
            <w:tcW w:w="631" w:type="pct"/>
            <w:tcBorders>
              <w:top w:val="single" w:sz="4" w:space="0" w:color="auto"/>
              <w:left w:val="single" w:sz="4" w:space="0" w:color="auto"/>
              <w:bottom w:val="single" w:sz="4" w:space="0" w:color="auto"/>
              <w:right w:val="single" w:sz="4" w:space="0" w:color="auto"/>
            </w:tcBorders>
            <w:vAlign w:val="center"/>
          </w:tcPr>
          <w:p w:rsidR="001E7B45" w:rsidRPr="00056A5C" w:rsidRDefault="001E7B45" w:rsidP="008C1AA9">
            <w:pPr>
              <w:spacing w:after="0" w:line="240" w:lineRule="auto"/>
              <w:jc w:val="center"/>
              <w:rPr>
                <w:rFonts w:eastAsia="Calibri"/>
                <w:color w:val="000000"/>
                <w:lang w:val="en-US" w:eastAsia="en-US"/>
              </w:rPr>
            </w:pPr>
            <w:r w:rsidRPr="00056A5C">
              <w:rPr>
                <w:rFonts w:eastAsia="Calibri"/>
                <w:color w:val="000000"/>
                <w:lang w:val="en-US" w:eastAsia="en-US"/>
              </w:rPr>
              <w:t>228,56</w:t>
            </w:r>
          </w:p>
        </w:tc>
        <w:tc>
          <w:tcPr>
            <w:tcW w:w="709" w:type="pct"/>
            <w:tcBorders>
              <w:top w:val="single" w:sz="4" w:space="0" w:color="auto"/>
              <w:left w:val="single" w:sz="4" w:space="0" w:color="auto"/>
              <w:bottom w:val="single" w:sz="4" w:space="0" w:color="auto"/>
              <w:right w:val="single" w:sz="4" w:space="0" w:color="auto"/>
            </w:tcBorders>
            <w:vAlign w:val="center"/>
          </w:tcPr>
          <w:p w:rsidR="001E7B45" w:rsidRPr="00056A5C" w:rsidRDefault="001E7B45" w:rsidP="008C1AA9">
            <w:pPr>
              <w:spacing w:after="0" w:line="240" w:lineRule="auto"/>
              <w:jc w:val="center"/>
              <w:rPr>
                <w:rFonts w:eastAsia="Calibri"/>
                <w:color w:val="000000"/>
                <w:lang w:val="en-US" w:eastAsia="en-US"/>
              </w:rPr>
            </w:pPr>
            <w:r w:rsidRPr="00056A5C">
              <w:rPr>
                <w:rFonts w:eastAsia="Calibri"/>
                <w:color w:val="000000"/>
                <w:lang w:val="en-US" w:eastAsia="en-US"/>
              </w:rPr>
              <w:t>0,5/</w:t>
            </w:r>
          </w:p>
          <w:p w:rsidR="001E7B45" w:rsidRPr="00056A5C" w:rsidRDefault="001E7B45" w:rsidP="008C1AA9">
            <w:pPr>
              <w:spacing w:after="0" w:line="240" w:lineRule="auto"/>
              <w:jc w:val="center"/>
              <w:rPr>
                <w:rFonts w:eastAsia="Calibri"/>
                <w:color w:val="000000"/>
                <w:lang w:val="en-US" w:eastAsia="en-US"/>
              </w:rPr>
            </w:pPr>
            <w:r w:rsidRPr="00056A5C">
              <w:rPr>
                <w:rFonts w:eastAsia="Calibri"/>
                <w:color w:val="000000"/>
                <w:lang w:val="en-US" w:eastAsia="en-US"/>
              </w:rPr>
              <w:t>0,1</w:t>
            </w:r>
          </w:p>
        </w:tc>
      </w:tr>
      <w:tr w:rsidR="001E7B45" w:rsidRPr="00056A5C" w:rsidTr="00BD58BF">
        <w:tc>
          <w:tcPr>
            <w:tcW w:w="1510" w:type="pct"/>
            <w:tcBorders>
              <w:top w:val="single" w:sz="4" w:space="0" w:color="auto"/>
              <w:left w:val="single" w:sz="4" w:space="0" w:color="auto"/>
              <w:bottom w:val="single" w:sz="4" w:space="0" w:color="auto"/>
              <w:right w:val="single" w:sz="4" w:space="0" w:color="auto"/>
            </w:tcBorders>
            <w:vAlign w:val="center"/>
          </w:tcPr>
          <w:p w:rsidR="001E7B45" w:rsidRPr="00056A5C" w:rsidRDefault="001E7B45" w:rsidP="008C1AA9">
            <w:pPr>
              <w:spacing w:after="0" w:line="240" w:lineRule="auto"/>
              <w:rPr>
                <w:rFonts w:eastAsia="Calibri"/>
                <w:lang w:eastAsia="en-US"/>
              </w:rPr>
            </w:pPr>
            <w:r w:rsidRPr="00056A5C">
              <w:rPr>
                <w:rFonts w:eastAsia="Calibri"/>
                <w:lang w:eastAsia="en-US"/>
              </w:rPr>
              <w:t>22.Общество с ограниченной ответственностью «Сервис-групп»</w:t>
            </w:r>
          </w:p>
        </w:tc>
        <w:tc>
          <w:tcPr>
            <w:tcW w:w="475" w:type="pct"/>
            <w:tcBorders>
              <w:top w:val="single" w:sz="4" w:space="0" w:color="auto"/>
              <w:left w:val="single" w:sz="4" w:space="0" w:color="auto"/>
              <w:bottom w:val="single" w:sz="4" w:space="0" w:color="auto"/>
              <w:right w:val="single" w:sz="4" w:space="0" w:color="auto"/>
            </w:tcBorders>
            <w:vAlign w:val="center"/>
          </w:tcPr>
          <w:p w:rsidR="001E7B45" w:rsidRPr="00056A5C" w:rsidRDefault="001E7B45" w:rsidP="008C1AA9">
            <w:pPr>
              <w:spacing w:after="0" w:line="240" w:lineRule="auto"/>
              <w:jc w:val="both"/>
              <w:rPr>
                <w:rFonts w:eastAsia="Calibri"/>
                <w:lang w:val="en-US" w:eastAsia="en-US"/>
              </w:rPr>
            </w:pPr>
            <w:r w:rsidRPr="00056A5C">
              <w:rPr>
                <w:rFonts w:eastAsia="Calibri"/>
                <w:lang w:val="en-US" w:eastAsia="en-US"/>
              </w:rPr>
              <w:t>2,33</w:t>
            </w:r>
          </w:p>
        </w:tc>
        <w:tc>
          <w:tcPr>
            <w:tcW w:w="477" w:type="pct"/>
            <w:tcBorders>
              <w:top w:val="single" w:sz="4" w:space="0" w:color="auto"/>
              <w:left w:val="single" w:sz="4" w:space="0" w:color="auto"/>
              <w:bottom w:val="single" w:sz="4" w:space="0" w:color="auto"/>
              <w:right w:val="single" w:sz="4" w:space="0" w:color="auto"/>
            </w:tcBorders>
            <w:vAlign w:val="center"/>
          </w:tcPr>
          <w:p w:rsidR="001E7B45" w:rsidRPr="00056A5C" w:rsidRDefault="001E7B45" w:rsidP="008C1AA9">
            <w:pPr>
              <w:spacing w:after="0" w:line="240" w:lineRule="auto"/>
              <w:jc w:val="both"/>
              <w:rPr>
                <w:rFonts w:eastAsia="Calibri"/>
                <w:lang w:val="en-US" w:eastAsia="en-US"/>
              </w:rPr>
            </w:pPr>
            <w:r w:rsidRPr="00056A5C">
              <w:rPr>
                <w:rFonts w:eastAsia="Calibri"/>
                <w:lang w:val="en-US" w:eastAsia="en-US"/>
              </w:rPr>
              <w:t>2,33</w:t>
            </w:r>
          </w:p>
        </w:tc>
        <w:tc>
          <w:tcPr>
            <w:tcW w:w="718" w:type="pct"/>
            <w:tcBorders>
              <w:top w:val="single" w:sz="4" w:space="0" w:color="auto"/>
              <w:left w:val="single" w:sz="4" w:space="0" w:color="auto"/>
              <w:bottom w:val="single" w:sz="4" w:space="0" w:color="auto"/>
              <w:right w:val="single" w:sz="4" w:space="0" w:color="auto"/>
            </w:tcBorders>
            <w:vAlign w:val="center"/>
          </w:tcPr>
          <w:p w:rsidR="001E7B45" w:rsidRPr="00056A5C" w:rsidRDefault="001E7B45" w:rsidP="008C1AA9">
            <w:pPr>
              <w:spacing w:after="0" w:line="240" w:lineRule="auto"/>
              <w:jc w:val="center"/>
              <w:rPr>
                <w:rFonts w:eastAsia="Calibri"/>
                <w:color w:val="000000"/>
                <w:lang w:val="en-US" w:eastAsia="en-US"/>
              </w:rPr>
            </w:pPr>
            <w:r w:rsidRPr="00056A5C">
              <w:rPr>
                <w:rFonts w:eastAsia="Calibri"/>
                <w:color w:val="000000"/>
                <w:lang w:val="en-US" w:eastAsia="en-US"/>
              </w:rPr>
              <w:t>99,51</w:t>
            </w:r>
          </w:p>
        </w:tc>
        <w:tc>
          <w:tcPr>
            <w:tcW w:w="480" w:type="pct"/>
            <w:tcBorders>
              <w:top w:val="single" w:sz="4" w:space="0" w:color="auto"/>
              <w:left w:val="single" w:sz="4" w:space="0" w:color="auto"/>
              <w:bottom w:val="single" w:sz="4" w:space="0" w:color="auto"/>
              <w:right w:val="single" w:sz="4" w:space="0" w:color="auto"/>
            </w:tcBorders>
            <w:vAlign w:val="center"/>
          </w:tcPr>
          <w:p w:rsidR="001E7B45" w:rsidRPr="00056A5C" w:rsidRDefault="001E7B45" w:rsidP="008C1AA9">
            <w:pPr>
              <w:spacing w:after="0" w:line="240" w:lineRule="auto"/>
              <w:jc w:val="both"/>
              <w:rPr>
                <w:rFonts w:eastAsia="Calibri"/>
                <w:lang w:val="en-US" w:eastAsia="en-US"/>
              </w:rPr>
            </w:pPr>
            <w:r w:rsidRPr="00056A5C">
              <w:rPr>
                <w:rFonts w:eastAsia="Calibri"/>
                <w:lang w:val="en-US" w:eastAsia="en-US"/>
              </w:rPr>
              <w:t>2,33</w:t>
            </w:r>
          </w:p>
        </w:tc>
        <w:tc>
          <w:tcPr>
            <w:tcW w:w="631" w:type="pct"/>
            <w:tcBorders>
              <w:top w:val="single" w:sz="4" w:space="0" w:color="auto"/>
              <w:left w:val="single" w:sz="4" w:space="0" w:color="auto"/>
              <w:bottom w:val="single" w:sz="4" w:space="0" w:color="auto"/>
              <w:right w:val="single" w:sz="4" w:space="0" w:color="auto"/>
            </w:tcBorders>
            <w:vAlign w:val="center"/>
          </w:tcPr>
          <w:p w:rsidR="001E7B45" w:rsidRPr="00056A5C" w:rsidRDefault="001E7B45" w:rsidP="008C1AA9">
            <w:pPr>
              <w:spacing w:after="0" w:line="240" w:lineRule="auto"/>
              <w:jc w:val="center"/>
              <w:rPr>
                <w:rFonts w:eastAsia="Calibri"/>
                <w:color w:val="000000"/>
                <w:lang w:val="en-US" w:eastAsia="en-US"/>
              </w:rPr>
            </w:pPr>
            <w:r w:rsidRPr="00056A5C">
              <w:rPr>
                <w:rFonts w:eastAsia="Calibri"/>
                <w:color w:val="000000"/>
                <w:lang w:val="en-US" w:eastAsia="en-US"/>
              </w:rPr>
              <w:t>99,51</w:t>
            </w:r>
          </w:p>
        </w:tc>
        <w:tc>
          <w:tcPr>
            <w:tcW w:w="709" w:type="pct"/>
            <w:tcBorders>
              <w:top w:val="single" w:sz="4" w:space="0" w:color="auto"/>
              <w:left w:val="single" w:sz="4" w:space="0" w:color="auto"/>
              <w:bottom w:val="single" w:sz="4" w:space="0" w:color="auto"/>
              <w:right w:val="single" w:sz="4" w:space="0" w:color="auto"/>
            </w:tcBorders>
            <w:vAlign w:val="center"/>
          </w:tcPr>
          <w:p w:rsidR="001E7B45" w:rsidRPr="00056A5C" w:rsidRDefault="001E7B45" w:rsidP="008C1AA9">
            <w:pPr>
              <w:spacing w:after="0" w:line="240" w:lineRule="auto"/>
              <w:jc w:val="center"/>
              <w:rPr>
                <w:rFonts w:eastAsia="Calibri"/>
                <w:color w:val="000000"/>
                <w:lang w:val="en-US" w:eastAsia="en-US"/>
              </w:rPr>
            </w:pPr>
            <w:r w:rsidRPr="00056A5C">
              <w:rPr>
                <w:rFonts w:eastAsia="Calibri"/>
                <w:color w:val="000000"/>
                <w:lang w:val="en-US" w:eastAsia="en-US"/>
              </w:rPr>
              <w:t>0,5/</w:t>
            </w:r>
          </w:p>
          <w:p w:rsidR="001E7B45" w:rsidRPr="00056A5C" w:rsidRDefault="001E7B45" w:rsidP="008C1AA9">
            <w:pPr>
              <w:spacing w:after="0" w:line="240" w:lineRule="auto"/>
              <w:jc w:val="center"/>
              <w:rPr>
                <w:rFonts w:eastAsia="Calibri"/>
                <w:color w:val="000000"/>
                <w:lang w:val="en-US" w:eastAsia="en-US"/>
              </w:rPr>
            </w:pPr>
            <w:r w:rsidRPr="00056A5C">
              <w:rPr>
                <w:rFonts w:eastAsia="Calibri"/>
                <w:color w:val="000000"/>
                <w:lang w:val="en-US" w:eastAsia="en-US"/>
              </w:rPr>
              <w:t>0,5</w:t>
            </w:r>
          </w:p>
        </w:tc>
      </w:tr>
      <w:tr w:rsidR="001E7B45" w:rsidRPr="00056A5C" w:rsidTr="00BD58BF">
        <w:tc>
          <w:tcPr>
            <w:tcW w:w="1510" w:type="pct"/>
            <w:tcBorders>
              <w:top w:val="single" w:sz="4" w:space="0" w:color="auto"/>
              <w:left w:val="single" w:sz="4" w:space="0" w:color="auto"/>
              <w:bottom w:val="single" w:sz="4" w:space="0" w:color="auto"/>
              <w:right w:val="single" w:sz="4" w:space="0" w:color="auto"/>
            </w:tcBorders>
            <w:vAlign w:val="center"/>
          </w:tcPr>
          <w:p w:rsidR="001E7B45" w:rsidRPr="00056A5C" w:rsidRDefault="001E7B45" w:rsidP="008C1AA9">
            <w:pPr>
              <w:spacing w:after="0" w:line="240" w:lineRule="auto"/>
              <w:rPr>
                <w:rFonts w:eastAsia="Calibri"/>
                <w:lang w:eastAsia="en-US"/>
              </w:rPr>
            </w:pPr>
            <w:r w:rsidRPr="00056A5C">
              <w:rPr>
                <w:rFonts w:eastAsia="Calibri"/>
                <w:lang w:eastAsia="en-US"/>
              </w:rPr>
              <w:t>23.Общество с ограниченной ответственностью «Сибирские электросети»</w:t>
            </w:r>
          </w:p>
        </w:tc>
        <w:tc>
          <w:tcPr>
            <w:tcW w:w="475" w:type="pct"/>
            <w:tcBorders>
              <w:top w:val="single" w:sz="4" w:space="0" w:color="auto"/>
              <w:left w:val="single" w:sz="4" w:space="0" w:color="auto"/>
              <w:bottom w:val="single" w:sz="4" w:space="0" w:color="auto"/>
              <w:right w:val="single" w:sz="4" w:space="0" w:color="auto"/>
            </w:tcBorders>
            <w:vAlign w:val="center"/>
          </w:tcPr>
          <w:p w:rsidR="001E7B45" w:rsidRPr="00056A5C" w:rsidRDefault="001E7B45" w:rsidP="008C1AA9">
            <w:pPr>
              <w:spacing w:after="0" w:line="240" w:lineRule="auto"/>
              <w:jc w:val="both"/>
              <w:rPr>
                <w:rFonts w:eastAsia="Calibri"/>
                <w:i/>
                <w:lang w:eastAsia="en-US"/>
              </w:rPr>
            </w:pPr>
            <w:r w:rsidRPr="00056A5C">
              <w:rPr>
                <w:rFonts w:eastAsia="Calibri"/>
                <w:i/>
                <w:sz w:val="22"/>
                <w:szCs w:val="22"/>
                <w:lang w:eastAsia="en-US"/>
              </w:rPr>
              <w:t>*</w:t>
            </w:r>
          </w:p>
        </w:tc>
        <w:tc>
          <w:tcPr>
            <w:tcW w:w="477" w:type="pct"/>
            <w:tcBorders>
              <w:top w:val="single" w:sz="4" w:space="0" w:color="auto"/>
              <w:left w:val="single" w:sz="4" w:space="0" w:color="auto"/>
              <w:bottom w:val="single" w:sz="4" w:space="0" w:color="auto"/>
              <w:right w:val="single" w:sz="4" w:space="0" w:color="auto"/>
            </w:tcBorders>
            <w:vAlign w:val="center"/>
          </w:tcPr>
          <w:p w:rsidR="001E7B45" w:rsidRPr="00056A5C" w:rsidRDefault="001E7B45" w:rsidP="008C1AA9">
            <w:pPr>
              <w:spacing w:after="0" w:line="240" w:lineRule="auto"/>
              <w:jc w:val="both"/>
              <w:rPr>
                <w:rFonts w:eastAsia="Calibri"/>
                <w:lang w:val="en-US" w:eastAsia="en-US"/>
              </w:rPr>
            </w:pPr>
            <w:r w:rsidRPr="00056A5C">
              <w:rPr>
                <w:rFonts w:eastAsia="Calibri"/>
                <w:lang w:val="en-US" w:eastAsia="en-US"/>
              </w:rPr>
              <w:t>7,05</w:t>
            </w:r>
          </w:p>
        </w:tc>
        <w:tc>
          <w:tcPr>
            <w:tcW w:w="718" w:type="pct"/>
            <w:tcBorders>
              <w:top w:val="single" w:sz="4" w:space="0" w:color="auto"/>
              <w:left w:val="single" w:sz="4" w:space="0" w:color="auto"/>
              <w:bottom w:val="single" w:sz="4" w:space="0" w:color="auto"/>
              <w:right w:val="single" w:sz="4" w:space="0" w:color="auto"/>
            </w:tcBorders>
            <w:vAlign w:val="center"/>
          </w:tcPr>
          <w:p w:rsidR="001E7B45" w:rsidRPr="00056A5C" w:rsidRDefault="001E7B45" w:rsidP="008C1AA9">
            <w:pPr>
              <w:spacing w:after="0" w:line="240" w:lineRule="auto"/>
              <w:jc w:val="center"/>
              <w:rPr>
                <w:rFonts w:eastAsia="Calibri"/>
                <w:color w:val="000000"/>
                <w:lang w:val="en-US" w:eastAsia="en-US"/>
              </w:rPr>
            </w:pPr>
            <w:r w:rsidRPr="00056A5C">
              <w:rPr>
                <w:rFonts w:eastAsia="Calibri"/>
                <w:color w:val="000000"/>
                <w:lang w:val="en-US" w:eastAsia="en-US"/>
              </w:rPr>
              <w:t>-</w:t>
            </w:r>
          </w:p>
        </w:tc>
        <w:tc>
          <w:tcPr>
            <w:tcW w:w="480" w:type="pct"/>
            <w:tcBorders>
              <w:top w:val="single" w:sz="4" w:space="0" w:color="auto"/>
              <w:left w:val="single" w:sz="4" w:space="0" w:color="auto"/>
              <w:bottom w:val="single" w:sz="4" w:space="0" w:color="auto"/>
              <w:right w:val="single" w:sz="4" w:space="0" w:color="auto"/>
            </w:tcBorders>
            <w:vAlign w:val="center"/>
          </w:tcPr>
          <w:p w:rsidR="001E7B45" w:rsidRPr="00056A5C" w:rsidRDefault="001E7B45" w:rsidP="008C1AA9">
            <w:pPr>
              <w:spacing w:after="0" w:line="240" w:lineRule="auto"/>
              <w:jc w:val="both"/>
              <w:rPr>
                <w:rFonts w:eastAsia="Calibri"/>
                <w:lang w:val="en-US" w:eastAsia="en-US"/>
              </w:rPr>
            </w:pPr>
            <w:r w:rsidRPr="00056A5C">
              <w:rPr>
                <w:rFonts w:eastAsia="Calibri"/>
                <w:lang w:val="en-US" w:eastAsia="en-US"/>
              </w:rPr>
              <w:t>6,75</w:t>
            </w:r>
          </w:p>
        </w:tc>
        <w:tc>
          <w:tcPr>
            <w:tcW w:w="631" w:type="pct"/>
            <w:tcBorders>
              <w:top w:val="single" w:sz="4" w:space="0" w:color="auto"/>
              <w:left w:val="single" w:sz="4" w:space="0" w:color="auto"/>
              <w:bottom w:val="single" w:sz="4" w:space="0" w:color="auto"/>
              <w:right w:val="single" w:sz="4" w:space="0" w:color="auto"/>
            </w:tcBorders>
            <w:vAlign w:val="center"/>
          </w:tcPr>
          <w:p w:rsidR="001E7B45" w:rsidRPr="00056A5C" w:rsidRDefault="001E7B45" w:rsidP="008C1AA9">
            <w:pPr>
              <w:spacing w:after="0" w:line="240" w:lineRule="auto"/>
              <w:jc w:val="center"/>
              <w:rPr>
                <w:rFonts w:eastAsia="Calibri"/>
                <w:color w:val="000000"/>
                <w:lang w:val="en-US" w:eastAsia="en-US"/>
              </w:rPr>
            </w:pPr>
            <w:r w:rsidRPr="00056A5C">
              <w:rPr>
                <w:rFonts w:eastAsia="Calibri"/>
                <w:color w:val="000000"/>
                <w:lang w:val="en-US" w:eastAsia="en-US"/>
              </w:rPr>
              <w:t>103,98</w:t>
            </w:r>
          </w:p>
        </w:tc>
        <w:tc>
          <w:tcPr>
            <w:tcW w:w="709" w:type="pct"/>
            <w:tcBorders>
              <w:top w:val="single" w:sz="4" w:space="0" w:color="auto"/>
              <w:left w:val="single" w:sz="4" w:space="0" w:color="auto"/>
              <w:bottom w:val="single" w:sz="4" w:space="0" w:color="auto"/>
              <w:right w:val="single" w:sz="4" w:space="0" w:color="auto"/>
            </w:tcBorders>
            <w:vAlign w:val="center"/>
          </w:tcPr>
          <w:p w:rsidR="001E7B45" w:rsidRPr="00056A5C" w:rsidRDefault="001E7B45" w:rsidP="008C1AA9">
            <w:pPr>
              <w:spacing w:after="0" w:line="240" w:lineRule="auto"/>
              <w:jc w:val="center"/>
              <w:rPr>
                <w:rFonts w:eastAsia="Calibri"/>
                <w:color w:val="000000"/>
                <w:lang w:val="en-US" w:eastAsia="en-US"/>
              </w:rPr>
            </w:pPr>
            <w:r w:rsidRPr="00056A5C">
              <w:rPr>
                <w:rFonts w:eastAsia="Calibri"/>
                <w:color w:val="000000"/>
                <w:lang w:val="en-US" w:eastAsia="en-US"/>
              </w:rPr>
              <w:t>0,5/</w:t>
            </w:r>
          </w:p>
          <w:p w:rsidR="001E7B45" w:rsidRPr="00056A5C" w:rsidRDefault="001E7B45" w:rsidP="008C1AA9">
            <w:pPr>
              <w:spacing w:after="0" w:line="240" w:lineRule="auto"/>
              <w:jc w:val="center"/>
              <w:rPr>
                <w:rFonts w:eastAsia="Calibri"/>
                <w:color w:val="000000"/>
                <w:lang w:val="en-US" w:eastAsia="en-US"/>
              </w:rPr>
            </w:pPr>
            <w:r w:rsidRPr="00056A5C">
              <w:rPr>
                <w:rFonts w:eastAsia="Calibri"/>
                <w:color w:val="000000"/>
                <w:lang w:val="en-US" w:eastAsia="en-US"/>
              </w:rPr>
              <w:t>0,5</w:t>
            </w:r>
          </w:p>
        </w:tc>
      </w:tr>
      <w:tr w:rsidR="001E7B45" w:rsidRPr="00056A5C" w:rsidTr="00BD58BF">
        <w:tc>
          <w:tcPr>
            <w:tcW w:w="1510" w:type="pct"/>
            <w:tcBorders>
              <w:top w:val="single" w:sz="4" w:space="0" w:color="auto"/>
              <w:left w:val="single" w:sz="4" w:space="0" w:color="auto"/>
              <w:bottom w:val="single" w:sz="4" w:space="0" w:color="auto"/>
              <w:right w:val="single" w:sz="4" w:space="0" w:color="auto"/>
            </w:tcBorders>
            <w:vAlign w:val="center"/>
          </w:tcPr>
          <w:p w:rsidR="001E7B45" w:rsidRPr="00056A5C" w:rsidRDefault="001E7B45" w:rsidP="008C1AA9">
            <w:pPr>
              <w:spacing w:after="0" w:line="240" w:lineRule="auto"/>
              <w:rPr>
                <w:rFonts w:eastAsia="Calibri"/>
                <w:lang w:eastAsia="en-US"/>
              </w:rPr>
            </w:pPr>
            <w:r w:rsidRPr="00056A5C">
              <w:rPr>
                <w:rFonts w:eastAsia="Calibri"/>
                <w:lang w:eastAsia="en-US"/>
              </w:rPr>
              <w:t xml:space="preserve">24.Общество с ограниченной ответственностью «НЗХК-Энергия» </w:t>
            </w:r>
          </w:p>
        </w:tc>
        <w:tc>
          <w:tcPr>
            <w:tcW w:w="475" w:type="pct"/>
            <w:tcBorders>
              <w:top w:val="single" w:sz="4" w:space="0" w:color="auto"/>
              <w:left w:val="single" w:sz="4" w:space="0" w:color="auto"/>
              <w:bottom w:val="single" w:sz="4" w:space="0" w:color="auto"/>
              <w:right w:val="single" w:sz="4" w:space="0" w:color="auto"/>
            </w:tcBorders>
            <w:vAlign w:val="center"/>
          </w:tcPr>
          <w:p w:rsidR="001E7B45" w:rsidRPr="00056A5C" w:rsidRDefault="001E7B45" w:rsidP="008C1AA9">
            <w:pPr>
              <w:spacing w:after="0" w:line="240" w:lineRule="auto"/>
              <w:jc w:val="both"/>
              <w:rPr>
                <w:rFonts w:eastAsia="Calibri"/>
                <w:lang w:val="en-US" w:eastAsia="en-US"/>
              </w:rPr>
            </w:pPr>
            <w:r w:rsidRPr="00056A5C">
              <w:rPr>
                <w:rFonts w:eastAsia="Calibri"/>
                <w:lang w:val="en-US" w:eastAsia="en-US"/>
              </w:rPr>
              <w:t>3,69</w:t>
            </w:r>
          </w:p>
        </w:tc>
        <w:tc>
          <w:tcPr>
            <w:tcW w:w="477" w:type="pct"/>
            <w:tcBorders>
              <w:top w:val="single" w:sz="4" w:space="0" w:color="auto"/>
              <w:left w:val="single" w:sz="4" w:space="0" w:color="auto"/>
              <w:bottom w:val="single" w:sz="4" w:space="0" w:color="auto"/>
              <w:right w:val="single" w:sz="4" w:space="0" w:color="auto"/>
            </w:tcBorders>
            <w:vAlign w:val="center"/>
          </w:tcPr>
          <w:p w:rsidR="001E7B45" w:rsidRPr="00056A5C" w:rsidRDefault="001E7B45" w:rsidP="008C1AA9">
            <w:pPr>
              <w:spacing w:after="0" w:line="240" w:lineRule="auto"/>
              <w:jc w:val="both"/>
              <w:rPr>
                <w:rFonts w:eastAsia="Calibri"/>
                <w:lang w:val="en-US" w:eastAsia="en-US"/>
              </w:rPr>
            </w:pPr>
            <w:r w:rsidRPr="00056A5C">
              <w:rPr>
                <w:rFonts w:eastAsia="Calibri"/>
                <w:lang w:val="en-US" w:eastAsia="en-US"/>
              </w:rPr>
              <w:t>3,79</w:t>
            </w:r>
          </w:p>
        </w:tc>
        <w:tc>
          <w:tcPr>
            <w:tcW w:w="718" w:type="pct"/>
            <w:tcBorders>
              <w:top w:val="single" w:sz="4" w:space="0" w:color="auto"/>
              <w:left w:val="single" w:sz="4" w:space="0" w:color="auto"/>
              <w:bottom w:val="single" w:sz="4" w:space="0" w:color="auto"/>
              <w:right w:val="single" w:sz="4" w:space="0" w:color="auto"/>
            </w:tcBorders>
            <w:vAlign w:val="center"/>
          </w:tcPr>
          <w:p w:rsidR="001E7B45" w:rsidRPr="00056A5C" w:rsidRDefault="001E7B45" w:rsidP="008C1AA9">
            <w:pPr>
              <w:spacing w:after="0" w:line="240" w:lineRule="auto"/>
              <w:jc w:val="center"/>
              <w:rPr>
                <w:rFonts w:eastAsia="Calibri"/>
                <w:color w:val="000000"/>
                <w:lang w:val="en-US" w:eastAsia="en-US"/>
              </w:rPr>
            </w:pPr>
            <w:r w:rsidRPr="00056A5C">
              <w:rPr>
                <w:rFonts w:eastAsia="Calibri"/>
                <w:color w:val="000000"/>
                <w:lang w:val="en-US" w:eastAsia="en-US"/>
              </w:rPr>
              <w:t>96,89</w:t>
            </w:r>
          </w:p>
        </w:tc>
        <w:tc>
          <w:tcPr>
            <w:tcW w:w="480" w:type="pct"/>
            <w:tcBorders>
              <w:top w:val="single" w:sz="4" w:space="0" w:color="auto"/>
              <w:left w:val="single" w:sz="4" w:space="0" w:color="auto"/>
              <w:bottom w:val="single" w:sz="4" w:space="0" w:color="auto"/>
              <w:right w:val="single" w:sz="4" w:space="0" w:color="auto"/>
            </w:tcBorders>
            <w:vAlign w:val="center"/>
          </w:tcPr>
          <w:p w:rsidR="001E7B45" w:rsidRPr="00056A5C" w:rsidRDefault="001E7B45" w:rsidP="008C1AA9">
            <w:pPr>
              <w:spacing w:after="0" w:line="240" w:lineRule="auto"/>
              <w:jc w:val="both"/>
              <w:rPr>
                <w:rFonts w:eastAsia="Calibri"/>
                <w:lang w:val="en-US" w:eastAsia="en-US"/>
              </w:rPr>
            </w:pPr>
            <w:r w:rsidRPr="00056A5C">
              <w:rPr>
                <w:rFonts w:eastAsia="Calibri"/>
                <w:lang w:val="en-US" w:eastAsia="en-US"/>
              </w:rPr>
              <w:t>3,80</w:t>
            </w:r>
          </w:p>
        </w:tc>
        <w:tc>
          <w:tcPr>
            <w:tcW w:w="631" w:type="pct"/>
            <w:tcBorders>
              <w:top w:val="single" w:sz="4" w:space="0" w:color="auto"/>
              <w:left w:val="single" w:sz="4" w:space="0" w:color="auto"/>
              <w:bottom w:val="single" w:sz="4" w:space="0" w:color="auto"/>
              <w:right w:val="single" w:sz="4" w:space="0" w:color="auto"/>
            </w:tcBorders>
            <w:vAlign w:val="center"/>
          </w:tcPr>
          <w:p w:rsidR="001E7B45" w:rsidRPr="00056A5C" w:rsidRDefault="001E7B45" w:rsidP="008C1AA9">
            <w:pPr>
              <w:spacing w:after="0" w:line="240" w:lineRule="auto"/>
              <w:jc w:val="center"/>
              <w:rPr>
                <w:rFonts w:eastAsia="Calibri"/>
                <w:color w:val="000000"/>
                <w:lang w:val="en-US" w:eastAsia="en-US"/>
              </w:rPr>
            </w:pPr>
            <w:r w:rsidRPr="00056A5C">
              <w:rPr>
                <w:rFonts w:eastAsia="Calibri"/>
                <w:color w:val="000000"/>
                <w:lang w:val="en-US" w:eastAsia="en-US"/>
              </w:rPr>
              <w:t>99,15</w:t>
            </w:r>
          </w:p>
        </w:tc>
        <w:tc>
          <w:tcPr>
            <w:tcW w:w="709" w:type="pct"/>
            <w:tcBorders>
              <w:top w:val="single" w:sz="4" w:space="0" w:color="auto"/>
              <w:left w:val="single" w:sz="4" w:space="0" w:color="auto"/>
              <w:bottom w:val="single" w:sz="4" w:space="0" w:color="auto"/>
              <w:right w:val="single" w:sz="4" w:space="0" w:color="auto"/>
            </w:tcBorders>
            <w:vAlign w:val="center"/>
          </w:tcPr>
          <w:p w:rsidR="001E7B45" w:rsidRPr="00056A5C" w:rsidRDefault="001E7B45" w:rsidP="008C1AA9">
            <w:pPr>
              <w:spacing w:after="0" w:line="240" w:lineRule="auto"/>
              <w:jc w:val="center"/>
              <w:rPr>
                <w:rFonts w:eastAsia="Calibri"/>
                <w:color w:val="000000"/>
                <w:lang w:val="en-US" w:eastAsia="en-US"/>
              </w:rPr>
            </w:pPr>
            <w:r w:rsidRPr="00056A5C">
              <w:rPr>
                <w:rFonts w:eastAsia="Calibri"/>
                <w:color w:val="000000"/>
                <w:lang w:val="en-US" w:eastAsia="en-US"/>
              </w:rPr>
              <w:t>0,5/0,5</w:t>
            </w:r>
          </w:p>
        </w:tc>
      </w:tr>
      <w:tr w:rsidR="001E7B45" w:rsidRPr="00056A5C" w:rsidTr="00BD58BF">
        <w:tc>
          <w:tcPr>
            <w:tcW w:w="1510" w:type="pct"/>
            <w:tcBorders>
              <w:top w:val="single" w:sz="4" w:space="0" w:color="auto"/>
              <w:left w:val="single" w:sz="4" w:space="0" w:color="auto"/>
              <w:bottom w:val="single" w:sz="4" w:space="0" w:color="auto"/>
              <w:right w:val="single" w:sz="4" w:space="0" w:color="auto"/>
            </w:tcBorders>
            <w:vAlign w:val="center"/>
          </w:tcPr>
          <w:p w:rsidR="001E7B45" w:rsidRPr="00056A5C" w:rsidRDefault="001E7B45" w:rsidP="008C1AA9">
            <w:pPr>
              <w:spacing w:after="0" w:line="240" w:lineRule="auto"/>
              <w:rPr>
                <w:rFonts w:eastAsia="Calibri"/>
                <w:lang w:eastAsia="en-US"/>
              </w:rPr>
            </w:pPr>
            <w:r w:rsidRPr="00056A5C">
              <w:rPr>
                <w:rFonts w:eastAsia="Calibri"/>
                <w:lang w:eastAsia="en-US"/>
              </w:rPr>
              <w:t xml:space="preserve">25.Муниципальное унитарное предприятие города Новосибирска «Новосибирская электросетевая компания» </w:t>
            </w:r>
          </w:p>
        </w:tc>
        <w:tc>
          <w:tcPr>
            <w:tcW w:w="475" w:type="pct"/>
            <w:tcBorders>
              <w:top w:val="single" w:sz="4" w:space="0" w:color="auto"/>
              <w:left w:val="single" w:sz="4" w:space="0" w:color="auto"/>
              <w:bottom w:val="single" w:sz="4" w:space="0" w:color="auto"/>
              <w:right w:val="single" w:sz="4" w:space="0" w:color="auto"/>
            </w:tcBorders>
            <w:vAlign w:val="center"/>
          </w:tcPr>
          <w:p w:rsidR="001E7B45" w:rsidRPr="00056A5C" w:rsidRDefault="001E7B45" w:rsidP="008C1AA9">
            <w:pPr>
              <w:spacing w:after="0" w:line="240" w:lineRule="auto"/>
              <w:jc w:val="both"/>
              <w:rPr>
                <w:rFonts w:eastAsia="Calibri"/>
                <w:i/>
                <w:lang w:eastAsia="en-US"/>
              </w:rPr>
            </w:pPr>
            <w:r w:rsidRPr="00056A5C">
              <w:rPr>
                <w:rFonts w:eastAsia="Calibri"/>
                <w:i/>
                <w:sz w:val="22"/>
                <w:szCs w:val="22"/>
                <w:lang w:eastAsia="en-US"/>
              </w:rPr>
              <w:t>**</w:t>
            </w:r>
          </w:p>
        </w:tc>
        <w:tc>
          <w:tcPr>
            <w:tcW w:w="477" w:type="pct"/>
            <w:tcBorders>
              <w:top w:val="single" w:sz="4" w:space="0" w:color="auto"/>
              <w:left w:val="single" w:sz="4" w:space="0" w:color="auto"/>
              <w:bottom w:val="single" w:sz="4" w:space="0" w:color="auto"/>
              <w:right w:val="single" w:sz="4" w:space="0" w:color="auto"/>
            </w:tcBorders>
            <w:vAlign w:val="center"/>
          </w:tcPr>
          <w:p w:rsidR="001E7B45" w:rsidRPr="00056A5C" w:rsidRDefault="001E7B45" w:rsidP="008C1AA9">
            <w:pPr>
              <w:spacing w:after="0" w:line="240" w:lineRule="auto"/>
              <w:jc w:val="both"/>
              <w:rPr>
                <w:rFonts w:eastAsia="Calibri"/>
                <w:lang w:val="en-US" w:eastAsia="en-US"/>
              </w:rPr>
            </w:pPr>
            <w:r w:rsidRPr="00056A5C">
              <w:rPr>
                <w:rFonts w:eastAsia="Calibri"/>
                <w:lang w:val="en-US" w:eastAsia="en-US"/>
              </w:rPr>
              <w:t>-</w:t>
            </w:r>
          </w:p>
        </w:tc>
        <w:tc>
          <w:tcPr>
            <w:tcW w:w="718" w:type="pct"/>
            <w:tcBorders>
              <w:top w:val="single" w:sz="4" w:space="0" w:color="auto"/>
              <w:left w:val="single" w:sz="4" w:space="0" w:color="auto"/>
              <w:bottom w:val="single" w:sz="4" w:space="0" w:color="auto"/>
              <w:right w:val="single" w:sz="4" w:space="0" w:color="auto"/>
            </w:tcBorders>
            <w:vAlign w:val="center"/>
          </w:tcPr>
          <w:p w:rsidR="001E7B45" w:rsidRPr="00056A5C" w:rsidRDefault="001E7B45" w:rsidP="008C1AA9">
            <w:pPr>
              <w:spacing w:after="0" w:line="240" w:lineRule="auto"/>
              <w:jc w:val="center"/>
              <w:rPr>
                <w:rFonts w:eastAsia="Calibri"/>
                <w:color w:val="000000"/>
                <w:lang w:val="en-US" w:eastAsia="en-US"/>
              </w:rPr>
            </w:pPr>
            <w:r w:rsidRPr="00056A5C">
              <w:rPr>
                <w:rFonts w:eastAsia="Calibri"/>
                <w:color w:val="000000"/>
                <w:lang w:val="en-US" w:eastAsia="en-US"/>
              </w:rPr>
              <w:t>-</w:t>
            </w:r>
          </w:p>
        </w:tc>
        <w:tc>
          <w:tcPr>
            <w:tcW w:w="480" w:type="pct"/>
            <w:tcBorders>
              <w:top w:val="single" w:sz="4" w:space="0" w:color="auto"/>
              <w:left w:val="single" w:sz="4" w:space="0" w:color="auto"/>
              <w:bottom w:val="single" w:sz="4" w:space="0" w:color="auto"/>
              <w:right w:val="single" w:sz="4" w:space="0" w:color="auto"/>
            </w:tcBorders>
            <w:vAlign w:val="center"/>
          </w:tcPr>
          <w:p w:rsidR="001E7B45" w:rsidRPr="00056A5C" w:rsidRDefault="001E7B45" w:rsidP="008C1AA9">
            <w:pPr>
              <w:spacing w:after="0" w:line="240" w:lineRule="auto"/>
              <w:jc w:val="both"/>
              <w:rPr>
                <w:rFonts w:eastAsia="Calibri"/>
                <w:lang w:val="en-US" w:eastAsia="en-US"/>
              </w:rPr>
            </w:pPr>
            <w:r w:rsidRPr="00056A5C">
              <w:rPr>
                <w:rFonts w:eastAsia="Calibri"/>
                <w:lang w:val="en-US" w:eastAsia="en-US"/>
              </w:rPr>
              <w:t>7,05</w:t>
            </w:r>
          </w:p>
        </w:tc>
        <w:tc>
          <w:tcPr>
            <w:tcW w:w="631" w:type="pct"/>
            <w:tcBorders>
              <w:top w:val="single" w:sz="4" w:space="0" w:color="auto"/>
              <w:left w:val="single" w:sz="4" w:space="0" w:color="auto"/>
              <w:bottom w:val="single" w:sz="4" w:space="0" w:color="auto"/>
              <w:right w:val="single" w:sz="4" w:space="0" w:color="auto"/>
            </w:tcBorders>
            <w:vAlign w:val="center"/>
          </w:tcPr>
          <w:p w:rsidR="001E7B45" w:rsidRPr="00056A5C" w:rsidRDefault="001E7B45" w:rsidP="008C1AA9">
            <w:pPr>
              <w:spacing w:after="0" w:line="240" w:lineRule="auto"/>
              <w:jc w:val="center"/>
              <w:rPr>
                <w:rFonts w:eastAsia="Calibri"/>
                <w:color w:val="000000"/>
                <w:lang w:val="en-US" w:eastAsia="en-US"/>
              </w:rPr>
            </w:pPr>
            <w:r w:rsidRPr="00056A5C">
              <w:rPr>
                <w:rFonts w:eastAsia="Calibri"/>
                <w:color w:val="000000"/>
                <w:lang w:val="en-US" w:eastAsia="en-US"/>
              </w:rPr>
              <w:t>-</w:t>
            </w:r>
          </w:p>
        </w:tc>
        <w:tc>
          <w:tcPr>
            <w:tcW w:w="709" w:type="pct"/>
            <w:tcBorders>
              <w:top w:val="single" w:sz="4" w:space="0" w:color="auto"/>
              <w:left w:val="single" w:sz="4" w:space="0" w:color="auto"/>
              <w:bottom w:val="single" w:sz="4" w:space="0" w:color="auto"/>
              <w:right w:val="single" w:sz="4" w:space="0" w:color="auto"/>
            </w:tcBorders>
            <w:vAlign w:val="center"/>
          </w:tcPr>
          <w:p w:rsidR="001E7B45" w:rsidRPr="00056A5C" w:rsidRDefault="001E7B45" w:rsidP="008C1AA9">
            <w:pPr>
              <w:spacing w:after="0" w:line="240" w:lineRule="auto"/>
              <w:jc w:val="center"/>
              <w:rPr>
                <w:rFonts w:eastAsia="Calibri"/>
                <w:color w:val="000000"/>
                <w:lang w:val="en-US" w:eastAsia="en-US"/>
              </w:rPr>
            </w:pPr>
            <w:r w:rsidRPr="00056A5C">
              <w:rPr>
                <w:rFonts w:eastAsia="Calibri"/>
                <w:color w:val="000000"/>
                <w:lang w:val="en-US" w:eastAsia="en-US"/>
              </w:rPr>
              <w:t>0,05/</w:t>
            </w:r>
          </w:p>
          <w:p w:rsidR="001E7B45" w:rsidRPr="00056A5C" w:rsidRDefault="001E7B45" w:rsidP="008C1AA9">
            <w:pPr>
              <w:spacing w:after="0" w:line="240" w:lineRule="auto"/>
              <w:jc w:val="center"/>
              <w:rPr>
                <w:rFonts w:eastAsia="Calibri"/>
                <w:color w:val="000000"/>
                <w:lang w:val="en-US" w:eastAsia="en-US"/>
              </w:rPr>
            </w:pPr>
            <w:r w:rsidRPr="00056A5C">
              <w:rPr>
                <w:rFonts w:eastAsia="Calibri"/>
                <w:color w:val="000000"/>
                <w:lang w:val="en-US" w:eastAsia="en-US"/>
              </w:rPr>
              <w:t>0,05</w:t>
            </w:r>
          </w:p>
        </w:tc>
      </w:tr>
      <w:tr w:rsidR="001E7B45" w:rsidRPr="00056A5C" w:rsidTr="00BD58BF">
        <w:tc>
          <w:tcPr>
            <w:tcW w:w="1510" w:type="pct"/>
            <w:tcBorders>
              <w:top w:val="single" w:sz="4" w:space="0" w:color="auto"/>
              <w:left w:val="single" w:sz="4" w:space="0" w:color="auto"/>
              <w:bottom w:val="single" w:sz="4" w:space="0" w:color="auto"/>
              <w:right w:val="single" w:sz="4" w:space="0" w:color="auto"/>
            </w:tcBorders>
            <w:vAlign w:val="center"/>
          </w:tcPr>
          <w:p w:rsidR="001E7B45" w:rsidRPr="00056A5C" w:rsidRDefault="001E7B45" w:rsidP="008C1AA9">
            <w:pPr>
              <w:spacing w:after="0" w:line="240" w:lineRule="auto"/>
              <w:rPr>
                <w:rFonts w:eastAsia="Calibri"/>
                <w:lang w:eastAsia="en-US"/>
              </w:rPr>
            </w:pPr>
            <w:r w:rsidRPr="00056A5C">
              <w:rPr>
                <w:rFonts w:eastAsia="Calibri"/>
                <w:lang w:eastAsia="en-US"/>
              </w:rPr>
              <w:t>26.Общество с ограниченной ответственностью «Национальная распределительно-сетевая компания – Сибирь»</w:t>
            </w:r>
          </w:p>
        </w:tc>
        <w:tc>
          <w:tcPr>
            <w:tcW w:w="475" w:type="pct"/>
            <w:tcBorders>
              <w:top w:val="single" w:sz="4" w:space="0" w:color="auto"/>
              <w:left w:val="single" w:sz="4" w:space="0" w:color="auto"/>
              <w:bottom w:val="single" w:sz="4" w:space="0" w:color="auto"/>
              <w:right w:val="single" w:sz="4" w:space="0" w:color="auto"/>
            </w:tcBorders>
            <w:vAlign w:val="center"/>
          </w:tcPr>
          <w:p w:rsidR="001E7B45" w:rsidRPr="00056A5C" w:rsidRDefault="001E7B45" w:rsidP="008C1AA9">
            <w:pPr>
              <w:spacing w:after="0" w:line="240" w:lineRule="auto"/>
              <w:jc w:val="both"/>
              <w:rPr>
                <w:rFonts w:eastAsia="Calibri"/>
                <w:i/>
                <w:lang w:eastAsia="en-US"/>
              </w:rPr>
            </w:pPr>
            <w:r w:rsidRPr="00056A5C">
              <w:rPr>
                <w:rFonts w:eastAsia="Calibri"/>
                <w:i/>
                <w:sz w:val="22"/>
                <w:szCs w:val="22"/>
                <w:lang w:eastAsia="en-US"/>
              </w:rPr>
              <w:t>**</w:t>
            </w:r>
          </w:p>
        </w:tc>
        <w:tc>
          <w:tcPr>
            <w:tcW w:w="477" w:type="pct"/>
            <w:tcBorders>
              <w:top w:val="single" w:sz="4" w:space="0" w:color="auto"/>
              <w:left w:val="single" w:sz="4" w:space="0" w:color="auto"/>
              <w:bottom w:val="single" w:sz="4" w:space="0" w:color="auto"/>
              <w:right w:val="single" w:sz="4" w:space="0" w:color="auto"/>
            </w:tcBorders>
            <w:vAlign w:val="center"/>
          </w:tcPr>
          <w:p w:rsidR="001E7B45" w:rsidRPr="00056A5C" w:rsidRDefault="001E7B45" w:rsidP="008C1AA9">
            <w:pPr>
              <w:spacing w:after="0" w:line="240" w:lineRule="auto"/>
              <w:jc w:val="both"/>
              <w:rPr>
                <w:rFonts w:eastAsia="Calibri"/>
                <w:lang w:val="en-US" w:eastAsia="en-US"/>
              </w:rPr>
            </w:pPr>
            <w:r w:rsidRPr="00056A5C">
              <w:rPr>
                <w:rFonts w:eastAsia="Calibri"/>
                <w:lang w:val="en-US" w:eastAsia="en-US"/>
              </w:rPr>
              <w:t>-</w:t>
            </w:r>
          </w:p>
        </w:tc>
        <w:tc>
          <w:tcPr>
            <w:tcW w:w="718" w:type="pct"/>
            <w:tcBorders>
              <w:top w:val="single" w:sz="4" w:space="0" w:color="auto"/>
              <w:left w:val="single" w:sz="4" w:space="0" w:color="auto"/>
              <w:bottom w:val="single" w:sz="4" w:space="0" w:color="auto"/>
              <w:right w:val="single" w:sz="4" w:space="0" w:color="auto"/>
            </w:tcBorders>
            <w:vAlign w:val="center"/>
          </w:tcPr>
          <w:p w:rsidR="001E7B45" w:rsidRPr="00056A5C" w:rsidRDefault="001E7B45" w:rsidP="008C1AA9">
            <w:pPr>
              <w:spacing w:after="0" w:line="240" w:lineRule="auto"/>
              <w:jc w:val="center"/>
              <w:rPr>
                <w:rFonts w:eastAsia="Calibri"/>
                <w:color w:val="000000"/>
                <w:lang w:val="en-US" w:eastAsia="en-US"/>
              </w:rPr>
            </w:pPr>
            <w:r w:rsidRPr="00056A5C">
              <w:rPr>
                <w:rFonts w:eastAsia="Calibri"/>
                <w:color w:val="000000"/>
                <w:lang w:val="en-US" w:eastAsia="en-US"/>
              </w:rPr>
              <w:t>-</w:t>
            </w:r>
          </w:p>
        </w:tc>
        <w:tc>
          <w:tcPr>
            <w:tcW w:w="480" w:type="pct"/>
            <w:tcBorders>
              <w:top w:val="single" w:sz="4" w:space="0" w:color="auto"/>
              <w:left w:val="single" w:sz="4" w:space="0" w:color="auto"/>
              <w:bottom w:val="single" w:sz="4" w:space="0" w:color="auto"/>
              <w:right w:val="single" w:sz="4" w:space="0" w:color="auto"/>
            </w:tcBorders>
            <w:vAlign w:val="center"/>
          </w:tcPr>
          <w:p w:rsidR="001E7B45" w:rsidRPr="00056A5C" w:rsidRDefault="001E7B45" w:rsidP="008C1AA9">
            <w:pPr>
              <w:spacing w:after="0" w:line="240" w:lineRule="auto"/>
              <w:jc w:val="both"/>
              <w:rPr>
                <w:rFonts w:eastAsia="Calibri"/>
                <w:lang w:val="en-US" w:eastAsia="en-US"/>
              </w:rPr>
            </w:pPr>
            <w:r w:rsidRPr="00056A5C">
              <w:rPr>
                <w:rFonts w:eastAsia="Calibri"/>
                <w:lang w:val="en-US" w:eastAsia="en-US"/>
              </w:rPr>
              <w:t>8,23</w:t>
            </w:r>
          </w:p>
        </w:tc>
        <w:tc>
          <w:tcPr>
            <w:tcW w:w="631" w:type="pct"/>
            <w:tcBorders>
              <w:top w:val="single" w:sz="4" w:space="0" w:color="auto"/>
              <w:left w:val="single" w:sz="4" w:space="0" w:color="auto"/>
              <w:bottom w:val="single" w:sz="4" w:space="0" w:color="auto"/>
              <w:right w:val="single" w:sz="4" w:space="0" w:color="auto"/>
            </w:tcBorders>
            <w:vAlign w:val="center"/>
          </w:tcPr>
          <w:p w:rsidR="001E7B45" w:rsidRPr="00056A5C" w:rsidRDefault="001E7B45" w:rsidP="008C1AA9">
            <w:pPr>
              <w:spacing w:after="0" w:line="240" w:lineRule="auto"/>
              <w:jc w:val="center"/>
              <w:rPr>
                <w:rFonts w:eastAsia="Calibri"/>
                <w:color w:val="000000"/>
                <w:lang w:val="en-US" w:eastAsia="en-US"/>
              </w:rPr>
            </w:pPr>
            <w:r w:rsidRPr="00056A5C">
              <w:rPr>
                <w:rFonts w:eastAsia="Calibri"/>
                <w:color w:val="000000"/>
                <w:lang w:val="en-US" w:eastAsia="en-US"/>
              </w:rPr>
              <w:t>-</w:t>
            </w:r>
          </w:p>
        </w:tc>
        <w:tc>
          <w:tcPr>
            <w:tcW w:w="709" w:type="pct"/>
            <w:tcBorders>
              <w:top w:val="single" w:sz="4" w:space="0" w:color="auto"/>
              <w:left w:val="single" w:sz="4" w:space="0" w:color="auto"/>
              <w:bottom w:val="single" w:sz="4" w:space="0" w:color="auto"/>
              <w:right w:val="single" w:sz="4" w:space="0" w:color="auto"/>
            </w:tcBorders>
            <w:vAlign w:val="center"/>
          </w:tcPr>
          <w:p w:rsidR="001E7B45" w:rsidRPr="00056A5C" w:rsidRDefault="001E7B45" w:rsidP="008C1AA9">
            <w:pPr>
              <w:spacing w:after="0" w:line="240" w:lineRule="auto"/>
              <w:jc w:val="center"/>
              <w:rPr>
                <w:rFonts w:eastAsia="Calibri"/>
                <w:color w:val="000000"/>
                <w:lang w:val="en-US" w:eastAsia="en-US"/>
              </w:rPr>
            </w:pPr>
            <w:r w:rsidRPr="00056A5C">
              <w:rPr>
                <w:rFonts w:eastAsia="Calibri"/>
                <w:color w:val="000000"/>
                <w:lang w:val="en-US" w:eastAsia="en-US"/>
              </w:rPr>
              <w:t>0,5/</w:t>
            </w:r>
          </w:p>
          <w:p w:rsidR="001E7B45" w:rsidRPr="00056A5C" w:rsidRDefault="001E7B45" w:rsidP="008C1AA9">
            <w:pPr>
              <w:spacing w:after="0" w:line="240" w:lineRule="auto"/>
              <w:jc w:val="center"/>
              <w:rPr>
                <w:rFonts w:eastAsia="Calibri"/>
                <w:color w:val="000000"/>
                <w:lang w:val="en-US" w:eastAsia="en-US"/>
              </w:rPr>
            </w:pPr>
            <w:r w:rsidRPr="00056A5C">
              <w:rPr>
                <w:rFonts w:eastAsia="Calibri"/>
                <w:color w:val="000000"/>
                <w:lang w:val="en-US" w:eastAsia="en-US"/>
              </w:rPr>
              <w:t>0,5</w:t>
            </w:r>
          </w:p>
        </w:tc>
      </w:tr>
      <w:tr w:rsidR="001E7B45" w:rsidRPr="00056A5C" w:rsidTr="00BD58BF">
        <w:tc>
          <w:tcPr>
            <w:tcW w:w="1510" w:type="pct"/>
            <w:tcBorders>
              <w:top w:val="single" w:sz="4" w:space="0" w:color="auto"/>
              <w:left w:val="single" w:sz="4" w:space="0" w:color="auto"/>
              <w:bottom w:val="single" w:sz="4" w:space="0" w:color="auto"/>
              <w:right w:val="single" w:sz="4" w:space="0" w:color="auto"/>
            </w:tcBorders>
            <w:vAlign w:val="center"/>
          </w:tcPr>
          <w:p w:rsidR="001E7B45" w:rsidRPr="00056A5C" w:rsidRDefault="001E7B45" w:rsidP="008C1AA9">
            <w:pPr>
              <w:spacing w:after="0" w:line="240" w:lineRule="auto"/>
              <w:rPr>
                <w:rFonts w:eastAsia="Calibri"/>
                <w:lang w:eastAsia="en-US"/>
              </w:rPr>
            </w:pPr>
            <w:r w:rsidRPr="00056A5C">
              <w:rPr>
                <w:rFonts w:eastAsia="Calibri"/>
                <w:lang w:eastAsia="en-US"/>
              </w:rPr>
              <w:t>27.Общество с ограниченной ответственностью Проектно-ремонтная фирма «АльянсЭнерго»</w:t>
            </w:r>
          </w:p>
        </w:tc>
        <w:tc>
          <w:tcPr>
            <w:tcW w:w="475" w:type="pct"/>
            <w:tcBorders>
              <w:top w:val="single" w:sz="4" w:space="0" w:color="auto"/>
              <w:left w:val="single" w:sz="4" w:space="0" w:color="auto"/>
              <w:bottom w:val="single" w:sz="4" w:space="0" w:color="auto"/>
              <w:right w:val="single" w:sz="4" w:space="0" w:color="auto"/>
            </w:tcBorders>
            <w:vAlign w:val="center"/>
          </w:tcPr>
          <w:p w:rsidR="001E7B45" w:rsidRPr="00056A5C" w:rsidRDefault="001E7B45" w:rsidP="008C1AA9">
            <w:pPr>
              <w:spacing w:after="0" w:line="240" w:lineRule="auto"/>
              <w:jc w:val="both"/>
              <w:rPr>
                <w:rFonts w:eastAsia="Calibri"/>
                <w:i/>
                <w:lang w:eastAsia="en-US"/>
              </w:rPr>
            </w:pPr>
            <w:r w:rsidRPr="00056A5C">
              <w:rPr>
                <w:rFonts w:eastAsia="Calibri"/>
                <w:i/>
                <w:sz w:val="22"/>
                <w:szCs w:val="22"/>
                <w:lang w:eastAsia="en-US"/>
              </w:rPr>
              <w:t>**</w:t>
            </w:r>
          </w:p>
        </w:tc>
        <w:tc>
          <w:tcPr>
            <w:tcW w:w="477" w:type="pct"/>
            <w:tcBorders>
              <w:top w:val="single" w:sz="4" w:space="0" w:color="auto"/>
              <w:left w:val="single" w:sz="4" w:space="0" w:color="auto"/>
              <w:bottom w:val="single" w:sz="4" w:space="0" w:color="auto"/>
              <w:right w:val="single" w:sz="4" w:space="0" w:color="auto"/>
            </w:tcBorders>
            <w:vAlign w:val="center"/>
          </w:tcPr>
          <w:p w:rsidR="001E7B45" w:rsidRPr="00056A5C" w:rsidRDefault="001E7B45" w:rsidP="008C1AA9">
            <w:pPr>
              <w:spacing w:after="0" w:line="240" w:lineRule="auto"/>
              <w:jc w:val="both"/>
              <w:rPr>
                <w:rFonts w:eastAsia="Calibri"/>
                <w:lang w:val="en-US" w:eastAsia="en-US"/>
              </w:rPr>
            </w:pPr>
            <w:r w:rsidRPr="00056A5C">
              <w:rPr>
                <w:rFonts w:eastAsia="Calibri"/>
                <w:lang w:val="en-US" w:eastAsia="en-US"/>
              </w:rPr>
              <w:t>-</w:t>
            </w:r>
          </w:p>
        </w:tc>
        <w:tc>
          <w:tcPr>
            <w:tcW w:w="718" w:type="pct"/>
            <w:tcBorders>
              <w:top w:val="single" w:sz="4" w:space="0" w:color="auto"/>
              <w:left w:val="single" w:sz="4" w:space="0" w:color="auto"/>
              <w:bottom w:val="single" w:sz="4" w:space="0" w:color="auto"/>
              <w:right w:val="single" w:sz="4" w:space="0" w:color="auto"/>
            </w:tcBorders>
            <w:vAlign w:val="center"/>
          </w:tcPr>
          <w:p w:rsidR="001E7B45" w:rsidRPr="00056A5C" w:rsidRDefault="001E7B45" w:rsidP="008C1AA9">
            <w:pPr>
              <w:spacing w:after="0" w:line="240" w:lineRule="auto"/>
              <w:jc w:val="center"/>
              <w:rPr>
                <w:rFonts w:eastAsia="Calibri"/>
                <w:color w:val="000000"/>
                <w:lang w:val="en-US" w:eastAsia="en-US"/>
              </w:rPr>
            </w:pPr>
            <w:r w:rsidRPr="00056A5C">
              <w:rPr>
                <w:rFonts w:eastAsia="Calibri"/>
                <w:color w:val="000000"/>
                <w:lang w:val="en-US" w:eastAsia="en-US"/>
              </w:rPr>
              <w:t>-</w:t>
            </w:r>
          </w:p>
        </w:tc>
        <w:tc>
          <w:tcPr>
            <w:tcW w:w="480" w:type="pct"/>
            <w:tcBorders>
              <w:top w:val="single" w:sz="4" w:space="0" w:color="auto"/>
              <w:left w:val="single" w:sz="4" w:space="0" w:color="auto"/>
              <w:bottom w:val="single" w:sz="4" w:space="0" w:color="auto"/>
              <w:right w:val="single" w:sz="4" w:space="0" w:color="auto"/>
            </w:tcBorders>
            <w:vAlign w:val="center"/>
          </w:tcPr>
          <w:p w:rsidR="001E7B45" w:rsidRPr="00056A5C" w:rsidRDefault="001E7B45" w:rsidP="008C1AA9">
            <w:pPr>
              <w:spacing w:after="0" w:line="240" w:lineRule="auto"/>
              <w:jc w:val="both"/>
              <w:rPr>
                <w:rFonts w:eastAsia="Calibri"/>
                <w:lang w:val="en-US" w:eastAsia="en-US"/>
              </w:rPr>
            </w:pPr>
            <w:r w:rsidRPr="00056A5C">
              <w:rPr>
                <w:rFonts w:eastAsia="Calibri"/>
                <w:lang w:val="en-US" w:eastAsia="en-US"/>
              </w:rPr>
              <w:t>2,56</w:t>
            </w:r>
          </w:p>
        </w:tc>
        <w:tc>
          <w:tcPr>
            <w:tcW w:w="631" w:type="pct"/>
            <w:tcBorders>
              <w:top w:val="single" w:sz="4" w:space="0" w:color="auto"/>
              <w:left w:val="single" w:sz="4" w:space="0" w:color="auto"/>
              <w:bottom w:val="single" w:sz="4" w:space="0" w:color="auto"/>
              <w:right w:val="single" w:sz="4" w:space="0" w:color="auto"/>
            </w:tcBorders>
            <w:vAlign w:val="center"/>
          </w:tcPr>
          <w:p w:rsidR="001E7B45" w:rsidRPr="00056A5C" w:rsidRDefault="001E7B45" w:rsidP="008C1AA9">
            <w:pPr>
              <w:spacing w:after="0" w:line="240" w:lineRule="auto"/>
              <w:jc w:val="center"/>
              <w:rPr>
                <w:rFonts w:eastAsia="Calibri"/>
                <w:color w:val="000000"/>
                <w:lang w:val="en-US" w:eastAsia="en-US"/>
              </w:rPr>
            </w:pPr>
            <w:r w:rsidRPr="00056A5C">
              <w:rPr>
                <w:rFonts w:eastAsia="Calibri"/>
                <w:color w:val="000000"/>
                <w:lang w:val="en-US" w:eastAsia="en-US"/>
              </w:rPr>
              <w:t>-</w:t>
            </w:r>
          </w:p>
        </w:tc>
        <w:tc>
          <w:tcPr>
            <w:tcW w:w="709" w:type="pct"/>
            <w:tcBorders>
              <w:top w:val="single" w:sz="4" w:space="0" w:color="auto"/>
              <w:left w:val="single" w:sz="4" w:space="0" w:color="auto"/>
              <w:bottom w:val="single" w:sz="4" w:space="0" w:color="auto"/>
              <w:right w:val="single" w:sz="4" w:space="0" w:color="auto"/>
            </w:tcBorders>
            <w:vAlign w:val="center"/>
          </w:tcPr>
          <w:p w:rsidR="001E7B45" w:rsidRPr="00056A5C" w:rsidRDefault="001E7B45" w:rsidP="008C1AA9">
            <w:pPr>
              <w:spacing w:after="0" w:line="240" w:lineRule="auto"/>
              <w:jc w:val="center"/>
              <w:rPr>
                <w:rFonts w:eastAsia="Calibri"/>
                <w:color w:val="000000"/>
                <w:lang w:val="en-US" w:eastAsia="en-US"/>
              </w:rPr>
            </w:pPr>
            <w:r w:rsidRPr="00056A5C">
              <w:rPr>
                <w:rFonts w:eastAsia="Calibri"/>
                <w:color w:val="000000"/>
                <w:lang w:val="en-US" w:eastAsia="en-US"/>
              </w:rPr>
              <w:t>0,05/</w:t>
            </w:r>
          </w:p>
          <w:p w:rsidR="001E7B45" w:rsidRPr="00056A5C" w:rsidRDefault="001E7B45" w:rsidP="008C1AA9">
            <w:pPr>
              <w:spacing w:after="0" w:line="240" w:lineRule="auto"/>
              <w:jc w:val="center"/>
              <w:rPr>
                <w:rFonts w:eastAsia="Calibri"/>
                <w:color w:val="000000"/>
                <w:lang w:val="en-US" w:eastAsia="en-US"/>
              </w:rPr>
            </w:pPr>
            <w:r w:rsidRPr="00056A5C">
              <w:rPr>
                <w:rFonts w:eastAsia="Calibri"/>
                <w:color w:val="000000"/>
                <w:lang w:val="en-US" w:eastAsia="en-US"/>
              </w:rPr>
              <w:t>0,05</w:t>
            </w:r>
          </w:p>
        </w:tc>
      </w:tr>
      <w:tr w:rsidR="001E7B45" w:rsidRPr="00056A5C" w:rsidTr="00BD58BF">
        <w:tc>
          <w:tcPr>
            <w:tcW w:w="1510" w:type="pct"/>
            <w:tcBorders>
              <w:top w:val="single" w:sz="4" w:space="0" w:color="auto"/>
              <w:left w:val="single" w:sz="4" w:space="0" w:color="auto"/>
              <w:bottom w:val="single" w:sz="4" w:space="0" w:color="auto"/>
              <w:right w:val="single" w:sz="4" w:space="0" w:color="auto"/>
            </w:tcBorders>
            <w:vAlign w:val="center"/>
          </w:tcPr>
          <w:p w:rsidR="001E7B45" w:rsidRPr="00056A5C" w:rsidRDefault="001E7B45" w:rsidP="008C1AA9">
            <w:pPr>
              <w:spacing w:after="0" w:line="240" w:lineRule="auto"/>
              <w:rPr>
                <w:rFonts w:eastAsia="Calibri"/>
                <w:lang w:eastAsia="en-US"/>
              </w:rPr>
            </w:pPr>
            <w:r w:rsidRPr="00056A5C">
              <w:rPr>
                <w:rFonts w:eastAsia="Calibri"/>
                <w:lang w:eastAsia="en-US"/>
              </w:rPr>
              <w:t xml:space="preserve">28.Общество с ограниченной ответственностью «Новосибирская городская сетевая компания» </w:t>
            </w:r>
          </w:p>
        </w:tc>
        <w:tc>
          <w:tcPr>
            <w:tcW w:w="475" w:type="pct"/>
            <w:tcBorders>
              <w:top w:val="single" w:sz="4" w:space="0" w:color="auto"/>
              <w:left w:val="single" w:sz="4" w:space="0" w:color="auto"/>
              <w:bottom w:val="single" w:sz="4" w:space="0" w:color="auto"/>
              <w:right w:val="single" w:sz="4" w:space="0" w:color="auto"/>
            </w:tcBorders>
            <w:vAlign w:val="center"/>
          </w:tcPr>
          <w:p w:rsidR="001E7B45" w:rsidRPr="00056A5C" w:rsidRDefault="001E7B45" w:rsidP="008C1AA9">
            <w:pPr>
              <w:spacing w:after="0" w:line="240" w:lineRule="auto"/>
              <w:jc w:val="both"/>
              <w:rPr>
                <w:rFonts w:eastAsia="Calibri"/>
                <w:i/>
                <w:lang w:eastAsia="en-US"/>
              </w:rPr>
            </w:pPr>
            <w:r w:rsidRPr="00056A5C">
              <w:rPr>
                <w:rFonts w:eastAsia="Calibri"/>
                <w:i/>
                <w:sz w:val="22"/>
                <w:szCs w:val="22"/>
                <w:lang w:eastAsia="en-US"/>
              </w:rPr>
              <w:t>**</w:t>
            </w:r>
          </w:p>
        </w:tc>
        <w:tc>
          <w:tcPr>
            <w:tcW w:w="477" w:type="pct"/>
            <w:tcBorders>
              <w:top w:val="single" w:sz="4" w:space="0" w:color="auto"/>
              <w:left w:val="single" w:sz="4" w:space="0" w:color="auto"/>
              <w:bottom w:val="single" w:sz="4" w:space="0" w:color="auto"/>
              <w:right w:val="single" w:sz="4" w:space="0" w:color="auto"/>
            </w:tcBorders>
            <w:vAlign w:val="center"/>
          </w:tcPr>
          <w:p w:rsidR="001E7B45" w:rsidRPr="00056A5C" w:rsidRDefault="001E7B45" w:rsidP="008C1AA9">
            <w:pPr>
              <w:spacing w:after="0" w:line="240" w:lineRule="auto"/>
              <w:jc w:val="both"/>
              <w:rPr>
                <w:rFonts w:eastAsia="Calibri"/>
                <w:lang w:val="en-US" w:eastAsia="en-US"/>
              </w:rPr>
            </w:pPr>
            <w:r w:rsidRPr="00056A5C">
              <w:rPr>
                <w:rFonts w:eastAsia="Calibri"/>
                <w:lang w:val="en-US" w:eastAsia="en-US"/>
              </w:rPr>
              <w:t>-</w:t>
            </w:r>
          </w:p>
        </w:tc>
        <w:tc>
          <w:tcPr>
            <w:tcW w:w="718" w:type="pct"/>
            <w:tcBorders>
              <w:top w:val="single" w:sz="4" w:space="0" w:color="auto"/>
              <w:left w:val="single" w:sz="4" w:space="0" w:color="auto"/>
              <w:bottom w:val="single" w:sz="4" w:space="0" w:color="auto"/>
              <w:right w:val="single" w:sz="4" w:space="0" w:color="auto"/>
            </w:tcBorders>
            <w:vAlign w:val="center"/>
          </w:tcPr>
          <w:p w:rsidR="001E7B45" w:rsidRPr="00056A5C" w:rsidRDefault="001E7B45" w:rsidP="008C1AA9">
            <w:pPr>
              <w:spacing w:after="0" w:line="240" w:lineRule="auto"/>
              <w:jc w:val="center"/>
              <w:rPr>
                <w:rFonts w:eastAsia="Calibri"/>
                <w:color w:val="000000"/>
                <w:lang w:val="en-US" w:eastAsia="en-US"/>
              </w:rPr>
            </w:pPr>
            <w:r w:rsidRPr="00056A5C">
              <w:rPr>
                <w:rFonts w:eastAsia="Calibri"/>
                <w:color w:val="000000"/>
                <w:lang w:val="en-US" w:eastAsia="en-US"/>
              </w:rPr>
              <w:t>-</w:t>
            </w:r>
          </w:p>
        </w:tc>
        <w:tc>
          <w:tcPr>
            <w:tcW w:w="480" w:type="pct"/>
            <w:tcBorders>
              <w:top w:val="single" w:sz="4" w:space="0" w:color="auto"/>
              <w:left w:val="single" w:sz="4" w:space="0" w:color="auto"/>
              <w:bottom w:val="single" w:sz="4" w:space="0" w:color="auto"/>
              <w:right w:val="single" w:sz="4" w:space="0" w:color="auto"/>
            </w:tcBorders>
            <w:vAlign w:val="center"/>
          </w:tcPr>
          <w:p w:rsidR="001E7B45" w:rsidRPr="00056A5C" w:rsidRDefault="001E7B45" w:rsidP="008C1AA9">
            <w:pPr>
              <w:spacing w:after="0" w:line="240" w:lineRule="auto"/>
              <w:jc w:val="both"/>
              <w:rPr>
                <w:rFonts w:eastAsia="Calibri"/>
                <w:lang w:val="en-US" w:eastAsia="en-US"/>
              </w:rPr>
            </w:pPr>
            <w:r w:rsidRPr="00056A5C">
              <w:rPr>
                <w:rFonts w:eastAsia="Calibri"/>
                <w:lang w:val="en-US" w:eastAsia="en-US"/>
              </w:rPr>
              <w:t>10,29</w:t>
            </w:r>
          </w:p>
        </w:tc>
        <w:tc>
          <w:tcPr>
            <w:tcW w:w="631" w:type="pct"/>
            <w:tcBorders>
              <w:top w:val="single" w:sz="4" w:space="0" w:color="auto"/>
              <w:left w:val="single" w:sz="4" w:space="0" w:color="auto"/>
              <w:bottom w:val="single" w:sz="4" w:space="0" w:color="auto"/>
              <w:right w:val="single" w:sz="4" w:space="0" w:color="auto"/>
            </w:tcBorders>
            <w:vAlign w:val="center"/>
          </w:tcPr>
          <w:p w:rsidR="001E7B45" w:rsidRPr="00056A5C" w:rsidRDefault="001E7B45" w:rsidP="008C1AA9">
            <w:pPr>
              <w:spacing w:after="0" w:line="240" w:lineRule="auto"/>
              <w:jc w:val="center"/>
              <w:rPr>
                <w:rFonts w:eastAsia="Calibri"/>
                <w:color w:val="000000"/>
                <w:lang w:val="en-US" w:eastAsia="en-US"/>
              </w:rPr>
            </w:pPr>
            <w:r w:rsidRPr="00056A5C">
              <w:rPr>
                <w:rFonts w:eastAsia="Calibri"/>
                <w:color w:val="000000"/>
                <w:lang w:val="en-US" w:eastAsia="en-US"/>
              </w:rPr>
              <w:t>-</w:t>
            </w:r>
          </w:p>
        </w:tc>
        <w:tc>
          <w:tcPr>
            <w:tcW w:w="709" w:type="pct"/>
            <w:tcBorders>
              <w:top w:val="single" w:sz="4" w:space="0" w:color="auto"/>
              <w:left w:val="single" w:sz="4" w:space="0" w:color="auto"/>
              <w:bottom w:val="single" w:sz="4" w:space="0" w:color="auto"/>
              <w:right w:val="single" w:sz="4" w:space="0" w:color="auto"/>
            </w:tcBorders>
            <w:vAlign w:val="center"/>
          </w:tcPr>
          <w:p w:rsidR="001E7B45" w:rsidRPr="00056A5C" w:rsidRDefault="001E7B45" w:rsidP="008C1AA9">
            <w:pPr>
              <w:spacing w:after="0" w:line="240" w:lineRule="auto"/>
              <w:jc w:val="center"/>
              <w:rPr>
                <w:rFonts w:eastAsia="Calibri"/>
                <w:color w:val="000000"/>
                <w:lang w:val="en-US" w:eastAsia="en-US"/>
              </w:rPr>
            </w:pPr>
            <w:r w:rsidRPr="00056A5C">
              <w:rPr>
                <w:rFonts w:eastAsia="Calibri"/>
                <w:color w:val="000000"/>
                <w:lang w:val="en-US" w:eastAsia="en-US"/>
              </w:rPr>
              <w:t>0,5/</w:t>
            </w:r>
          </w:p>
          <w:p w:rsidR="001E7B45" w:rsidRPr="00056A5C" w:rsidRDefault="001E7B45" w:rsidP="008C1AA9">
            <w:pPr>
              <w:spacing w:after="0" w:line="240" w:lineRule="auto"/>
              <w:jc w:val="center"/>
              <w:rPr>
                <w:rFonts w:eastAsia="Calibri"/>
                <w:color w:val="000000"/>
                <w:lang w:val="en-US" w:eastAsia="en-US"/>
              </w:rPr>
            </w:pPr>
            <w:r w:rsidRPr="00056A5C">
              <w:rPr>
                <w:rFonts w:eastAsia="Calibri"/>
                <w:color w:val="000000"/>
                <w:lang w:val="en-US" w:eastAsia="en-US"/>
              </w:rPr>
              <w:t>0,5</w:t>
            </w:r>
          </w:p>
        </w:tc>
      </w:tr>
      <w:tr w:rsidR="001E7B45" w:rsidRPr="00056A5C" w:rsidTr="00BD58BF">
        <w:tc>
          <w:tcPr>
            <w:tcW w:w="1510" w:type="pct"/>
            <w:tcBorders>
              <w:top w:val="single" w:sz="4" w:space="0" w:color="auto"/>
              <w:left w:val="single" w:sz="4" w:space="0" w:color="auto"/>
              <w:bottom w:val="single" w:sz="4" w:space="0" w:color="auto"/>
              <w:right w:val="single" w:sz="4" w:space="0" w:color="auto"/>
            </w:tcBorders>
            <w:vAlign w:val="center"/>
          </w:tcPr>
          <w:p w:rsidR="001E7B45" w:rsidRPr="00056A5C" w:rsidRDefault="001E7B45" w:rsidP="008C1AA9">
            <w:pPr>
              <w:spacing w:after="0" w:line="240" w:lineRule="auto"/>
              <w:rPr>
                <w:rFonts w:eastAsia="Calibri"/>
                <w:lang w:eastAsia="en-US"/>
              </w:rPr>
            </w:pPr>
            <w:r w:rsidRPr="00056A5C">
              <w:rPr>
                <w:rFonts w:eastAsia="Calibri"/>
                <w:lang w:eastAsia="en-US"/>
              </w:rPr>
              <w:t>29. Общество с ограниченной ответственностью «СибЭнергоТранс54»</w:t>
            </w:r>
          </w:p>
        </w:tc>
        <w:tc>
          <w:tcPr>
            <w:tcW w:w="475" w:type="pct"/>
            <w:tcBorders>
              <w:top w:val="single" w:sz="4" w:space="0" w:color="auto"/>
              <w:left w:val="single" w:sz="4" w:space="0" w:color="auto"/>
              <w:bottom w:val="single" w:sz="4" w:space="0" w:color="auto"/>
              <w:right w:val="single" w:sz="4" w:space="0" w:color="auto"/>
            </w:tcBorders>
            <w:vAlign w:val="center"/>
          </w:tcPr>
          <w:p w:rsidR="001E7B45" w:rsidRPr="00056A5C" w:rsidRDefault="001E7B45" w:rsidP="008C1AA9">
            <w:pPr>
              <w:spacing w:after="0" w:line="240" w:lineRule="auto"/>
              <w:jc w:val="both"/>
              <w:rPr>
                <w:rFonts w:eastAsia="Calibri"/>
                <w:i/>
                <w:lang w:eastAsia="en-US"/>
              </w:rPr>
            </w:pPr>
            <w:r w:rsidRPr="00056A5C">
              <w:rPr>
                <w:rFonts w:eastAsia="Calibri"/>
                <w:i/>
                <w:sz w:val="22"/>
                <w:szCs w:val="22"/>
                <w:lang w:eastAsia="en-US"/>
              </w:rPr>
              <w:t>***</w:t>
            </w:r>
          </w:p>
        </w:tc>
        <w:tc>
          <w:tcPr>
            <w:tcW w:w="477" w:type="pct"/>
            <w:tcBorders>
              <w:top w:val="single" w:sz="4" w:space="0" w:color="auto"/>
              <w:left w:val="single" w:sz="4" w:space="0" w:color="auto"/>
              <w:bottom w:val="single" w:sz="4" w:space="0" w:color="auto"/>
              <w:right w:val="single" w:sz="4" w:space="0" w:color="auto"/>
            </w:tcBorders>
            <w:vAlign w:val="center"/>
          </w:tcPr>
          <w:p w:rsidR="001E7B45" w:rsidRPr="00056A5C" w:rsidRDefault="001E7B45" w:rsidP="008C1AA9">
            <w:pPr>
              <w:spacing w:after="0" w:line="240" w:lineRule="auto"/>
              <w:jc w:val="both"/>
              <w:rPr>
                <w:rFonts w:eastAsia="Calibri"/>
                <w:lang w:val="en-US" w:eastAsia="en-US"/>
              </w:rPr>
            </w:pPr>
            <w:r w:rsidRPr="00056A5C">
              <w:rPr>
                <w:rFonts w:eastAsia="Calibri"/>
                <w:lang w:val="en-US" w:eastAsia="en-US"/>
              </w:rPr>
              <w:t>-</w:t>
            </w:r>
          </w:p>
        </w:tc>
        <w:tc>
          <w:tcPr>
            <w:tcW w:w="718" w:type="pct"/>
            <w:tcBorders>
              <w:top w:val="single" w:sz="4" w:space="0" w:color="auto"/>
              <w:left w:val="single" w:sz="4" w:space="0" w:color="auto"/>
              <w:bottom w:val="single" w:sz="4" w:space="0" w:color="auto"/>
              <w:right w:val="single" w:sz="4" w:space="0" w:color="auto"/>
            </w:tcBorders>
            <w:vAlign w:val="center"/>
          </w:tcPr>
          <w:p w:rsidR="001E7B45" w:rsidRPr="00056A5C" w:rsidRDefault="001E7B45" w:rsidP="008C1AA9">
            <w:pPr>
              <w:spacing w:after="0" w:line="240" w:lineRule="auto"/>
              <w:jc w:val="center"/>
              <w:rPr>
                <w:rFonts w:eastAsia="Calibri"/>
                <w:color w:val="000000"/>
                <w:lang w:val="en-US" w:eastAsia="en-US"/>
              </w:rPr>
            </w:pPr>
            <w:r w:rsidRPr="00056A5C">
              <w:rPr>
                <w:rFonts w:eastAsia="Calibri"/>
                <w:color w:val="000000"/>
                <w:lang w:val="en-US" w:eastAsia="en-US"/>
              </w:rPr>
              <w:t>-</w:t>
            </w:r>
          </w:p>
        </w:tc>
        <w:tc>
          <w:tcPr>
            <w:tcW w:w="480" w:type="pct"/>
            <w:tcBorders>
              <w:top w:val="single" w:sz="4" w:space="0" w:color="auto"/>
              <w:left w:val="single" w:sz="4" w:space="0" w:color="auto"/>
              <w:bottom w:val="single" w:sz="4" w:space="0" w:color="auto"/>
              <w:right w:val="single" w:sz="4" w:space="0" w:color="auto"/>
            </w:tcBorders>
            <w:vAlign w:val="center"/>
          </w:tcPr>
          <w:p w:rsidR="001E7B45" w:rsidRPr="00056A5C" w:rsidRDefault="001E7B45" w:rsidP="008C1AA9">
            <w:pPr>
              <w:spacing w:after="0" w:line="240" w:lineRule="auto"/>
              <w:jc w:val="both"/>
              <w:rPr>
                <w:rFonts w:eastAsia="Calibri"/>
                <w:lang w:val="en-US" w:eastAsia="en-US"/>
              </w:rPr>
            </w:pPr>
            <w:r w:rsidRPr="00056A5C">
              <w:rPr>
                <w:rFonts w:eastAsia="Calibri"/>
                <w:lang w:val="en-US" w:eastAsia="en-US"/>
              </w:rPr>
              <w:t>-</w:t>
            </w:r>
          </w:p>
        </w:tc>
        <w:tc>
          <w:tcPr>
            <w:tcW w:w="631" w:type="pct"/>
            <w:tcBorders>
              <w:top w:val="single" w:sz="4" w:space="0" w:color="auto"/>
              <w:left w:val="single" w:sz="4" w:space="0" w:color="auto"/>
              <w:bottom w:val="single" w:sz="4" w:space="0" w:color="auto"/>
              <w:right w:val="single" w:sz="4" w:space="0" w:color="auto"/>
            </w:tcBorders>
            <w:vAlign w:val="center"/>
          </w:tcPr>
          <w:p w:rsidR="001E7B45" w:rsidRPr="00056A5C" w:rsidRDefault="001E7B45" w:rsidP="008C1AA9">
            <w:pPr>
              <w:spacing w:after="0" w:line="240" w:lineRule="auto"/>
              <w:jc w:val="center"/>
              <w:rPr>
                <w:rFonts w:eastAsia="Calibri"/>
                <w:color w:val="000000"/>
                <w:lang w:val="en-US" w:eastAsia="en-US"/>
              </w:rPr>
            </w:pPr>
            <w:r w:rsidRPr="00056A5C">
              <w:rPr>
                <w:rFonts w:eastAsia="Calibri"/>
                <w:color w:val="000000"/>
                <w:lang w:val="en-US" w:eastAsia="en-US"/>
              </w:rPr>
              <w:t>-</w:t>
            </w:r>
          </w:p>
        </w:tc>
        <w:tc>
          <w:tcPr>
            <w:tcW w:w="709" w:type="pct"/>
            <w:tcBorders>
              <w:top w:val="single" w:sz="4" w:space="0" w:color="auto"/>
              <w:left w:val="single" w:sz="4" w:space="0" w:color="auto"/>
              <w:bottom w:val="single" w:sz="4" w:space="0" w:color="auto"/>
              <w:right w:val="single" w:sz="4" w:space="0" w:color="auto"/>
            </w:tcBorders>
            <w:vAlign w:val="center"/>
          </w:tcPr>
          <w:p w:rsidR="001E7B45" w:rsidRPr="00056A5C" w:rsidRDefault="001E7B45" w:rsidP="008C1AA9">
            <w:pPr>
              <w:spacing w:after="0" w:line="240" w:lineRule="auto"/>
              <w:jc w:val="center"/>
              <w:rPr>
                <w:rFonts w:eastAsia="Calibri"/>
                <w:color w:val="000000"/>
                <w:lang w:val="en-US" w:eastAsia="en-US"/>
              </w:rPr>
            </w:pPr>
            <w:r w:rsidRPr="00056A5C">
              <w:rPr>
                <w:rFonts w:eastAsia="Calibri"/>
                <w:color w:val="000000"/>
                <w:lang w:val="en-US" w:eastAsia="en-US"/>
              </w:rPr>
              <w:t>0,01</w:t>
            </w:r>
          </w:p>
        </w:tc>
      </w:tr>
      <w:tr w:rsidR="001E7B45" w:rsidRPr="00056A5C" w:rsidTr="00BD58BF">
        <w:tc>
          <w:tcPr>
            <w:tcW w:w="1510" w:type="pct"/>
            <w:tcBorders>
              <w:top w:val="single" w:sz="4" w:space="0" w:color="auto"/>
              <w:left w:val="single" w:sz="4" w:space="0" w:color="auto"/>
              <w:bottom w:val="single" w:sz="4" w:space="0" w:color="auto"/>
              <w:right w:val="single" w:sz="4" w:space="0" w:color="auto"/>
            </w:tcBorders>
            <w:vAlign w:val="center"/>
          </w:tcPr>
          <w:p w:rsidR="001E7B45" w:rsidRPr="00056A5C" w:rsidRDefault="001E7B45" w:rsidP="008C1AA9">
            <w:pPr>
              <w:spacing w:after="0" w:line="240" w:lineRule="auto"/>
              <w:rPr>
                <w:rFonts w:eastAsia="Calibri"/>
                <w:lang w:eastAsia="en-US"/>
              </w:rPr>
            </w:pPr>
            <w:r w:rsidRPr="00056A5C">
              <w:rPr>
                <w:rFonts w:eastAsia="Calibri"/>
                <w:lang w:eastAsia="en-US"/>
              </w:rPr>
              <w:t>30. Общество с ограниченной ответственностью «М-Энергосеть»</w:t>
            </w:r>
          </w:p>
        </w:tc>
        <w:tc>
          <w:tcPr>
            <w:tcW w:w="475" w:type="pct"/>
            <w:tcBorders>
              <w:top w:val="single" w:sz="4" w:space="0" w:color="auto"/>
              <w:left w:val="single" w:sz="4" w:space="0" w:color="auto"/>
              <w:bottom w:val="single" w:sz="4" w:space="0" w:color="auto"/>
              <w:right w:val="single" w:sz="4" w:space="0" w:color="auto"/>
            </w:tcBorders>
            <w:vAlign w:val="center"/>
          </w:tcPr>
          <w:p w:rsidR="001E7B45" w:rsidRPr="00056A5C" w:rsidRDefault="001E7B45" w:rsidP="008C1AA9">
            <w:pPr>
              <w:spacing w:after="0" w:line="240" w:lineRule="auto"/>
              <w:jc w:val="both"/>
              <w:rPr>
                <w:rFonts w:eastAsia="Calibri"/>
                <w:i/>
                <w:lang w:eastAsia="en-US"/>
              </w:rPr>
            </w:pPr>
            <w:r w:rsidRPr="00056A5C">
              <w:rPr>
                <w:rFonts w:eastAsia="Calibri"/>
                <w:i/>
                <w:sz w:val="22"/>
                <w:szCs w:val="22"/>
                <w:lang w:eastAsia="en-US"/>
              </w:rPr>
              <w:t>***</w:t>
            </w:r>
          </w:p>
        </w:tc>
        <w:tc>
          <w:tcPr>
            <w:tcW w:w="477" w:type="pct"/>
            <w:tcBorders>
              <w:top w:val="single" w:sz="4" w:space="0" w:color="auto"/>
              <w:left w:val="single" w:sz="4" w:space="0" w:color="auto"/>
              <w:bottom w:val="single" w:sz="4" w:space="0" w:color="auto"/>
              <w:right w:val="single" w:sz="4" w:space="0" w:color="auto"/>
            </w:tcBorders>
            <w:vAlign w:val="center"/>
          </w:tcPr>
          <w:p w:rsidR="001E7B45" w:rsidRPr="00056A5C" w:rsidRDefault="001E7B45" w:rsidP="008C1AA9">
            <w:pPr>
              <w:spacing w:after="0" w:line="240" w:lineRule="auto"/>
              <w:jc w:val="both"/>
              <w:rPr>
                <w:rFonts w:eastAsia="Calibri"/>
                <w:lang w:val="en-US" w:eastAsia="en-US"/>
              </w:rPr>
            </w:pPr>
            <w:r w:rsidRPr="00056A5C">
              <w:rPr>
                <w:rFonts w:eastAsia="Calibri"/>
                <w:lang w:val="en-US" w:eastAsia="en-US"/>
              </w:rPr>
              <w:t>-</w:t>
            </w:r>
          </w:p>
        </w:tc>
        <w:tc>
          <w:tcPr>
            <w:tcW w:w="718" w:type="pct"/>
            <w:tcBorders>
              <w:top w:val="single" w:sz="4" w:space="0" w:color="auto"/>
              <w:left w:val="single" w:sz="4" w:space="0" w:color="auto"/>
              <w:bottom w:val="single" w:sz="4" w:space="0" w:color="auto"/>
              <w:right w:val="single" w:sz="4" w:space="0" w:color="auto"/>
            </w:tcBorders>
            <w:vAlign w:val="center"/>
          </w:tcPr>
          <w:p w:rsidR="001E7B45" w:rsidRPr="00056A5C" w:rsidRDefault="001E7B45" w:rsidP="008C1AA9">
            <w:pPr>
              <w:spacing w:after="0" w:line="240" w:lineRule="auto"/>
              <w:jc w:val="center"/>
              <w:rPr>
                <w:rFonts w:eastAsia="Calibri"/>
                <w:color w:val="000000"/>
                <w:lang w:val="en-US" w:eastAsia="en-US"/>
              </w:rPr>
            </w:pPr>
            <w:r w:rsidRPr="00056A5C">
              <w:rPr>
                <w:rFonts w:eastAsia="Calibri"/>
                <w:color w:val="000000"/>
                <w:lang w:val="en-US" w:eastAsia="en-US"/>
              </w:rPr>
              <w:t>-</w:t>
            </w:r>
          </w:p>
        </w:tc>
        <w:tc>
          <w:tcPr>
            <w:tcW w:w="480" w:type="pct"/>
            <w:tcBorders>
              <w:top w:val="single" w:sz="4" w:space="0" w:color="auto"/>
              <w:left w:val="single" w:sz="4" w:space="0" w:color="auto"/>
              <w:bottom w:val="single" w:sz="4" w:space="0" w:color="auto"/>
              <w:right w:val="single" w:sz="4" w:space="0" w:color="auto"/>
            </w:tcBorders>
            <w:vAlign w:val="center"/>
          </w:tcPr>
          <w:p w:rsidR="001E7B45" w:rsidRPr="00056A5C" w:rsidRDefault="001E7B45" w:rsidP="008C1AA9">
            <w:pPr>
              <w:spacing w:after="0" w:line="240" w:lineRule="auto"/>
              <w:jc w:val="both"/>
              <w:rPr>
                <w:rFonts w:eastAsia="Calibri"/>
                <w:lang w:val="en-US" w:eastAsia="en-US"/>
              </w:rPr>
            </w:pPr>
            <w:r w:rsidRPr="00056A5C">
              <w:rPr>
                <w:rFonts w:eastAsia="Calibri"/>
                <w:lang w:val="en-US" w:eastAsia="en-US"/>
              </w:rPr>
              <w:t>-</w:t>
            </w:r>
          </w:p>
        </w:tc>
        <w:tc>
          <w:tcPr>
            <w:tcW w:w="631" w:type="pct"/>
            <w:tcBorders>
              <w:top w:val="single" w:sz="4" w:space="0" w:color="auto"/>
              <w:left w:val="single" w:sz="4" w:space="0" w:color="auto"/>
              <w:bottom w:val="single" w:sz="4" w:space="0" w:color="auto"/>
              <w:right w:val="single" w:sz="4" w:space="0" w:color="auto"/>
            </w:tcBorders>
            <w:vAlign w:val="center"/>
          </w:tcPr>
          <w:p w:rsidR="001E7B45" w:rsidRPr="00056A5C" w:rsidRDefault="001E7B45" w:rsidP="008C1AA9">
            <w:pPr>
              <w:spacing w:after="0" w:line="240" w:lineRule="auto"/>
              <w:jc w:val="center"/>
              <w:rPr>
                <w:rFonts w:eastAsia="Calibri"/>
                <w:color w:val="000000"/>
                <w:lang w:val="en-US" w:eastAsia="en-US"/>
              </w:rPr>
            </w:pPr>
            <w:r w:rsidRPr="00056A5C">
              <w:rPr>
                <w:rFonts w:eastAsia="Calibri"/>
                <w:color w:val="000000"/>
                <w:lang w:val="en-US" w:eastAsia="en-US"/>
              </w:rPr>
              <w:t>-</w:t>
            </w:r>
          </w:p>
        </w:tc>
        <w:tc>
          <w:tcPr>
            <w:tcW w:w="709" w:type="pct"/>
            <w:tcBorders>
              <w:top w:val="single" w:sz="4" w:space="0" w:color="auto"/>
              <w:left w:val="single" w:sz="4" w:space="0" w:color="auto"/>
              <w:bottom w:val="single" w:sz="4" w:space="0" w:color="auto"/>
              <w:right w:val="single" w:sz="4" w:space="0" w:color="auto"/>
            </w:tcBorders>
            <w:vAlign w:val="center"/>
          </w:tcPr>
          <w:p w:rsidR="001E7B45" w:rsidRPr="00056A5C" w:rsidRDefault="001E7B45" w:rsidP="008C1AA9">
            <w:pPr>
              <w:spacing w:after="0" w:line="240" w:lineRule="auto"/>
              <w:jc w:val="center"/>
              <w:rPr>
                <w:rFonts w:eastAsia="Calibri"/>
                <w:color w:val="000000"/>
                <w:lang w:val="en-US" w:eastAsia="en-US"/>
              </w:rPr>
            </w:pPr>
            <w:r w:rsidRPr="00056A5C">
              <w:rPr>
                <w:rFonts w:eastAsia="Calibri"/>
                <w:color w:val="000000"/>
                <w:lang w:val="en-US" w:eastAsia="en-US"/>
              </w:rPr>
              <w:t>0,5</w:t>
            </w:r>
          </w:p>
        </w:tc>
      </w:tr>
      <w:tr w:rsidR="001E7B45" w:rsidRPr="00056A5C" w:rsidTr="00BD58BF">
        <w:tc>
          <w:tcPr>
            <w:tcW w:w="1510" w:type="pct"/>
            <w:tcBorders>
              <w:top w:val="single" w:sz="4" w:space="0" w:color="auto"/>
              <w:left w:val="single" w:sz="4" w:space="0" w:color="auto"/>
              <w:bottom w:val="single" w:sz="4" w:space="0" w:color="auto"/>
              <w:right w:val="single" w:sz="4" w:space="0" w:color="auto"/>
            </w:tcBorders>
            <w:vAlign w:val="center"/>
          </w:tcPr>
          <w:p w:rsidR="001E7B45" w:rsidRPr="00056A5C" w:rsidRDefault="001E7B45" w:rsidP="008C1AA9">
            <w:pPr>
              <w:spacing w:after="0" w:line="240" w:lineRule="auto"/>
              <w:rPr>
                <w:rFonts w:eastAsia="Calibri"/>
                <w:lang w:eastAsia="en-US"/>
              </w:rPr>
            </w:pPr>
            <w:r w:rsidRPr="00056A5C">
              <w:rPr>
                <w:rFonts w:eastAsia="Calibri"/>
                <w:lang w:eastAsia="en-US"/>
              </w:rPr>
              <w:t xml:space="preserve">31. Общество с ограниченной ответственностью «Электросетевая </w:t>
            </w:r>
            <w:r w:rsidRPr="00056A5C">
              <w:rPr>
                <w:rFonts w:eastAsia="Calibri"/>
                <w:lang w:eastAsia="en-US"/>
              </w:rPr>
              <w:lastRenderedPageBreak/>
              <w:t>территориальная организация»</w:t>
            </w:r>
          </w:p>
        </w:tc>
        <w:tc>
          <w:tcPr>
            <w:tcW w:w="475" w:type="pct"/>
            <w:tcBorders>
              <w:top w:val="single" w:sz="4" w:space="0" w:color="auto"/>
              <w:left w:val="single" w:sz="4" w:space="0" w:color="auto"/>
              <w:bottom w:val="single" w:sz="4" w:space="0" w:color="auto"/>
              <w:right w:val="single" w:sz="4" w:space="0" w:color="auto"/>
            </w:tcBorders>
            <w:vAlign w:val="center"/>
          </w:tcPr>
          <w:p w:rsidR="001E7B45" w:rsidRPr="00056A5C" w:rsidRDefault="001E7B45" w:rsidP="008C1AA9">
            <w:pPr>
              <w:spacing w:after="0" w:line="240" w:lineRule="auto"/>
              <w:jc w:val="both"/>
              <w:rPr>
                <w:rFonts w:eastAsia="Calibri"/>
                <w:i/>
                <w:lang w:eastAsia="en-US"/>
              </w:rPr>
            </w:pPr>
            <w:r w:rsidRPr="00056A5C">
              <w:rPr>
                <w:rFonts w:eastAsia="Calibri"/>
                <w:i/>
                <w:sz w:val="22"/>
                <w:szCs w:val="22"/>
                <w:lang w:eastAsia="en-US"/>
              </w:rPr>
              <w:lastRenderedPageBreak/>
              <w:t>***</w:t>
            </w:r>
          </w:p>
        </w:tc>
        <w:tc>
          <w:tcPr>
            <w:tcW w:w="477" w:type="pct"/>
            <w:tcBorders>
              <w:top w:val="single" w:sz="4" w:space="0" w:color="auto"/>
              <w:left w:val="single" w:sz="4" w:space="0" w:color="auto"/>
              <w:bottom w:val="single" w:sz="4" w:space="0" w:color="auto"/>
              <w:right w:val="single" w:sz="4" w:space="0" w:color="auto"/>
            </w:tcBorders>
            <w:vAlign w:val="center"/>
          </w:tcPr>
          <w:p w:rsidR="001E7B45" w:rsidRPr="00056A5C" w:rsidRDefault="001E7B45" w:rsidP="008C1AA9">
            <w:pPr>
              <w:spacing w:after="0" w:line="240" w:lineRule="auto"/>
              <w:jc w:val="both"/>
              <w:rPr>
                <w:rFonts w:eastAsia="Calibri"/>
                <w:lang w:val="en-US" w:eastAsia="en-US"/>
              </w:rPr>
            </w:pPr>
            <w:r w:rsidRPr="00056A5C">
              <w:rPr>
                <w:rFonts w:eastAsia="Calibri"/>
                <w:lang w:val="en-US" w:eastAsia="en-US"/>
              </w:rPr>
              <w:t>-</w:t>
            </w:r>
          </w:p>
        </w:tc>
        <w:tc>
          <w:tcPr>
            <w:tcW w:w="718" w:type="pct"/>
            <w:tcBorders>
              <w:top w:val="single" w:sz="4" w:space="0" w:color="auto"/>
              <w:left w:val="single" w:sz="4" w:space="0" w:color="auto"/>
              <w:bottom w:val="single" w:sz="4" w:space="0" w:color="auto"/>
              <w:right w:val="single" w:sz="4" w:space="0" w:color="auto"/>
            </w:tcBorders>
            <w:vAlign w:val="center"/>
          </w:tcPr>
          <w:p w:rsidR="001E7B45" w:rsidRPr="00056A5C" w:rsidRDefault="001E7B45" w:rsidP="008C1AA9">
            <w:pPr>
              <w:spacing w:after="0" w:line="240" w:lineRule="auto"/>
              <w:jc w:val="center"/>
              <w:rPr>
                <w:rFonts w:eastAsia="Calibri"/>
                <w:color w:val="000000"/>
                <w:lang w:val="en-US" w:eastAsia="en-US"/>
              </w:rPr>
            </w:pPr>
            <w:r w:rsidRPr="00056A5C">
              <w:rPr>
                <w:rFonts w:eastAsia="Calibri"/>
                <w:color w:val="000000"/>
                <w:lang w:val="en-US" w:eastAsia="en-US"/>
              </w:rPr>
              <w:t>-</w:t>
            </w:r>
          </w:p>
        </w:tc>
        <w:tc>
          <w:tcPr>
            <w:tcW w:w="480" w:type="pct"/>
            <w:tcBorders>
              <w:top w:val="single" w:sz="4" w:space="0" w:color="auto"/>
              <w:left w:val="single" w:sz="4" w:space="0" w:color="auto"/>
              <w:bottom w:val="single" w:sz="4" w:space="0" w:color="auto"/>
              <w:right w:val="single" w:sz="4" w:space="0" w:color="auto"/>
            </w:tcBorders>
            <w:vAlign w:val="center"/>
          </w:tcPr>
          <w:p w:rsidR="001E7B45" w:rsidRPr="00056A5C" w:rsidRDefault="001E7B45" w:rsidP="008C1AA9">
            <w:pPr>
              <w:spacing w:after="0" w:line="240" w:lineRule="auto"/>
              <w:jc w:val="both"/>
              <w:rPr>
                <w:rFonts w:eastAsia="Calibri"/>
                <w:lang w:val="en-US" w:eastAsia="en-US"/>
              </w:rPr>
            </w:pPr>
            <w:r w:rsidRPr="00056A5C">
              <w:rPr>
                <w:rFonts w:eastAsia="Calibri"/>
                <w:lang w:val="en-US" w:eastAsia="en-US"/>
              </w:rPr>
              <w:t>-</w:t>
            </w:r>
          </w:p>
        </w:tc>
        <w:tc>
          <w:tcPr>
            <w:tcW w:w="631" w:type="pct"/>
            <w:tcBorders>
              <w:top w:val="single" w:sz="4" w:space="0" w:color="auto"/>
              <w:left w:val="single" w:sz="4" w:space="0" w:color="auto"/>
              <w:bottom w:val="single" w:sz="4" w:space="0" w:color="auto"/>
              <w:right w:val="single" w:sz="4" w:space="0" w:color="auto"/>
            </w:tcBorders>
            <w:vAlign w:val="center"/>
          </w:tcPr>
          <w:p w:rsidR="001E7B45" w:rsidRPr="00056A5C" w:rsidRDefault="001E7B45" w:rsidP="008C1AA9">
            <w:pPr>
              <w:spacing w:after="0" w:line="240" w:lineRule="auto"/>
              <w:jc w:val="center"/>
              <w:rPr>
                <w:rFonts w:eastAsia="Calibri"/>
                <w:color w:val="000000"/>
                <w:lang w:val="en-US" w:eastAsia="en-US"/>
              </w:rPr>
            </w:pPr>
            <w:r w:rsidRPr="00056A5C">
              <w:rPr>
                <w:rFonts w:eastAsia="Calibri"/>
                <w:color w:val="000000"/>
                <w:lang w:val="en-US" w:eastAsia="en-US"/>
              </w:rPr>
              <w:t>-</w:t>
            </w:r>
          </w:p>
        </w:tc>
        <w:tc>
          <w:tcPr>
            <w:tcW w:w="709" w:type="pct"/>
            <w:tcBorders>
              <w:top w:val="single" w:sz="4" w:space="0" w:color="auto"/>
              <w:left w:val="single" w:sz="4" w:space="0" w:color="auto"/>
              <w:bottom w:val="single" w:sz="4" w:space="0" w:color="auto"/>
              <w:right w:val="single" w:sz="4" w:space="0" w:color="auto"/>
            </w:tcBorders>
            <w:vAlign w:val="center"/>
          </w:tcPr>
          <w:p w:rsidR="001E7B45" w:rsidRPr="00056A5C" w:rsidRDefault="001E7B45" w:rsidP="008C1AA9">
            <w:pPr>
              <w:spacing w:after="0" w:line="240" w:lineRule="auto"/>
              <w:jc w:val="center"/>
              <w:rPr>
                <w:rFonts w:eastAsia="Calibri"/>
                <w:color w:val="000000"/>
                <w:lang w:val="en-US" w:eastAsia="en-US"/>
              </w:rPr>
            </w:pPr>
            <w:r w:rsidRPr="00056A5C">
              <w:rPr>
                <w:rFonts w:eastAsia="Calibri"/>
                <w:color w:val="000000"/>
                <w:lang w:val="en-US" w:eastAsia="en-US"/>
              </w:rPr>
              <w:t>1</w:t>
            </w:r>
          </w:p>
        </w:tc>
      </w:tr>
      <w:tr w:rsidR="001E7B45" w:rsidRPr="00056A5C" w:rsidTr="00BD58BF">
        <w:tc>
          <w:tcPr>
            <w:tcW w:w="1510" w:type="pct"/>
            <w:tcBorders>
              <w:top w:val="single" w:sz="4" w:space="0" w:color="auto"/>
              <w:left w:val="single" w:sz="4" w:space="0" w:color="auto"/>
              <w:bottom w:val="single" w:sz="4" w:space="0" w:color="auto"/>
              <w:right w:val="single" w:sz="4" w:space="0" w:color="auto"/>
            </w:tcBorders>
            <w:vAlign w:val="center"/>
          </w:tcPr>
          <w:p w:rsidR="001E7B45" w:rsidRPr="00056A5C" w:rsidRDefault="001E7B45" w:rsidP="008C1AA9">
            <w:pPr>
              <w:spacing w:after="0" w:line="240" w:lineRule="auto"/>
              <w:rPr>
                <w:rFonts w:eastAsia="Calibri"/>
                <w:lang w:eastAsia="en-US"/>
              </w:rPr>
            </w:pPr>
            <w:r w:rsidRPr="00056A5C">
              <w:rPr>
                <w:rFonts w:eastAsia="Calibri"/>
                <w:lang w:eastAsia="en-US"/>
              </w:rPr>
              <w:lastRenderedPageBreak/>
              <w:t>32. Общество с ограниченной ответственностью «Благовещенка Электросети»</w:t>
            </w:r>
          </w:p>
        </w:tc>
        <w:tc>
          <w:tcPr>
            <w:tcW w:w="475" w:type="pct"/>
            <w:tcBorders>
              <w:top w:val="single" w:sz="4" w:space="0" w:color="auto"/>
              <w:left w:val="single" w:sz="4" w:space="0" w:color="auto"/>
              <w:bottom w:val="single" w:sz="4" w:space="0" w:color="auto"/>
              <w:right w:val="single" w:sz="4" w:space="0" w:color="auto"/>
            </w:tcBorders>
            <w:vAlign w:val="center"/>
          </w:tcPr>
          <w:p w:rsidR="001E7B45" w:rsidRPr="00056A5C" w:rsidRDefault="001E7B45" w:rsidP="008C1AA9">
            <w:pPr>
              <w:spacing w:after="0" w:line="240" w:lineRule="auto"/>
              <w:jc w:val="both"/>
              <w:rPr>
                <w:rFonts w:eastAsia="Calibri"/>
                <w:i/>
                <w:lang w:eastAsia="en-US"/>
              </w:rPr>
            </w:pPr>
            <w:r w:rsidRPr="00056A5C">
              <w:rPr>
                <w:rFonts w:eastAsia="Calibri"/>
                <w:i/>
                <w:sz w:val="22"/>
                <w:szCs w:val="22"/>
                <w:lang w:eastAsia="en-US"/>
              </w:rPr>
              <w:t>***</w:t>
            </w:r>
          </w:p>
        </w:tc>
        <w:tc>
          <w:tcPr>
            <w:tcW w:w="477" w:type="pct"/>
            <w:tcBorders>
              <w:top w:val="single" w:sz="4" w:space="0" w:color="auto"/>
              <w:left w:val="single" w:sz="4" w:space="0" w:color="auto"/>
              <w:bottom w:val="single" w:sz="4" w:space="0" w:color="auto"/>
              <w:right w:val="single" w:sz="4" w:space="0" w:color="auto"/>
            </w:tcBorders>
            <w:vAlign w:val="center"/>
          </w:tcPr>
          <w:p w:rsidR="001E7B45" w:rsidRPr="00056A5C" w:rsidRDefault="001E7B45" w:rsidP="008C1AA9">
            <w:pPr>
              <w:spacing w:after="0" w:line="240" w:lineRule="auto"/>
              <w:jc w:val="both"/>
              <w:rPr>
                <w:rFonts w:eastAsia="Calibri"/>
                <w:lang w:val="en-US" w:eastAsia="en-US"/>
              </w:rPr>
            </w:pPr>
            <w:r w:rsidRPr="00056A5C">
              <w:rPr>
                <w:rFonts w:eastAsia="Calibri"/>
                <w:lang w:val="en-US" w:eastAsia="en-US"/>
              </w:rPr>
              <w:t>-</w:t>
            </w:r>
          </w:p>
        </w:tc>
        <w:tc>
          <w:tcPr>
            <w:tcW w:w="718" w:type="pct"/>
            <w:tcBorders>
              <w:top w:val="single" w:sz="4" w:space="0" w:color="auto"/>
              <w:left w:val="single" w:sz="4" w:space="0" w:color="auto"/>
              <w:bottom w:val="single" w:sz="4" w:space="0" w:color="auto"/>
              <w:right w:val="single" w:sz="4" w:space="0" w:color="auto"/>
            </w:tcBorders>
            <w:vAlign w:val="center"/>
          </w:tcPr>
          <w:p w:rsidR="001E7B45" w:rsidRPr="00056A5C" w:rsidRDefault="001E7B45" w:rsidP="008C1AA9">
            <w:pPr>
              <w:spacing w:after="0" w:line="240" w:lineRule="auto"/>
              <w:jc w:val="center"/>
              <w:rPr>
                <w:rFonts w:eastAsia="Calibri"/>
                <w:color w:val="000000"/>
                <w:lang w:val="en-US" w:eastAsia="en-US"/>
              </w:rPr>
            </w:pPr>
            <w:r w:rsidRPr="00056A5C">
              <w:rPr>
                <w:rFonts w:eastAsia="Calibri"/>
                <w:color w:val="000000"/>
                <w:lang w:val="en-US" w:eastAsia="en-US"/>
              </w:rPr>
              <w:t>-</w:t>
            </w:r>
          </w:p>
        </w:tc>
        <w:tc>
          <w:tcPr>
            <w:tcW w:w="480" w:type="pct"/>
            <w:tcBorders>
              <w:top w:val="single" w:sz="4" w:space="0" w:color="auto"/>
              <w:left w:val="single" w:sz="4" w:space="0" w:color="auto"/>
              <w:bottom w:val="single" w:sz="4" w:space="0" w:color="auto"/>
              <w:right w:val="single" w:sz="4" w:space="0" w:color="auto"/>
            </w:tcBorders>
            <w:vAlign w:val="center"/>
          </w:tcPr>
          <w:p w:rsidR="001E7B45" w:rsidRPr="00056A5C" w:rsidRDefault="001E7B45" w:rsidP="008C1AA9">
            <w:pPr>
              <w:spacing w:after="0" w:line="240" w:lineRule="auto"/>
              <w:jc w:val="both"/>
              <w:rPr>
                <w:rFonts w:eastAsia="Calibri"/>
                <w:lang w:val="en-US" w:eastAsia="en-US"/>
              </w:rPr>
            </w:pPr>
            <w:r w:rsidRPr="00056A5C">
              <w:rPr>
                <w:rFonts w:eastAsia="Calibri"/>
                <w:lang w:val="en-US" w:eastAsia="en-US"/>
              </w:rPr>
              <w:t>-</w:t>
            </w:r>
          </w:p>
        </w:tc>
        <w:tc>
          <w:tcPr>
            <w:tcW w:w="631" w:type="pct"/>
            <w:tcBorders>
              <w:top w:val="single" w:sz="4" w:space="0" w:color="auto"/>
              <w:left w:val="single" w:sz="4" w:space="0" w:color="auto"/>
              <w:bottom w:val="single" w:sz="4" w:space="0" w:color="auto"/>
              <w:right w:val="single" w:sz="4" w:space="0" w:color="auto"/>
            </w:tcBorders>
            <w:vAlign w:val="center"/>
          </w:tcPr>
          <w:p w:rsidR="001E7B45" w:rsidRPr="00056A5C" w:rsidRDefault="001E7B45" w:rsidP="008C1AA9">
            <w:pPr>
              <w:spacing w:after="0" w:line="240" w:lineRule="auto"/>
              <w:jc w:val="center"/>
              <w:rPr>
                <w:rFonts w:eastAsia="Calibri"/>
                <w:color w:val="000000"/>
                <w:lang w:val="en-US" w:eastAsia="en-US"/>
              </w:rPr>
            </w:pPr>
            <w:r w:rsidRPr="00056A5C">
              <w:rPr>
                <w:rFonts w:eastAsia="Calibri"/>
                <w:color w:val="000000"/>
                <w:lang w:val="en-US" w:eastAsia="en-US"/>
              </w:rPr>
              <w:t>-</w:t>
            </w:r>
          </w:p>
        </w:tc>
        <w:tc>
          <w:tcPr>
            <w:tcW w:w="709" w:type="pct"/>
            <w:tcBorders>
              <w:top w:val="single" w:sz="4" w:space="0" w:color="auto"/>
              <w:left w:val="single" w:sz="4" w:space="0" w:color="auto"/>
              <w:bottom w:val="single" w:sz="4" w:space="0" w:color="auto"/>
              <w:right w:val="single" w:sz="4" w:space="0" w:color="auto"/>
            </w:tcBorders>
            <w:vAlign w:val="center"/>
          </w:tcPr>
          <w:p w:rsidR="001E7B45" w:rsidRPr="00056A5C" w:rsidRDefault="001E7B45" w:rsidP="008C1AA9">
            <w:pPr>
              <w:spacing w:after="0" w:line="240" w:lineRule="auto"/>
              <w:jc w:val="center"/>
              <w:rPr>
                <w:rFonts w:eastAsia="Calibri"/>
                <w:color w:val="000000"/>
                <w:lang w:val="en-US" w:eastAsia="en-US"/>
              </w:rPr>
            </w:pPr>
            <w:r w:rsidRPr="00056A5C">
              <w:rPr>
                <w:rFonts w:eastAsia="Calibri"/>
                <w:color w:val="000000"/>
                <w:lang w:val="en-US" w:eastAsia="en-US"/>
              </w:rPr>
              <w:t>1</w:t>
            </w:r>
          </w:p>
        </w:tc>
      </w:tr>
      <w:tr w:rsidR="001E7B45" w:rsidRPr="00056A5C" w:rsidTr="00BD58BF">
        <w:tc>
          <w:tcPr>
            <w:tcW w:w="1510" w:type="pct"/>
            <w:tcBorders>
              <w:top w:val="single" w:sz="4" w:space="0" w:color="auto"/>
              <w:left w:val="single" w:sz="4" w:space="0" w:color="auto"/>
              <w:bottom w:val="single" w:sz="4" w:space="0" w:color="auto"/>
              <w:right w:val="single" w:sz="4" w:space="0" w:color="auto"/>
            </w:tcBorders>
            <w:vAlign w:val="center"/>
          </w:tcPr>
          <w:p w:rsidR="001E7B45" w:rsidRPr="00056A5C" w:rsidRDefault="001E7B45" w:rsidP="008C1AA9">
            <w:pPr>
              <w:spacing w:after="0" w:line="240" w:lineRule="auto"/>
              <w:rPr>
                <w:rFonts w:eastAsia="Calibri"/>
                <w:lang w:eastAsia="en-US"/>
              </w:rPr>
            </w:pPr>
            <w:r w:rsidRPr="00056A5C">
              <w:rPr>
                <w:rFonts w:eastAsia="Calibri"/>
                <w:lang w:eastAsia="en-US"/>
              </w:rPr>
              <w:t>33. Общество с ограниченной ответственностью «ЭСО»</w:t>
            </w:r>
          </w:p>
        </w:tc>
        <w:tc>
          <w:tcPr>
            <w:tcW w:w="475" w:type="pct"/>
            <w:tcBorders>
              <w:top w:val="single" w:sz="4" w:space="0" w:color="auto"/>
              <w:left w:val="single" w:sz="4" w:space="0" w:color="auto"/>
              <w:bottom w:val="single" w:sz="4" w:space="0" w:color="auto"/>
              <w:right w:val="single" w:sz="4" w:space="0" w:color="auto"/>
            </w:tcBorders>
            <w:vAlign w:val="center"/>
          </w:tcPr>
          <w:p w:rsidR="001E7B45" w:rsidRPr="00056A5C" w:rsidRDefault="001E7B45" w:rsidP="008C1AA9">
            <w:pPr>
              <w:spacing w:after="0" w:line="240" w:lineRule="auto"/>
              <w:jc w:val="both"/>
              <w:rPr>
                <w:rFonts w:eastAsia="Calibri"/>
                <w:i/>
                <w:lang w:eastAsia="en-US"/>
              </w:rPr>
            </w:pPr>
            <w:r w:rsidRPr="00056A5C">
              <w:rPr>
                <w:rFonts w:eastAsia="Calibri"/>
                <w:i/>
                <w:sz w:val="22"/>
                <w:szCs w:val="22"/>
                <w:lang w:eastAsia="en-US"/>
              </w:rPr>
              <w:t>***</w:t>
            </w:r>
          </w:p>
        </w:tc>
        <w:tc>
          <w:tcPr>
            <w:tcW w:w="477" w:type="pct"/>
            <w:tcBorders>
              <w:top w:val="single" w:sz="4" w:space="0" w:color="auto"/>
              <w:left w:val="single" w:sz="4" w:space="0" w:color="auto"/>
              <w:bottom w:val="single" w:sz="4" w:space="0" w:color="auto"/>
              <w:right w:val="single" w:sz="4" w:space="0" w:color="auto"/>
            </w:tcBorders>
            <w:vAlign w:val="center"/>
          </w:tcPr>
          <w:p w:rsidR="001E7B45" w:rsidRPr="00056A5C" w:rsidRDefault="001E7B45" w:rsidP="008C1AA9">
            <w:pPr>
              <w:spacing w:after="0" w:line="240" w:lineRule="auto"/>
              <w:jc w:val="both"/>
              <w:rPr>
                <w:rFonts w:eastAsia="Calibri"/>
                <w:lang w:val="en-US" w:eastAsia="en-US"/>
              </w:rPr>
            </w:pPr>
            <w:r w:rsidRPr="00056A5C">
              <w:rPr>
                <w:rFonts w:eastAsia="Calibri"/>
                <w:lang w:val="en-US" w:eastAsia="en-US"/>
              </w:rPr>
              <w:t>-</w:t>
            </w:r>
          </w:p>
        </w:tc>
        <w:tc>
          <w:tcPr>
            <w:tcW w:w="718" w:type="pct"/>
            <w:tcBorders>
              <w:top w:val="single" w:sz="4" w:space="0" w:color="auto"/>
              <w:left w:val="single" w:sz="4" w:space="0" w:color="auto"/>
              <w:bottom w:val="single" w:sz="4" w:space="0" w:color="auto"/>
              <w:right w:val="single" w:sz="4" w:space="0" w:color="auto"/>
            </w:tcBorders>
            <w:vAlign w:val="center"/>
          </w:tcPr>
          <w:p w:rsidR="001E7B45" w:rsidRPr="00056A5C" w:rsidRDefault="001E7B45" w:rsidP="008C1AA9">
            <w:pPr>
              <w:spacing w:after="0" w:line="240" w:lineRule="auto"/>
              <w:jc w:val="center"/>
              <w:rPr>
                <w:rFonts w:eastAsia="Calibri"/>
                <w:color w:val="000000"/>
                <w:lang w:val="en-US" w:eastAsia="en-US"/>
              </w:rPr>
            </w:pPr>
            <w:r w:rsidRPr="00056A5C">
              <w:rPr>
                <w:rFonts w:eastAsia="Calibri"/>
                <w:color w:val="000000"/>
                <w:lang w:val="en-US" w:eastAsia="en-US"/>
              </w:rPr>
              <w:t>-</w:t>
            </w:r>
          </w:p>
        </w:tc>
        <w:tc>
          <w:tcPr>
            <w:tcW w:w="480" w:type="pct"/>
            <w:tcBorders>
              <w:top w:val="single" w:sz="4" w:space="0" w:color="auto"/>
              <w:left w:val="single" w:sz="4" w:space="0" w:color="auto"/>
              <w:bottom w:val="single" w:sz="4" w:space="0" w:color="auto"/>
              <w:right w:val="single" w:sz="4" w:space="0" w:color="auto"/>
            </w:tcBorders>
            <w:vAlign w:val="center"/>
          </w:tcPr>
          <w:p w:rsidR="001E7B45" w:rsidRPr="00056A5C" w:rsidRDefault="001E7B45" w:rsidP="008C1AA9">
            <w:pPr>
              <w:spacing w:after="0" w:line="240" w:lineRule="auto"/>
              <w:jc w:val="both"/>
              <w:rPr>
                <w:rFonts w:eastAsia="Calibri"/>
                <w:lang w:val="en-US" w:eastAsia="en-US"/>
              </w:rPr>
            </w:pPr>
            <w:r w:rsidRPr="00056A5C">
              <w:rPr>
                <w:rFonts w:eastAsia="Calibri"/>
                <w:lang w:val="en-US" w:eastAsia="en-US"/>
              </w:rPr>
              <w:t>-</w:t>
            </w:r>
          </w:p>
        </w:tc>
        <w:tc>
          <w:tcPr>
            <w:tcW w:w="631" w:type="pct"/>
            <w:tcBorders>
              <w:top w:val="single" w:sz="4" w:space="0" w:color="auto"/>
              <w:left w:val="single" w:sz="4" w:space="0" w:color="auto"/>
              <w:bottom w:val="single" w:sz="4" w:space="0" w:color="auto"/>
              <w:right w:val="single" w:sz="4" w:space="0" w:color="auto"/>
            </w:tcBorders>
            <w:vAlign w:val="center"/>
          </w:tcPr>
          <w:p w:rsidR="001E7B45" w:rsidRPr="00056A5C" w:rsidRDefault="001E7B45" w:rsidP="008C1AA9">
            <w:pPr>
              <w:spacing w:after="0" w:line="240" w:lineRule="auto"/>
              <w:jc w:val="center"/>
              <w:rPr>
                <w:rFonts w:eastAsia="Calibri"/>
                <w:color w:val="000000"/>
                <w:lang w:val="en-US" w:eastAsia="en-US"/>
              </w:rPr>
            </w:pPr>
            <w:r w:rsidRPr="00056A5C">
              <w:rPr>
                <w:rFonts w:eastAsia="Calibri"/>
                <w:color w:val="000000"/>
                <w:lang w:val="en-US" w:eastAsia="en-US"/>
              </w:rPr>
              <w:t>-</w:t>
            </w:r>
          </w:p>
        </w:tc>
        <w:tc>
          <w:tcPr>
            <w:tcW w:w="709" w:type="pct"/>
            <w:tcBorders>
              <w:top w:val="single" w:sz="4" w:space="0" w:color="auto"/>
              <w:left w:val="single" w:sz="4" w:space="0" w:color="auto"/>
              <w:bottom w:val="single" w:sz="4" w:space="0" w:color="auto"/>
              <w:right w:val="single" w:sz="4" w:space="0" w:color="auto"/>
            </w:tcBorders>
            <w:vAlign w:val="center"/>
          </w:tcPr>
          <w:p w:rsidR="001E7B45" w:rsidRPr="00056A5C" w:rsidRDefault="001E7B45" w:rsidP="008C1AA9">
            <w:pPr>
              <w:spacing w:after="0" w:line="240" w:lineRule="auto"/>
              <w:jc w:val="center"/>
              <w:rPr>
                <w:rFonts w:eastAsia="Calibri"/>
                <w:color w:val="000000"/>
                <w:lang w:val="en-US" w:eastAsia="en-US"/>
              </w:rPr>
            </w:pPr>
            <w:r w:rsidRPr="00056A5C">
              <w:rPr>
                <w:rFonts w:eastAsia="Calibri"/>
                <w:color w:val="000000"/>
                <w:lang w:val="en-US" w:eastAsia="en-US"/>
              </w:rPr>
              <w:t>0,5</w:t>
            </w:r>
          </w:p>
        </w:tc>
      </w:tr>
      <w:tr w:rsidR="001E7B45" w:rsidRPr="00056A5C" w:rsidTr="00BD58BF">
        <w:tc>
          <w:tcPr>
            <w:tcW w:w="1510" w:type="pct"/>
            <w:tcBorders>
              <w:top w:val="single" w:sz="4" w:space="0" w:color="auto"/>
              <w:left w:val="single" w:sz="4" w:space="0" w:color="auto"/>
              <w:bottom w:val="single" w:sz="4" w:space="0" w:color="auto"/>
              <w:right w:val="single" w:sz="4" w:space="0" w:color="auto"/>
            </w:tcBorders>
            <w:vAlign w:val="center"/>
          </w:tcPr>
          <w:p w:rsidR="001E7B45" w:rsidRPr="00056A5C" w:rsidRDefault="001E7B45" w:rsidP="008C1AA9">
            <w:pPr>
              <w:spacing w:after="0" w:line="240" w:lineRule="auto"/>
              <w:rPr>
                <w:rFonts w:eastAsia="Calibri"/>
                <w:lang w:eastAsia="en-US"/>
              </w:rPr>
            </w:pPr>
            <w:r w:rsidRPr="00056A5C">
              <w:rPr>
                <w:rFonts w:eastAsia="Calibri"/>
                <w:lang w:eastAsia="en-US"/>
              </w:rPr>
              <w:t>34. Общество с ограниченной ответственностью «ТСП-Сиб»</w:t>
            </w:r>
          </w:p>
        </w:tc>
        <w:tc>
          <w:tcPr>
            <w:tcW w:w="475" w:type="pct"/>
            <w:tcBorders>
              <w:top w:val="single" w:sz="4" w:space="0" w:color="auto"/>
              <w:left w:val="single" w:sz="4" w:space="0" w:color="auto"/>
              <w:bottom w:val="single" w:sz="4" w:space="0" w:color="auto"/>
              <w:right w:val="single" w:sz="4" w:space="0" w:color="auto"/>
            </w:tcBorders>
            <w:vAlign w:val="center"/>
          </w:tcPr>
          <w:p w:rsidR="001E7B45" w:rsidRPr="00056A5C" w:rsidRDefault="001E7B45" w:rsidP="008C1AA9">
            <w:pPr>
              <w:spacing w:after="0" w:line="240" w:lineRule="auto"/>
              <w:jc w:val="both"/>
              <w:rPr>
                <w:rFonts w:eastAsia="Calibri"/>
                <w:i/>
                <w:lang w:eastAsia="en-US"/>
              </w:rPr>
            </w:pPr>
            <w:r w:rsidRPr="00056A5C">
              <w:rPr>
                <w:rFonts w:eastAsia="Calibri"/>
                <w:i/>
                <w:sz w:val="22"/>
                <w:szCs w:val="22"/>
                <w:lang w:eastAsia="en-US"/>
              </w:rPr>
              <w:t>***</w:t>
            </w:r>
          </w:p>
        </w:tc>
        <w:tc>
          <w:tcPr>
            <w:tcW w:w="477" w:type="pct"/>
            <w:tcBorders>
              <w:top w:val="single" w:sz="4" w:space="0" w:color="auto"/>
              <w:left w:val="single" w:sz="4" w:space="0" w:color="auto"/>
              <w:bottom w:val="single" w:sz="4" w:space="0" w:color="auto"/>
              <w:right w:val="single" w:sz="4" w:space="0" w:color="auto"/>
            </w:tcBorders>
            <w:vAlign w:val="center"/>
          </w:tcPr>
          <w:p w:rsidR="001E7B45" w:rsidRPr="00056A5C" w:rsidRDefault="001E7B45" w:rsidP="008C1AA9">
            <w:pPr>
              <w:spacing w:after="0" w:line="240" w:lineRule="auto"/>
              <w:jc w:val="both"/>
              <w:rPr>
                <w:rFonts w:eastAsia="Calibri"/>
                <w:lang w:val="en-US" w:eastAsia="en-US"/>
              </w:rPr>
            </w:pPr>
            <w:r w:rsidRPr="00056A5C">
              <w:rPr>
                <w:rFonts w:eastAsia="Calibri"/>
                <w:lang w:val="en-US" w:eastAsia="en-US"/>
              </w:rPr>
              <w:t>-</w:t>
            </w:r>
          </w:p>
        </w:tc>
        <w:tc>
          <w:tcPr>
            <w:tcW w:w="718" w:type="pct"/>
            <w:tcBorders>
              <w:top w:val="single" w:sz="4" w:space="0" w:color="auto"/>
              <w:left w:val="single" w:sz="4" w:space="0" w:color="auto"/>
              <w:bottom w:val="single" w:sz="4" w:space="0" w:color="auto"/>
              <w:right w:val="single" w:sz="4" w:space="0" w:color="auto"/>
            </w:tcBorders>
            <w:vAlign w:val="center"/>
          </w:tcPr>
          <w:p w:rsidR="001E7B45" w:rsidRPr="00056A5C" w:rsidRDefault="001E7B45" w:rsidP="008C1AA9">
            <w:pPr>
              <w:spacing w:after="0" w:line="240" w:lineRule="auto"/>
              <w:jc w:val="center"/>
              <w:rPr>
                <w:rFonts w:eastAsia="Calibri"/>
                <w:color w:val="000000"/>
                <w:lang w:val="en-US" w:eastAsia="en-US"/>
              </w:rPr>
            </w:pPr>
            <w:r w:rsidRPr="00056A5C">
              <w:rPr>
                <w:rFonts w:eastAsia="Calibri"/>
                <w:color w:val="000000"/>
                <w:lang w:val="en-US" w:eastAsia="en-US"/>
              </w:rPr>
              <w:t>-</w:t>
            </w:r>
          </w:p>
        </w:tc>
        <w:tc>
          <w:tcPr>
            <w:tcW w:w="480" w:type="pct"/>
            <w:tcBorders>
              <w:top w:val="single" w:sz="4" w:space="0" w:color="auto"/>
              <w:left w:val="single" w:sz="4" w:space="0" w:color="auto"/>
              <w:bottom w:val="single" w:sz="4" w:space="0" w:color="auto"/>
              <w:right w:val="single" w:sz="4" w:space="0" w:color="auto"/>
            </w:tcBorders>
            <w:vAlign w:val="center"/>
          </w:tcPr>
          <w:p w:rsidR="001E7B45" w:rsidRPr="00056A5C" w:rsidRDefault="001E7B45" w:rsidP="008C1AA9">
            <w:pPr>
              <w:spacing w:after="0" w:line="240" w:lineRule="auto"/>
              <w:jc w:val="both"/>
              <w:rPr>
                <w:rFonts w:eastAsia="Calibri"/>
                <w:lang w:val="en-US" w:eastAsia="en-US"/>
              </w:rPr>
            </w:pPr>
            <w:r w:rsidRPr="00056A5C">
              <w:rPr>
                <w:rFonts w:eastAsia="Calibri"/>
                <w:lang w:val="en-US" w:eastAsia="en-US"/>
              </w:rPr>
              <w:t>-</w:t>
            </w:r>
          </w:p>
        </w:tc>
        <w:tc>
          <w:tcPr>
            <w:tcW w:w="631" w:type="pct"/>
            <w:tcBorders>
              <w:top w:val="single" w:sz="4" w:space="0" w:color="auto"/>
              <w:left w:val="single" w:sz="4" w:space="0" w:color="auto"/>
              <w:bottom w:val="single" w:sz="4" w:space="0" w:color="auto"/>
              <w:right w:val="single" w:sz="4" w:space="0" w:color="auto"/>
            </w:tcBorders>
            <w:vAlign w:val="center"/>
          </w:tcPr>
          <w:p w:rsidR="001E7B45" w:rsidRPr="00056A5C" w:rsidRDefault="001E7B45" w:rsidP="008C1AA9">
            <w:pPr>
              <w:spacing w:after="0" w:line="240" w:lineRule="auto"/>
              <w:jc w:val="center"/>
              <w:rPr>
                <w:rFonts w:eastAsia="Calibri"/>
                <w:color w:val="000000"/>
                <w:lang w:val="en-US" w:eastAsia="en-US"/>
              </w:rPr>
            </w:pPr>
            <w:r w:rsidRPr="00056A5C">
              <w:rPr>
                <w:rFonts w:eastAsia="Calibri"/>
                <w:color w:val="000000"/>
                <w:lang w:val="en-US" w:eastAsia="en-US"/>
              </w:rPr>
              <w:t>-</w:t>
            </w:r>
          </w:p>
        </w:tc>
        <w:tc>
          <w:tcPr>
            <w:tcW w:w="709" w:type="pct"/>
            <w:tcBorders>
              <w:top w:val="single" w:sz="4" w:space="0" w:color="auto"/>
              <w:left w:val="single" w:sz="4" w:space="0" w:color="auto"/>
              <w:bottom w:val="single" w:sz="4" w:space="0" w:color="auto"/>
              <w:right w:val="single" w:sz="4" w:space="0" w:color="auto"/>
            </w:tcBorders>
            <w:vAlign w:val="center"/>
          </w:tcPr>
          <w:p w:rsidR="001E7B45" w:rsidRPr="00056A5C" w:rsidRDefault="001E7B45" w:rsidP="008C1AA9">
            <w:pPr>
              <w:spacing w:after="0" w:line="240" w:lineRule="auto"/>
              <w:jc w:val="center"/>
              <w:rPr>
                <w:rFonts w:eastAsia="Calibri"/>
                <w:color w:val="000000"/>
                <w:lang w:val="en-US" w:eastAsia="en-US"/>
              </w:rPr>
            </w:pPr>
            <w:r w:rsidRPr="00056A5C">
              <w:rPr>
                <w:rFonts w:eastAsia="Calibri"/>
                <w:color w:val="000000"/>
                <w:lang w:val="en-US" w:eastAsia="en-US"/>
              </w:rPr>
              <w:t>0,5</w:t>
            </w:r>
          </w:p>
        </w:tc>
      </w:tr>
    </w:tbl>
    <w:p w:rsidR="001E7B45" w:rsidRPr="00056A5C" w:rsidRDefault="001E7B45" w:rsidP="008C1AA9">
      <w:pPr>
        <w:spacing w:after="0" w:line="240" w:lineRule="auto"/>
        <w:rPr>
          <w:rFonts w:eastAsia="Calibri"/>
          <w:i/>
          <w:lang w:eastAsia="en-US"/>
        </w:rPr>
      </w:pPr>
      <w:r>
        <w:rPr>
          <w:rFonts w:eastAsia="Calibri"/>
          <w:i/>
          <w:lang w:eastAsia="en-US"/>
        </w:rPr>
        <w:t xml:space="preserve">      </w:t>
      </w:r>
      <w:r w:rsidRPr="00056A5C">
        <w:rPr>
          <w:rFonts w:eastAsia="Calibri"/>
          <w:i/>
          <w:lang w:eastAsia="en-US"/>
        </w:rPr>
        <w:t>*- ДПР установлены с 01.01.2017г.;  **- ДПР установлены с 01.01.2018г.;  ***- ДПР установлены с 01.01.2019г.</w:t>
      </w:r>
    </w:p>
    <w:p w:rsidR="001E7B45" w:rsidRDefault="001E7B45" w:rsidP="008C1AA9">
      <w:pPr>
        <w:pStyle w:val="a6"/>
        <w:spacing w:after="0" w:line="240" w:lineRule="auto"/>
        <w:ind w:left="1069"/>
        <w:rPr>
          <w:rFonts w:ascii="Times New Roman" w:hAnsi="Times New Roman"/>
          <w:b/>
          <w:color w:val="000000"/>
          <w:sz w:val="28"/>
          <w:szCs w:val="28"/>
        </w:rPr>
      </w:pPr>
    </w:p>
    <w:p w:rsidR="001E7B45" w:rsidRDefault="001E7B45" w:rsidP="008C1AA9">
      <w:pPr>
        <w:pStyle w:val="a6"/>
        <w:spacing w:after="0" w:line="240" w:lineRule="auto"/>
        <w:ind w:left="1069"/>
        <w:rPr>
          <w:rFonts w:ascii="Times New Roman" w:hAnsi="Times New Roman"/>
          <w:b/>
          <w:color w:val="000000"/>
          <w:sz w:val="28"/>
          <w:szCs w:val="28"/>
        </w:rPr>
      </w:pPr>
      <w:r>
        <w:rPr>
          <w:rFonts w:ascii="Times New Roman" w:hAnsi="Times New Roman"/>
          <w:b/>
          <w:color w:val="000000"/>
          <w:sz w:val="28"/>
          <w:szCs w:val="28"/>
        </w:rPr>
        <w:t>2.</w:t>
      </w:r>
      <w:r w:rsidR="00D818A7">
        <w:rPr>
          <w:rFonts w:ascii="Times New Roman" w:hAnsi="Times New Roman"/>
          <w:b/>
          <w:color w:val="000000"/>
          <w:sz w:val="28"/>
          <w:szCs w:val="28"/>
        </w:rPr>
        <w:t>1.</w:t>
      </w:r>
      <w:r w:rsidR="00183720">
        <w:rPr>
          <w:rFonts w:ascii="Times New Roman" w:hAnsi="Times New Roman"/>
          <w:b/>
          <w:color w:val="000000"/>
          <w:sz w:val="28"/>
          <w:szCs w:val="28"/>
        </w:rPr>
        <w:t>7</w:t>
      </w:r>
      <w:r w:rsidRPr="00DC426F">
        <w:rPr>
          <w:rFonts w:ascii="Times New Roman" w:hAnsi="Times New Roman"/>
          <w:b/>
          <w:color w:val="000000"/>
          <w:sz w:val="28"/>
          <w:szCs w:val="28"/>
        </w:rPr>
        <w:t>.</w:t>
      </w:r>
      <w:r w:rsidR="00183720">
        <w:rPr>
          <w:rFonts w:ascii="Times New Roman" w:hAnsi="Times New Roman"/>
          <w:b/>
          <w:color w:val="000000"/>
          <w:sz w:val="28"/>
          <w:szCs w:val="28"/>
        </w:rPr>
        <w:t>1.</w:t>
      </w:r>
      <w:r w:rsidRPr="00DC426F">
        <w:rPr>
          <w:rFonts w:ascii="Times New Roman" w:hAnsi="Times New Roman"/>
          <w:b/>
          <w:color w:val="000000"/>
          <w:sz w:val="28"/>
          <w:szCs w:val="28"/>
        </w:rPr>
        <w:t xml:space="preserve"> Надежность и качество.</w:t>
      </w:r>
    </w:p>
    <w:p w:rsidR="00DF11F6" w:rsidRDefault="001E7B45" w:rsidP="008C1AA9">
      <w:pPr>
        <w:spacing w:after="0" w:line="240" w:lineRule="auto"/>
        <w:ind w:firstLine="709"/>
        <w:jc w:val="both"/>
        <w:rPr>
          <w:rFonts w:eastAsia="Calibri"/>
          <w:sz w:val="28"/>
          <w:szCs w:val="28"/>
          <w:lang w:eastAsia="en-US"/>
        </w:rPr>
      </w:pPr>
      <w:r w:rsidRPr="00056A5C">
        <w:rPr>
          <w:rFonts w:eastAsia="Calibri"/>
          <w:sz w:val="28"/>
          <w:szCs w:val="28"/>
          <w:lang w:eastAsia="en-US"/>
        </w:rPr>
        <w:t xml:space="preserve">В соответствии с постановлением Правительства Российской Федерации от 31.12.2009г. №1220 «Об определении применяемых при установлении долгосрочных тарифов показателей надежности и качества поставляемых товаров и оказываемых услуг», (далее постановление №1220) с применением Методических указаний по расчету уровня надежности и качества поставляемых товаров и оказываемых услуг для организации по управлению единой национальной (общероссийской) электрической сетью и территориальных сетевых организаций (приказ Минэнерго РФ от 29.11.2016г. №1256 </w:t>
      </w:r>
      <w:r w:rsidRPr="00056A5C">
        <w:rPr>
          <w:rFonts w:eastAsia="Calibri"/>
          <w:color w:val="000000"/>
          <w:sz w:val="28"/>
          <w:szCs w:val="28"/>
          <w:lang w:eastAsia="en-US"/>
        </w:rPr>
        <w:t xml:space="preserve">в ред. приказа Минэнерго РФ от 21.06.2017г. №544) </w:t>
      </w:r>
      <w:r w:rsidRPr="00056A5C">
        <w:rPr>
          <w:rFonts w:eastAsia="Calibri"/>
          <w:sz w:val="28"/>
          <w:szCs w:val="28"/>
          <w:lang w:eastAsia="en-US"/>
        </w:rPr>
        <w:t xml:space="preserve">проведены расчеты обобщенных показателей надежности и качества оказываемых услуг для </w:t>
      </w:r>
      <w:r w:rsidRPr="00056A5C">
        <w:rPr>
          <w:rFonts w:eastAsia="Calibri"/>
          <w:color w:val="000000"/>
          <w:sz w:val="28"/>
          <w:szCs w:val="28"/>
          <w:lang w:eastAsia="en-US"/>
        </w:rPr>
        <w:t>31</w:t>
      </w:r>
      <w:r w:rsidRPr="00056A5C">
        <w:rPr>
          <w:rFonts w:eastAsia="Calibri"/>
          <w:sz w:val="28"/>
          <w:szCs w:val="28"/>
          <w:lang w:eastAsia="en-US"/>
        </w:rPr>
        <w:t xml:space="preserve"> регулируемой организации, предоставившей отчетные данные, используемые при расчете фактических значений показателей надежности и качества по итогам 2018года. Как следствие, определены параметры для корректировки </w:t>
      </w:r>
      <w:r w:rsidR="00DF11F6">
        <w:rPr>
          <w:rFonts w:eastAsia="Calibri"/>
          <w:sz w:val="28"/>
          <w:szCs w:val="28"/>
          <w:lang w:eastAsia="en-US"/>
        </w:rPr>
        <w:t>НВВ</w:t>
      </w:r>
      <w:r w:rsidRPr="00056A5C">
        <w:rPr>
          <w:rFonts w:eastAsia="Calibri"/>
          <w:sz w:val="28"/>
          <w:szCs w:val="28"/>
          <w:lang w:eastAsia="en-US"/>
        </w:rPr>
        <w:t xml:space="preserve"> на 2020 год (ряда организаций) с применением повышающего (понижающего) коэффициента,</w:t>
      </w:r>
      <w:r w:rsidRPr="00056A5C">
        <w:rPr>
          <w:rFonts w:ascii="Calibri" w:eastAsia="Calibri" w:hAnsi="Calibri"/>
          <w:sz w:val="28"/>
          <w:szCs w:val="28"/>
          <w:lang w:eastAsia="en-US"/>
        </w:rPr>
        <w:t xml:space="preserve"> </w:t>
      </w:r>
      <w:r w:rsidRPr="00056A5C">
        <w:rPr>
          <w:rFonts w:eastAsia="Calibri"/>
          <w:sz w:val="28"/>
          <w:szCs w:val="28"/>
          <w:lang w:eastAsia="en-US"/>
        </w:rPr>
        <w:t xml:space="preserve">позволяющего обеспечить соответствие уровня тарифа, установленного для организации, осуществляющей регулируемую деятельность, уровню надежности и качества оказываемых услуг. </w:t>
      </w:r>
    </w:p>
    <w:p w:rsidR="001E7B45" w:rsidRPr="00056A5C" w:rsidRDefault="001E7B45" w:rsidP="008C1AA9">
      <w:pPr>
        <w:spacing w:after="0" w:line="240" w:lineRule="auto"/>
        <w:ind w:firstLine="709"/>
        <w:jc w:val="both"/>
        <w:rPr>
          <w:rFonts w:eastAsia="Calibri"/>
          <w:sz w:val="27"/>
          <w:szCs w:val="27"/>
          <w:lang w:eastAsia="en-US"/>
        </w:rPr>
      </w:pPr>
      <w:r w:rsidRPr="00056A5C">
        <w:rPr>
          <w:rFonts w:ascii="Calibri" w:eastAsia="Calibri" w:hAnsi="Calibri"/>
          <w:sz w:val="27"/>
          <w:szCs w:val="27"/>
          <w:lang w:eastAsia="en-US"/>
        </w:rPr>
        <w:t xml:space="preserve">   </w:t>
      </w:r>
      <w:r w:rsidRPr="00056A5C">
        <w:rPr>
          <w:rFonts w:eastAsia="Calibri"/>
          <w:sz w:val="27"/>
          <w:szCs w:val="27"/>
          <w:lang w:eastAsia="en-US"/>
        </w:rPr>
        <w:t xml:space="preserve">  </w:t>
      </w:r>
    </w:p>
    <w:p w:rsidR="001E7B45" w:rsidRPr="00056A5C" w:rsidRDefault="001E7B45" w:rsidP="008C1AA9">
      <w:pPr>
        <w:spacing w:after="0" w:line="240" w:lineRule="auto"/>
        <w:ind w:firstLine="709"/>
        <w:jc w:val="center"/>
        <w:rPr>
          <w:rFonts w:eastAsia="Times New Roman"/>
          <w:color w:val="000000"/>
          <w:sz w:val="28"/>
          <w:szCs w:val="28"/>
          <w:lang w:eastAsia="en-US"/>
        </w:rPr>
      </w:pPr>
      <w:r w:rsidRPr="00056A5C">
        <w:rPr>
          <w:rFonts w:eastAsia="Calibri"/>
          <w:sz w:val="28"/>
          <w:szCs w:val="28"/>
          <w:lang w:eastAsia="en-US"/>
        </w:rPr>
        <w:t>Результаты отчетных данных учтены при корректировке тарифов на 2020 год, представлены в таблице.</w:t>
      </w:r>
      <w:r w:rsidRPr="00056A5C">
        <w:rPr>
          <w:rFonts w:eastAsia="Calibri"/>
          <w:sz w:val="27"/>
          <w:szCs w:val="27"/>
          <w:lang w:eastAsia="en-US"/>
        </w:rPr>
        <w:t xml:space="preserve">                                                                                                       </w:t>
      </w:r>
    </w:p>
    <w:tbl>
      <w:tblPr>
        <w:tblW w:w="9355" w:type="dxa"/>
        <w:tblInd w:w="392" w:type="dxa"/>
        <w:tblLayout w:type="fixed"/>
        <w:tblLook w:val="00A0" w:firstRow="1" w:lastRow="0" w:firstColumn="1" w:lastColumn="0" w:noHBand="0" w:noVBand="0"/>
      </w:tblPr>
      <w:tblGrid>
        <w:gridCol w:w="709"/>
        <w:gridCol w:w="4678"/>
        <w:gridCol w:w="1417"/>
        <w:gridCol w:w="1417"/>
        <w:gridCol w:w="1134"/>
      </w:tblGrid>
      <w:tr w:rsidR="001E7B45" w:rsidRPr="00056A5C" w:rsidTr="00DF11F6">
        <w:trPr>
          <w:trHeight w:val="906"/>
        </w:trPr>
        <w:tc>
          <w:tcPr>
            <w:tcW w:w="709" w:type="dxa"/>
            <w:tcBorders>
              <w:top w:val="single" w:sz="4" w:space="0" w:color="auto"/>
              <w:left w:val="single" w:sz="4" w:space="0" w:color="auto"/>
              <w:bottom w:val="single" w:sz="4" w:space="0" w:color="auto"/>
              <w:right w:val="single" w:sz="4" w:space="0" w:color="auto"/>
            </w:tcBorders>
            <w:noWrap/>
            <w:vAlign w:val="center"/>
          </w:tcPr>
          <w:p w:rsidR="001E7B45" w:rsidRPr="00056A5C" w:rsidRDefault="001E7B45" w:rsidP="008C1AA9">
            <w:pPr>
              <w:spacing w:after="0" w:line="240" w:lineRule="auto"/>
              <w:jc w:val="center"/>
              <w:rPr>
                <w:rFonts w:eastAsia="Calibri"/>
                <w:lang w:eastAsia="en-US"/>
              </w:rPr>
            </w:pPr>
            <w:r w:rsidRPr="00056A5C">
              <w:rPr>
                <w:rFonts w:eastAsia="Calibri"/>
                <w:lang w:eastAsia="en-US"/>
              </w:rPr>
              <w:t>№ п/п</w:t>
            </w:r>
          </w:p>
        </w:tc>
        <w:tc>
          <w:tcPr>
            <w:tcW w:w="4678" w:type="dxa"/>
            <w:tcBorders>
              <w:top w:val="single" w:sz="4" w:space="0" w:color="auto"/>
              <w:left w:val="nil"/>
              <w:bottom w:val="single" w:sz="4" w:space="0" w:color="auto"/>
              <w:right w:val="single" w:sz="4" w:space="0" w:color="auto"/>
            </w:tcBorders>
            <w:noWrap/>
            <w:vAlign w:val="center"/>
          </w:tcPr>
          <w:p w:rsidR="001E7B45" w:rsidRPr="00056A5C" w:rsidRDefault="001E7B45" w:rsidP="008C1AA9">
            <w:pPr>
              <w:spacing w:after="0" w:line="240" w:lineRule="auto"/>
              <w:jc w:val="center"/>
              <w:rPr>
                <w:rFonts w:eastAsia="Calibri"/>
                <w:color w:val="000000"/>
                <w:lang w:eastAsia="en-US"/>
              </w:rPr>
            </w:pPr>
            <w:r w:rsidRPr="00056A5C">
              <w:rPr>
                <w:rFonts w:eastAsia="Calibri"/>
                <w:color w:val="000000"/>
                <w:lang w:eastAsia="en-US"/>
              </w:rPr>
              <w:t>Наименование организации</w:t>
            </w:r>
          </w:p>
        </w:tc>
        <w:tc>
          <w:tcPr>
            <w:tcW w:w="1417" w:type="dxa"/>
            <w:tcBorders>
              <w:top w:val="single" w:sz="4" w:space="0" w:color="auto"/>
              <w:left w:val="nil"/>
              <w:bottom w:val="single" w:sz="4" w:space="0" w:color="auto"/>
              <w:right w:val="single" w:sz="4" w:space="0" w:color="auto"/>
            </w:tcBorders>
            <w:noWrap/>
            <w:vAlign w:val="center"/>
          </w:tcPr>
          <w:p w:rsidR="001E7B45" w:rsidRPr="00056A5C" w:rsidRDefault="001E7B45" w:rsidP="008C1AA9">
            <w:pPr>
              <w:spacing w:after="0" w:line="240" w:lineRule="auto"/>
              <w:jc w:val="center"/>
              <w:rPr>
                <w:rFonts w:eastAsia="Calibri"/>
                <w:i/>
                <w:color w:val="000000"/>
                <w:lang w:eastAsia="en-US"/>
              </w:rPr>
            </w:pPr>
            <w:r w:rsidRPr="00056A5C">
              <w:rPr>
                <w:rFonts w:eastAsia="Calibri"/>
                <w:i/>
                <w:color w:val="000000"/>
                <w:lang w:eastAsia="en-US"/>
              </w:rPr>
              <w:t>НВВ на 2018 год), тыс.руб</w:t>
            </w:r>
          </w:p>
        </w:tc>
        <w:tc>
          <w:tcPr>
            <w:tcW w:w="1417" w:type="dxa"/>
            <w:tcBorders>
              <w:top w:val="single" w:sz="4" w:space="0" w:color="auto"/>
              <w:left w:val="nil"/>
              <w:bottom w:val="single" w:sz="4" w:space="0" w:color="auto"/>
              <w:right w:val="single" w:sz="4" w:space="0" w:color="auto"/>
            </w:tcBorders>
            <w:vAlign w:val="bottom"/>
          </w:tcPr>
          <w:p w:rsidR="001E7B45" w:rsidRPr="00056A5C" w:rsidRDefault="001E7B45" w:rsidP="008C1AA9">
            <w:pPr>
              <w:spacing w:after="0" w:line="240" w:lineRule="auto"/>
              <w:jc w:val="center"/>
              <w:rPr>
                <w:rFonts w:eastAsia="Calibri"/>
                <w:i/>
                <w:color w:val="000000"/>
                <w:lang w:eastAsia="en-US"/>
              </w:rPr>
            </w:pPr>
            <w:r w:rsidRPr="00056A5C">
              <w:rPr>
                <w:rFonts w:eastAsia="Calibri"/>
                <w:i/>
                <w:color w:val="000000"/>
                <w:lang w:eastAsia="en-US"/>
              </w:rPr>
              <w:t xml:space="preserve">Сумма корректировки НВВ на 2020 год, тыс.руб </w:t>
            </w:r>
          </w:p>
          <w:p w:rsidR="001E7B45" w:rsidRPr="00056A5C" w:rsidRDefault="001E7B45" w:rsidP="008C1AA9">
            <w:pPr>
              <w:spacing w:after="0" w:line="240" w:lineRule="auto"/>
              <w:jc w:val="center"/>
              <w:rPr>
                <w:rFonts w:eastAsia="Calibri"/>
                <w:i/>
                <w:color w:val="000000"/>
                <w:lang w:eastAsia="en-US"/>
              </w:rPr>
            </w:pPr>
          </w:p>
        </w:tc>
        <w:tc>
          <w:tcPr>
            <w:tcW w:w="1134" w:type="dxa"/>
            <w:tcBorders>
              <w:top w:val="single" w:sz="4" w:space="0" w:color="auto"/>
              <w:left w:val="nil"/>
              <w:bottom w:val="single" w:sz="4" w:space="0" w:color="auto"/>
              <w:right w:val="single" w:sz="4" w:space="0" w:color="auto"/>
            </w:tcBorders>
          </w:tcPr>
          <w:p w:rsidR="001E7B45" w:rsidRPr="00056A5C" w:rsidRDefault="001E7B45" w:rsidP="008C1AA9">
            <w:pPr>
              <w:spacing w:after="0" w:line="240" w:lineRule="auto"/>
              <w:jc w:val="center"/>
              <w:rPr>
                <w:rFonts w:eastAsia="Calibri"/>
                <w:i/>
                <w:color w:val="000000"/>
                <w:lang w:eastAsia="en-US"/>
              </w:rPr>
            </w:pPr>
          </w:p>
          <w:p w:rsidR="001E7B45" w:rsidRPr="00056A5C" w:rsidRDefault="001E7B45" w:rsidP="008C1AA9">
            <w:pPr>
              <w:spacing w:after="0" w:line="240" w:lineRule="auto"/>
              <w:jc w:val="center"/>
              <w:rPr>
                <w:rFonts w:eastAsia="Calibri"/>
                <w:i/>
                <w:color w:val="000000"/>
                <w:lang w:eastAsia="en-US"/>
              </w:rPr>
            </w:pPr>
          </w:p>
          <w:p w:rsidR="001E7B45" w:rsidRPr="00056A5C" w:rsidRDefault="001E7B45" w:rsidP="008C1AA9">
            <w:pPr>
              <w:spacing w:after="0" w:line="240" w:lineRule="auto"/>
              <w:jc w:val="center"/>
              <w:rPr>
                <w:rFonts w:eastAsia="Calibri"/>
                <w:i/>
                <w:color w:val="000000"/>
                <w:lang w:eastAsia="en-US"/>
              </w:rPr>
            </w:pPr>
            <w:r w:rsidRPr="00056A5C">
              <w:rPr>
                <w:rFonts w:eastAsia="Calibri"/>
                <w:i/>
                <w:color w:val="000000"/>
                <w:lang w:eastAsia="en-US"/>
              </w:rPr>
              <w:t>КНКi</w:t>
            </w:r>
          </w:p>
          <w:p w:rsidR="001E7B45" w:rsidRPr="00056A5C" w:rsidRDefault="001E7B45" w:rsidP="008C1AA9">
            <w:pPr>
              <w:spacing w:after="0" w:line="240" w:lineRule="auto"/>
              <w:jc w:val="center"/>
              <w:rPr>
                <w:rFonts w:eastAsia="Calibri"/>
                <w:i/>
                <w:color w:val="000000"/>
                <w:lang w:eastAsia="en-US"/>
              </w:rPr>
            </w:pPr>
            <w:r w:rsidRPr="00056A5C">
              <w:rPr>
                <w:rFonts w:eastAsia="Calibri"/>
                <w:i/>
                <w:color w:val="000000"/>
                <w:lang w:eastAsia="en-US"/>
              </w:rPr>
              <w:t>(Коб*2%)</w:t>
            </w:r>
          </w:p>
        </w:tc>
      </w:tr>
      <w:tr w:rsidR="001E7B45" w:rsidRPr="00056A5C" w:rsidTr="00DF11F6">
        <w:trPr>
          <w:trHeight w:val="906"/>
        </w:trPr>
        <w:tc>
          <w:tcPr>
            <w:tcW w:w="709" w:type="dxa"/>
            <w:tcBorders>
              <w:top w:val="single" w:sz="4" w:space="0" w:color="auto"/>
              <w:left w:val="single" w:sz="4" w:space="0" w:color="auto"/>
              <w:bottom w:val="single" w:sz="4" w:space="0" w:color="auto"/>
              <w:right w:val="single" w:sz="4" w:space="0" w:color="auto"/>
            </w:tcBorders>
            <w:noWrap/>
            <w:vAlign w:val="center"/>
          </w:tcPr>
          <w:p w:rsidR="001E7B45" w:rsidRPr="00056A5C" w:rsidRDefault="001E7B45" w:rsidP="008C1AA9">
            <w:pPr>
              <w:spacing w:after="0" w:line="240" w:lineRule="auto"/>
              <w:jc w:val="both"/>
              <w:rPr>
                <w:rFonts w:eastAsia="Calibri"/>
                <w:lang w:val="en-US" w:eastAsia="en-US"/>
              </w:rPr>
            </w:pPr>
            <w:r w:rsidRPr="00056A5C">
              <w:rPr>
                <w:rFonts w:eastAsia="Calibri"/>
                <w:lang w:val="en-US" w:eastAsia="en-US"/>
              </w:rPr>
              <w:t>I.</w:t>
            </w:r>
          </w:p>
        </w:tc>
        <w:tc>
          <w:tcPr>
            <w:tcW w:w="4678" w:type="dxa"/>
            <w:tcBorders>
              <w:top w:val="single" w:sz="4" w:space="0" w:color="auto"/>
              <w:left w:val="nil"/>
              <w:bottom w:val="single" w:sz="4" w:space="0" w:color="auto"/>
              <w:right w:val="single" w:sz="4" w:space="0" w:color="auto"/>
            </w:tcBorders>
            <w:noWrap/>
            <w:vAlign w:val="center"/>
          </w:tcPr>
          <w:p w:rsidR="001E7B45" w:rsidRPr="00056A5C" w:rsidRDefault="001E7B45" w:rsidP="008C1AA9">
            <w:pPr>
              <w:spacing w:after="0" w:line="240" w:lineRule="auto"/>
              <w:rPr>
                <w:rFonts w:eastAsia="Calibri"/>
                <w:i/>
                <w:color w:val="000000"/>
                <w:lang w:eastAsia="en-US"/>
              </w:rPr>
            </w:pPr>
            <w:r w:rsidRPr="00056A5C">
              <w:rPr>
                <w:rFonts w:eastAsia="Calibri"/>
                <w:i/>
                <w:color w:val="000000"/>
                <w:lang w:eastAsia="en-US"/>
              </w:rPr>
              <w:t>Организации, по отчетным данным которых  обобщенный показатель уровня надежности и качества Коб=0,65</w:t>
            </w:r>
          </w:p>
        </w:tc>
        <w:tc>
          <w:tcPr>
            <w:tcW w:w="1417" w:type="dxa"/>
            <w:tcBorders>
              <w:top w:val="single" w:sz="4" w:space="0" w:color="auto"/>
              <w:left w:val="nil"/>
              <w:bottom w:val="single" w:sz="4" w:space="0" w:color="auto"/>
              <w:right w:val="single" w:sz="4" w:space="0" w:color="auto"/>
            </w:tcBorders>
            <w:noWrap/>
            <w:vAlign w:val="center"/>
          </w:tcPr>
          <w:p w:rsidR="001E7B45" w:rsidRPr="00056A5C" w:rsidRDefault="001E7B45" w:rsidP="008C1AA9">
            <w:pPr>
              <w:spacing w:after="0" w:line="240" w:lineRule="auto"/>
              <w:jc w:val="center"/>
              <w:rPr>
                <w:rFonts w:eastAsia="Calibri"/>
                <w:i/>
                <w:lang w:eastAsia="en-US"/>
              </w:rPr>
            </w:pPr>
          </w:p>
        </w:tc>
        <w:tc>
          <w:tcPr>
            <w:tcW w:w="1417" w:type="dxa"/>
            <w:tcBorders>
              <w:top w:val="single" w:sz="4" w:space="0" w:color="auto"/>
              <w:left w:val="nil"/>
              <w:bottom w:val="single" w:sz="4" w:space="0" w:color="auto"/>
              <w:right w:val="single" w:sz="4" w:space="0" w:color="auto"/>
            </w:tcBorders>
            <w:vAlign w:val="bottom"/>
          </w:tcPr>
          <w:p w:rsidR="001E7B45" w:rsidRPr="00056A5C" w:rsidRDefault="001E7B45" w:rsidP="008C1AA9">
            <w:pPr>
              <w:spacing w:after="0" w:line="240" w:lineRule="auto"/>
              <w:jc w:val="center"/>
              <w:rPr>
                <w:rFonts w:eastAsia="Calibri"/>
                <w:bCs/>
                <w:i/>
                <w:color w:val="000000"/>
                <w:lang w:eastAsia="en-US"/>
              </w:rPr>
            </w:pPr>
          </w:p>
        </w:tc>
        <w:tc>
          <w:tcPr>
            <w:tcW w:w="1134" w:type="dxa"/>
            <w:tcBorders>
              <w:top w:val="single" w:sz="4" w:space="0" w:color="auto"/>
              <w:left w:val="nil"/>
              <w:bottom w:val="single" w:sz="4" w:space="0" w:color="auto"/>
              <w:right w:val="single" w:sz="4" w:space="0" w:color="auto"/>
            </w:tcBorders>
          </w:tcPr>
          <w:p w:rsidR="001E7B45" w:rsidRPr="00056A5C" w:rsidRDefault="001E7B45" w:rsidP="008C1AA9">
            <w:pPr>
              <w:spacing w:after="0" w:line="240" w:lineRule="auto"/>
              <w:jc w:val="center"/>
              <w:rPr>
                <w:rFonts w:eastAsia="Calibri"/>
                <w:bCs/>
                <w:i/>
                <w:color w:val="000000"/>
                <w:lang w:eastAsia="en-US"/>
              </w:rPr>
            </w:pPr>
          </w:p>
        </w:tc>
      </w:tr>
      <w:tr w:rsidR="001E7B45" w:rsidRPr="00056A5C" w:rsidTr="00DF11F6">
        <w:trPr>
          <w:trHeight w:val="323"/>
        </w:trPr>
        <w:tc>
          <w:tcPr>
            <w:tcW w:w="709" w:type="dxa"/>
            <w:tcBorders>
              <w:top w:val="single" w:sz="4" w:space="0" w:color="auto"/>
              <w:left w:val="single" w:sz="4" w:space="0" w:color="auto"/>
              <w:bottom w:val="single" w:sz="4" w:space="0" w:color="auto"/>
              <w:right w:val="single" w:sz="4" w:space="0" w:color="auto"/>
            </w:tcBorders>
            <w:noWrap/>
            <w:vAlign w:val="center"/>
          </w:tcPr>
          <w:p w:rsidR="001E7B45" w:rsidRPr="00056A5C" w:rsidRDefault="001E7B45" w:rsidP="008C1AA9">
            <w:pPr>
              <w:spacing w:after="0" w:line="240" w:lineRule="auto"/>
              <w:jc w:val="both"/>
              <w:rPr>
                <w:rFonts w:eastAsia="Calibri"/>
                <w:lang w:val="en-US" w:eastAsia="en-US"/>
              </w:rPr>
            </w:pPr>
            <w:r w:rsidRPr="00056A5C">
              <w:rPr>
                <w:rFonts w:eastAsia="Calibri"/>
                <w:lang w:val="en-US" w:eastAsia="en-US"/>
              </w:rPr>
              <w:t>1.</w:t>
            </w:r>
          </w:p>
        </w:tc>
        <w:tc>
          <w:tcPr>
            <w:tcW w:w="4678" w:type="dxa"/>
            <w:tcBorders>
              <w:top w:val="single" w:sz="4" w:space="0" w:color="auto"/>
              <w:left w:val="nil"/>
              <w:bottom w:val="single" w:sz="4" w:space="0" w:color="auto"/>
              <w:right w:val="single" w:sz="4" w:space="0" w:color="auto"/>
            </w:tcBorders>
            <w:noWrap/>
          </w:tcPr>
          <w:p w:rsidR="001E7B45" w:rsidRPr="00056A5C" w:rsidRDefault="001E7B45" w:rsidP="008C1AA9">
            <w:pPr>
              <w:spacing w:after="0" w:line="240" w:lineRule="auto"/>
              <w:jc w:val="both"/>
              <w:rPr>
                <w:rFonts w:eastAsia="Calibri"/>
                <w:color w:val="000000"/>
                <w:lang w:eastAsia="en-US"/>
              </w:rPr>
            </w:pPr>
            <w:r w:rsidRPr="00056A5C">
              <w:rPr>
                <w:rFonts w:eastAsia="Calibri"/>
                <w:color w:val="000000"/>
                <w:lang w:eastAsia="en-US"/>
              </w:rPr>
              <w:t>АО «Региональные электрические сети»</w:t>
            </w:r>
          </w:p>
        </w:tc>
        <w:tc>
          <w:tcPr>
            <w:tcW w:w="1417" w:type="dxa"/>
            <w:tcBorders>
              <w:top w:val="single" w:sz="4" w:space="0" w:color="auto"/>
              <w:left w:val="nil"/>
              <w:bottom w:val="single" w:sz="4" w:space="0" w:color="auto"/>
              <w:right w:val="single" w:sz="4" w:space="0" w:color="auto"/>
            </w:tcBorders>
            <w:noWrap/>
          </w:tcPr>
          <w:p w:rsidR="001E7B45" w:rsidRPr="00056A5C" w:rsidRDefault="001E7B45" w:rsidP="008C1AA9">
            <w:pPr>
              <w:spacing w:after="0" w:line="240" w:lineRule="auto"/>
              <w:jc w:val="right"/>
              <w:rPr>
                <w:rFonts w:eastAsia="Calibri"/>
                <w:color w:val="000000"/>
                <w:lang w:val="en-US" w:eastAsia="en-US"/>
              </w:rPr>
            </w:pPr>
            <w:r w:rsidRPr="00056A5C">
              <w:rPr>
                <w:rFonts w:eastAsia="Calibri"/>
                <w:color w:val="000000"/>
                <w:lang w:val="en-US" w:eastAsia="en-US"/>
              </w:rPr>
              <w:t>9758245,6</w:t>
            </w:r>
          </w:p>
        </w:tc>
        <w:tc>
          <w:tcPr>
            <w:tcW w:w="1417" w:type="dxa"/>
            <w:tcBorders>
              <w:top w:val="single" w:sz="4" w:space="0" w:color="auto"/>
              <w:left w:val="nil"/>
              <w:bottom w:val="single" w:sz="4" w:space="0" w:color="auto"/>
              <w:right w:val="single" w:sz="4" w:space="0" w:color="auto"/>
            </w:tcBorders>
          </w:tcPr>
          <w:p w:rsidR="001E7B45" w:rsidRPr="00056A5C" w:rsidRDefault="001E7B45" w:rsidP="008C1AA9">
            <w:pPr>
              <w:spacing w:after="0" w:line="240" w:lineRule="auto"/>
              <w:jc w:val="right"/>
              <w:rPr>
                <w:rFonts w:eastAsia="Calibri"/>
                <w:color w:val="000000"/>
                <w:lang w:val="en-US" w:eastAsia="en-US"/>
              </w:rPr>
            </w:pPr>
            <w:r w:rsidRPr="00056A5C">
              <w:rPr>
                <w:rFonts w:eastAsia="Calibri"/>
                <w:color w:val="000000"/>
                <w:lang w:val="en-US" w:eastAsia="en-US"/>
              </w:rPr>
              <w:t>126857,00</w:t>
            </w:r>
          </w:p>
        </w:tc>
        <w:tc>
          <w:tcPr>
            <w:tcW w:w="1134" w:type="dxa"/>
            <w:tcBorders>
              <w:top w:val="single" w:sz="4" w:space="0" w:color="auto"/>
              <w:left w:val="nil"/>
              <w:bottom w:val="single" w:sz="4" w:space="0" w:color="auto"/>
              <w:right w:val="single" w:sz="4" w:space="0" w:color="auto"/>
            </w:tcBorders>
          </w:tcPr>
          <w:p w:rsidR="001E7B45" w:rsidRPr="00056A5C" w:rsidRDefault="001E7B45" w:rsidP="008C1AA9">
            <w:pPr>
              <w:spacing w:after="0" w:line="240" w:lineRule="auto"/>
              <w:jc w:val="right"/>
              <w:rPr>
                <w:rFonts w:eastAsia="Calibri"/>
                <w:lang w:eastAsia="en-US"/>
              </w:rPr>
            </w:pPr>
            <w:r w:rsidRPr="00056A5C">
              <w:rPr>
                <w:rFonts w:eastAsia="Calibri"/>
                <w:lang w:eastAsia="en-US"/>
              </w:rPr>
              <w:t>+1,3 %</w:t>
            </w:r>
          </w:p>
        </w:tc>
      </w:tr>
      <w:tr w:rsidR="001E7B45" w:rsidRPr="00056A5C" w:rsidTr="00DF11F6">
        <w:trPr>
          <w:trHeight w:val="315"/>
        </w:trPr>
        <w:tc>
          <w:tcPr>
            <w:tcW w:w="709" w:type="dxa"/>
            <w:tcBorders>
              <w:top w:val="nil"/>
              <w:left w:val="single" w:sz="4" w:space="0" w:color="auto"/>
              <w:bottom w:val="single" w:sz="4" w:space="0" w:color="auto"/>
              <w:right w:val="single" w:sz="4" w:space="0" w:color="auto"/>
            </w:tcBorders>
            <w:noWrap/>
          </w:tcPr>
          <w:p w:rsidR="001E7B45" w:rsidRPr="00056A5C" w:rsidRDefault="001E7B45" w:rsidP="008C1AA9">
            <w:pPr>
              <w:spacing w:after="0" w:line="240" w:lineRule="auto"/>
              <w:jc w:val="both"/>
              <w:rPr>
                <w:rFonts w:eastAsia="Calibri"/>
                <w:lang w:eastAsia="en-US"/>
              </w:rPr>
            </w:pPr>
            <w:r w:rsidRPr="00056A5C">
              <w:rPr>
                <w:rFonts w:eastAsia="Calibri"/>
                <w:lang w:val="en-US" w:eastAsia="en-US"/>
              </w:rPr>
              <w:t>2</w:t>
            </w:r>
            <w:r w:rsidRPr="00056A5C">
              <w:rPr>
                <w:rFonts w:eastAsia="Calibri"/>
                <w:lang w:eastAsia="en-US"/>
              </w:rPr>
              <w:t>.</w:t>
            </w:r>
          </w:p>
        </w:tc>
        <w:tc>
          <w:tcPr>
            <w:tcW w:w="4678" w:type="dxa"/>
            <w:tcBorders>
              <w:top w:val="nil"/>
              <w:left w:val="nil"/>
              <w:bottom w:val="single" w:sz="4" w:space="0" w:color="auto"/>
              <w:right w:val="single" w:sz="4" w:space="0" w:color="auto"/>
            </w:tcBorders>
          </w:tcPr>
          <w:p w:rsidR="001E7B45" w:rsidRPr="00056A5C" w:rsidRDefault="001E7B45" w:rsidP="008C1AA9">
            <w:pPr>
              <w:spacing w:after="0" w:line="240" w:lineRule="auto"/>
              <w:rPr>
                <w:rFonts w:eastAsia="Calibri"/>
                <w:lang w:eastAsia="en-US"/>
              </w:rPr>
            </w:pPr>
            <w:r w:rsidRPr="00056A5C">
              <w:rPr>
                <w:rFonts w:eastAsia="Calibri"/>
                <w:lang w:eastAsia="en-US"/>
              </w:rPr>
              <w:t>ООО «Энергоресурс»</w:t>
            </w:r>
          </w:p>
        </w:tc>
        <w:tc>
          <w:tcPr>
            <w:tcW w:w="1417" w:type="dxa"/>
            <w:tcBorders>
              <w:top w:val="nil"/>
              <w:left w:val="nil"/>
              <w:bottom w:val="single" w:sz="4" w:space="0" w:color="auto"/>
              <w:right w:val="single" w:sz="4" w:space="0" w:color="auto"/>
            </w:tcBorders>
            <w:noWrap/>
          </w:tcPr>
          <w:p w:rsidR="001E7B45" w:rsidRPr="00056A5C" w:rsidRDefault="001E7B45" w:rsidP="008C1AA9">
            <w:pPr>
              <w:spacing w:after="0" w:line="240" w:lineRule="auto"/>
              <w:jc w:val="right"/>
              <w:rPr>
                <w:rFonts w:eastAsia="Calibri"/>
                <w:lang w:val="en-US" w:eastAsia="en-US"/>
              </w:rPr>
            </w:pPr>
            <w:r w:rsidRPr="00056A5C">
              <w:rPr>
                <w:rFonts w:eastAsia="Calibri"/>
                <w:lang w:val="en-US" w:eastAsia="en-US"/>
              </w:rPr>
              <w:t>14076,9</w:t>
            </w:r>
          </w:p>
        </w:tc>
        <w:tc>
          <w:tcPr>
            <w:tcW w:w="1417" w:type="dxa"/>
            <w:tcBorders>
              <w:top w:val="nil"/>
              <w:left w:val="nil"/>
              <w:bottom w:val="single" w:sz="4" w:space="0" w:color="auto"/>
              <w:right w:val="single" w:sz="4" w:space="0" w:color="auto"/>
            </w:tcBorders>
          </w:tcPr>
          <w:p w:rsidR="001E7B45" w:rsidRPr="00056A5C" w:rsidRDefault="001E7B45" w:rsidP="008C1AA9">
            <w:pPr>
              <w:spacing w:after="0" w:line="240" w:lineRule="auto"/>
              <w:jc w:val="right"/>
              <w:rPr>
                <w:rFonts w:eastAsia="Calibri"/>
                <w:lang w:val="en-US" w:eastAsia="en-US"/>
              </w:rPr>
            </w:pPr>
            <w:r w:rsidRPr="00056A5C">
              <w:rPr>
                <w:rFonts w:eastAsia="Calibri"/>
                <w:lang w:val="en-US" w:eastAsia="en-US"/>
              </w:rPr>
              <w:t>183,0</w:t>
            </w:r>
          </w:p>
        </w:tc>
        <w:tc>
          <w:tcPr>
            <w:tcW w:w="1134" w:type="dxa"/>
            <w:tcBorders>
              <w:top w:val="nil"/>
              <w:left w:val="nil"/>
              <w:bottom w:val="single" w:sz="4" w:space="0" w:color="auto"/>
              <w:right w:val="single" w:sz="4" w:space="0" w:color="auto"/>
            </w:tcBorders>
          </w:tcPr>
          <w:p w:rsidR="001E7B45" w:rsidRPr="00056A5C" w:rsidRDefault="001E7B45" w:rsidP="008C1AA9">
            <w:pPr>
              <w:spacing w:after="0" w:line="240" w:lineRule="auto"/>
              <w:jc w:val="right"/>
              <w:rPr>
                <w:rFonts w:eastAsia="Calibri"/>
                <w:lang w:eastAsia="en-US"/>
              </w:rPr>
            </w:pPr>
            <w:r w:rsidRPr="00056A5C">
              <w:rPr>
                <w:rFonts w:eastAsia="Calibri"/>
                <w:lang w:eastAsia="en-US"/>
              </w:rPr>
              <w:t>+1,3 %</w:t>
            </w:r>
          </w:p>
        </w:tc>
      </w:tr>
      <w:tr w:rsidR="001E7B45" w:rsidRPr="00056A5C" w:rsidTr="00DF11F6">
        <w:trPr>
          <w:trHeight w:val="315"/>
        </w:trPr>
        <w:tc>
          <w:tcPr>
            <w:tcW w:w="709" w:type="dxa"/>
            <w:tcBorders>
              <w:top w:val="single" w:sz="4" w:space="0" w:color="auto"/>
              <w:left w:val="single" w:sz="4" w:space="0" w:color="auto"/>
              <w:bottom w:val="single" w:sz="4" w:space="0" w:color="auto"/>
              <w:right w:val="single" w:sz="4" w:space="0" w:color="auto"/>
            </w:tcBorders>
            <w:noWrap/>
          </w:tcPr>
          <w:p w:rsidR="001E7B45" w:rsidRPr="00056A5C" w:rsidRDefault="001E7B45" w:rsidP="008C1AA9">
            <w:pPr>
              <w:spacing w:after="0" w:line="240" w:lineRule="auto"/>
              <w:jc w:val="both"/>
              <w:rPr>
                <w:rFonts w:eastAsia="Calibri"/>
                <w:color w:val="000000"/>
                <w:lang w:val="en-US" w:eastAsia="en-US"/>
              </w:rPr>
            </w:pPr>
            <w:r w:rsidRPr="00056A5C">
              <w:rPr>
                <w:rFonts w:eastAsia="Calibri"/>
                <w:color w:val="000000"/>
                <w:lang w:val="en-US" w:eastAsia="en-US"/>
              </w:rPr>
              <w:lastRenderedPageBreak/>
              <w:t>3.</w:t>
            </w:r>
          </w:p>
        </w:tc>
        <w:tc>
          <w:tcPr>
            <w:tcW w:w="4678" w:type="dxa"/>
            <w:tcBorders>
              <w:top w:val="single" w:sz="4" w:space="0" w:color="auto"/>
              <w:left w:val="nil"/>
              <w:bottom w:val="single" w:sz="4" w:space="0" w:color="auto"/>
              <w:right w:val="single" w:sz="4" w:space="0" w:color="auto"/>
            </w:tcBorders>
          </w:tcPr>
          <w:p w:rsidR="001E7B45" w:rsidRPr="00056A5C" w:rsidRDefault="001E7B45" w:rsidP="008C1AA9">
            <w:pPr>
              <w:spacing w:after="0" w:line="240" w:lineRule="auto"/>
              <w:rPr>
                <w:rFonts w:eastAsia="Calibri"/>
                <w:color w:val="000000"/>
                <w:lang w:eastAsia="en-US"/>
              </w:rPr>
            </w:pPr>
            <w:r w:rsidRPr="00056A5C">
              <w:rPr>
                <w:rFonts w:eastAsia="Calibri"/>
                <w:color w:val="000000"/>
                <w:lang w:eastAsia="en-US"/>
              </w:rPr>
              <w:t>ООО «Промстройэнерго»</w:t>
            </w:r>
          </w:p>
        </w:tc>
        <w:tc>
          <w:tcPr>
            <w:tcW w:w="1417" w:type="dxa"/>
            <w:tcBorders>
              <w:top w:val="single" w:sz="4" w:space="0" w:color="auto"/>
              <w:left w:val="nil"/>
              <w:bottom w:val="single" w:sz="4" w:space="0" w:color="auto"/>
              <w:right w:val="single" w:sz="4" w:space="0" w:color="auto"/>
            </w:tcBorders>
            <w:noWrap/>
          </w:tcPr>
          <w:p w:rsidR="001E7B45" w:rsidRPr="00056A5C" w:rsidRDefault="001E7B45" w:rsidP="008C1AA9">
            <w:pPr>
              <w:spacing w:after="0" w:line="240" w:lineRule="auto"/>
              <w:jc w:val="right"/>
              <w:rPr>
                <w:rFonts w:eastAsia="Calibri"/>
                <w:color w:val="000000"/>
                <w:lang w:val="en-US" w:eastAsia="en-US"/>
              </w:rPr>
            </w:pPr>
            <w:r w:rsidRPr="00056A5C">
              <w:rPr>
                <w:rFonts w:eastAsia="Calibri"/>
                <w:color w:val="000000"/>
                <w:lang w:val="en-US" w:eastAsia="en-US"/>
              </w:rPr>
              <w:t>3199,1</w:t>
            </w:r>
          </w:p>
        </w:tc>
        <w:tc>
          <w:tcPr>
            <w:tcW w:w="1417" w:type="dxa"/>
            <w:tcBorders>
              <w:top w:val="single" w:sz="4" w:space="0" w:color="auto"/>
              <w:left w:val="nil"/>
              <w:bottom w:val="single" w:sz="4" w:space="0" w:color="auto"/>
              <w:right w:val="single" w:sz="4" w:space="0" w:color="auto"/>
            </w:tcBorders>
          </w:tcPr>
          <w:p w:rsidR="001E7B45" w:rsidRPr="00056A5C" w:rsidRDefault="001E7B45" w:rsidP="008C1AA9">
            <w:pPr>
              <w:spacing w:after="0" w:line="240" w:lineRule="auto"/>
              <w:jc w:val="right"/>
              <w:rPr>
                <w:rFonts w:eastAsia="Calibri"/>
                <w:color w:val="000000"/>
                <w:lang w:val="en-US" w:eastAsia="en-US"/>
              </w:rPr>
            </w:pPr>
            <w:r w:rsidRPr="00056A5C">
              <w:rPr>
                <w:rFonts w:eastAsia="Calibri"/>
                <w:color w:val="000000"/>
                <w:lang w:val="en-US" w:eastAsia="en-US"/>
              </w:rPr>
              <w:t>41,59</w:t>
            </w:r>
          </w:p>
        </w:tc>
        <w:tc>
          <w:tcPr>
            <w:tcW w:w="1134" w:type="dxa"/>
            <w:tcBorders>
              <w:top w:val="single" w:sz="4" w:space="0" w:color="auto"/>
              <w:left w:val="nil"/>
              <w:bottom w:val="single" w:sz="4" w:space="0" w:color="auto"/>
              <w:right w:val="single" w:sz="4" w:space="0" w:color="auto"/>
            </w:tcBorders>
          </w:tcPr>
          <w:p w:rsidR="001E7B45" w:rsidRPr="00056A5C" w:rsidRDefault="001E7B45" w:rsidP="008C1AA9">
            <w:pPr>
              <w:spacing w:after="0" w:line="240" w:lineRule="auto"/>
              <w:jc w:val="right"/>
              <w:rPr>
                <w:rFonts w:eastAsia="Calibri"/>
                <w:color w:val="000000"/>
                <w:lang w:eastAsia="en-US"/>
              </w:rPr>
            </w:pPr>
            <w:r w:rsidRPr="00056A5C">
              <w:rPr>
                <w:rFonts w:eastAsia="Calibri"/>
                <w:color w:val="000000"/>
                <w:lang w:eastAsia="en-US"/>
              </w:rPr>
              <w:t>+1,3 %</w:t>
            </w:r>
          </w:p>
        </w:tc>
      </w:tr>
      <w:tr w:rsidR="001E7B45" w:rsidRPr="00056A5C" w:rsidTr="00DF11F6">
        <w:trPr>
          <w:trHeight w:val="255"/>
        </w:trPr>
        <w:tc>
          <w:tcPr>
            <w:tcW w:w="709" w:type="dxa"/>
            <w:tcBorders>
              <w:top w:val="single" w:sz="4" w:space="0" w:color="auto"/>
              <w:left w:val="single" w:sz="4" w:space="0" w:color="auto"/>
              <w:bottom w:val="single" w:sz="4" w:space="0" w:color="auto"/>
              <w:right w:val="single" w:sz="4" w:space="0" w:color="auto"/>
            </w:tcBorders>
            <w:noWrap/>
          </w:tcPr>
          <w:p w:rsidR="001E7B45" w:rsidRPr="00056A5C" w:rsidRDefault="001E7B45" w:rsidP="008C1AA9">
            <w:pPr>
              <w:spacing w:after="0" w:line="240" w:lineRule="auto"/>
              <w:jc w:val="both"/>
              <w:rPr>
                <w:rFonts w:eastAsia="Calibri"/>
                <w:color w:val="000000"/>
                <w:lang w:eastAsia="en-US"/>
              </w:rPr>
            </w:pPr>
            <w:r w:rsidRPr="00056A5C">
              <w:rPr>
                <w:rFonts w:eastAsia="Calibri"/>
                <w:color w:val="000000"/>
                <w:lang w:val="en-US" w:eastAsia="en-US"/>
              </w:rPr>
              <w:t>4</w:t>
            </w:r>
            <w:r w:rsidRPr="00056A5C">
              <w:rPr>
                <w:rFonts w:eastAsia="Calibri"/>
                <w:color w:val="000000"/>
                <w:lang w:eastAsia="en-US"/>
              </w:rPr>
              <w:t>.</w:t>
            </w:r>
          </w:p>
        </w:tc>
        <w:tc>
          <w:tcPr>
            <w:tcW w:w="4678" w:type="dxa"/>
            <w:tcBorders>
              <w:top w:val="single" w:sz="4" w:space="0" w:color="auto"/>
              <w:left w:val="nil"/>
              <w:bottom w:val="single" w:sz="4" w:space="0" w:color="auto"/>
              <w:right w:val="single" w:sz="4" w:space="0" w:color="auto"/>
            </w:tcBorders>
            <w:noWrap/>
          </w:tcPr>
          <w:p w:rsidR="001E7B45" w:rsidRPr="00056A5C" w:rsidRDefault="001E7B45" w:rsidP="008C1AA9">
            <w:pPr>
              <w:spacing w:after="0" w:line="240" w:lineRule="auto"/>
              <w:rPr>
                <w:rFonts w:eastAsia="Calibri"/>
                <w:color w:val="000000"/>
                <w:lang w:eastAsia="en-US"/>
              </w:rPr>
            </w:pPr>
            <w:r w:rsidRPr="00056A5C">
              <w:rPr>
                <w:rFonts w:eastAsia="Calibri"/>
                <w:color w:val="000000"/>
                <w:lang w:eastAsia="en-US"/>
              </w:rPr>
              <w:t>ООО «НЗХК – Энергия»</w:t>
            </w:r>
          </w:p>
        </w:tc>
        <w:tc>
          <w:tcPr>
            <w:tcW w:w="1417" w:type="dxa"/>
            <w:tcBorders>
              <w:top w:val="single" w:sz="4" w:space="0" w:color="auto"/>
              <w:left w:val="nil"/>
              <w:bottom w:val="single" w:sz="4" w:space="0" w:color="auto"/>
              <w:right w:val="single" w:sz="4" w:space="0" w:color="auto"/>
            </w:tcBorders>
            <w:noWrap/>
          </w:tcPr>
          <w:p w:rsidR="001E7B45" w:rsidRPr="00056A5C" w:rsidRDefault="001E7B45" w:rsidP="008C1AA9">
            <w:pPr>
              <w:spacing w:after="0" w:line="240" w:lineRule="auto"/>
              <w:jc w:val="right"/>
              <w:rPr>
                <w:rFonts w:eastAsia="Calibri"/>
                <w:color w:val="000000"/>
                <w:lang w:val="en-US" w:eastAsia="en-US"/>
              </w:rPr>
            </w:pPr>
            <w:r w:rsidRPr="00056A5C">
              <w:rPr>
                <w:rFonts w:eastAsia="Calibri"/>
                <w:color w:val="000000"/>
                <w:lang w:val="en-US" w:eastAsia="en-US"/>
              </w:rPr>
              <w:t>61613,4</w:t>
            </w:r>
          </w:p>
        </w:tc>
        <w:tc>
          <w:tcPr>
            <w:tcW w:w="1417" w:type="dxa"/>
            <w:tcBorders>
              <w:top w:val="single" w:sz="4" w:space="0" w:color="auto"/>
              <w:left w:val="nil"/>
              <w:bottom w:val="single" w:sz="4" w:space="0" w:color="auto"/>
              <w:right w:val="single" w:sz="4" w:space="0" w:color="auto"/>
            </w:tcBorders>
          </w:tcPr>
          <w:p w:rsidR="001E7B45" w:rsidRPr="00056A5C" w:rsidRDefault="001E7B45" w:rsidP="008C1AA9">
            <w:pPr>
              <w:spacing w:after="0" w:line="240" w:lineRule="auto"/>
              <w:jc w:val="right"/>
              <w:rPr>
                <w:rFonts w:eastAsia="Calibri"/>
                <w:color w:val="000000"/>
                <w:lang w:val="en-US" w:eastAsia="en-US"/>
              </w:rPr>
            </w:pPr>
            <w:r w:rsidRPr="00056A5C">
              <w:rPr>
                <w:rFonts w:eastAsia="Calibri"/>
                <w:color w:val="000000"/>
                <w:lang w:val="en-US" w:eastAsia="en-US"/>
              </w:rPr>
              <w:t>800,97</w:t>
            </w:r>
          </w:p>
        </w:tc>
        <w:tc>
          <w:tcPr>
            <w:tcW w:w="1134" w:type="dxa"/>
            <w:tcBorders>
              <w:top w:val="single" w:sz="4" w:space="0" w:color="auto"/>
              <w:left w:val="nil"/>
              <w:bottom w:val="single" w:sz="4" w:space="0" w:color="auto"/>
              <w:right w:val="single" w:sz="4" w:space="0" w:color="auto"/>
            </w:tcBorders>
          </w:tcPr>
          <w:p w:rsidR="001E7B45" w:rsidRPr="00056A5C" w:rsidRDefault="001E7B45" w:rsidP="008C1AA9">
            <w:pPr>
              <w:spacing w:after="0" w:line="240" w:lineRule="auto"/>
              <w:jc w:val="right"/>
              <w:rPr>
                <w:rFonts w:eastAsia="Calibri"/>
                <w:color w:val="000000"/>
                <w:lang w:eastAsia="en-US"/>
              </w:rPr>
            </w:pPr>
            <w:r w:rsidRPr="00056A5C">
              <w:rPr>
                <w:rFonts w:eastAsia="Calibri"/>
                <w:color w:val="000000"/>
                <w:lang w:eastAsia="en-US"/>
              </w:rPr>
              <w:t>+1,3 %</w:t>
            </w:r>
          </w:p>
        </w:tc>
      </w:tr>
      <w:tr w:rsidR="001E7B45" w:rsidRPr="00056A5C" w:rsidTr="00DF11F6">
        <w:trPr>
          <w:trHeight w:val="255"/>
        </w:trPr>
        <w:tc>
          <w:tcPr>
            <w:tcW w:w="709" w:type="dxa"/>
            <w:tcBorders>
              <w:top w:val="nil"/>
              <w:left w:val="single" w:sz="4" w:space="0" w:color="auto"/>
              <w:bottom w:val="single" w:sz="4" w:space="0" w:color="auto"/>
              <w:right w:val="single" w:sz="4" w:space="0" w:color="auto"/>
            </w:tcBorders>
            <w:noWrap/>
          </w:tcPr>
          <w:p w:rsidR="001E7B45" w:rsidRPr="00056A5C" w:rsidRDefault="001E7B45" w:rsidP="008C1AA9">
            <w:pPr>
              <w:spacing w:after="0" w:line="240" w:lineRule="auto"/>
              <w:rPr>
                <w:rFonts w:eastAsia="Calibri"/>
                <w:color w:val="000000"/>
                <w:lang w:val="en-US" w:eastAsia="en-US"/>
              </w:rPr>
            </w:pPr>
            <w:r w:rsidRPr="00056A5C">
              <w:rPr>
                <w:rFonts w:eastAsia="Calibri"/>
                <w:color w:val="000000"/>
                <w:lang w:val="en-US" w:eastAsia="en-US"/>
              </w:rPr>
              <w:t>5.</w:t>
            </w:r>
          </w:p>
        </w:tc>
        <w:tc>
          <w:tcPr>
            <w:tcW w:w="4678" w:type="dxa"/>
            <w:tcBorders>
              <w:top w:val="nil"/>
              <w:left w:val="nil"/>
              <w:bottom w:val="single" w:sz="4" w:space="0" w:color="auto"/>
              <w:right w:val="single" w:sz="4" w:space="0" w:color="auto"/>
            </w:tcBorders>
            <w:noWrap/>
          </w:tcPr>
          <w:p w:rsidR="001E7B45" w:rsidRPr="00056A5C" w:rsidRDefault="001E7B45" w:rsidP="008C1AA9">
            <w:pPr>
              <w:spacing w:after="0" w:line="240" w:lineRule="auto"/>
              <w:jc w:val="both"/>
              <w:rPr>
                <w:rFonts w:eastAsia="Calibri"/>
                <w:color w:val="000000"/>
                <w:lang w:eastAsia="en-US"/>
              </w:rPr>
            </w:pPr>
            <w:r w:rsidRPr="00056A5C">
              <w:rPr>
                <w:rFonts w:eastAsia="Calibri"/>
                <w:color w:val="000000"/>
                <w:lang w:eastAsia="en-US"/>
              </w:rPr>
              <w:t>ОАО «НПО «Сибсельмаш»</w:t>
            </w:r>
          </w:p>
        </w:tc>
        <w:tc>
          <w:tcPr>
            <w:tcW w:w="1417" w:type="dxa"/>
            <w:tcBorders>
              <w:top w:val="nil"/>
              <w:left w:val="nil"/>
              <w:bottom w:val="single" w:sz="4" w:space="0" w:color="auto"/>
              <w:right w:val="single" w:sz="4" w:space="0" w:color="auto"/>
            </w:tcBorders>
            <w:noWrap/>
          </w:tcPr>
          <w:p w:rsidR="001E7B45" w:rsidRPr="00056A5C" w:rsidRDefault="001E7B45" w:rsidP="008C1AA9">
            <w:pPr>
              <w:spacing w:after="0" w:line="240" w:lineRule="auto"/>
              <w:jc w:val="right"/>
              <w:rPr>
                <w:rFonts w:eastAsia="Calibri"/>
                <w:color w:val="000000"/>
                <w:lang w:val="en-US" w:eastAsia="en-US"/>
              </w:rPr>
            </w:pPr>
            <w:r w:rsidRPr="00056A5C">
              <w:rPr>
                <w:rFonts w:eastAsia="Calibri"/>
                <w:color w:val="000000"/>
                <w:lang w:val="en-US" w:eastAsia="en-US"/>
              </w:rPr>
              <w:t>7358,4</w:t>
            </w:r>
          </w:p>
        </w:tc>
        <w:tc>
          <w:tcPr>
            <w:tcW w:w="1417" w:type="dxa"/>
            <w:tcBorders>
              <w:top w:val="nil"/>
              <w:left w:val="nil"/>
              <w:bottom w:val="single" w:sz="4" w:space="0" w:color="auto"/>
              <w:right w:val="single" w:sz="4" w:space="0" w:color="auto"/>
            </w:tcBorders>
          </w:tcPr>
          <w:p w:rsidR="001E7B45" w:rsidRPr="00056A5C" w:rsidRDefault="001E7B45" w:rsidP="008C1AA9">
            <w:pPr>
              <w:spacing w:after="0" w:line="240" w:lineRule="auto"/>
              <w:jc w:val="right"/>
              <w:rPr>
                <w:rFonts w:eastAsia="Calibri"/>
                <w:color w:val="000000"/>
                <w:lang w:val="en-US" w:eastAsia="en-US"/>
              </w:rPr>
            </w:pPr>
            <w:r w:rsidRPr="00056A5C">
              <w:rPr>
                <w:rFonts w:eastAsia="Calibri"/>
                <w:color w:val="000000"/>
                <w:lang w:val="en-US" w:eastAsia="en-US"/>
              </w:rPr>
              <w:t>95,66</w:t>
            </w:r>
          </w:p>
        </w:tc>
        <w:tc>
          <w:tcPr>
            <w:tcW w:w="1134" w:type="dxa"/>
            <w:tcBorders>
              <w:top w:val="nil"/>
              <w:left w:val="nil"/>
              <w:bottom w:val="single" w:sz="4" w:space="0" w:color="auto"/>
              <w:right w:val="single" w:sz="4" w:space="0" w:color="auto"/>
            </w:tcBorders>
          </w:tcPr>
          <w:p w:rsidR="001E7B45" w:rsidRPr="00056A5C" w:rsidRDefault="001E7B45" w:rsidP="008C1AA9">
            <w:pPr>
              <w:spacing w:after="0" w:line="240" w:lineRule="auto"/>
              <w:jc w:val="right"/>
              <w:rPr>
                <w:rFonts w:eastAsia="Calibri"/>
                <w:color w:val="000000"/>
                <w:lang w:val="en-US" w:eastAsia="en-US"/>
              </w:rPr>
            </w:pPr>
            <w:r w:rsidRPr="00056A5C">
              <w:rPr>
                <w:rFonts w:eastAsia="Calibri"/>
                <w:color w:val="000000"/>
                <w:lang w:eastAsia="en-US"/>
              </w:rPr>
              <w:t>+1</w:t>
            </w:r>
            <w:r w:rsidRPr="00056A5C">
              <w:rPr>
                <w:rFonts w:eastAsia="Calibri"/>
                <w:color w:val="000000"/>
                <w:lang w:val="en-US" w:eastAsia="en-US"/>
              </w:rPr>
              <w:t>,3%</w:t>
            </w:r>
          </w:p>
        </w:tc>
      </w:tr>
      <w:tr w:rsidR="001E7B45" w:rsidRPr="00056A5C" w:rsidTr="00DF11F6">
        <w:trPr>
          <w:trHeight w:val="255"/>
        </w:trPr>
        <w:tc>
          <w:tcPr>
            <w:tcW w:w="709" w:type="dxa"/>
            <w:tcBorders>
              <w:top w:val="nil"/>
              <w:left w:val="single" w:sz="4" w:space="0" w:color="auto"/>
              <w:bottom w:val="single" w:sz="4" w:space="0" w:color="auto"/>
              <w:right w:val="single" w:sz="4" w:space="0" w:color="auto"/>
            </w:tcBorders>
            <w:noWrap/>
          </w:tcPr>
          <w:p w:rsidR="001E7B45" w:rsidRPr="00056A5C" w:rsidRDefault="001E7B45" w:rsidP="008C1AA9">
            <w:pPr>
              <w:spacing w:after="0" w:line="240" w:lineRule="auto"/>
              <w:rPr>
                <w:rFonts w:eastAsia="Calibri"/>
                <w:color w:val="000000"/>
                <w:lang w:val="en-US" w:eastAsia="en-US"/>
              </w:rPr>
            </w:pPr>
            <w:r w:rsidRPr="00056A5C">
              <w:rPr>
                <w:rFonts w:eastAsia="Calibri"/>
                <w:color w:val="000000"/>
                <w:lang w:val="en-US" w:eastAsia="en-US"/>
              </w:rPr>
              <w:t>6.</w:t>
            </w:r>
          </w:p>
        </w:tc>
        <w:tc>
          <w:tcPr>
            <w:tcW w:w="4678" w:type="dxa"/>
            <w:tcBorders>
              <w:top w:val="nil"/>
              <w:left w:val="nil"/>
              <w:bottom w:val="single" w:sz="4" w:space="0" w:color="auto"/>
              <w:right w:val="single" w:sz="4" w:space="0" w:color="auto"/>
            </w:tcBorders>
            <w:noWrap/>
          </w:tcPr>
          <w:p w:rsidR="001E7B45" w:rsidRPr="00056A5C" w:rsidRDefault="001E7B45" w:rsidP="008C1AA9">
            <w:pPr>
              <w:spacing w:after="0" w:line="240" w:lineRule="auto"/>
              <w:jc w:val="both"/>
              <w:rPr>
                <w:rFonts w:eastAsia="Calibri"/>
                <w:color w:val="000000"/>
                <w:lang w:eastAsia="en-US"/>
              </w:rPr>
            </w:pPr>
            <w:r w:rsidRPr="00056A5C">
              <w:rPr>
                <w:rFonts w:eastAsia="Calibri"/>
                <w:color w:val="000000"/>
                <w:lang w:eastAsia="en-US"/>
              </w:rPr>
              <w:t>МУЭП «Промтехэнерго»</w:t>
            </w:r>
          </w:p>
        </w:tc>
        <w:tc>
          <w:tcPr>
            <w:tcW w:w="1417" w:type="dxa"/>
            <w:tcBorders>
              <w:top w:val="nil"/>
              <w:left w:val="nil"/>
              <w:bottom w:val="single" w:sz="4" w:space="0" w:color="auto"/>
              <w:right w:val="single" w:sz="4" w:space="0" w:color="auto"/>
            </w:tcBorders>
            <w:noWrap/>
          </w:tcPr>
          <w:p w:rsidR="001E7B45" w:rsidRPr="00056A5C" w:rsidRDefault="001E7B45" w:rsidP="008C1AA9">
            <w:pPr>
              <w:spacing w:after="0" w:line="240" w:lineRule="auto"/>
              <w:jc w:val="right"/>
              <w:rPr>
                <w:rFonts w:eastAsia="Calibri"/>
                <w:color w:val="000000"/>
                <w:lang w:val="en-US" w:eastAsia="en-US"/>
              </w:rPr>
            </w:pPr>
            <w:r w:rsidRPr="00056A5C">
              <w:rPr>
                <w:rFonts w:eastAsia="Calibri"/>
                <w:color w:val="000000"/>
                <w:lang w:val="en-US" w:eastAsia="en-US"/>
              </w:rPr>
              <w:t>10663,0</w:t>
            </w:r>
          </w:p>
        </w:tc>
        <w:tc>
          <w:tcPr>
            <w:tcW w:w="1417" w:type="dxa"/>
            <w:tcBorders>
              <w:top w:val="nil"/>
              <w:left w:val="nil"/>
              <w:bottom w:val="single" w:sz="4" w:space="0" w:color="auto"/>
              <w:right w:val="single" w:sz="4" w:space="0" w:color="auto"/>
            </w:tcBorders>
          </w:tcPr>
          <w:p w:rsidR="001E7B45" w:rsidRPr="00056A5C" w:rsidRDefault="001E7B45" w:rsidP="008C1AA9">
            <w:pPr>
              <w:spacing w:after="0" w:line="240" w:lineRule="auto"/>
              <w:jc w:val="right"/>
              <w:rPr>
                <w:rFonts w:eastAsia="Calibri"/>
                <w:color w:val="000000"/>
                <w:lang w:val="en-US" w:eastAsia="en-US"/>
              </w:rPr>
            </w:pPr>
            <w:r w:rsidRPr="00056A5C">
              <w:rPr>
                <w:rFonts w:eastAsia="Calibri"/>
                <w:color w:val="000000"/>
                <w:lang w:val="en-US" w:eastAsia="en-US"/>
              </w:rPr>
              <w:t>138,62</w:t>
            </w:r>
          </w:p>
        </w:tc>
        <w:tc>
          <w:tcPr>
            <w:tcW w:w="1134" w:type="dxa"/>
            <w:tcBorders>
              <w:top w:val="nil"/>
              <w:left w:val="nil"/>
              <w:bottom w:val="single" w:sz="4" w:space="0" w:color="auto"/>
              <w:right w:val="single" w:sz="4" w:space="0" w:color="auto"/>
            </w:tcBorders>
          </w:tcPr>
          <w:p w:rsidR="001E7B45" w:rsidRPr="00056A5C" w:rsidRDefault="001E7B45" w:rsidP="008C1AA9">
            <w:pPr>
              <w:spacing w:after="0" w:line="240" w:lineRule="auto"/>
              <w:jc w:val="right"/>
              <w:rPr>
                <w:rFonts w:eastAsia="Calibri"/>
                <w:color w:val="000000"/>
                <w:lang w:val="en-US" w:eastAsia="en-US"/>
              </w:rPr>
            </w:pPr>
            <w:r w:rsidRPr="00056A5C">
              <w:rPr>
                <w:rFonts w:eastAsia="Calibri"/>
                <w:color w:val="000000"/>
                <w:lang w:eastAsia="en-US"/>
              </w:rPr>
              <w:t>+1</w:t>
            </w:r>
            <w:r w:rsidRPr="00056A5C">
              <w:rPr>
                <w:rFonts w:eastAsia="Calibri"/>
                <w:color w:val="000000"/>
                <w:lang w:val="en-US" w:eastAsia="en-US"/>
              </w:rPr>
              <w:t>,3%</w:t>
            </w:r>
          </w:p>
        </w:tc>
      </w:tr>
      <w:tr w:rsidR="001E7B45" w:rsidRPr="00056A5C" w:rsidTr="00DF11F6">
        <w:trPr>
          <w:trHeight w:val="255"/>
        </w:trPr>
        <w:tc>
          <w:tcPr>
            <w:tcW w:w="709" w:type="dxa"/>
            <w:tcBorders>
              <w:top w:val="nil"/>
              <w:left w:val="single" w:sz="4" w:space="0" w:color="auto"/>
              <w:bottom w:val="single" w:sz="4" w:space="0" w:color="auto"/>
              <w:right w:val="single" w:sz="4" w:space="0" w:color="auto"/>
            </w:tcBorders>
            <w:noWrap/>
          </w:tcPr>
          <w:p w:rsidR="001E7B45" w:rsidRPr="00056A5C" w:rsidRDefault="001E7B45" w:rsidP="008C1AA9">
            <w:pPr>
              <w:spacing w:after="0" w:line="240" w:lineRule="auto"/>
              <w:rPr>
                <w:rFonts w:eastAsia="Calibri"/>
                <w:color w:val="000000"/>
                <w:lang w:val="en-US" w:eastAsia="en-US"/>
              </w:rPr>
            </w:pPr>
            <w:r w:rsidRPr="00056A5C">
              <w:rPr>
                <w:rFonts w:eastAsia="Calibri"/>
                <w:color w:val="000000"/>
                <w:lang w:val="en-US" w:eastAsia="en-US"/>
              </w:rPr>
              <w:t>7.</w:t>
            </w:r>
          </w:p>
        </w:tc>
        <w:tc>
          <w:tcPr>
            <w:tcW w:w="4678" w:type="dxa"/>
            <w:tcBorders>
              <w:top w:val="nil"/>
              <w:left w:val="nil"/>
              <w:bottom w:val="single" w:sz="4" w:space="0" w:color="auto"/>
              <w:right w:val="single" w:sz="4" w:space="0" w:color="auto"/>
            </w:tcBorders>
            <w:noWrap/>
          </w:tcPr>
          <w:p w:rsidR="001E7B45" w:rsidRPr="00056A5C" w:rsidRDefault="001E7B45" w:rsidP="008C1AA9">
            <w:pPr>
              <w:spacing w:after="0" w:line="240" w:lineRule="auto"/>
              <w:rPr>
                <w:rFonts w:eastAsia="Calibri"/>
                <w:color w:val="000000"/>
                <w:lang w:eastAsia="en-US"/>
              </w:rPr>
            </w:pPr>
            <w:r w:rsidRPr="00056A5C">
              <w:rPr>
                <w:rFonts w:eastAsia="Calibri"/>
                <w:color w:val="000000"/>
                <w:lang w:eastAsia="en-US"/>
              </w:rPr>
              <w:t>Филиал «Сибирский» ОАО «Объединенная энергетическая компания»</w:t>
            </w:r>
          </w:p>
        </w:tc>
        <w:tc>
          <w:tcPr>
            <w:tcW w:w="1417" w:type="dxa"/>
            <w:tcBorders>
              <w:top w:val="nil"/>
              <w:left w:val="nil"/>
              <w:bottom w:val="single" w:sz="4" w:space="0" w:color="auto"/>
              <w:right w:val="single" w:sz="4" w:space="0" w:color="auto"/>
            </w:tcBorders>
            <w:noWrap/>
          </w:tcPr>
          <w:p w:rsidR="001E7B45" w:rsidRPr="00056A5C" w:rsidRDefault="001E7B45" w:rsidP="008C1AA9">
            <w:pPr>
              <w:spacing w:after="0" w:line="240" w:lineRule="auto"/>
              <w:jc w:val="right"/>
              <w:rPr>
                <w:rFonts w:eastAsia="Calibri"/>
                <w:color w:val="000000"/>
                <w:lang w:val="en-US" w:eastAsia="en-US"/>
              </w:rPr>
            </w:pPr>
            <w:r w:rsidRPr="00056A5C">
              <w:rPr>
                <w:rFonts w:eastAsia="Calibri"/>
                <w:color w:val="000000"/>
                <w:lang w:val="en-US" w:eastAsia="en-US"/>
              </w:rPr>
              <w:t>18805,5</w:t>
            </w:r>
          </w:p>
        </w:tc>
        <w:tc>
          <w:tcPr>
            <w:tcW w:w="1417" w:type="dxa"/>
            <w:tcBorders>
              <w:top w:val="nil"/>
              <w:left w:val="nil"/>
              <w:bottom w:val="single" w:sz="4" w:space="0" w:color="auto"/>
              <w:right w:val="single" w:sz="4" w:space="0" w:color="auto"/>
            </w:tcBorders>
          </w:tcPr>
          <w:p w:rsidR="001E7B45" w:rsidRPr="00056A5C" w:rsidRDefault="001E7B45" w:rsidP="008C1AA9">
            <w:pPr>
              <w:spacing w:after="0" w:line="240" w:lineRule="auto"/>
              <w:jc w:val="right"/>
              <w:rPr>
                <w:rFonts w:eastAsia="Calibri"/>
                <w:color w:val="000000"/>
                <w:lang w:val="en-US" w:eastAsia="en-US"/>
              </w:rPr>
            </w:pPr>
            <w:r w:rsidRPr="00056A5C">
              <w:rPr>
                <w:rFonts w:eastAsia="Calibri"/>
                <w:color w:val="000000"/>
                <w:lang w:val="en-US" w:eastAsia="en-US"/>
              </w:rPr>
              <w:t>244,47</w:t>
            </w:r>
          </w:p>
        </w:tc>
        <w:tc>
          <w:tcPr>
            <w:tcW w:w="1134" w:type="dxa"/>
            <w:tcBorders>
              <w:top w:val="nil"/>
              <w:left w:val="nil"/>
              <w:bottom w:val="single" w:sz="4" w:space="0" w:color="auto"/>
              <w:right w:val="single" w:sz="4" w:space="0" w:color="auto"/>
            </w:tcBorders>
          </w:tcPr>
          <w:p w:rsidR="001E7B45" w:rsidRPr="00056A5C" w:rsidRDefault="001E7B45" w:rsidP="008C1AA9">
            <w:pPr>
              <w:spacing w:after="0" w:line="240" w:lineRule="auto"/>
              <w:jc w:val="right"/>
              <w:rPr>
                <w:rFonts w:eastAsia="Calibri"/>
                <w:color w:val="000000"/>
                <w:lang w:val="en-US" w:eastAsia="en-US"/>
              </w:rPr>
            </w:pPr>
            <w:r w:rsidRPr="00056A5C">
              <w:rPr>
                <w:rFonts w:eastAsia="Calibri"/>
                <w:color w:val="000000"/>
                <w:lang w:eastAsia="en-US"/>
              </w:rPr>
              <w:t>+1</w:t>
            </w:r>
            <w:r w:rsidRPr="00056A5C">
              <w:rPr>
                <w:rFonts w:eastAsia="Calibri"/>
                <w:color w:val="000000"/>
                <w:lang w:val="en-US" w:eastAsia="en-US"/>
              </w:rPr>
              <w:t>,3%</w:t>
            </w:r>
          </w:p>
        </w:tc>
      </w:tr>
      <w:tr w:rsidR="001E7B45" w:rsidRPr="00056A5C" w:rsidTr="00DF11F6">
        <w:trPr>
          <w:trHeight w:val="255"/>
        </w:trPr>
        <w:tc>
          <w:tcPr>
            <w:tcW w:w="709" w:type="dxa"/>
            <w:tcBorders>
              <w:top w:val="nil"/>
              <w:left w:val="single" w:sz="4" w:space="0" w:color="auto"/>
              <w:bottom w:val="single" w:sz="4" w:space="0" w:color="auto"/>
              <w:right w:val="single" w:sz="4" w:space="0" w:color="auto"/>
            </w:tcBorders>
            <w:noWrap/>
          </w:tcPr>
          <w:p w:rsidR="001E7B45" w:rsidRPr="00056A5C" w:rsidRDefault="001E7B45" w:rsidP="008C1AA9">
            <w:pPr>
              <w:spacing w:after="0" w:line="240" w:lineRule="auto"/>
              <w:rPr>
                <w:rFonts w:eastAsia="Calibri"/>
                <w:color w:val="000000"/>
                <w:lang w:val="en-US" w:eastAsia="en-US"/>
              </w:rPr>
            </w:pPr>
            <w:r w:rsidRPr="00056A5C">
              <w:rPr>
                <w:rFonts w:eastAsia="Calibri"/>
                <w:color w:val="000000"/>
                <w:lang w:val="en-US" w:eastAsia="en-US"/>
              </w:rPr>
              <w:t>8.</w:t>
            </w:r>
          </w:p>
        </w:tc>
        <w:tc>
          <w:tcPr>
            <w:tcW w:w="4678" w:type="dxa"/>
            <w:tcBorders>
              <w:top w:val="nil"/>
              <w:left w:val="nil"/>
              <w:bottom w:val="single" w:sz="4" w:space="0" w:color="auto"/>
              <w:right w:val="single" w:sz="4" w:space="0" w:color="auto"/>
            </w:tcBorders>
            <w:noWrap/>
          </w:tcPr>
          <w:p w:rsidR="001E7B45" w:rsidRPr="00056A5C" w:rsidRDefault="001E7B45" w:rsidP="008C1AA9">
            <w:pPr>
              <w:spacing w:after="0" w:line="240" w:lineRule="auto"/>
              <w:rPr>
                <w:rFonts w:eastAsia="Calibri"/>
                <w:color w:val="000000"/>
                <w:lang w:eastAsia="en-US"/>
              </w:rPr>
            </w:pPr>
            <w:r w:rsidRPr="00056A5C">
              <w:rPr>
                <w:rFonts w:eastAsia="Calibri"/>
                <w:color w:val="000000"/>
                <w:lang w:eastAsia="en-US"/>
              </w:rPr>
              <w:t>ФГУП «Управление энергетики и водоснабжения»</w:t>
            </w:r>
          </w:p>
        </w:tc>
        <w:tc>
          <w:tcPr>
            <w:tcW w:w="1417" w:type="dxa"/>
            <w:tcBorders>
              <w:top w:val="nil"/>
              <w:left w:val="nil"/>
              <w:bottom w:val="single" w:sz="4" w:space="0" w:color="auto"/>
              <w:right w:val="single" w:sz="4" w:space="0" w:color="auto"/>
            </w:tcBorders>
            <w:noWrap/>
          </w:tcPr>
          <w:p w:rsidR="001E7B45" w:rsidRPr="00056A5C" w:rsidRDefault="001E7B45" w:rsidP="008C1AA9">
            <w:pPr>
              <w:spacing w:after="0" w:line="240" w:lineRule="auto"/>
              <w:jc w:val="right"/>
              <w:rPr>
                <w:rFonts w:eastAsia="Calibri"/>
                <w:color w:val="000000"/>
                <w:lang w:val="en-US" w:eastAsia="en-US"/>
              </w:rPr>
            </w:pPr>
            <w:r w:rsidRPr="00056A5C">
              <w:rPr>
                <w:rFonts w:eastAsia="Calibri"/>
                <w:color w:val="000000"/>
                <w:lang w:val="en-US" w:eastAsia="en-US"/>
              </w:rPr>
              <w:t>93493,1</w:t>
            </w:r>
          </w:p>
        </w:tc>
        <w:tc>
          <w:tcPr>
            <w:tcW w:w="1417" w:type="dxa"/>
            <w:tcBorders>
              <w:top w:val="nil"/>
              <w:left w:val="nil"/>
              <w:bottom w:val="single" w:sz="4" w:space="0" w:color="auto"/>
              <w:right w:val="single" w:sz="4" w:space="0" w:color="auto"/>
            </w:tcBorders>
          </w:tcPr>
          <w:p w:rsidR="001E7B45" w:rsidRPr="00056A5C" w:rsidRDefault="001E7B45" w:rsidP="008C1AA9">
            <w:pPr>
              <w:spacing w:after="0" w:line="240" w:lineRule="auto"/>
              <w:jc w:val="right"/>
              <w:rPr>
                <w:rFonts w:eastAsia="Calibri"/>
                <w:color w:val="000000"/>
                <w:lang w:val="en-US" w:eastAsia="en-US"/>
              </w:rPr>
            </w:pPr>
            <w:r w:rsidRPr="00056A5C">
              <w:rPr>
                <w:rFonts w:eastAsia="Calibri"/>
                <w:color w:val="000000"/>
                <w:lang w:val="en-US" w:eastAsia="en-US"/>
              </w:rPr>
              <w:t>1215,41</w:t>
            </w:r>
          </w:p>
        </w:tc>
        <w:tc>
          <w:tcPr>
            <w:tcW w:w="1134" w:type="dxa"/>
            <w:tcBorders>
              <w:top w:val="nil"/>
              <w:left w:val="nil"/>
              <w:bottom w:val="single" w:sz="4" w:space="0" w:color="auto"/>
              <w:right w:val="single" w:sz="4" w:space="0" w:color="auto"/>
            </w:tcBorders>
          </w:tcPr>
          <w:p w:rsidR="001E7B45" w:rsidRPr="00056A5C" w:rsidRDefault="001E7B45" w:rsidP="008C1AA9">
            <w:pPr>
              <w:spacing w:after="0" w:line="240" w:lineRule="auto"/>
              <w:jc w:val="right"/>
              <w:rPr>
                <w:rFonts w:eastAsia="Calibri"/>
                <w:color w:val="000000"/>
                <w:lang w:val="en-US" w:eastAsia="en-US"/>
              </w:rPr>
            </w:pPr>
            <w:r w:rsidRPr="00056A5C">
              <w:rPr>
                <w:rFonts w:eastAsia="Calibri"/>
                <w:color w:val="000000"/>
                <w:lang w:eastAsia="en-US"/>
              </w:rPr>
              <w:t>+1</w:t>
            </w:r>
            <w:r w:rsidRPr="00056A5C">
              <w:rPr>
                <w:rFonts w:eastAsia="Calibri"/>
                <w:color w:val="000000"/>
                <w:lang w:val="en-US" w:eastAsia="en-US"/>
              </w:rPr>
              <w:t>,3%</w:t>
            </w:r>
          </w:p>
        </w:tc>
      </w:tr>
      <w:tr w:rsidR="001E7B45" w:rsidRPr="00056A5C" w:rsidTr="00DF11F6">
        <w:trPr>
          <w:trHeight w:val="255"/>
        </w:trPr>
        <w:tc>
          <w:tcPr>
            <w:tcW w:w="709" w:type="dxa"/>
            <w:tcBorders>
              <w:top w:val="nil"/>
              <w:left w:val="single" w:sz="4" w:space="0" w:color="auto"/>
              <w:bottom w:val="single" w:sz="4" w:space="0" w:color="auto"/>
              <w:right w:val="single" w:sz="4" w:space="0" w:color="auto"/>
            </w:tcBorders>
            <w:noWrap/>
          </w:tcPr>
          <w:p w:rsidR="001E7B45" w:rsidRPr="00056A5C" w:rsidRDefault="001E7B45" w:rsidP="008C1AA9">
            <w:pPr>
              <w:spacing w:after="0" w:line="240" w:lineRule="auto"/>
              <w:rPr>
                <w:rFonts w:eastAsia="Calibri"/>
                <w:color w:val="000000"/>
                <w:lang w:val="en-US" w:eastAsia="en-US"/>
              </w:rPr>
            </w:pPr>
            <w:r w:rsidRPr="00056A5C">
              <w:rPr>
                <w:rFonts w:eastAsia="Calibri"/>
                <w:color w:val="000000"/>
                <w:lang w:val="en-US" w:eastAsia="en-US"/>
              </w:rPr>
              <w:t>9.</w:t>
            </w:r>
          </w:p>
        </w:tc>
        <w:tc>
          <w:tcPr>
            <w:tcW w:w="4678" w:type="dxa"/>
            <w:tcBorders>
              <w:top w:val="nil"/>
              <w:left w:val="nil"/>
              <w:bottom w:val="single" w:sz="4" w:space="0" w:color="auto"/>
              <w:right w:val="single" w:sz="4" w:space="0" w:color="auto"/>
            </w:tcBorders>
            <w:noWrap/>
          </w:tcPr>
          <w:p w:rsidR="001E7B45" w:rsidRPr="00056A5C" w:rsidRDefault="001E7B45" w:rsidP="008C1AA9">
            <w:pPr>
              <w:spacing w:after="0" w:line="240" w:lineRule="auto"/>
              <w:rPr>
                <w:rFonts w:eastAsia="Calibri"/>
                <w:color w:val="000000"/>
                <w:lang w:eastAsia="en-US"/>
              </w:rPr>
            </w:pPr>
            <w:r w:rsidRPr="00056A5C">
              <w:rPr>
                <w:rFonts w:eastAsia="Calibri"/>
                <w:color w:val="000000"/>
                <w:lang w:eastAsia="en-US"/>
              </w:rPr>
              <w:t>АО «Оборонэнерго» филиал «Сибирский»</w:t>
            </w:r>
          </w:p>
        </w:tc>
        <w:tc>
          <w:tcPr>
            <w:tcW w:w="1417" w:type="dxa"/>
            <w:tcBorders>
              <w:top w:val="nil"/>
              <w:left w:val="nil"/>
              <w:bottom w:val="single" w:sz="4" w:space="0" w:color="auto"/>
              <w:right w:val="single" w:sz="4" w:space="0" w:color="auto"/>
            </w:tcBorders>
            <w:noWrap/>
          </w:tcPr>
          <w:p w:rsidR="001E7B45" w:rsidRPr="00056A5C" w:rsidRDefault="001E7B45" w:rsidP="008C1AA9">
            <w:pPr>
              <w:spacing w:after="0" w:line="240" w:lineRule="auto"/>
              <w:jc w:val="right"/>
              <w:rPr>
                <w:rFonts w:eastAsia="Calibri"/>
                <w:color w:val="000000"/>
                <w:lang w:val="en-US" w:eastAsia="en-US"/>
              </w:rPr>
            </w:pPr>
            <w:r w:rsidRPr="00056A5C">
              <w:rPr>
                <w:rFonts w:eastAsia="Calibri"/>
                <w:color w:val="000000"/>
                <w:lang w:val="en-US" w:eastAsia="en-US"/>
              </w:rPr>
              <w:t>71373,8</w:t>
            </w:r>
          </w:p>
        </w:tc>
        <w:tc>
          <w:tcPr>
            <w:tcW w:w="1417" w:type="dxa"/>
            <w:tcBorders>
              <w:top w:val="nil"/>
              <w:left w:val="nil"/>
              <w:bottom w:val="single" w:sz="4" w:space="0" w:color="auto"/>
              <w:right w:val="single" w:sz="4" w:space="0" w:color="auto"/>
            </w:tcBorders>
          </w:tcPr>
          <w:p w:rsidR="001E7B45" w:rsidRPr="00056A5C" w:rsidRDefault="001E7B45" w:rsidP="008C1AA9">
            <w:pPr>
              <w:spacing w:after="0" w:line="240" w:lineRule="auto"/>
              <w:jc w:val="right"/>
              <w:rPr>
                <w:rFonts w:eastAsia="Calibri"/>
                <w:color w:val="000000"/>
                <w:lang w:val="en-US" w:eastAsia="en-US"/>
              </w:rPr>
            </w:pPr>
            <w:r w:rsidRPr="00056A5C">
              <w:rPr>
                <w:rFonts w:eastAsia="Calibri"/>
                <w:color w:val="000000"/>
                <w:lang w:val="en-US" w:eastAsia="en-US"/>
              </w:rPr>
              <w:t>927,86</w:t>
            </w:r>
          </w:p>
        </w:tc>
        <w:tc>
          <w:tcPr>
            <w:tcW w:w="1134" w:type="dxa"/>
            <w:tcBorders>
              <w:top w:val="nil"/>
              <w:left w:val="nil"/>
              <w:bottom w:val="single" w:sz="4" w:space="0" w:color="auto"/>
              <w:right w:val="single" w:sz="4" w:space="0" w:color="auto"/>
            </w:tcBorders>
          </w:tcPr>
          <w:p w:rsidR="001E7B45" w:rsidRPr="00056A5C" w:rsidRDefault="001E7B45" w:rsidP="008C1AA9">
            <w:pPr>
              <w:spacing w:after="0" w:line="240" w:lineRule="auto"/>
              <w:jc w:val="right"/>
              <w:rPr>
                <w:rFonts w:eastAsia="Calibri"/>
                <w:color w:val="000000"/>
                <w:lang w:val="en-US" w:eastAsia="en-US"/>
              </w:rPr>
            </w:pPr>
            <w:r w:rsidRPr="00056A5C">
              <w:rPr>
                <w:rFonts w:eastAsia="Calibri"/>
                <w:color w:val="000000"/>
                <w:lang w:val="en-US" w:eastAsia="en-US"/>
              </w:rPr>
              <w:t>+1,3%</w:t>
            </w:r>
          </w:p>
        </w:tc>
      </w:tr>
      <w:tr w:rsidR="001E7B45" w:rsidRPr="00056A5C" w:rsidTr="00DF11F6">
        <w:trPr>
          <w:trHeight w:val="255"/>
        </w:trPr>
        <w:tc>
          <w:tcPr>
            <w:tcW w:w="709" w:type="dxa"/>
            <w:tcBorders>
              <w:top w:val="nil"/>
              <w:left w:val="single" w:sz="4" w:space="0" w:color="auto"/>
              <w:bottom w:val="single" w:sz="4" w:space="0" w:color="auto"/>
              <w:right w:val="single" w:sz="4" w:space="0" w:color="auto"/>
            </w:tcBorders>
            <w:noWrap/>
          </w:tcPr>
          <w:p w:rsidR="001E7B45" w:rsidRPr="00056A5C" w:rsidRDefault="001E7B45" w:rsidP="008C1AA9">
            <w:pPr>
              <w:spacing w:after="0" w:line="240" w:lineRule="auto"/>
              <w:rPr>
                <w:rFonts w:eastAsia="Calibri"/>
                <w:color w:val="000000"/>
                <w:lang w:val="en-US" w:eastAsia="en-US"/>
              </w:rPr>
            </w:pPr>
            <w:r w:rsidRPr="00056A5C">
              <w:rPr>
                <w:rFonts w:eastAsia="Calibri"/>
                <w:color w:val="000000"/>
                <w:lang w:val="en-US" w:eastAsia="en-US"/>
              </w:rPr>
              <w:t>10.</w:t>
            </w:r>
          </w:p>
        </w:tc>
        <w:tc>
          <w:tcPr>
            <w:tcW w:w="4678" w:type="dxa"/>
            <w:tcBorders>
              <w:top w:val="nil"/>
              <w:left w:val="nil"/>
              <w:bottom w:val="single" w:sz="4" w:space="0" w:color="auto"/>
              <w:right w:val="single" w:sz="4" w:space="0" w:color="auto"/>
            </w:tcBorders>
            <w:noWrap/>
          </w:tcPr>
          <w:p w:rsidR="001E7B45" w:rsidRPr="00056A5C" w:rsidRDefault="001E7B45" w:rsidP="008C1AA9">
            <w:pPr>
              <w:spacing w:after="0" w:line="240" w:lineRule="auto"/>
              <w:rPr>
                <w:rFonts w:eastAsia="Calibri"/>
                <w:color w:val="000000"/>
                <w:lang w:eastAsia="en-US"/>
              </w:rPr>
            </w:pPr>
            <w:r w:rsidRPr="00056A5C">
              <w:rPr>
                <w:rFonts w:eastAsia="Calibri"/>
                <w:color w:val="000000"/>
                <w:lang w:eastAsia="en-US"/>
              </w:rPr>
              <w:t>АО «Новосибирский завод искусственного волокна»</w:t>
            </w:r>
          </w:p>
        </w:tc>
        <w:tc>
          <w:tcPr>
            <w:tcW w:w="1417" w:type="dxa"/>
            <w:tcBorders>
              <w:top w:val="nil"/>
              <w:left w:val="nil"/>
              <w:bottom w:val="single" w:sz="4" w:space="0" w:color="auto"/>
              <w:right w:val="single" w:sz="4" w:space="0" w:color="auto"/>
            </w:tcBorders>
            <w:noWrap/>
          </w:tcPr>
          <w:p w:rsidR="001E7B45" w:rsidRPr="00056A5C" w:rsidRDefault="001E7B45" w:rsidP="008C1AA9">
            <w:pPr>
              <w:spacing w:after="0" w:line="240" w:lineRule="auto"/>
              <w:jc w:val="right"/>
              <w:rPr>
                <w:rFonts w:eastAsia="Calibri"/>
                <w:color w:val="000000"/>
                <w:lang w:val="en-US" w:eastAsia="en-US"/>
              </w:rPr>
            </w:pPr>
            <w:r w:rsidRPr="00056A5C">
              <w:rPr>
                <w:rFonts w:eastAsia="Calibri"/>
                <w:color w:val="000000"/>
                <w:lang w:val="en-US" w:eastAsia="en-US"/>
              </w:rPr>
              <w:t>4069,1</w:t>
            </w:r>
          </w:p>
        </w:tc>
        <w:tc>
          <w:tcPr>
            <w:tcW w:w="1417" w:type="dxa"/>
            <w:tcBorders>
              <w:top w:val="nil"/>
              <w:left w:val="nil"/>
              <w:bottom w:val="single" w:sz="4" w:space="0" w:color="auto"/>
              <w:right w:val="single" w:sz="4" w:space="0" w:color="auto"/>
            </w:tcBorders>
          </w:tcPr>
          <w:p w:rsidR="001E7B45" w:rsidRPr="00056A5C" w:rsidRDefault="001E7B45" w:rsidP="008C1AA9">
            <w:pPr>
              <w:spacing w:after="0" w:line="240" w:lineRule="auto"/>
              <w:jc w:val="right"/>
              <w:rPr>
                <w:rFonts w:eastAsia="Calibri"/>
                <w:color w:val="000000"/>
                <w:lang w:val="en-US" w:eastAsia="en-US"/>
              </w:rPr>
            </w:pPr>
            <w:r w:rsidRPr="00056A5C">
              <w:rPr>
                <w:rFonts w:eastAsia="Calibri"/>
                <w:color w:val="000000"/>
                <w:lang w:val="en-US" w:eastAsia="en-US"/>
              </w:rPr>
              <w:t>52,90</w:t>
            </w:r>
          </w:p>
        </w:tc>
        <w:tc>
          <w:tcPr>
            <w:tcW w:w="1134" w:type="dxa"/>
            <w:tcBorders>
              <w:top w:val="nil"/>
              <w:left w:val="nil"/>
              <w:bottom w:val="single" w:sz="4" w:space="0" w:color="auto"/>
              <w:right w:val="single" w:sz="4" w:space="0" w:color="auto"/>
            </w:tcBorders>
          </w:tcPr>
          <w:p w:rsidR="001E7B45" w:rsidRPr="00056A5C" w:rsidRDefault="001E7B45" w:rsidP="008C1AA9">
            <w:pPr>
              <w:spacing w:after="0" w:line="240" w:lineRule="auto"/>
              <w:jc w:val="right"/>
              <w:rPr>
                <w:rFonts w:eastAsia="Calibri"/>
                <w:color w:val="000000"/>
                <w:lang w:val="en-US" w:eastAsia="en-US"/>
              </w:rPr>
            </w:pPr>
            <w:r w:rsidRPr="00056A5C">
              <w:rPr>
                <w:rFonts w:eastAsia="Calibri"/>
                <w:color w:val="000000"/>
                <w:lang w:val="en-US" w:eastAsia="en-US"/>
              </w:rPr>
              <w:t>+1,3%</w:t>
            </w:r>
          </w:p>
        </w:tc>
      </w:tr>
      <w:tr w:rsidR="001E7B45" w:rsidRPr="00056A5C" w:rsidTr="00DF11F6">
        <w:trPr>
          <w:trHeight w:val="255"/>
        </w:trPr>
        <w:tc>
          <w:tcPr>
            <w:tcW w:w="709" w:type="dxa"/>
            <w:tcBorders>
              <w:top w:val="nil"/>
              <w:left w:val="single" w:sz="4" w:space="0" w:color="auto"/>
              <w:bottom w:val="single" w:sz="4" w:space="0" w:color="auto"/>
              <w:right w:val="single" w:sz="4" w:space="0" w:color="auto"/>
            </w:tcBorders>
            <w:noWrap/>
          </w:tcPr>
          <w:p w:rsidR="001E7B45" w:rsidRPr="00056A5C" w:rsidRDefault="001E7B45" w:rsidP="008C1AA9">
            <w:pPr>
              <w:spacing w:after="0" w:line="240" w:lineRule="auto"/>
              <w:rPr>
                <w:rFonts w:eastAsia="Calibri"/>
                <w:color w:val="000000"/>
                <w:lang w:eastAsia="en-US"/>
              </w:rPr>
            </w:pPr>
          </w:p>
        </w:tc>
        <w:tc>
          <w:tcPr>
            <w:tcW w:w="4678" w:type="dxa"/>
            <w:tcBorders>
              <w:top w:val="nil"/>
              <w:left w:val="nil"/>
              <w:bottom w:val="single" w:sz="4" w:space="0" w:color="auto"/>
              <w:right w:val="single" w:sz="4" w:space="0" w:color="auto"/>
            </w:tcBorders>
            <w:noWrap/>
          </w:tcPr>
          <w:p w:rsidR="001E7B45" w:rsidRPr="00056A5C" w:rsidRDefault="001E7B45" w:rsidP="008C1AA9">
            <w:pPr>
              <w:spacing w:after="0" w:line="240" w:lineRule="auto"/>
              <w:jc w:val="both"/>
              <w:rPr>
                <w:rFonts w:eastAsia="Calibri"/>
                <w:color w:val="000000"/>
                <w:lang w:val="en-US" w:eastAsia="en-US"/>
              </w:rPr>
            </w:pPr>
            <w:r w:rsidRPr="00056A5C">
              <w:rPr>
                <w:rFonts w:eastAsia="Calibri"/>
                <w:color w:val="000000"/>
                <w:lang w:eastAsia="en-US"/>
              </w:rPr>
              <w:t>ИТОГО</w:t>
            </w:r>
            <w:r w:rsidRPr="00056A5C">
              <w:rPr>
                <w:rFonts w:eastAsia="Calibri"/>
                <w:color w:val="000000"/>
                <w:lang w:val="en-US" w:eastAsia="en-US"/>
              </w:rPr>
              <w:t>:</w:t>
            </w:r>
          </w:p>
        </w:tc>
        <w:tc>
          <w:tcPr>
            <w:tcW w:w="1417" w:type="dxa"/>
            <w:tcBorders>
              <w:top w:val="nil"/>
              <w:left w:val="nil"/>
              <w:bottom w:val="single" w:sz="4" w:space="0" w:color="auto"/>
              <w:right w:val="single" w:sz="4" w:space="0" w:color="auto"/>
            </w:tcBorders>
            <w:noWrap/>
          </w:tcPr>
          <w:p w:rsidR="001E7B45" w:rsidRPr="00056A5C" w:rsidRDefault="001E7B45" w:rsidP="008C1AA9">
            <w:pPr>
              <w:spacing w:after="0" w:line="240" w:lineRule="auto"/>
              <w:jc w:val="right"/>
              <w:rPr>
                <w:rFonts w:eastAsia="Calibri"/>
                <w:color w:val="000000"/>
                <w:lang w:val="en-US" w:eastAsia="en-US"/>
              </w:rPr>
            </w:pPr>
          </w:p>
        </w:tc>
        <w:tc>
          <w:tcPr>
            <w:tcW w:w="1417" w:type="dxa"/>
            <w:tcBorders>
              <w:top w:val="nil"/>
              <w:left w:val="nil"/>
              <w:bottom w:val="single" w:sz="4" w:space="0" w:color="auto"/>
              <w:right w:val="single" w:sz="4" w:space="0" w:color="auto"/>
            </w:tcBorders>
          </w:tcPr>
          <w:p w:rsidR="001E7B45" w:rsidRPr="00056A5C" w:rsidRDefault="001E7B45" w:rsidP="008C1AA9">
            <w:pPr>
              <w:spacing w:after="0" w:line="240" w:lineRule="auto"/>
              <w:jc w:val="right"/>
              <w:rPr>
                <w:rFonts w:eastAsia="Calibri"/>
                <w:b/>
                <w:color w:val="000000"/>
                <w:u w:val="single"/>
                <w:lang w:val="en-US" w:eastAsia="en-US"/>
              </w:rPr>
            </w:pPr>
            <w:r w:rsidRPr="00056A5C">
              <w:rPr>
                <w:rFonts w:eastAsia="Calibri"/>
                <w:b/>
                <w:color w:val="000000"/>
                <w:u w:val="single"/>
                <w:lang w:val="en-US" w:eastAsia="en-US"/>
              </w:rPr>
              <w:t>+130557,48</w:t>
            </w:r>
          </w:p>
        </w:tc>
        <w:tc>
          <w:tcPr>
            <w:tcW w:w="1134" w:type="dxa"/>
            <w:tcBorders>
              <w:top w:val="nil"/>
              <w:left w:val="nil"/>
              <w:bottom w:val="single" w:sz="4" w:space="0" w:color="auto"/>
              <w:right w:val="single" w:sz="4" w:space="0" w:color="auto"/>
            </w:tcBorders>
          </w:tcPr>
          <w:p w:rsidR="001E7B45" w:rsidRPr="00056A5C" w:rsidRDefault="001E7B45" w:rsidP="008C1AA9">
            <w:pPr>
              <w:spacing w:after="0" w:line="240" w:lineRule="auto"/>
              <w:jc w:val="right"/>
              <w:rPr>
                <w:rFonts w:eastAsia="Calibri"/>
                <w:color w:val="000000"/>
                <w:lang w:eastAsia="en-US"/>
              </w:rPr>
            </w:pPr>
          </w:p>
        </w:tc>
      </w:tr>
      <w:tr w:rsidR="001E7B45" w:rsidRPr="00056A5C" w:rsidTr="00DF11F6">
        <w:trPr>
          <w:trHeight w:val="255"/>
        </w:trPr>
        <w:tc>
          <w:tcPr>
            <w:tcW w:w="709" w:type="dxa"/>
            <w:tcBorders>
              <w:top w:val="nil"/>
              <w:left w:val="single" w:sz="4" w:space="0" w:color="auto"/>
              <w:bottom w:val="single" w:sz="4" w:space="0" w:color="auto"/>
              <w:right w:val="single" w:sz="4" w:space="0" w:color="auto"/>
            </w:tcBorders>
            <w:noWrap/>
          </w:tcPr>
          <w:p w:rsidR="001E7B45" w:rsidRPr="00056A5C" w:rsidRDefault="001E7B45" w:rsidP="008C1AA9">
            <w:pPr>
              <w:spacing w:after="0" w:line="240" w:lineRule="auto"/>
              <w:rPr>
                <w:rFonts w:eastAsia="Calibri"/>
                <w:color w:val="000000"/>
                <w:lang w:val="en-US" w:eastAsia="en-US"/>
              </w:rPr>
            </w:pPr>
            <w:r w:rsidRPr="00056A5C">
              <w:rPr>
                <w:rFonts w:eastAsia="Calibri"/>
                <w:color w:val="000000"/>
                <w:lang w:val="en-US" w:eastAsia="en-US"/>
              </w:rPr>
              <w:t>II</w:t>
            </w:r>
          </w:p>
        </w:tc>
        <w:tc>
          <w:tcPr>
            <w:tcW w:w="4678" w:type="dxa"/>
            <w:tcBorders>
              <w:top w:val="nil"/>
              <w:left w:val="nil"/>
              <w:bottom w:val="single" w:sz="4" w:space="0" w:color="auto"/>
              <w:right w:val="single" w:sz="4" w:space="0" w:color="auto"/>
            </w:tcBorders>
            <w:noWrap/>
            <w:vAlign w:val="center"/>
          </w:tcPr>
          <w:p w:rsidR="001E7B45" w:rsidRPr="00056A5C" w:rsidRDefault="001E7B45" w:rsidP="008C1AA9">
            <w:pPr>
              <w:spacing w:after="0" w:line="240" w:lineRule="auto"/>
              <w:rPr>
                <w:rFonts w:eastAsia="Calibri"/>
                <w:i/>
                <w:color w:val="000000"/>
                <w:lang w:eastAsia="en-US"/>
              </w:rPr>
            </w:pPr>
            <w:r w:rsidRPr="00056A5C">
              <w:rPr>
                <w:rFonts w:eastAsia="Calibri"/>
                <w:i/>
                <w:color w:val="000000"/>
                <w:lang w:eastAsia="en-US"/>
              </w:rPr>
              <w:t>Организации, по отчетным данным которых обобщенный показатель уровня надежности и качества Коб=0,6</w:t>
            </w:r>
          </w:p>
        </w:tc>
        <w:tc>
          <w:tcPr>
            <w:tcW w:w="1417" w:type="dxa"/>
            <w:tcBorders>
              <w:top w:val="nil"/>
              <w:left w:val="nil"/>
              <w:bottom w:val="single" w:sz="4" w:space="0" w:color="auto"/>
              <w:right w:val="single" w:sz="4" w:space="0" w:color="auto"/>
            </w:tcBorders>
            <w:noWrap/>
          </w:tcPr>
          <w:p w:rsidR="001E7B45" w:rsidRPr="00056A5C" w:rsidRDefault="001E7B45" w:rsidP="008C1AA9">
            <w:pPr>
              <w:spacing w:after="0" w:line="240" w:lineRule="auto"/>
              <w:jc w:val="right"/>
              <w:rPr>
                <w:rFonts w:eastAsia="Calibri"/>
                <w:color w:val="000000"/>
                <w:lang w:eastAsia="en-US"/>
              </w:rPr>
            </w:pPr>
          </w:p>
        </w:tc>
        <w:tc>
          <w:tcPr>
            <w:tcW w:w="1417" w:type="dxa"/>
            <w:tcBorders>
              <w:top w:val="nil"/>
              <w:left w:val="nil"/>
              <w:bottom w:val="single" w:sz="4" w:space="0" w:color="auto"/>
              <w:right w:val="single" w:sz="4" w:space="0" w:color="auto"/>
            </w:tcBorders>
          </w:tcPr>
          <w:p w:rsidR="001E7B45" w:rsidRPr="00056A5C" w:rsidRDefault="001E7B45" w:rsidP="008C1AA9">
            <w:pPr>
              <w:spacing w:after="0" w:line="240" w:lineRule="auto"/>
              <w:jc w:val="right"/>
              <w:rPr>
                <w:rFonts w:eastAsia="Calibri"/>
                <w:b/>
                <w:color w:val="000000"/>
                <w:lang w:eastAsia="en-US"/>
              </w:rPr>
            </w:pPr>
          </w:p>
        </w:tc>
        <w:tc>
          <w:tcPr>
            <w:tcW w:w="1134" w:type="dxa"/>
            <w:tcBorders>
              <w:top w:val="nil"/>
              <w:left w:val="nil"/>
              <w:bottom w:val="single" w:sz="4" w:space="0" w:color="auto"/>
              <w:right w:val="single" w:sz="4" w:space="0" w:color="auto"/>
            </w:tcBorders>
          </w:tcPr>
          <w:p w:rsidR="001E7B45" w:rsidRPr="00056A5C" w:rsidRDefault="001E7B45" w:rsidP="008C1AA9">
            <w:pPr>
              <w:spacing w:after="0" w:line="240" w:lineRule="auto"/>
              <w:jc w:val="right"/>
              <w:rPr>
                <w:rFonts w:eastAsia="Calibri"/>
                <w:color w:val="000000"/>
                <w:lang w:eastAsia="en-US"/>
              </w:rPr>
            </w:pPr>
          </w:p>
        </w:tc>
      </w:tr>
      <w:tr w:rsidR="001E7B45" w:rsidRPr="00056A5C" w:rsidTr="00DF11F6">
        <w:trPr>
          <w:trHeight w:val="255"/>
        </w:trPr>
        <w:tc>
          <w:tcPr>
            <w:tcW w:w="709" w:type="dxa"/>
            <w:tcBorders>
              <w:top w:val="nil"/>
              <w:left w:val="single" w:sz="4" w:space="0" w:color="auto"/>
              <w:bottom w:val="single" w:sz="4" w:space="0" w:color="auto"/>
              <w:right w:val="single" w:sz="4" w:space="0" w:color="auto"/>
            </w:tcBorders>
            <w:noWrap/>
          </w:tcPr>
          <w:p w:rsidR="001E7B45" w:rsidRPr="00056A5C" w:rsidRDefault="001E7B45" w:rsidP="008C1AA9">
            <w:pPr>
              <w:spacing w:after="0" w:line="240" w:lineRule="auto"/>
              <w:rPr>
                <w:rFonts w:eastAsia="Calibri"/>
                <w:color w:val="000000"/>
                <w:lang w:val="en-US" w:eastAsia="en-US"/>
              </w:rPr>
            </w:pPr>
            <w:r w:rsidRPr="00056A5C">
              <w:rPr>
                <w:rFonts w:eastAsia="Calibri"/>
                <w:color w:val="000000"/>
                <w:lang w:val="en-US" w:eastAsia="en-US"/>
              </w:rPr>
              <w:t>1.</w:t>
            </w:r>
          </w:p>
        </w:tc>
        <w:tc>
          <w:tcPr>
            <w:tcW w:w="4678" w:type="dxa"/>
            <w:tcBorders>
              <w:top w:val="nil"/>
              <w:left w:val="nil"/>
              <w:bottom w:val="single" w:sz="4" w:space="0" w:color="auto"/>
              <w:right w:val="single" w:sz="4" w:space="0" w:color="auto"/>
            </w:tcBorders>
            <w:noWrap/>
          </w:tcPr>
          <w:p w:rsidR="001E7B45" w:rsidRPr="00056A5C" w:rsidRDefault="001E7B45" w:rsidP="008C1AA9">
            <w:pPr>
              <w:spacing w:after="0" w:line="240" w:lineRule="auto"/>
              <w:rPr>
                <w:rFonts w:eastAsia="Calibri"/>
                <w:color w:val="000000"/>
                <w:lang w:eastAsia="en-US"/>
              </w:rPr>
            </w:pPr>
            <w:r w:rsidRPr="00056A5C">
              <w:rPr>
                <w:rFonts w:eastAsia="Calibri"/>
                <w:color w:val="000000"/>
                <w:lang w:eastAsia="en-US"/>
              </w:rPr>
              <w:t>ООО «ПрофитГрупп»</w:t>
            </w:r>
          </w:p>
        </w:tc>
        <w:tc>
          <w:tcPr>
            <w:tcW w:w="1417" w:type="dxa"/>
            <w:tcBorders>
              <w:top w:val="nil"/>
              <w:left w:val="nil"/>
              <w:bottom w:val="single" w:sz="4" w:space="0" w:color="auto"/>
              <w:right w:val="single" w:sz="4" w:space="0" w:color="auto"/>
            </w:tcBorders>
            <w:noWrap/>
          </w:tcPr>
          <w:p w:rsidR="001E7B45" w:rsidRPr="00056A5C" w:rsidRDefault="001E7B45" w:rsidP="008C1AA9">
            <w:pPr>
              <w:spacing w:after="0" w:line="240" w:lineRule="auto"/>
              <w:jc w:val="right"/>
              <w:rPr>
                <w:rFonts w:eastAsia="Calibri"/>
                <w:color w:val="000000"/>
                <w:lang w:val="en-US" w:eastAsia="en-US"/>
              </w:rPr>
            </w:pPr>
            <w:r w:rsidRPr="00056A5C">
              <w:rPr>
                <w:rFonts w:eastAsia="Calibri"/>
                <w:color w:val="000000"/>
                <w:lang w:val="en-US" w:eastAsia="en-US"/>
              </w:rPr>
              <w:t>12993,2</w:t>
            </w:r>
          </w:p>
        </w:tc>
        <w:tc>
          <w:tcPr>
            <w:tcW w:w="1417" w:type="dxa"/>
            <w:tcBorders>
              <w:top w:val="nil"/>
              <w:left w:val="nil"/>
              <w:bottom w:val="single" w:sz="4" w:space="0" w:color="auto"/>
              <w:right w:val="single" w:sz="4" w:space="0" w:color="auto"/>
            </w:tcBorders>
          </w:tcPr>
          <w:p w:rsidR="001E7B45" w:rsidRPr="00056A5C" w:rsidRDefault="001E7B45" w:rsidP="008C1AA9">
            <w:pPr>
              <w:spacing w:after="0" w:line="240" w:lineRule="auto"/>
              <w:jc w:val="right"/>
              <w:rPr>
                <w:rFonts w:eastAsia="Calibri"/>
                <w:color w:val="000000"/>
                <w:lang w:val="en-US" w:eastAsia="en-US"/>
              </w:rPr>
            </w:pPr>
            <w:r w:rsidRPr="00056A5C">
              <w:rPr>
                <w:rFonts w:eastAsia="Calibri"/>
                <w:color w:val="000000"/>
                <w:lang w:val="en-US" w:eastAsia="en-US"/>
              </w:rPr>
              <w:t>155,92</w:t>
            </w:r>
          </w:p>
        </w:tc>
        <w:tc>
          <w:tcPr>
            <w:tcW w:w="1134" w:type="dxa"/>
            <w:tcBorders>
              <w:top w:val="nil"/>
              <w:left w:val="nil"/>
              <w:bottom w:val="single" w:sz="4" w:space="0" w:color="auto"/>
              <w:right w:val="single" w:sz="4" w:space="0" w:color="auto"/>
            </w:tcBorders>
          </w:tcPr>
          <w:p w:rsidR="001E7B45" w:rsidRPr="00056A5C" w:rsidRDefault="001E7B45" w:rsidP="008C1AA9">
            <w:pPr>
              <w:spacing w:after="0" w:line="240" w:lineRule="auto"/>
              <w:jc w:val="right"/>
              <w:rPr>
                <w:rFonts w:eastAsia="Calibri"/>
                <w:color w:val="000000"/>
                <w:lang w:val="en-US" w:eastAsia="en-US"/>
              </w:rPr>
            </w:pPr>
            <w:r w:rsidRPr="00056A5C">
              <w:rPr>
                <w:rFonts w:eastAsia="Calibri"/>
                <w:color w:val="000000"/>
                <w:lang w:eastAsia="en-US"/>
              </w:rPr>
              <w:t>+1</w:t>
            </w:r>
            <w:r w:rsidRPr="00056A5C">
              <w:rPr>
                <w:rFonts w:eastAsia="Calibri"/>
                <w:color w:val="000000"/>
                <w:lang w:val="en-US" w:eastAsia="en-US"/>
              </w:rPr>
              <w:t>,2%</w:t>
            </w:r>
          </w:p>
        </w:tc>
      </w:tr>
      <w:tr w:rsidR="001E7B45" w:rsidRPr="00056A5C" w:rsidTr="00DF11F6">
        <w:trPr>
          <w:trHeight w:val="418"/>
        </w:trPr>
        <w:tc>
          <w:tcPr>
            <w:tcW w:w="709" w:type="dxa"/>
            <w:tcBorders>
              <w:top w:val="nil"/>
              <w:left w:val="single" w:sz="4" w:space="0" w:color="auto"/>
              <w:bottom w:val="single" w:sz="4" w:space="0" w:color="auto"/>
              <w:right w:val="single" w:sz="4" w:space="0" w:color="auto"/>
            </w:tcBorders>
            <w:noWrap/>
          </w:tcPr>
          <w:p w:rsidR="001E7B45" w:rsidRPr="00056A5C" w:rsidRDefault="001E7B45" w:rsidP="008C1AA9">
            <w:pPr>
              <w:spacing w:after="0" w:line="240" w:lineRule="auto"/>
              <w:rPr>
                <w:rFonts w:eastAsia="Calibri"/>
                <w:color w:val="000000"/>
                <w:lang w:val="en-US" w:eastAsia="en-US"/>
              </w:rPr>
            </w:pPr>
            <w:r w:rsidRPr="00056A5C">
              <w:rPr>
                <w:rFonts w:eastAsia="Calibri"/>
                <w:color w:val="000000"/>
                <w:lang w:val="en-US" w:eastAsia="en-US"/>
              </w:rPr>
              <w:t>2.</w:t>
            </w:r>
          </w:p>
        </w:tc>
        <w:tc>
          <w:tcPr>
            <w:tcW w:w="4678" w:type="dxa"/>
            <w:tcBorders>
              <w:top w:val="nil"/>
              <w:left w:val="nil"/>
              <w:bottom w:val="single" w:sz="4" w:space="0" w:color="auto"/>
              <w:right w:val="single" w:sz="4" w:space="0" w:color="auto"/>
            </w:tcBorders>
            <w:noWrap/>
            <w:vAlign w:val="center"/>
          </w:tcPr>
          <w:p w:rsidR="001E7B45" w:rsidRPr="00056A5C" w:rsidRDefault="001E7B45" w:rsidP="008C1AA9">
            <w:pPr>
              <w:spacing w:after="0" w:line="240" w:lineRule="auto"/>
              <w:rPr>
                <w:rFonts w:eastAsia="Calibri"/>
                <w:color w:val="000000"/>
                <w:lang w:eastAsia="en-US"/>
              </w:rPr>
            </w:pPr>
            <w:r w:rsidRPr="00056A5C">
              <w:rPr>
                <w:rFonts w:eastAsia="Calibri"/>
                <w:color w:val="000000"/>
                <w:lang w:eastAsia="en-US"/>
              </w:rPr>
              <w:t>ООО «Новосибирская городская сетевая компания»</w:t>
            </w:r>
          </w:p>
        </w:tc>
        <w:tc>
          <w:tcPr>
            <w:tcW w:w="1417" w:type="dxa"/>
            <w:tcBorders>
              <w:top w:val="nil"/>
              <w:left w:val="nil"/>
              <w:bottom w:val="single" w:sz="4" w:space="0" w:color="auto"/>
              <w:right w:val="single" w:sz="4" w:space="0" w:color="auto"/>
            </w:tcBorders>
            <w:noWrap/>
          </w:tcPr>
          <w:p w:rsidR="001E7B45" w:rsidRPr="00056A5C" w:rsidRDefault="001E7B45" w:rsidP="008C1AA9">
            <w:pPr>
              <w:spacing w:after="0" w:line="240" w:lineRule="auto"/>
              <w:jc w:val="right"/>
              <w:rPr>
                <w:rFonts w:eastAsia="Calibri"/>
                <w:color w:val="000000"/>
                <w:lang w:val="en-US" w:eastAsia="en-US"/>
              </w:rPr>
            </w:pPr>
            <w:r w:rsidRPr="00056A5C">
              <w:rPr>
                <w:rFonts w:eastAsia="Calibri"/>
                <w:color w:val="000000"/>
                <w:lang w:val="en-US" w:eastAsia="en-US"/>
              </w:rPr>
              <w:t>25560,6</w:t>
            </w:r>
          </w:p>
        </w:tc>
        <w:tc>
          <w:tcPr>
            <w:tcW w:w="1417" w:type="dxa"/>
            <w:tcBorders>
              <w:top w:val="nil"/>
              <w:left w:val="nil"/>
              <w:bottom w:val="single" w:sz="4" w:space="0" w:color="auto"/>
              <w:right w:val="single" w:sz="4" w:space="0" w:color="auto"/>
            </w:tcBorders>
          </w:tcPr>
          <w:p w:rsidR="001E7B45" w:rsidRPr="00056A5C" w:rsidRDefault="001E7B45" w:rsidP="008C1AA9">
            <w:pPr>
              <w:spacing w:after="0" w:line="240" w:lineRule="auto"/>
              <w:jc w:val="right"/>
              <w:rPr>
                <w:rFonts w:eastAsia="Calibri"/>
                <w:color w:val="000000"/>
                <w:lang w:val="en-US" w:eastAsia="en-US"/>
              </w:rPr>
            </w:pPr>
            <w:r w:rsidRPr="00056A5C">
              <w:rPr>
                <w:rFonts w:eastAsia="Calibri"/>
                <w:color w:val="000000"/>
                <w:lang w:val="en-US" w:eastAsia="en-US"/>
              </w:rPr>
              <w:t>306,73</w:t>
            </w:r>
          </w:p>
        </w:tc>
        <w:tc>
          <w:tcPr>
            <w:tcW w:w="1134" w:type="dxa"/>
            <w:tcBorders>
              <w:top w:val="nil"/>
              <w:left w:val="nil"/>
              <w:bottom w:val="single" w:sz="4" w:space="0" w:color="auto"/>
              <w:right w:val="single" w:sz="4" w:space="0" w:color="auto"/>
            </w:tcBorders>
          </w:tcPr>
          <w:p w:rsidR="001E7B45" w:rsidRPr="00056A5C" w:rsidRDefault="001E7B45" w:rsidP="008C1AA9">
            <w:pPr>
              <w:spacing w:after="0" w:line="240" w:lineRule="auto"/>
              <w:jc w:val="right"/>
              <w:rPr>
                <w:rFonts w:eastAsia="Calibri"/>
                <w:color w:val="000000"/>
                <w:lang w:val="en-US" w:eastAsia="en-US"/>
              </w:rPr>
            </w:pPr>
            <w:r w:rsidRPr="00056A5C">
              <w:rPr>
                <w:rFonts w:eastAsia="Calibri"/>
                <w:color w:val="000000"/>
                <w:lang w:eastAsia="en-US"/>
              </w:rPr>
              <w:t>+1</w:t>
            </w:r>
            <w:r w:rsidRPr="00056A5C">
              <w:rPr>
                <w:rFonts w:eastAsia="Calibri"/>
                <w:color w:val="000000"/>
                <w:lang w:val="en-US" w:eastAsia="en-US"/>
              </w:rPr>
              <w:t>,2%</w:t>
            </w:r>
          </w:p>
        </w:tc>
      </w:tr>
      <w:tr w:rsidR="001E7B45" w:rsidRPr="00056A5C" w:rsidTr="00DF11F6">
        <w:trPr>
          <w:trHeight w:val="255"/>
        </w:trPr>
        <w:tc>
          <w:tcPr>
            <w:tcW w:w="709" w:type="dxa"/>
            <w:tcBorders>
              <w:top w:val="nil"/>
              <w:left w:val="single" w:sz="4" w:space="0" w:color="auto"/>
              <w:bottom w:val="single" w:sz="4" w:space="0" w:color="auto"/>
              <w:right w:val="single" w:sz="4" w:space="0" w:color="auto"/>
            </w:tcBorders>
            <w:noWrap/>
          </w:tcPr>
          <w:p w:rsidR="001E7B45" w:rsidRPr="00056A5C" w:rsidRDefault="001E7B45" w:rsidP="008C1AA9">
            <w:pPr>
              <w:spacing w:after="0" w:line="240" w:lineRule="auto"/>
              <w:rPr>
                <w:rFonts w:eastAsia="Calibri"/>
                <w:color w:val="000000"/>
                <w:lang w:val="en-US" w:eastAsia="en-US"/>
              </w:rPr>
            </w:pPr>
            <w:r w:rsidRPr="00056A5C">
              <w:rPr>
                <w:rFonts w:eastAsia="Calibri"/>
                <w:color w:val="000000"/>
                <w:lang w:val="en-US" w:eastAsia="en-US"/>
              </w:rPr>
              <w:t>3.</w:t>
            </w:r>
          </w:p>
        </w:tc>
        <w:tc>
          <w:tcPr>
            <w:tcW w:w="4678" w:type="dxa"/>
            <w:tcBorders>
              <w:top w:val="nil"/>
              <w:left w:val="nil"/>
              <w:bottom w:val="single" w:sz="4" w:space="0" w:color="auto"/>
              <w:right w:val="single" w:sz="4" w:space="0" w:color="auto"/>
            </w:tcBorders>
            <w:noWrap/>
            <w:vAlign w:val="center"/>
          </w:tcPr>
          <w:p w:rsidR="001E7B45" w:rsidRPr="00056A5C" w:rsidRDefault="001E7B45" w:rsidP="008C1AA9">
            <w:pPr>
              <w:spacing w:after="0" w:line="240" w:lineRule="auto"/>
              <w:rPr>
                <w:rFonts w:eastAsia="Calibri"/>
                <w:color w:val="000000"/>
                <w:lang w:eastAsia="en-US"/>
              </w:rPr>
            </w:pPr>
            <w:r w:rsidRPr="00056A5C">
              <w:rPr>
                <w:rFonts w:eastAsia="Calibri"/>
                <w:color w:val="000000"/>
                <w:lang w:eastAsia="en-US"/>
              </w:rPr>
              <w:t>ООО «Национальная распределительно-сетевая компания - Сибирь»</w:t>
            </w:r>
          </w:p>
        </w:tc>
        <w:tc>
          <w:tcPr>
            <w:tcW w:w="1417" w:type="dxa"/>
            <w:tcBorders>
              <w:top w:val="nil"/>
              <w:left w:val="nil"/>
              <w:bottom w:val="single" w:sz="4" w:space="0" w:color="auto"/>
              <w:right w:val="single" w:sz="4" w:space="0" w:color="auto"/>
            </w:tcBorders>
            <w:noWrap/>
          </w:tcPr>
          <w:p w:rsidR="001E7B45" w:rsidRPr="00056A5C" w:rsidRDefault="001E7B45" w:rsidP="008C1AA9">
            <w:pPr>
              <w:spacing w:after="0" w:line="240" w:lineRule="auto"/>
              <w:jc w:val="right"/>
              <w:rPr>
                <w:rFonts w:eastAsia="Calibri"/>
                <w:color w:val="000000"/>
                <w:lang w:val="en-US" w:eastAsia="en-US"/>
              </w:rPr>
            </w:pPr>
            <w:r w:rsidRPr="00056A5C">
              <w:rPr>
                <w:rFonts w:eastAsia="Calibri"/>
                <w:color w:val="000000"/>
                <w:lang w:val="en-US" w:eastAsia="en-US"/>
              </w:rPr>
              <w:t>7590,6</w:t>
            </w:r>
          </w:p>
        </w:tc>
        <w:tc>
          <w:tcPr>
            <w:tcW w:w="1417" w:type="dxa"/>
            <w:tcBorders>
              <w:top w:val="nil"/>
              <w:left w:val="nil"/>
              <w:bottom w:val="single" w:sz="4" w:space="0" w:color="auto"/>
              <w:right w:val="single" w:sz="4" w:space="0" w:color="auto"/>
            </w:tcBorders>
          </w:tcPr>
          <w:p w:rsidR="001E7B45" w:rsidRPr="00056A5C" w:rsidRDefault="001E7B45" w:rsidP="008C1AA9">
            <w:pPr>
              <w:spacing w:after="0" w:line="240" w:lineRule="auto"/>
              <w:jc w:val="right"/>
              <w:rPr>
                <w:rFonts w:eastAsia="Calibri"/>
                <w:color w:val="000000"/>
                <w:lang w:val="en-US" w:eastAsia="en-US"/>
              </w:rPr>
            </w:pPr>
            <w:r w:rsidRPr="00056A5C">
              <w:rPr>
                <w:rFonts w:eastAsia="Calibri"/>
                <w:color w:val="000000"/>
                <w:lang w:val="en-US" w:eastAsia="en-US"/>
              </w:rPr>
              <w:t>91,09</w:t>
            </w:r>
          </w:p>
        </w:tc>
        <w:tc>
          <w:tcPr>
            <w:tcW w:w="1134" w:type="dxa"/>
            <w:tcBorders>
              <w:top w:val="nil"/>
              <w:left w:val="nil"/>
              <w:bottom w:val="single" w:sz="4" w:space="0" w:color="auto"/>
              <w:right w:val="single" w:sz="4" w:space="0" w:color="auto"/>
            </w:tcBorders>
          </w:tcPr>
          <w:p w:rsidR="001E7B45" w:rsidRPr="00056A5C" w:rsidRDefault="001E7B45" w:rsidP="008C1AA9">
            <w:pPr>
              <w:spacing w:after="0" w:line="240" w:lineRule="auto"/>
              <w:jc w:val="right"/>
              <w:rPr>
                <w:rFonts w:eastAsia="Calibri"/>
                <w:color w:val="000000"/>
                <w:lang w:val="en-US" w:eastAsia="en-US"/>
              </w:rPr>
            </w:pPr>
            <w:r w:rsidRPr="00056A5C">
              <w:rPr>
                <w:rFonts w:eastAsia="Calibri"/>
                <w:color w:val="000000"/>
                <w:lang w:eastAsia="en-US"/>
              </w:rPr>
              <w:t>+1</w:t>
            </w:r>
            <w:r w:rsidRPr="00056A5C">
              <w:rPr>
                <w:rFonts w:eastAsia="Calibri"/>
                <w:color w:val="000000"/>
                <w:lang w:val="en-US" w:eastAsia="en-US"/>
              </w:rPr>
              <w:t>,2%</w:t>
            </w:r>
          </w:p>
        </w:tc>
      </w:tr>
      <w:tr w:rsidR="001E7B45" w:rsidRPr="00056A5C" w:rsidTr="00DF11F6">
        <w:trPr>
          <w:trHeight w:val="255"/>
        </w:trPr>
        <w:tc>
          <w:tcPr>
            <w:tcW w:w="709" w:type="dxa"/>
            <w:tcBorders>
              <w:top w:val="nil"/>
              <w:left w:val="single" w:sz="4" w:space="0" w:color="auto"/>
              <w:bottom w:val="single" w:sz="4" w:space="0" w:color="auto"/>
              <w:right w:val="single" w:sz="4" w:space="0" w:color="auto"/>
            </w:tcBorders>
            <w:noWrap/>
          </w:tcPr>
          <w:p w:rsidR="001E7B45" w:rsidRPr="00056A5C" w:rsidRDefault="001E7B45" w:rsidP="008C1AA9">
            <w:pPr>
              <w:spacing w:after="0" w:line="240" w:lineRule="auto"/>
              <w:rPr>
                <w:rFonts w:eastAsia="Calibri"/>
                <w:color w:val="000000"/>
                <w:lang w:val="en-US" w:eastAsia="en-US"/>
              </w:rPr>
            </w:pPr>
            <w:r w:rsidRPr="00056A5C">
              <w:rPr>
                <w:rFonts w:eastAsia="Calibri"/>
                <w:color w:val="000000"/>
                <w:lang w:val="en-US" w:eastAsia="en-US"/>
              </w:rPr>
              <w:t>4.</w:t>
            </w:r>
          </w:p>
        </w:tc>
        <w:tc>
          <w:tcPr>
            <w:tcW w:w="4678" w:type="dxa"/>
            <w:tcBorders>
              <w:top w:val="nil"/>
              <w:left w:val="nil"/>
              <w:bottom w:val="single" w:sz="4" w:space="0" w:color="auto"/>
              <w:right w:val="single" w:sz="4" w:space="0" w:color="auto"/>
            </w:tcBorders>
            <w:noWrap/>
            <w:vAlign w:val="center"/>
          </w:tcPr>
          <w:p w:rsidR="001E7B45" w:rsidRPr="00056A5C" w:rsidRDefault="001E7B45" w:rsidP="008C1AA9">
            <w:pPr>
              <w:spacing w:after="0" w:line="240" w:lineRule="auto"/>
              <w:rPr>
                <w:rFonts w:eastAsia="Calibri"/>
                <w:color w:val="000000"/>
                <w:lang w:eastAsia="en-US"/>
              </w:rPr>
            </w:pPr>
            <w:r w:rsidRPr="00056A5C">
              <w:rPr>
                <w:rFonts w:eastAsia="Calibri"/>
                <w:color w:val="000000"/>
                <w:lang w:eastAsia="en-US"/>
              </w:rPr>
              <w:t>ООО «Проектно-ремонтная фирма «АльянсЭнерго»</w:t>
            </w:r>
          </w:p>
        </w:tc>
        <w:tc>
          <w:tcPr>
            <w:tcW w:w="1417" w:type="dxa"/>
            <w:tcBorders>
              <w:top w:val="nil"/>
              <w:left w:val="nil"/>
              <w:bottom w:val="single" w:sz="4" w:space="0" w:color="auto"/>
              <w:right w:val="single" w:sz="4" w:space="0" w:color="auto"/>
            </w:tcBorders>
            <w:noWrap/>
          </w:tcPr>
          <w:p w:rsidR="001E7B45" w:rsidRPr="00056A5C" w:rsidRDefault="001E7B45" w:rsidP="008C1AA9">
            <w:pPr>
              <w:spacing w:after="0" w:line="240" w:lineRule="auto"/>
              <w:jc w:val="right"/>
              <w:rPr>
                <w:rFonts w:eastAsia="Calibri"/>
                <w:color w:val="000000"/>
                <w:lang w:val="en-US" w:eastAsia="en-US"/>
              </w:rPr>
            </w:pPr>
            <w:r w:rsidRPr="00056A5C">
              <w:rPr>
                <w:rFonts w:eastAsia="Calibri"/>
                <w:color w:val="000000"/>
                <w:lang w:val="en-US" w:eastAsia="en-US"/>
              </w:rPr>
              <w:t>8680,2</w:t>
            </w:r>
          </w:p>
        </w:tc>
        <w:tc>
          <w:tcPr>
            <w:tcW w:w="1417" w:type="dxa"/>
            <w:tcBorders>
              <w:top w:val="nil"/>
              <w:left w:val="nil"/>
              <w:bottom w:val="single" w:sz="4" w:space="0" w:color="auto"/>
              <w:right w:val="single" w:sz="4" w:space="0" w:color="auto"/>
            </w:tcBorders>
          </w:tcPr>
          <w:p w:rsidR="001E7B45" w:rsidRPr="00056A5C" w:rsidRDefault="001E7B45" w:rsidP="008C1AA9">
            <w:pPr>
              <w:spacing w:after="0" w:line="240" w:lineRule="auto"/>
              <w:jc w:val="right"/>
              <w:rPr>
                <w:rFonts w:eastAsia="Calibri"/>
                <w:color w:val="000000"/>
                <w:lang w:val="en-US" w:eastAsia="en-US"/>
              </w:rPr>
            </w:pPr>
            <w:r w:rsidRPr="00056A5C">
              <w:rPr>
                <w:rFonts w:eastAsia="Calibri"/>
                <w:color w:val="000000"/>
                <w:lang w:val="en-US" w:eastAsia="en-US"/>
              </w:rPr>
              <w:t>104,16</w:t>
            </w:r>
          </w:p>
        </w:tc>
        <w:tc>
          <w:tcPr>
            <w:tcW w:w="1134" w:type="dxa"/>
            <w:tcBorders>
              <w:top w:val="nil"/>
              <w:left w:val="nil"/>
              <w:bottom w:val="single" w:sz="4" w:space="0" w:color="auto"/>
              <w:right w:val="single" w:sz="4" w:space="0" w:color="auto"/>
            </w:tcBorders>
          </w:tcPr>
          <w:p w:rsidR="001E7B45" w:rsidRPr="00056A5C" w:rsidRDefault="001E7B45" w:rsidP="008C1AA9">
            <w:pPr>
              <w:spacing w:after="0" w:line="240" w:lineRule="auto"/>
              <w:jc w:val="right"/>
              <w:rPr>
                <w:rFonts w:eastAsia="Calibri"/>
                <w:color w:val="000000"/>
                <w:lang w:val="en-US" w:eastAsia="en-US"/>
              </w:rPr>
            </w:pPr>
            <w:r w:rsidRPr="00056A5C">
              <w:rPr>
                <w:rFonts w:eastAsia="Calibri"/>
                <w:color w:val="000000"/>
                <w:lang w:eastAsia="en-US"/>
              </w:rPr>
              <w:t>+1</w:t>
            </w:r>
            <w:r w:rsidRPr="00056A5C">
              <w:rPr>
                <w:rFonts w:eastAsia="Calibri"/>
                <w:color w:val="000000"/>
                <w:lang w:val="en-US" w:eastAsia="en-US"/>
              </w:rPr>
              <w:t>,2%</w:t>
            </w:r>
          </w:p>
        </w:tc>
      </w:tr>
      <w:tr w:rsidR="001E7B45" w:rsidRPr="00056A5C" w:rsidTr="00DF11F6">
        <w:trPr>
          <w:trHeight w:val="255"/>
        </w:trPr>
        <w:tc>
          <w:tcPr>
            <w:tcW w:w="709" w:type="dxa"/>
            <w:tcBorders>
              <w:top w:val="nil"/>
              <w:left w:val="single" w:sz="4" w:space="0" w:color="auto"/>
              <w:bottom w:val="single" w:sz="4" w:space="0" w:color="auto"/>
              <w:right w:val="single" w:sz="4" w:space="0" w:color="auto"/>
            </w:tcBorders>
            <w:noWrap/>
          </w:tcPr>
          <w:p w:rsidR="001E7B45" w:rsidRPr="00056A5C" w:rsidRDefault="001E7B45" w:rsidP="008C1AA9">
            <w:pPr>
              <w:spacing w:after="0" w:line="240" w:lineRule="auto"/>
              <w:rPr>
                <w:rFonts w:eastAsia="Calibri"/>
                <w:color w:val="000000"/>
                <w:lang w:val="en-US" w:eastAsia="en-US"/>
              </w:rPr>
            </w:pPr>
            <w:r w:rsidRPr="00056A5C">
              <w:rPr>
                <w:rFonts w:eastAsia="Calibri"/>
                <w:color w:val="000000"/>
                <w:lang w:val="en-US" w:eastAsia="en-US"/>
              </w:rPr>
              <w:t>5.</w:t>
            </w:r>
          </w:p>
        </w:tc>
        <w:tc>
          <w:tcPr>
            <w:tcW w:w="4678" w:type="dxa"/>
            <w:tcBorders>
              <w:top w:val="nil"/>
              <w:left w:val="nil"/>
              <w:bottom w:val="single" w:sz="4" w:space="0" w:color="auto"/>
              <w:right w:val="single" w:sz="4" w:space="0" w:color="auto"/>
            </w:tcBorders>
            <w:noWrap/>
            <w:vAlign w:val="center"/>
          </w:tcPr>
          <w:p w:rsidR="001E7B45" w:rsidRPr="00056A5C" w:rsidRDefault="001E7B45" w:rsidP="008C1AA9">
            <w:pPr>
              <w:spacing w:after="0" w:line="240" w:lineRule="auto"/>
              <w:rPr>
                <w:rFonts w:eastAsia="Calibri"/>
                <w:color w:val="000000"/>
                <w:lang w:eastAsia="en-US"/>
              </w:rPr>
            </w:pPr>
            <w:r w:rsidRPr="00056A5C">
              <w:rPr>
                <w:rFonts w:eastAsia="Calibri"/>
                <w:color w:val="000000"/>
                <w:lang w:eastAsia="en-US"/>
              </w:rPr>
              <w:t>Муниципальное унитарное предприятие г. Новосибирска «Новосибирская энергосетевая компания»</w:t>
            </w:r>
          </w:p>
        </w:tc>
        <w:tc>
          <w:tcPr>
            <w:tcW w:w="1417" w:type="dxa"/>
            <w:tcBorders>
              <w:top w:val="nil"/>
              <w:left w:val="nil"/>
              <w:bottom w:val="single" w:sz="4" w:space="0" w:color="auto"/>
              <w:right w:val="single" w:sz="4" w:space="0" w:color="auto"/>
            </w:tcBorders>
            <w:noWrap/>
          </w:tcPr>
          <w:p w:rsidR="001E7B45" w:rsidRPr="00056A5C" w:rsidRDefault="001E7B45" w:rsidP="008C1AA9">
            <w:pPr>
              <w:spacing w:after="0" w:line="240" w:lineRule="auto"/>
              <w:jc w:val="right"/>
              <w:rPr>
                <w:rFonts w:eastAsia="Calibri"/>
                <w:color w:val="000000"/>
                <w:lang w:val="en-US" w:eastAsia="en-US"/>
              </w:rPr>
            </w:pPr>
            <w:r w:rsidRPr="00056A5C">
              <w:rPr>
                <w:rFonts w:eastAsia="Calibri"/>
                <w:color w:val="000000"/>
                <w:lang w:val="en-US" w:eastAsia="en-US"/>
              </w:rPr>
              <w:t>18811,3</w:t>
            </w:r>
          </w:p>
        </w:tc>
        <w:tc>
          <w:tcPr>
            <w:tcW w:w="1417" w:type="dxa"/>
            <w:tcBorders>
              <w:top w:val="nil"/>
              <w:left w:val="nil"/>
              <w:bottom w:val="single" w:sz="4" w:space="0" w:color="auto"/>
              <w:right w:val="single" w:sz="4" w:space="0" w:color="auto"/>
            </w:tcBorders>
          </w:tcPr>
          <w:p w:rsidR="001E7B45" w:rsidRPr="00056A5C" w:rsidRDefault="001E7B45" w:rsidP="008C1AA9">
            <w:pPr>
              <w:spacing w:after="0" w:line="240" w:lineRule="auto"/>
              <w:jc w:val="right"/>
              <w:rPr>
                <w:rFonts w:eastAsia="Calibri"/>
                <w:color w:val="000000"/>
                <w:lang w:val="en-US" w:eastAsia="en-US"/>
              </w:rPr>
            </w:pPr>
            <w:r w:rsidRPr="00056A5C">
              <w:rPr>
                <w:rFonts w:eastAsia="Calibri"/>
                <w:color w:val="000000"/>
                <w:lang w:val="en-US" w:eastAsia="en-US"/>
              </w:rPr>
              <w:t>225,74</w:t>
            </w:r>
          </w:p>
        </w:tc>
        <w:tc>
          <w:tcPr>
            <w:tcW w:w="1134" w:type="dxa"/>
            <w:tcBorders>
              <w:top w:val="nil"/>
              <w:left w:val="nil"/>
              <w:bottom w:val="single" w:sz="4" w:space="0" w:color="auto"/>
              <w:right w:val="single" w:sz="4" w:space="0" w:color="auto"/>
            </w:tcBorders>
          </w:tcPr>
          <w:p w:rsidR="001E7B45" w:rsidRPr="00056A5C" w:rsidRDefault="001E7B45" w:rsidP="008C1AA9">
            <w:pPr>
              <w:spacing w:after="0" w:line="240" w:lineRule="auto"/>
              <w:jc w:val="right"/>
              <w:rPr>
                <w:rFonts w:eastAsia="Calibri"/>
                <w:color w:val="000000"/>
                <w:lang w:val="en-US" w:eastAsia="en-US"/>
              </w:rPr>
            </w:pPr>
            <w:r w:rsidRPr="00056A5C">
              <w:rPr>
                <w:rFonts w:eastAsia="Calibri"/>
                <w:color w:val="000000"/>
                <w:lang w:eastAsia="en-US"/>
              </w:rPr>
              <w:t>+1</w:t>
            </w:r>
            <w:r w:rsidRPr="00056A5C">
              <w:rPr>
                <w:rFonts w:eastAsia="Calibri"/>
                <w:color w:val="000000"/>
                <w:lang w:val="en-US" w:eastAsia="en-US"/>
              </w:rPr>
              <w:t>,2%</w:t>
            </w:r>
          </w:p>
        </w:tc>
      </w:tr>
      <w:tr w:rsidR="001E7B45" w:rsidRPr="00056A5C" w:rsidTr="00DF11F6">
        <w:trPr>
          <w:trHeight w:val="255"/>
        </w:trPr>
        <w:tc>
          <w:tcPr>
            <w:tcW w:w="709" w:type="dxa"/>
            <w:tcBorders>
              <w:top w:val="nil"/>
              <w:left w:val="single" w:sz="4" w:space="0" w:color="auto"/>
              <w:bottom w:val="single" w:sz="4" w:space="0" w:color="auto"/>
              <w:right w:val="single" w:sz="4" w:space="0" w:color="auto"/>
            </w:tcBorders>
            <w:noWrap/>
          </w:tcPr>
          <w:p w:rsidR="001E7B45" w:rsidRPr="00056A5C" w:rsidRDefault="001E7B45" w:rsidP="008C1AA9">
            <w:pPr>
              <w:spacing w:after="0" w:line="240" w:lineRule="auto"/>
              <w:rPr>
                <w:rFonts w:eastAsia="Calibri"/>
                <w:b/>
                <w:color w:val="000000"/>
                <w:u w:val="single"/>
                <w:lang w:eastAsia="en-US"/>
              </w:rPr>
            </w:pPr>
          </w:p>
        </w:tc>
        <w:tc>
          <w:tcPr>
            <w:tcW w:w="4678" w:type="dxa"/>
            <w:tcBorders>
              <w:top w:val="nil"/>
              <w:left w:val="nil"/>
              <w:bottom w:val="single" w:sz="4" w:space="0" w:color="auto"/>
              <w:right w:val="single" w:sz="4" w:space="0" w:color="auto"/>
            </w:tcBorders>
            <w:noWrap/>
          </w:tcPr>
          <w:p w:rsidR="001E7B45" w:rsidRPr="00056A5C" w:rsidRDefault="001E7B45" w:rsidP="008C1AA9">
            <w:pPr>
              <w:spacing w:after="0" w:line="240" w:lineRule="auto"/>
              <w:jc w:val="both"/>
              <w:rPr>
                <w:rFonts w:eastAsia="Calibri"/>
                <w:b/>
                <w:color w:val="000000"/>
                <w:lang w:val="en-US" w:eastAsia="en-US"/>
              </w:rPr>
            </w:pPr>
            <w:r w:rsidRPr="00056A5C">
              <w:rPr>
                <w:rFonts w:eastAsia="Calibri"/>
                <w:b/>
                <w:color w:val="000000"/>
                <w:lang w:eastAsia="en-US"/>
              </w:rPr>
              <w:t>ИТОГО</w:t>
            </w:r>
            <w:r w:rsidRPr="00056A5C">
              <w:rPr>
                <w:rFonts w:eastAsia="Calibri"/>
                <w:b/>
                <w:color w:val="000000"/>
                <w:lang w:val="en-US" w:eastAsia="en-US"/>
              </w:rPr>
              <w:t>:</w:t>
            </w:r>
          </w:p>
        </w:tc>
        <w:tc>
          <w:tcPr>
            <w:tcW w:w="1417" w:type="dxa"/>
            <w:tcBorders>
              <w:top w:val="nil"/>
              <w:left w:val="nil"/>
              <w:bottom w:val="single" w:sz="4" w:space="0" w:color="auto"/>
              <w:right w:val="single" w:sz="4" w:space="0" w:color="auto"/>
            </w:tcBorders>
            <w:noWrap/>
          </w:tcPr>
          <w:p w:rsidR="001E7B45" w:rsidRPr="00056A5C" w:rsidRDefault="001E7B45" w:rsidP="008C1AA9">
            <w:pPr>
              <w:spacing w:after="0" w:line="240" w:lineRule="auto"/>
              <w:jc w:val="right"/>
              <w:rPr>
                <w:rFonts w:eastAsia="Calibri"/>
                <w:b/>
                <w:color w:val="000000"/>
                <w:u w:val="single"/>
                <w:lang w:eastAsia="en-US"/>
              </w:rPr>
            </w:pPr>
          </w:p>
        </w:tc>
        <w:tc>
          <w:tcPr>
            <w:tcW w:w="1417" w:type="dxa"/>
            <w:tcBorders>
              <w:top w:val="nil"/>
              <w:left w:val="nil"/>
              <w:bottom w:val="single" w:sz="4" w:space="0" w:color="auto"/>
              <w:right w:val="single" w:sz="4" w:space="0" w:color="auto"/>
            </w:tcBorders>
          </w:tcPr>
          <w:p w:rsidR="001E7B45" w:rsidRPr="00056A5C" w:rsidRDefault="001E7B45" w:rsidP="008C1AA9">
            <w:pPr>
              <w:spacing w:after="0" w:line="240" w:lineRule="auto"/>
              <w:jc w:val="right"/>
              <w:rPr>
                <w:rFonts w:eastAsia="Calibri"/>
                <w:b/>
                <w:color w:val="000000"/>
                <w:u w:val="single"/>
                <w:lang w:val="en-US" w:eastAsia="en-US"/>
              </w:rPr>
            </w:pPr>
            <w:r w:rsidRPr="00056A5C">
              <w:rPr>
                <w:rFonts w:eastAsia="Calibri"/>
                <w:b/>
                <w:color w:val="000000"/>
                <w:u w:val="single"/>
                <w:lang w:val="en-US" w:eastAsia="en-US"/>
              </w:rPr>
              <w:t>+886,64</w:t>
            </w:r>
          </w:p>
        </w:tc>
        <w:tc>
          <w:tcPr>
            <w:tcW w:w="1134" w:type="dxa"/>
            <w:tcBorders>
              <w:top w:val="nil"/>
              <w:left w:val="nil"/>
              <w:bottom w:val="single" w:sz="4" w:space="0" w:color="auto"/>
              <w:right w:val="single" w:sz="4" w:space="0" w:color="auto"/>
            </w:tcBorders>
          </w:tcPr>
          <w:p w:rsidR="001E7B45" w:rsidRPr="00056A5C" w:rsidRDefault="001E7B45" w:rsidP="008C1AA9">
            <w:pPr>
              <w:spacing w:after="0" w:line="240" w:lineRule="auto"/>
              <w:jc w:val="right"/>
              <w:rPr>
                <w:rFonts w:eastAsia="Calibri"/>
                <w:b/>
                <w:color w:val="000000"/>
                <w:u w:val="single"/>
                <w:lang w:eastAsia="en-US"/>
              </w:rPr>
            </w:pPr>
          </w:p>
        </w:tc>
      </w:tr>
      <w:tr w:rsidR="001E7B45" w:rsidRPr="00056A5C" w:rsidTr="00DF11F6">
        <w:trPr>
          <w:trHeight w:val="255"/>
        </w:trPr>
        <w:tc>
          <w:tcPr>
            <w:tcW w:w="709" w:type="dxa"/>
            <w:tcBorders>
              <w:top w:val="nil"/>
              <w:left w:val="single" w:sz="4" w:space="0" w:color="auto"/>
              <w:bottom w:val="single" w:sz="4" w:space="0" w:color="auto"/>
              <w:right w:val="single" w:sz="4" w:space="0" w:color="auto"/>
            </w:tcBorders>
            <w:noWrap/>
          </w:tcPr>
          <w:p w:rsidR="001E7B45" w:rsidRPr="00056A5C" w:rsidRDefault="001E7B45" w:rsidP="008C1AA9">
            <w:pPr>
              <w:spacing w:after="0" w:line="240" w:lineRule="auto"/>
              <w:rPr>
                <w:rFonts w:eastAsia="Calibri"/>
                <w:color w:val="000000"/>
                <w:lang w:val="en-US" w:eastAsia="en-US"/>
              </w:rPr>
            </w:pPr>
            <w:r w:rsidRPr="00056A5C">
              <w:rPr>
                <w:rFonts w:eastAsia="Calibri"/>
                <w:color w:val="000000"/>
                <w:lang w:val="en-US" w:eastAsia="en-US"/>
              </w:rPr>
              <w:t>III.</w:t>
            </w:r>
          </w:p>
        </w:tc>
        <w:tc>
          <w:tcPr>
            <w:tcW w:w="4678" w:type="dxa"/>
            <w:tcBorders>
              <w:top w:val="nil"/>
              <w:left w:val="nil"/>
              <w:bottom w:val="single" w:sz="4" w:space="0" w:color="auto"/>
              <w:right w:val="single" w:sz="4" w:space="0" w:color="auto"/>
            </w:tcBorders>
            <w:noWrap/>
          </w:tcPr>
          <w:p w:rsidR="001E7B45" w:rsidRPr="00056A5C" w:rsidRDefault="001E7B45" w:rsidP="008C1AA9">
            <w:pPr>
              <w:spacing w:after="0" w:line="240" w:lineRule="auto"/>
              <w:jc w:val="both"/>
              <w:rPr>
                <w:rFonts w:eastAsia="Calibri"/>
                <w:color w:val="000000"/>
                <w:lang w:eastAsia="en-US"/>
              </w:rPr>
            </w:pPr>
            <w:r w:rsidRPr="00056A5C">
              <w:rPr>
                <w:rFonts w:eastAsia="Calibri"/>
                <w:i/>
                <w:color w:val="000000"/>
                <w:lang w:eastAsia="en-US"/>
              </w:rPr>
              <w:t>Организация, по отчетным данным которой обобщенный показатель уровня надежности и качества Коб=(-0,65)</w:t>
            </w:r>
          </w:p>
        </w:tc>
        <w:tc>
          <w:tcPr>
            <w:tcW w:w="1417" w:type="dxa"/>
            <w:tcBorders>
              <w:top w:val="nil"/>
              <w:left w:val="nil"/>
              <w:bottom w:val="single" w:sz="4" w:space="0" w:color="auto"/>
              <w:right w:val="single" w:sz="4" w:space="0" w:color="auto"/>
            </w:tcBorders>
            <w:noWrap/>
          </w:tcPr>
          <w:p w:rsidR="001E7B45" w:rsidRPr="00056A5C" w:rsidRDefault="001E7B45" w:rsidP="008C1AA9">
            <w:pPr>
              <w:spacing w:after="0" w:line="240" w:lineRule="auto"/>
              <w:jc w:val="right"/>
              <w:rPr>
                <w:rFonts w:eastAsia="Calibri"/>
                <w:color w:val="000000"/>
                <w:lang w:eastAsia="en-US"/>
              </w:rPr>
            </w:pPr>
          </w:p>
        </w:tc>
        <w:tc>
          <w:tcPr>
            <w:tcW w:w="1417" w:type="dxa"/>
            <w:tcBorders>
              <w:top w:val="nil"/>
              <w:left w:val="nil"/>
              <w:bottom w:val="single" w:sz="4" w:space="0" w:color="auto"/>
              <w:right w:val="single" w:sz="4" w:space="0" w:color="auto"/>
            </w:tcBorders>
          </w:tcPr>
          <w:p w:rsidR="001E7B45" w:rsidRPr="00056A5C" w:rsidRDefault="001E7B45" w:rsidP="008C1AA9">
            <w:pPr>
              <w:spacing w:after="0" w:line="240" w:lineRule="auto"/>
              <w:jc w:val="right"/>
              <w:rPr>
                <w:rFonts w:eastAsia="Calibri"/>
                <w:b/>
                <w:color w:val="FF0000"/>
                <w:lang w:eastAsia="en-US"/>
              </w:rPr>
            </w:pPr>
          </w:p>
        </w:tc>
        <w:tc>
          <w:tcPr>
            <w:tcW w:w="1134" w:type="dxa"/>
            <w:tcBorders>
              <w:top w:val="nil"/>
              <w:left w:val="nil"/>
              <w:bottom w:val="single" w:sz="4" w:space="0" w:color="auto"/>
              <w:right w:val="single" w:sz="4" w:space="0" w:color="auto"/>
            </w:tcBorders>
          </w:tcPr>
          <w:p w:rsidR="001E7B45" w:rsidRPr="00056A5C" w:rsidRDefault="001E7B45" w:rsidP="008C1AA9">
            <w:pPr>
              <w:spacing w:after="0" w:line="240" w:lineRule="auto"/>
              <w:jc w:val="right"/>
              <w:rPr>
                <w:rFonts w:eastAsia="Calibri"/>
                <w:color w:val="000000"/>
                <w:lang w:eastAsia="en-US"/>
              </w:rPr>
            </w:pPr>
          </w:p>
        </w:tc>
      </w:tr>
      <w:tr w:rsidR="001E7B45" w:rsidRPr="00056A5C" w:rsidTr="00DF11F6">
        <w:trPr>
          <w:trHeight w:val="255"/>
        </w:trPr>
        <w:tc>
          <w:tcPr>
            <w:tcW w:w="709" w:type="dxa"/>
            <w:tcBorders>
              <w:top w:val="nil"/>
              <w:left w:val="single" w:sz="4" w:space="0" w:color="auto"/>
              <w:bottom w:val="single" w:sz="4" w:space="0" w:color="auto"/>
              <w:right w:val="single" w:sz="4" w:space="0" w:color="auto"/>
            </w:tcBorders>
            <w:noWrap/>
          </w:tcPr>
          <w:p w:rsidR="001E7B45" w:rsidRPr="00056A5C" w:rsidRDefault="001E7B45" w:rsidP="008C1AA9">
            <w:pPr>
              <w:spacing w:after="0" w:line="240" w:lineRule="auto"/>
              <w:rPr>
                <w:rFonts w:eastAsia="Calibri"/>
                <w:color w:val="000000"/>
                <w:lang w:val="en-US" w:eastAsia="en-US"/>
              </w:rPr>
            </w:pPr>
            <w:r w:rsidRPr="00056A5C">
              <w:rPr>
                <w:rFonts w:eastAsia="Calibri"/>
                <w:color w:val="000000"/>
                <w:lang w:val="en-US" w:eastAsia="en-US"/>
              </w:rPr>
              <w:t>1.</w:t>
            </w:r>
          </w:p>
        </w:tc>
        <w:tc>
          <w:tcPr>
            <w:tcW w:w="4678" w:type="dxa"/>
            <w:tcBorders>
              <w:top w:val="nil"/>
              <w:left w:val="nil"/>
              <w:bottom w:val="single" w:sz="4" w:space="0" w:color="auto"/>
              <w:right w:val="single" w:sz="4" w:space="0" w:color="auto"/>
            </w:tcBorders>
            <w:noWrap/>
          </w:tcPr>
          <w:p w:rsidR="001E7B45" w:rsidRPr="00056A5C" w:rsidRDefault="001E7B45" w:rsidP="008C1AA9">
            <w:pPr>
              <w:spacing w:after="0" w:line="240" w:lineRule="auto"/>
              <w:jc w:val="both"/>
              <w:rPr>
                <w:rFonts w:eastAsia="Calibri"/>
                <w:color w:val="000000"/>
                <w:lang w:eastAsia="en-US"/>
              </w:rPr>
            </w:pPr>
            <w:r w:rsidRPr="00056A5C">
              <w:rPr>
                <w:rFonts w:eastAsia="Calibri"/>
                <w:color w:val="000000"/>
                <w:lang w:eastAsia="en-US"/>
              </w:rPr>
              <w:t>ООО «Энергосети Сибири»</w:t>
            </w:r>
          </w:p>
        </w:tc>
        <w:tc>
          <w:tcPr>
            <w:tcW w:w="1417" w:type="dxa"/>
            <w:tcBorders>
              <w:top w:val="nil"/>
              <w:left w:val="nil"/>
              <w:bottom w:val="single" w:sz="4" w:space="0" w:color="auto"/>
              <w:right w:val="single" w:sz="4" w:space="0" w:color="auto"/>
            </w:tcBorders>
            <w:noWrap/>
          </w:tcPr>
          <w:p w:rsidR="001E7B45" w:rsidRPr="00056A5C" w:rsidRDefault="001E7B45" w:rsidP="008C1AA9">
            <w:pPr>
              <w:spacing w:after="0" w:line="240" w:lineRule="auto"/>
              <w:jc w:val="right"/>
              <w:rPr>
                <w:rFonts w:eastAsia="Calibri"/>
                <w:color w:val="000000"/>
                <w:lang w:val="en-US" w:eastAsia="en-US"/>
              </w:rPr>
            </w:pPr>
            <w:r w:rsidRPr="00056A5C">
              <w:rPr>
                <w:rFonts w:eastAsia="Calibri"/>
                <w:color w:val="000000"/>
                <w:lang w:val="en-US" w:eastAsia="en-US"/>
              </w:rPr>
              <w:t>27699,5</w:t>
            </w:r>
          </w:p>
        </w:tc>
        <w:tc>
          <w:tcPr>
            <w:tcW w:w="1417" w:type="dxa"/>
            <w:tcBorders>
              <w:top w:val="nil"/>
              <w:left w:val="nil"/>
              <w:bottom w:val="single" w:sz="4" w:space="0" w:color="auto"/>
              <w:right w:val="single" w:sz="4" w:space="0" w:color="auto"/>
            </w:tcBorders>
          </w:tcPr>
          <w:p w:rsidR="001E7B45" w:rsidRPr="00056A5C" w:rsidRDefault="001E7B45" w:rsidP="008C1AA9">
            <w:pPr>
              <w:spacing w:after="0" w:line="240" w:lineRule="auto"/>
              <w:jc w:val="right"/>
              <w:rPr>
                <w:rFonts w:eastAsia="Calibri"/>
                <w:color w:val="000000"/>
                <w:lang w:val="en-US" w:eastAsia="en-US"/>
              </w:rPr>
            </w:pPr>
            <w:r w:rsidRPr="00056A5C">
              <w:rPr>
                <w:rFonts w:eastAsia="Calibri"/>
                <w:color w:val="000000"/>
                <w:lang w:val="en-US" w:eastAsia="en-US"/>
              </w:rPr>
              <w:t>-360,09</w:t>
            </w:r>
          </w:p>
        </w:tc>
        <w:tc>
          <w:tcPr>
            <w:tcW w:w="1134" w:type="dxa"/>
            <w:tcBorders>
              <w:top w:val="nil"/>
              <w:left w:val="nil"/>
              <w:bottom w:val="single" w:sz="4" w:space="0" w:color="auto"/>
              <w:right w:val="single" w:sz="4" w:space="0" w:color="auto"/>
            </w:tcBorders>
          </w:tcPr>
          <w:p w:rsidR="001E7B45" w:rsidRPr="00056A5C" w:rsidRDefault="001E7B45" w:rsidP="008C1AA9">
            <w:pPr>
              <w:spacing w:after="0" w:line="240" w:lineRule="auto"/>
              <w:jc w:val="right"/>
              <w:rPr>
                <w:rFonts w:eastAsia="Calibri"/>
                <w:color w:val="000000"/>
                <w:lang w:val="en-US" w:eastAsia="en-US"/>
              </w:rPr>
            </w:pPr>
            <w:r w:rsidRPr="00056A5C">
              <w:rPr>
                <w:rFonts w:eastAsia="Calibri"/>
                <w:color w:val="000000"/>
                <w:lang w:val="en-US" w:eastAsia="en-US"/>
              </w:rPr>
              <w:t>-</w:t>
            </w:r>
            <w:r w:rsidRPr="00056A5C">
              <w:rPr>
                <w:rFonts w:eastAsia="Calibri"/>
                <w:color w:val="000000"/>
                <w:lang w:eastAsia="en-US"/>
              </w:rPr>
              <w:t>1</w:t>
            </w:r>
            <w:r w:rsidRPr="00056A5C">
              <w:rPr>
                <w:rFonts w:eastAsia="Calibri"/>
                <w:color w:val="000000"/>
                <w:lang w:val="en-US" w:eastAsia="en-US"/>
              </w:rPr>
              <w:t>,3%</w:t>
            </w:r>
          </w:p>
        </w:tc>
      </w:tr>
      <w:tr w:rsidR="001E7B45" w:rsidRPr="00056A5C" w:rsidTr="00DF11F6">
        <w:trPr>
          <w:trHeight w:val="255"/>
        </w:trPr>
        <w:tc>
          <w:tcPr>
            <w:tcW w:w="709" w:type="dxa"/>
            <w:tcBorders>
              <w:top w:val="nil"/>
              <w:left w:val="single" w:sz="4" w:space="0" w:color="auto"/>
              <w:bottom w:val="single" w:sz="4" w:space="0" w:color="auto"/>
              <w:right w:val="single" w:sz="4" w:space="0" w:color="auto"/>
            </w:tcBorders>
            <w:noWrap/>
          </w:tcPr>
          <w:p w:rsidR="001E7B45" w:rsidRPr="00056A5C" w:rsidRDefault="001E7B45" w:rsidP="008C1AA9">
            <w:pPr>
              <w:spacing w:after="0" w:line="240" w:lineRule="auto"/>
              <w:rPr>
                <w:rFonts w:eastAsia="Calibri"/>
                <w:color w:val="000000"/>
                <w:lang w:val="en-US" w:eastAsia="en-US"/>
              </w:rPr>
            </w:pPr>
          </w:p>
        </w:tc>
        <w:tc>
          <w:tcPr>
            <w:tcW w:w="4678" w:type="dxa"/>
            <w:tcBorders>
              <w:top w:val="nil"/>
              <w:left w:val="nil"/>
              <w:bottom w:val="single" w:sz="4" w:space="0" w:color="auto"/>
              <w:right w:val="single" w:sz="4" w:space="0" w:color="auto"/>
            </w:tcBorders>
            <w:noWrap/>
          </w:tcPr>
          <w:p w:rsidR="001E7B45" w:rsidRPr="00056A5C" w:rsidRDefault="001E7B45" w:rsidP="008C1AA9">
            <w:pPr>
              <w:spacing w:after="0" w:line="240" w:lineRule="auto"/>
              <w:rPr>
                <w:rFonts w:eastAsia="Calibri"/>
                <w:color w:val="000000"/>
                <w:lang w:val="en-US" w:eastAsia="en-US"/>
              </w:rPr>
            </w:pPr>
            <w:r w:rsidRPr="00056A5C">
              <w:rPr>
                <w:rFonts w:eastAsia="Calibri"/>
                <w:color w:val="000000"/>
                <w:lang w:eastAsia="en-US"/>
              </w:rPr>
              <w:t>ИТОГО</w:t>
            </w:r>
            <w:r w:rsidRPr="00056A5C">
              <w:rPr>
                <w:rFonts w:eastAsia="Calibri"/>
                <w:color w:val="000000"/>
                <w:lang w:val="en-US" w:eastAsia="en-US"/>
              </w:rPr>
              <w:t>:</w:t>
            </w:r>
          </w:p>
        </w:tc>
        <w:tc>
          <w:tcPr>
            <w:tcW w:w="1417" w:type="dxa"/>
            <w:tcBorders>
              <w:top w:val="nil"/>
              <w:left w:val="nil"/>
              <w:bottom w:val="single" w:sz="4" w:space="0" w:color="auto"/>
              <w:right w:val="single" w:sz="4" w:space="0" w:color="auto"/>
            </w:tcBorders>
            <w:noWrap/>
          </w:tcPr>
          <w:p w:rsidR="001E7B45" w:rsidRPr="00056A5C" w:rsidRDefault="001E7B45" w:rsidP="008C1AA9">
            <w:pPr>
              <w:spacing w:after="0" w:line="240" w:lineRule="auto"/>
              <w:jc w:val="right"/>
              <w:rPr>
                <w:rFonts w:eastAsia="Calibri"/>
                <w:color w:val="000000"/>
                <w:lang w:eastAsia="en-US"/>
              </w:rPr>
            </w:pPr>
          </w:p>
        </w:tc>
        <w:tc>
          <w:tcPr>
            <w:tcW w:w="1417" w:type="dxa"/>
            <w:tcBorders>
              <w:top w:val="nil"/>
              <w:left w:val="nil"/>
              <w:bottom w:val="single" w:sz="4" w:space="0" w:color="auto"/>
              <w:right w:val="single" w:sz="4" w:space="0" w:color="auto"/>
            </w:tcBorders>
          </w:tcPr>
          <w:p w:rsidR="001E7B45" w:rsidRPr="00056A5C" w:rsidRDefault="001E7B45" w:rsidP="008C1AA9">
            <w:pPr>
              <w:spacing w:after="0" w:line="240" w:lineRule="auto"/>
              <w:jc w:val="right"/>
              <w:rPr>
                <w:rFonts w:eastAsia="Calibri"/>
                <w:b/>
                <w:color w:val="000000"/>
                <w:u w:val="single"/>
                <w:lang w:val="en-US" w:eastAsia="en-US"/>
              </w:rPr>
            </w:pPr>
            <w:r w:rsidRPr="00056A5C">
              <w:rPr>
                <w:rFonts w:eastAsia="Calibri"/>
                <w:b/>
                <w:color w:val="000000"/>
                <w:u w:val="single"/>
                <w:lang w:val="en-US" w:eastAsia="en-US"/>
              </w:rPr>
              <w:t>-360,09</w:t>
            </w:r>
          </w:p>
        </w:tc>
        <w:tc>
          <w:tcPr>
            <w:tcW w:w="1134" w:type="dxa"/>
            <w:tcBorders>
              <w:top w:val="nil"/>
              <w:left w:val="nil"/>
              <w:bottom w:val="single" w:sz="4" w:space="0" w:color="auto"/>
              <w:right w:val="single" w:sz="4" w:space="0" w:color="auto"/>
            </w:tcBorders>
          </w:tcPr>
          <w:p w:rsidR="001E7B45" w:rsidRPr="00056A5C" w:rsidRDefault="001E7B45" w:rsidP="008C1AA9">
            <w:pPr>
              <w:spacing w:after="0" w:line="240" w:lineRule="auto"/>
              <w:jc w:val="right"/>
              <w:rPr>
                <w:rFonts w:eastAsia="Calibri"/>
                <w:color w:val="000000"/>
                <w:lang w:eastAsia="en-US"/>
              </w:rPr>
            </w:pPr>
          </w:p>
        </w:tc>
      </w:tr>
      <w:tr w:rsidR="001E7B45" w:rsidRPr="00056A5C" w:rsidTr="00DF11F6">
        <w:trPr>
          <w:trHeight w:val="255"/>
        </w:trPr>
        <w:tc>
          <w:tcPr>
            <w:tcW w:w="709" w:type="dxa"/>
            <w:tcBorders>
              <w:top w:val="nil"/>
              <w:left w:val="single" w:sz="4" w:space="0" w:color="auto"/>
              <w:bottom w:val="single" w:sz="4" w:space="0" w:color="auto"/>
              <w:right w:val="single" w:sz="4" w:space="0" w:color="auto"/>
            </w:tcBorders>
            <w:noWrap/>
          </w:tcPr>
          <w:p w:rsidR="001E7B45" w:rsidRPr="00056A5C" w:rsidRDefault="001E7B45" w:rsidP="008C1AA9">
            <w:pPr>
              <w:spacing w:after="0" w:line="240" w:lineRule="auto"/>
              <w:rPr>
                <w:rFonts w:eastAsia="Calibri"/>
                <w:color w:val="000000"/>
                <w:lang w:val="en-US" w:eastAsia="en-US"/>
              </w:rPr>
            </w:pPr>
            <w:r w:rsidRPr="00056A5C">
              <w:rPr>
                <w:rFonts w:eastAsia="Calibri"/>
                <w:color w:val="000000"/>
                <w:lang w:val="en-US" w:eastAsia="en-US"/>
              </w:rPr>
              <w:t>IV.</w:t>
            </w:r>
          </w:p>
        </w:tc>
        <w:tc>
          <w:tcPr>
            <w:tcW w:w="4678" w:type="dxa"/>
            <w:tcBorders>
              <w:top w:val="nil"/>
              <w:left w:val="nil"/>
              <w:bottom w:val="single" w:sz="4" w:space="0" w:color="auto"/>
              <w:right w:val="single" w:sz="4" w:space="0" w:color="auto"/>
            </w:tcBorders>
            <w:noWrap/>
          </w:tcPr>
          <w:p w:rsidR="001E7B45" w:rsidRPr="00056A5C" w:rsidRDefault="001E7B45" w:rsidP="008C1AA9">
            <w:pPr>
              <w:spacing w:after="0" w:line="240" w:lineRule="auto"/>
              <w:jc w:val="both"/>
              <w:rPr>
                <w:rFonts w:eastAsia="Calibri"/>
                <w:color w:val="000000"/>
                <w:lang w:eastAsia="en-US"/>
              </w:rPr>
            </w:pPr>
            <w:r w:rsidRPr="00056A5C">
              <w:rPr>
                <w:rFonts w:eastAsia="Calibri"/>
                <w:i/>
                <w:color w:val="000000"/>
                <w:lang w:eastAsia="en-US"/>
              </w:rPr>
              <w:t>Организация, по отчетным данным которой обобщенный показатель уровня надежности и качества Коб=(-0,6)</w:t>
            </w:r>
          </w:p>
        </w:tc>
        <w:tc>
          <w:tcPr>
            <w:tcW w:w="1417" w:type="dxa"/>
            <w:tcBorders>
              <w:top w:val="nil"/>
              <w:left w:val="nil"/>
              <w:bottom w:val="single" w:sz="4" w:space="0" w:color="auto"/>
              <w:right w:val="single" w:sz="4" w:space="0" w:color="auto"/>
            </w:tcBorders>
            <w:noWrap/>
          </w:tcPr>
          <w:p w:rsidR="001E7B45" w:rsidRPr="00056A5C" w:rsidRDefault="001E7B45" w:rsidP="008C1AA9">
            <w:pPr>
              <w:spacing w:after="0" w:line="240" w:lineRule="auto"/>
              <w:jc w:val="right"/>
              <w:rPr>
                <w:rFonts w:eastAsia="Calibri"/>
                <w:color w:val="000000"/>
                <w:lang w:eastAsia="en-US"/>
              </w:rPr>
            </w:pPr>
          </w:p>
        </w:tc>
        <w:tc>
          <w:tcPr>
            <w:tcW w:w="1417" w:type="dxa"/>
            <w:tcBorders>
              <w:top w:val="nil"/>
              <w:left w:val="nil"/>
              <w:bottom w:val="single" w:sz="4" w:space="0" w:color="auto"/>
              <w:right w:val="single" w:sz="4" w:space="0" w:color="auto"/>
            </w:tcBorders>
          </w:tcPr>
          <w:p w:rsidR="001E7B45" w:rsidRPr="00056A5C" w:rsidRDefault="001E7B45" w:rsidP="008C1AA9">
            <w:pPr>
              <w:spacing w:after="0" w:line="240" w:lineRule="auto"/>
              <w:jc w:val="right"/>
              <w:rPr>
                <w:rFonts w:eastAsia="Calibri"/>
                <w:color w:val="000000"/>
                <w:lang w:eastAsia="en-US"/>
              </w:rPr>
            </w:pPr>
          </w:p>
        </w:tc>
        <w:tc>
          <w:tcPr>
            <w:tcW w:w="1134" w:type="dxa"/>
            <w:tcBorders>
              <w:top w:val="nil"/>
              <w:left w:val="nil"/>
              <w:bottom w:val="single" w:sz="4" w:space="0" w:color="auto"/>
              <w:right w:val="single" w:sz="4" w:space="0" w:color="auto"/>
            </w:tcBorders>
          </w:tcPr>
          <w:p w:rsidR="001E7B45" w:rsidRPr="00056A5C" w:rsidRDefault="001E7B45" w:rsidP="008C1AA9">
            <w:pPr>
              <w:spacing w:after="0" w:line="240" w:lineRule="auto"/>
              <w:jc w:val="right"/>
              <w:rPr>
                <w:rFonts w:eastAsia="Calibri"/>
                <w:color w:val="000000"/>
                <w:lang w:eastAsia="en-US"/>
              </w:rPr>
            </w:pPr>
          </w:p>
        </w:tc>
      </w:tr>
      <w:tr w:rsidR="001E7B45" w:rsidRPr="00056A5C" w:rsidTr="00DF11F6">
        <w:trPr>
          <w:trHeight w:val="255"/>
        </w:trPr>
        <w:tc>
          <w:tcPr>
            <w:tcW w:w="709" w:type="dxa"/>
            <w:tcBorders>
              <w:top w:val="nil"/>
              <w:left w:val="single" w:sz="4" w:space="0" w:color="auto"/>
              <w:bottom w:val="single" w:sz="4" w:space="0" w:color="auto"/>
              <w:right w:val="single" w:sz="4" w:space="0" w:color="auto"/>
            </w:tcBorders>
            <w:noWrap/>
          </w:tcPr>
          <w:p w:rsidR="001E7B45" w:rsidRPr="00056A5C" w:rsidRDefault="001E7B45" w:rsidP="008C1AA9">
            <w:pPr>
              <w:spacing w:after="0" w:line="240" w:lineRule="auto"/>
              <w:rPr>
                <w:rFonts w:eastAsia="Calibri"/>
                <w:color w:val="000000"/>
                <w:lang w:val="en-US" w:eastAsia="en-US"/>
              </w:rPr>
            </w:pPr>
            <w:r w:rsidRPr="00056A5C">
              <w:rPr>
                <w:rFonts w:eastAsia="Calibri"/>
                <w:color w:val="000000"/>
                <w:lang w:val="en-US" w:eastAsia="en-US"/>
              </w:rPr>
              <w:t>1.</w:t>
            </w:r>
          </w:p>
        </w:tc>
        <w:tc>
          <w:tcPr>
            <w:tcW w:w="4678" w:type="dxa"/>
            <w:tcBorders>
              <w:top w:val="nil"/>
              <w:left w:val="nil"/>
              <w:bottom w:val="single" w:sz="4" w:space="0" w:color="auto"/>
              <w:right w:val="single" w:sz="4" w:space="0" w:color="auto"/>
            </w:tcBorders>
            <w:noWrap/>
          </w:tcPr>
          <w:p w:rsidR="001E7B45" w:rsidRPr="00056A5C" w:rsidRDefault="001E7B45" w:rsidP="008C1AA9">
            <w:pPr>
              <w:spacing w:after="0" w:line="240" w:lineRule="auto"/>
              <w:jc w:val="both"/>
              <w:rPr>
                <w:rFonts w:eastAsia="Calibri"/>
                <w:color w:val="000000"/>
                <w:lang w:eastAsia="en-US"/>
              </w:rPr>
            </w:pPr>
            <w:r w:rsidRPr="00056A5C">
              <w:rPr>
                <w:rFonts w:eastAsia="Calibri"/>
                <w:color w:val="000000"/>
                <w:lang w:eastAsia="en-US"/>
              </w:rPr>
              <w:t>АО «Энерготранзит»</w:t>
            </w:r>
          </w:p>
        </w:tc>
        <w:tc>
          <w:tcPr>
            <w:tcW w:w="1417" w:type="dxa"/>
            <w:tcBorders>
              <w:top w:val="nil"/>
              <w:left w:val="nil"/>
              <w:bottom w:val="single" w:sz="4" w:space="0" w:color="auto"/>
              <w:right w:val="single" w:sz="4" w:space="0" w:color="auto"/>
            </w:tcBorders>
            <w:noWrap/>
          </w:tcPr>
          <w:p w:rsidR="001E7B45" w:rsidRPr="00056A5C" w:rsidRDefault="001E7B45" w:rsidP="008C1AA9">
            <w:pPr>
              <w:spacing w:after="0" w:line="240" w:lineRule="auto"/>
              <w:jc w:val="right"/>
              <w:rPr>
                <w:rFonts w:eastAsia="Calibri"/>
                <w:color w:val="000000"/>
                <w:lang w:val="en-US" w:eastAsia="en-US"/>
              </w:rPr>
            </w:pPr>
            <w:r w:rsidRPr="00056A5C">
              <w:rPr>
                <w:rFonts w:eastAsia="Calibri"/>
                <w:color w:val="000000"/>
                <w:lang w:val="en-US" w:eastAsia="en-US"/>
              </w:rPr>
              <w:t>33783,4</w:t>
            </w:r>
          </w:p>
        </w:tc>
        <w:tc>
          <w:tcPr>
            <w:tcW w:w="1417" w:type="dxa"/>
            <w:tcBorders>
              <w:top w:val="nil"/>
              <w:left w:val="nil"/>
              <w:bottom w:val="single" w:sz="4" w:space="0" w:color="auto"/>
              <w:right w:val="single" w:sz="4" w:space="0" w:color="auto"/>
            </w:tcBorders>
          </w:tcPr>
          <w:p w:rsidR="001E7B45" w:rsidRPr="00056A5C" w:rsidRDefault="001E7B45" w:rsidP="008C1AA9">
            <w:pPr>
              <w:spacing w:after="0" w:line="240" w:lineRule="auto"/>
              <w:jc w:val="right"/>
              <w:rPr>
                <w:rFonts w:eastAsia="Calibri"/>
                <w:color w:val="000000"/>
                <w:lang w:val="en-US" w:eastAsia="en-US"/>
              </w:rPr>
            </w:pPr>
            <w:r w:rsidRPr="00056A5C">
              <w:rPr>
                <w:rFonts w:eastAsia="Calibri"/>
                <w:color w:val="000000"/>
                <w:lang w:val="en-US" w:eastAsia="en-US"/>
              </w:rPr>
              <w:t>-405,40</w:t>
            </w:r>
          </w:p>
        </w:tc>
        <w:tc>
          <w:tcPr>
            <w:tcW w:w="1134" w:type="dxa"/>
            <w:tcBorders>
              <w:top w:val="nil"/>
              <w:left w:val="nil"/>
              <w:bottom w:val="single" w:sz="4" w:space="0" w:color="auto"/>
              <w:right w:val="single" w:sz="4" w:space="0" w:color="auto"/>
            </w:tcBorders>
          </w:tcPr>
          <w:p w:rsidR="001E7B45" w:rsidRPr="00056A5C" w:rsidRDefault="001E7B45" w:rsidP="008C1AA9">
            <w:pPr>
              <w:spacing w:after="0" w:line="240" w:lineRule="auto"/>
              <w:jc w:val="right"/>
              <w:rPr>
                <w:rFonts w:eastAsia="Calibri"/>
                <w:color w:val="000000"/>
                <w:lang w:val="en-US" w:eastAsia="en-US"/>
              </w:rPr>
            </w:pPr>
            <w:r w:rsidRPr="00056A5C">
              <w:rPr>
                <w:rFonts w:eastAsia="Calibri"/>
                <w:color w:val="000000"/>
                <w:lang w:eastAsia="en-US"/>
              </w:rPr>
              <w:t>-1</w:t>
            </w:r>
            <w:r w:rsidRPr="00056A5C">
              <w:rPr>
                <w:rFonts w:eastAsia="Calibri"/>
                <w:color w:val="000000"/>
                <w:lang w:val="en-US" w:eastAsia="en-US"/>
              </w:rPr>
              <w:t>,2%</w:t>
            </w:r>
          </w:p>
        </w:tc>
      </w:tr>
      <w:tr w:rsidR="001E7B45" w:rsidRPr="00056A5C" w:rsidTr="00DF11F6">
        <w:trPr>
          <w:trHeight w:val="255"/>
        </w:trPr>
        <w:tc>
          <w:tcPr>
            <w:tcW w:w="709" w:type="dxa"/>
            <w:tcBorders>
              <w:top w:val="nil"/>
              <w:left w:val="single" w:sz="4" w:space="0" w:color="auto"/>
              <w:bottom w:val="single" w:sz="4" w:space="0" w:color="auto"/>
              <w:right w:val="single" w:sz="4" w:space="0" w:color="auto"/>
            </w:tcBorders>
            <w:noWrap/>
          </w:tcPr>
          <w:p w:rsidR="001E7B45" w:rsidRPr="00056A5C" w:rsidRDefault="001E7B45" w:rsidP="008C1AA9">
            <w:pPr>
              <w:spacing w:after="0" w:line="240" w:lineRule="auto"/>
              <w:rPr>
                <w:rFonts w:eastAsia="Calibri"/>
                <w:color w:val="000000"/>
                <w:lang w:val="en-US" w:eastAsia="en-US"/>
              </w:rPr>
            </w:pPr>
          </w:p>
        </w:tc>
        <w:tc>
          <w:tcPr>
            <w:tcW w:w="4678" w:type="dxa"/>
            <w:tcBorders>
              <w:top w:val="nil"/>
              <w:left w:val="nil"/>
              <w:bottom w:val="single" w:sz="4" w:space="0" w:color="auto"/>
              <w:right w:val="single" w:sz="4" w:space="0" w:color="auto"/>
            </w:tcBorders>
            <w:noWrap/>
          </w:tcPr>
          <w:p w:rsidR="001E7B45" w:rsidRPr="00056A5C" w:rsidRDefault="001E7B45" w:rsidP="008C1AA9">
            <w:pPr>
              <w:spacing w:after="0" w:line="240" w:lineRule="auto"/>
              <w:rPr>
                <w:rFonts w:eastAsia="Calibri"/>
                <w:color w:val="000000"/>
                <w:lang w:val="en-US" w:eastAsia="en-US"/>
              </w:rPr>
            </w:pPr>
            <w:r w:rsidRPr="00056A5C">
              <w:rPr>
                <w:rFonts w:eastAsia="Calibri"/>
                <w:color w:val="000000"/>
                <w:lang w:eastAsia="en-US"/>
              </w:rPr>
              <w:t>ИТОГО</w:t>
            </w:r>
            <w:r w:rsidRPr="00056A5C">
              <w:rPr>
                <w:rFonts w:eastAsia="Calibri"/>
                <w:color w:val="000000"/>
                <w:lang w:val="en-US" w:eastAsia="en-US"/>
              </w:rPr>
              <w:t>:</w:t>
            </w:r>
          </w:p>
        </w:tc>
        <w:tc>
          <w:tcPr>
            <w:tcW w:w="1417" w:type="dxa"/>
            <w:tcBorders>
              <w:top w:val="nil"/>
              <w:left w:val="nil"/>
              <w:bottom w:val="single" w:sz="4" w:space="0" w:color="auto"/>
              <w:right w:val="single" w:sz="4" w:space="0" w:color="auto"/>
            </w:tcBorders>
            <w:noWrap/>
          </w:tcPr>
          <w:p w:rsidR="001E7B45" w:rsidRPr="00056A5C" w:rsidRDefault="001E7B45" w:rsidP="008C1AA9">
            <w:pPr>
              <w:spacing w:after="0" w:line="240" w:lineRule="auto"/>
              <w:jc w:val="right"/>
              <w:rPr>
                <w:rFonts w:eastAsia="Calibri"/>
                <w:color w:val="000000"/>
                <w:lang w:eastAsia="en-US"/>
              </w:rPr>
            </w:pPr>
          </w:p>
        </w:tc>
        <w:tc>
          <w:tcPr>
            <w:tcW w:w="1417" w:type="dxa"/>
            <w:tcBorders>
              <w:top w:val="nil"/>
              <w:left w:val="nil"/>
              <w:bottom w:val="single" w:sz="4" w:space="0" w:color="auto"/>
              <w:right w:val="single" w:sz="4" w:space="0" w:color="auto"/>
            </w:tcBorders>
          </w:tcPr>
          <w:p w:rsidR="001E7B45" w:rsidRPr="00056A5C" w:rsidRDefault="001E7B45" w:rsidP="008C1AA9">
            <w:pPr>
              <w:spacing w:after="0" w:line="240" w:lineRule="auto"/>
              <w:jc w:val="right"/>
              <w:rPr>
                <w:rFonts w:eastAsia="Calibri"/>
                <w:b/>
                <w:color w:val="000000"/>
                <w:u w:val="single"/>
                <w:lang w:val="en-US" w:eastAsia="en-US"/>
              </w:rPr>
            </w:pPr>
            <w:r w:rsidRPr="00056A5C">
              <w:rPr>
                <w:rFonts w:eastAsia="Calibri"/>
                <w:b/>
                <w:color w:val="000000"/>
                <w:u w:val="single"/>
                <w:lang w:val="en-US" w:eastAsia="en-US"/>
              </w:rPr>
              <w:t>-405,40</w:t>
            </w:r>
          </w:p>
        </w:tc>
        <w:tc>
          <w:tcPr>
            <w:tcW w:w="1134" w:type="dxa"/>
            <w:tcBorders>
              <w:top w:val="nil"/>
              <w:left w:val="nil"/>
              <w:bottom w:val="single" w:sz="4" w:space="0" w:color="auto"/>
              <w:right w:val="single" w:sz="4" w:space="0" w:color="auto"/>
            </w:tcBorders>
          </w:tcPr>
          <w:p w:rsidR="001E7B45" w:rsidRPr="00056A5C" w:rsidRDefault="001E7B45" w:rsidP="008C1AA9">
            <w:pPr>
              <w:spacing w:after="0" w:line="240" w:lineRule="auto"/>
              <w:jc w:val="right"/>
              <w:rPr>
                <w:rFonts w:eastAsia="Calibri"/>
                <w:color w:val="000000"/>
                <w:lang w:eastAsia="en-US"/>
              </w:rPr>
            </w:pPr>
          </w:p>
        </w:tc>
      </w:tr>
      <w:tr w:rsidR="001E7B45" w:rsidRPr="00056A5C" w:rsidTr="00DF11F6">
        <w:trPr>
          <w:trHeight w:val="255"/>
        </w:trPr>
        <w:tc>
          <w:tcPr>
            <w:tcW w:w="709" w:type="dxa"/>
            <w:tcBorders>
              <w:top w:val="nil"/>
              <w:left w:val="single" w:sz="4" w:space="0" w:color="auto"/>
              <w:bottom w:val="single" w:sz="4" w:space="0" w:color="auto"/>
              <w:right w:val="single" w:sz="4" w:space="0" w:color="auto"/>
            </w:tcBorders>
            <w:noWrap/>
          </w:tcPr>
          <w:p w:rsidR="001E7B45" w:rsidRPr="00056A5C" w:rsidRDefault="001E7B45" w:rsidP="008C1AA9">
            <w:pPr>
              <w:spacing w:after="0" w:line="240" w:lineRule="auto"/>
              <w:rPr>
                <w:rFonts w:eastAsia="Calibri"/>
                <w:color w:val="000000"/>
                <w:lang w:eastAsia="en-US"/>
              </w:rPr>
            </w:pPr>
            <w:r w:rsidRPr="00056A5C">
              <w:rPr>
                <w:rFonts w:eastAsia="Calibri"/>
                <w:color w:val="000000"/>
                <w:lang w:val="en-US" w:eastAsia="en-US"/>
              </w:rPr>
              <w:t>V</w:t>
            </w:r>
            <w:r w:rsidRPr="00056A5C">
              <w:rPr>
                <w:rFonts w:eastAsia="Calibri"/>
                <w:color w:val="000000"/>
                <w:lang w:eastAsia="en-US"/>
              </w:rPr>
              <w:t>.</w:t>
            </w:r>
          </w:p>
        </w:tc>
        <w:tc>
          <w:tcPr>
            <w:tcW w:w="4678" w:type="dxa"/>
            <w:tcBorders>
              <w:top w:val="nil"/>
              <w:left w:val="nil"/>
              <w:bottom w:val="single" w:sz="4" w:space="0" w:color="auto"/>
              <w:right w:val="single" w:sz="4" w:space="0" w:color="auto"/>
            </w:tcBorders>
            <w:noWrap/>
          </w:tcPr>
          <w:p w:rsidR="001E7B45" w:rsidRPr="00056A5C" w:rsidRDefault="001E7B45" w:rsidP="008C1AA9">
            <w:pPr>
              <w:spacing w:after="0" w:line="240" w:lineRule="auto"/>
              <w:jc w:val="both"/>
              <w:rPr>
                <w:rFonts w:eastAsia="Calibri"/>
                <w:i/>
                <w:color w:val="000000"/>
                <w:lang w:eastAsia="en-US"/>
              </w:rPr>
            </w:pPr>
            <w:r w:rsidRPr="00056A5C">
              <w:rPr>
                <w:rFonts w:eastAsia="Calibri"/>
                <w:i/>
                <w:color w:val="000000"/>
                <w:lang w:eastAsia="en-US"/>
              </w:rPr>
              <w:t>Организации, по отчетным данным которых обобщенный показатель уровня надежности и качества Коб=0</w:t>
            </w:r>
          </w:p>
        </w:tc>
        <w:tc>
          <w:tcPr>
            <w:tcW w:w="1417" w:type="dxa"/>
            <w:tcBorders>
              <w:top w:val="nil"/>
              <w:left w:val="nil"/>
              <w:bottom w:val="single" w:sz="4" w:space="0" w:color="auto"/>
              <w:right w:val="single" w:sz="4" w:space="0" w:color="auto"/>
            </w:tcBorders>
            <w:noWrap/>
          </w:tcPr>
          <w:p w:rsidR="001E7B45" w:rsidRPr="00056A5C" w:rsidRDefault="001E7B45" w:rsidP="008C1AA9">
            <w:pPr>
              <w:spacing w:after="0" w:line="240" w:lineRule="auto"/>
              <w:jc w:val="right"/>
              <w:rPr>
                <w:rFonts w:eastAsia="Calibri"/>
                <w:color w:val="000000"/>
                <w:lang w:eastAsia="en-US"/>
              </w:rPr>
            </w:pPr>
          </w:p>
        </w:tc>
        <w:tc>
          <w:tcPr>
            <w:tcW w:w="1417" w:type="dxa"/>
            <w:tcBorders>
              <w:top w:val="nil"/>
              <w:left w:val="nil"/>
              <w:bottom w:val="single" w:sz="4" w:space="0" w:color="auto"/>
              <w:right w:val="single" w:sz="4" w:space="0" w:color="auto"/>
            </w:tcBorders>
          </w:tcPr>
          <w:p w:rsidR="001E7B45" w:rsidRPr="00056A5C" w:rsidRDefault="001E7B45" w:rsidP="008C1AA9">
            <w:pPr>
              <w:spacing w:after="0" w:line="240" w:lineRule="auto"/>
              <w:jc w:val="right"/>
              <w:rPr>
                <w:rFonts w:eastAsia="Calibri"/>
                <w:color w:val="000000"/>
                <w:lang w:eastAsia="en-US"/>
              </w:rPr>
            </w:pPr>
          </w:p>
        </w:tc>
        <w:tc>
          <w:tcPr>
            <w:tcW w:w="1134" w:type="dxa"/>
            <w:tcBorders>
              <w:top w:val="nil"/>
              <w:left w:val="nil"/>
              <w:bottom w:val="single" w:sz="4" w:space="0" w:color="auto"/>
              <w:right w:val="single" w:sz="4" w:space="0" w:color="auto"/>
            </w:tcBorders>
          </w:tcPr>
          <w:p w:rsidR="001E7B45" w:rsidRPr="00056A5C" w:rsidRDefault="001E7B45" w:rsidP="008C1AA9">
            <w:pPr>
              <w:spacing w:after="0" w:line="240" w:lineRule="auto"/>
              <w:jc w:val="center"/>
              <w:rPr>
                <w:rFonts w:eastAsia="Calibri"/>
                <w:color w:val="000000"/>
                <w:lang w:eastAsia="en-US"/>
              </w:rPr>
            </w:pPr>
          </w:p>
        </w:tc>
      </w:tr>
      <w:tr w:rsidR="001E7B45" w:rsidRPr="00056A5C" w:rsidTr="00DF11F6">
        <w:trPr>
          <w:trHeight w:val="255"/>
        </w:trPr>
        <w:tc>
          <w:tcPr>
            <w:tcW w:w="709" w:type="dxa"/>
            <w:tcBorders>
              <w:top w:val="nil"/>
              <w:left w:val="single" w:sz="4" w:space="0" w:color="auto"/>
              <w:bottom w:val="single" w:sz="4" w:space="0" w:color="auto"/>
              <w:right w:val="single" w:sz="4" w:space="0" w:color="auto"/>
            </w:tcBorders>
            <w:noWrap/>
          </w:tcPr>
          <w:p w:rsidR="001E7B45" w:rsidRPr="00056A5C" w:rsidRDefault="001E7B45" w:rsidP="008C1AA9">
            <w:pPr>
              <w:spacing w:after="0" w:line="240" w:lineRule="auto"/>
              <w:rPr>
                <w:rFonts w:eastAsia="Calibri"/>
                <w:color w:val="000000"/>
                <w:lang w:eastAsia="en-US"/>
              </w:rPr>
            </w:pPr>
            <w:r w:rsidRPr="00056A5C">
              <w:rPr>
                <w:rFonts w:eastAsia="Calibri"/>
                <w:color w:val="000000"/>
                <w:lang w:val="en-US" w:eastAsia="en-US"/>
              </w:rPr>
              <w:t>1</w:t>
            </w:r>
            <w:r w:rsidRPr="00056A5C">
              <w:rPr>
                <w:rFonts w:eastAsia="Calibri"/>
                <w:color w:val="000000"/>
                <w:lang w:eastAsia="en-US"/>
              </w:rPr>
              <w:t>.</w:t>
            </w:r>
          </w:p>
        </w:tc>
        <w:tc>
          <w:tcPr>
            <w:tcW w:w="4678" w:type="dxa"/>
            <w:tcBorders>
              <w:top w:val="nil"/>
              <w:left w:val="nil"/>
              <w:bottom w:val="single" w:sz="4" w:space="0" w:color="auto"/>
              <w:right w:val="single" w:sz="4" w:space="0" w:color="auto"/>
            </w:tcBorders>
            <w:noWrap/>
          </w:tcPr>
          <w:p w:rsidR="001E7B45" w:rsidRPr="00056A5C" w:rsidRDefault="001E7B45" w:rsidP="008C1AA9">
            <w:pPr>
              <w:spacing w:after="0" w:line="240" w:lineRule="auto"/>
              <w:jc w:val="both"/>
              <w:rPr>
                <w:rFonts w:eastAsia="Calibri"/>
                <w:color w:val="000000"/>
                <w:lang w:eastAsia="en-US"/>
              </w:rPr>
            </w:pPr>
            <w:r w:rsidRPr="00056A5C">
              <w:rPr>
                <w:rFonts w:eastAsia="Calibri"/>
                <w:color w:val="000000"/>
                <w:lang w:eastAsia="en-US"/>
              </w:rPr>
              <w:t>ФГУП «Энергетик»</w:t>
            </w:r>
          </w:p>
        </w:tc>
        <w:tc>
          <w:tcPr>
            <w:tcW w:w="1417" w:type="dxa"/>
            <w:tcBorders>
              <w:top w:val="nil"/>
              <w:left w:val="nil"/>
              <w:bottom w:val="single" w:sz="4" w:space="0" w:color="auto"/>
              <w:right w:val="single" w:sz="4" w:space="0" w:color="auto"/>
            </w:tcBorders>
            <w:noWrap/>
          </w:tcPr>
          <w:p w:rsidR="001E7B45" w:rsidRPr="00056A5C" w:rsidRDefault="001E7B45" w:rsidP="008C1AA9">
            <w:pPr>
              <w:spacing w:after="0" w:line="240" w:lineRule="auto"/>
              <w:jc w:val="right"/>
              <w:rPr>
                <w:rFonts w:eastAsia="Calibri"/>
                <w:color w:val="000000"/>
                <w:lang w:eastAsia="en-US"/>
              </w:rPr>
            </w:pPr>
          </w:p>
        </w:tc>
        <w:tc>
          <w:tcPr>
            <w:tcW w:w="1417" w:type="dxa"/>
            <w:tcBorders>
              <w:top w:val="nil"/>
              <w:left w:val="nil"/>
              <w:bottom w:val="single" w:sz="4" w:space="0" w:color="auto"/>
              <w:right w:val="single" w:sz="4" w:space="0" w:color="auto"/>
            </w:tcBorders>
          </w:tcPr>
          <w:p w:rsidR="001E7B45" w:rsidRPr="00056A5C" w:rsidRDefault="001E7B45" w:rsidP="008C1AA9">
            <w:pPr>
              <w:spacing w:after="0" w:line="240" w:lineRule="auto"/>
              <w:jc w:val="right"/>
              <w:rPr>
                <w:rFonts w:eastAsia="Calibri"/>
                <w:color w:val="000000"/>
                <w:lang w:eastAsia="en-US"/>
              </w:rPr>
            </w:pPr>
          </w:p>
        </w:tc>
        <w:tc>
          <w:tcPr>
            <w:tcW w:w="1134" w:type="dxa"/>
            <w:tcBorders>
              <w:top w:val="nil"/>
              <w:left w:val="nil"/>
              <w:bottom w:val="single" w:sz="4" w:space="0" w:color="auto"/>
              <w:right w:val="single" w:sz="4" w:space="0" w:color="auto"/>
            </w:tcBorders>
          </w:tcPr>
          <w:p w:rsidR="001E7B45" w:rsidRPr="00056A5C" w:rsidRDefault="001E7B45" w:rsidP="008C1AA9">
            <w:pPr>
              <w:spacing w:after="0" w:line="240" w:lineRule="auto"/>
              <w:jc w:val="center"/>
              <w:rPr>
                <w:rFonts w:eastAsia="Calibri"/>
                <w:color w:val="000000"/>
                <w:lang w:eastAsia="en-US"/>
              </w:rPr>
            </w:pPr>
            <w:r w:rsidRPr="00056A5C">
              <w:rPr>
                <w:rFonts w:eastAsia="Calibri"/>
                <w:color w:val="000000"/>
                <w:lang w:eastAsia="en-US"/>
              </w:rPr>
              <w:t>0 %</w:t>
            </w:r>
          </w:p>
        </w:tc>
      </w:tr>
      <w:tr w:rsidR="001E7B45" w:rsidRPr="00056A5C" w:rsidTr="00DF11F6">
        <w:trPr>
          <w:trHeight w:val="255"/>
        </w:trPr>
        <w:tc>
          <w:tcPr>
            <w:tcW w:w="709" w:type="dxa"/>
            <w:tcBorders>
              <w:top w:val="nil"/>
              <w:left w:val="single" w:sz="4" w:space="0" w:color="auto"/>
              <w:bottom w:val="single" w:sz="4" w:space="0" w:color="auto"/>
              <w:right w:val="single" w:sz="4" w:space="0" w:color="auto"/>
            </w:tcBorders>
            <w:noWrap/>
          </w:tcPr>
          <w:p w:rsidR="001E7B45" w:rsidRPr="00056A5C" w:rsidRDefault="001E7B45" w:rsidP="008C1AA9">
            <w:pPr>
              <w:spacing w:after="0" w:line="240" w:lineRule="auto"/>
              <w:rPr>
                <w:rFonts w:eastAsia="Calibri"/>
                <w:color w:val="000000"/>
                <w:lang w:eastAsia="en-US"/>
              </w:rPr>
            </w:pPr>
            <w:r w:rsidRPr="00056A5C">
              <w:rPr>
                <w:rFonts w:eastAsia="Calibri"/>
                <w:color w:val="000000"/>
                <w:lang w:val="en-US" w:eastAsia="en-US"/>
              </w:rPr>
              <w:t>2</w:t>
            </w:r>
            <w:r w:rsidRPr="00056A5C">
              <w:rPr>
                <w:rFonts w:eastAsia="Calibri"/>
                <w:color w:val="000000"/>
                <w:lang w:eastAsia="en-US"/>
              </w:rPr>
              <w:t>.</w:t>
            </w:r>
          </w:p>
        </w:tc>
        <w:tc>
          <w:tcPr>
            <w:tcW w:w="4678" w:type="dxa"/>
            <w:tcBorders>
              <w:top w:val="nil"/>
              <w:left w:val="nil"/>
              <w:bottom w:val="single" w:sz="4" w:space="0" w:color="auto"/>
              <w:right w:val="single" w:sz="4" w:space="0" w:color="auto"/>
            </w:tcBorders>
            <w:noWrap/>
          </w:tcPr>
          <w:p w:rsidR="001E7B45" w:rsidRPr="00056A5C" w:rsidRDefault="001E7B45" w:rsidP="008C1AA9">
            <w:pPr>
              <w:spacing w:after="0" w:line="240" w:lineRule="auto"/>
              <w:jc w:val="both"/>
              <w:rPr>
                <w:rFonts w:eastAsia="Calibri"/>
                <w:color w:val="000000"/>
                <w:lang w:eastAsia="en-US"/>
              </w:rPr>
            </w:pPr>
            <w:r w:rsidRPr="00056A5C">
              <w:rPr>
                <w:rFonts w:eastAsia="Calibri"/>
                <w:color w:val="000000"/>
                <w:lang w:eastAsia="en-US"/>
              </w:rPr>
              <w:t>АО «УК «Промышленно-логистический парк»</w:t>
            </w:r>
          </w:p>
        </w:tc>
        <w:tc>
          <w:tcPr>
            <w:tcW w:w="1417" w:type="dxa"/>
            <w:tcBorders>
              <w:top w:val="nil"/>
              <w:left w:val="nil"/>
              <w:bottom w:val="single" w:sz="4" w:space="0" w:color="auto"/>
              <w:right w:val="single" w:sz="4" w:space="0" w:color="auto"/>
            </w:tcBorders>
            <w:noWrap/>
          </w:tcPr>
          <w:p w:rsidR="001E7B45" w:rsidRPr="00056A5C" w:rsidRDefault="001E7B45" w:rsidP="008C1AA9">
            <w:pPr>
              <w:spacing w:after="0" w:line="240" w:lineRule="auto"/>
              <w:jc w:val="right"/>
              <w:rPr>
                <w:rFonts w:eastAsia="Calibri"/>
                <w:color w:val="000000"/>
                <w:lang w:eastAsia="en-US"/>
              </w:rPr>
            </w:pPr>
          </w:p>
        </w:tc>
        <w:tc>
          <w:tcPr>
            <w:tcW w:w="1417" w:type="dxa"/>
            <w:tcBorders>
              <w:top w:val="nil"/>
              <w:left w:val="nil"/>
              <w:bottom w:val="single" w:sz="4" w:space="0" w:color="auto"/>
              <w:right w:val="single" w:sz="4" w:space="0" w:color="auto"/>
            </w:tcBorders>
          </w:tcPr>
          <w:p w:rsidR="001E7B45" w:rsidRPr="00056A5C" w:rsidRDefault="001E7B45" w:rsidP="008C1AA9">
            <w:pPr>
              <w:spacing w:after="0" w:line="240" w:lineRule="auto"/>
              <w:jc w:val="right"/>
              <w:rPr>
                <w:rFonts w:eastAsia="Calibri"/>
                <w:color w:val="000000"/>
                <w:lang w:eastAsia="en-US"/>
              </w:rPr>
            </w:pPr>
          </w:p>
        </w:tc>
        <w:tc>
          <w:tcPr>
            <w:tcW w:w="1134" w:type="dxa"/>
            <w:tcBorders>
              <w:top w:val="nil"/>
              <w:left w:val="nil"/>
              <w:bottom w:val="single" w:sz="4" w:space="0" w:color="auto"/>
              <w:right w:val="single" w:sz="4" w:space="0" w:color="auto"/>
            </w:tcBorders>
          </w:tcPr>
          <w:p w:rsidR="001E7B45" w:rsidRPr="00056A5C" w:rsidRDefault="001E7B45" w:rsidP="008C1AA9">
            <w:pPr>
              <w:spacing w:after="0" w:line="240" w:lineRule="auto"/>
              <w:jc w:val="center"/>
              <w:rPr>
                <w:rFonts w:eastAsia="Calibri"/>
                <w:color w:val="000000"/>
                <w:lang w:eastAsia="en-US"/>
              </w:rPr>
            </w:pPr>
            <w:r w:rsidRPr="00056A5C">
              <w:rPr>
                <w:rFonts w:eastAsia="Calibri"/>
                <w:color w:val="000000"/>
                <w:lang w:eastAsia="en-US"/>
              </w:rPr>
              <w:t>0%</w:t>
            </w:r>
          </w:p>
        </w:tc>
      </w:tr>
      <w:tr w:rsidR="001E7B45" w:rsidRPr="00056A5C" w:rsidTr="00DF11F6">
        <w:trPr>
          <w:trHeight w:val="255"/>
        </w:trPr>
        <w:tc>
          <w:tcPr>
            <w:tcW w:w="709" w:type="dxa"/>
            <w:tcBorders>
              <w:top w:val="nil"/>
              <w:left w:val="single" w:sz="4" w:space="0" w:color="auto"/>
              <w:bottom w:val="single" w:sz="4" w:space="0" w:color="auto"/>
              <w:right w:val="single" w:sz="4" w:space="0" w:color="auto"/>
            </w:tcBorders>
            <w:noWrap/>
          </w:tcPr>
          <w:p w:rsidR="001E7B45" w:rsidRPr="00056A5C" w:rsidRDefault="001E7B45" w:rsidP="008C1AA9">
            <w:pPr>
              <w:spacing w:after="0" w:line="240" w:lineRule="auto"/>
              <w:rPr>
                <w:rFonts w:eastAsia="Calibri"/>
                <w:color w:val="000000"/>
                <w:lang w:eastAsia="en-US"/>
              </w:rPr>
            </w:pPr>
            <w:r w:rsidRPr="00056A5C">
              <w:rPr>
                <w:rFonts w:eastAsia="Calibri"/>
                <w:color w:val="000000"/>
                <w:lang w:val="en-US" w:eastAsia="en-US"/>
              </w:rPr>
              <w:t>3</w:t>
            </w:r>
            <w:r w:rsidRPr="00056A5C">
              <w:rPr>
                <w:rFonts w:eastAsia="Calibri"/>
                <w:color w:val="000000"/>
                <w:lang w:eastAsia="en-US"/>
              </w:rPr>
              <w:t>.</w:t>
            </w:r>
          </w:p>
        </w:tc>
        <w:tc>
          <w:tcPr>
            <w:tcW w:w="4678" w:type="dxa"/>
            <w:tcBorders>
              <w:top w:val="nil"/>
              <w:left w:val="nil"/>
              <w:bottom w:val="single" w:sz="4" w:space="0" w:color="auto"/>
              <w:right w:val="single" w:sz="4" w:space="0" w:color="auto"/>
            </w:tcBorders>
            <w:noWrap/>
          </w:tcPr>
          <w:p w:rsidR="001E7B45" w:rsidRPr="00056A5C" w:rsidRDefault="001E7B45" w:rsidP="008C1AA9">
            <w:pPr>
              <w:spacing w:after="0" w:line="240" w:lineRule="auto"/>
              <w:jc w:val="both"/>
              <w:rPr>
                <w:rFonts w:eastAsia="Calibri"/>
                <w:color w:val="000000"/>
                <w:lang w:eastAsia="en-US"/>
              </w:rPr>
            </w:pPr>
            <w:r w:rsidRPr="00056A5C">
              <w:rPr>
                <w:rFonts w:eastAsia="Calibri"/>
                <w:color w:val="000000"/>
                <w:lang w:eastAsia="en-US"/>
              </w:rPr>
              <w:t>НПО «ЭЛСИБ» ПАО</w:t>
            </w:r>
          </w:p>
        </w:tc>
        <w:tc>
          <w:tcPr>
            <w:tcW w:w="1417" w:type="dxa"/>
            <w:tcBorders>
              <w:top w:val="nil"/>
              <w:left w:val="nil"/>
              <w:bottom w:val="single" w:sz="4" w:space="0" w:color="auto"/>
              <w:right w:val="single" w:sz="4" w:space="0" w:color="auto"/>
            </w:tcBorders>
            <w:noWrap/>
          </w:tcPr>
          <w:p w:rsidR="001E7B45" w:rsidRPr="00056A5C" w:rsidRDefault="001E7B45" w:rsidP="008C1AA9">
            <w:pPr>
              <w:spacing w:after="0" w:line="240" w:lineRule="auto"/>
              <w:jc w:val="right"/>
              <w:rPr>
                <w:rFonts w:eastAsia="Calibri"/>
                <w:color w:val="000000"/>
                <w:lang w:val="en-US" w:eastAsia="en-US"/>
              </w:rPr>
            </w:pPr>
          </w:p>
        </w:tc>
        <w:tc>
          <w:tcPr>
            <w:tcW w:w="1417" w:type="dxa"/>
            <w:tcBorders>
              <w:top w:val="nil"/>
              <w:left w:val="nil"/>
              <w:bottom w:val="single" w:sz="4" w:space="0" w:color="auto"/>
              <w:right w:val="single" w:sz="4" w:space="0" w:color="auto"/>
            </w:tcBorders>
          </w:tcPr>
          <w:p w:rsidR="001E7B45" w:rsidRPr="00056A5C" w:rsidRDefault="001E7B45" w:rsidP="008C1AA9">
            <w:pPr>
              <w:spacing w:after="0" w:line="240" w:lineRule="auto"/>
              <w:jc w:val="right"/>
              <w:rPr>
                <w:rFonts w:eastAsia="Calibri"/>
                <w:color w:val="000000"/>
                <w:lang w:val="en-US" w:eastAsia="en-US"/>
              </w:rPr>
            </w:pPr>
          </w:p>
        </w:tc>
        <w:tc>
          <w:tcPr>
            <w:tcW w:w="1134" w:type="dxa"/>
            <w:tcBorders>
              <w:top w:val="nil"/>
              <w:left w:val="nil"/>
              <w:bottom w:val="single" w:sz="4" w:space="0" w:color="auto"/>
              <w:right w:val="single" w:sz="4" w:space="0" w:color="auto"/>
            </w:tcBorders>
          </w:tcPr>
          <w:p w:rsidR="001E7B45" w:rsidRPr="00056A5C" w:rsidRDefault="001E7B45" w:rsidP="008C1AA9">
            <w:pPr>
              <w:spacing w:after="0" w:line="240" w:lineRule="auto"/>
              <w:jc w:val="center"/>
              <w:rPr>
                <w:rFonts w:eastAsia="Calibri"/>
                <w:color w:val="000000"/>
                <w:lang w:eastAsia="en-US"/>
              </w:rPr>
            </w:pPr>
            <w:r w:rsidRPr="00056A5C">
              <w:rPr>
                <w:rFonts w:eastAsia="Calibri"/>
                <w:color w:val="000000"/>
                <w:lang w:eastAsia="en-US"/>
              </w:rPr>
              <w:t>0%</w:t>
            </w:r>
          </w:p>
        </w:tc>
      </w:tr>
      <w:tr w:rsidR="001E7B45" w:rsidRPr="00056A5C" w:rsidTr="00DF11F6">
        <w:trPr>
          <w:trHeight w:val="255"/>
        </w:trPr>
        <w:tc>
          <w:tcPr>
            <w:tcW w:w="709" w:type="dxa"/>
            <w:tcBorders>
              <w:top w:val="nil"/>
              <w:left w:val="single" w:sz="4" w:space="0" w:color="auto"/>
              <w:bottom w:val="single" w:sz="4" w:space="0" w:color="auto"/>
              <w:right w:val="single" w:sz="4" w:space="0" w:color="auto"/>
            </w:tcBorders>
            <w:noWrap/>
          </w:tcPr>
          <w:p w:rsidR="001E7B45" w:rsidRPr="00056A5C" w:rsidRDefault="001E7B45" w:rsidP="008C1AA9">
            <w:pPr>
              <w:spacing w:after="0" w:line="240" w:lineRule="auto"/>
              <w:rPr>
                <w:rFonts w:eastAsia="Calibri"/>
                <w:color w:val="000000"/>
                <w:lang w:eastAsia="en-US"/>
              </w:rPr>
            </w:pPr>
            <w:r w:rsidRPr="00056A5C">
              <w:rPr>
                <w:rFonts w:eastAsia="Calibri"/>
                <w:color w:val="000000"/>
                <w:lang w:val="en-US" w:eastAsia="en-US"/>
              </w:rPr>
              <w:t>4</w:t>
            </w:r>
            <w:r w:rsidRPr="00056A5C">
              <w:rPr>
                <w:rFonts w:eastAsia="Calibri"/>
                <w:color w:val="000000"/>
                <w:lang w:eastAsia="en-US"/>
              </w:rPr>
              <w:t>.</w:t>
            </w:r>
          </w:p>
        </w:tc>
        <w:tc>
          <w:tcPr>
            <w:tcW w:w="4678" w:type="dxa"/>
            <w:tcBorders>
              <w:top w:val="nil"/>
              <w:left w:val="nil"/>
              <w:bottom w:val="single" w:sz="4" w:space="0" w:color="auto"/>
              <w:right w:val="single" w:sz="4" w:space="0" w:color="auto"/>
            </w:tcBorders>
            <w:noWrap/>
          </w:tcPr>
          <w:p w:rsidR="001E7B45" w:rsidRPr="00056A5C" w:rsidRDefault="001E7B45" w:rsidP="008C1AA9">
            <w:pPr>
              <w:spacing w:after="0" w:line="240" w:lineRule="auto"/>
              <w:jc w:val="both"/>
              <w:rPr>
                <w:rFonts w:eastAsia="Calibri"/>
                <w:color w:val="000000"/>
                <w:lang w:eastAsia="en-US"/>
              </w:rPr>
            </w:pPr>
            <w:r w:rsidRPr="00056A5C">
              <w:rPr>
                <w:rFonts w:eastAsia="Calibri"/>
                <w:color w:val="000000"/>
                <w:lang w:eastAsia="en-US"/>
              </w:rPr>
              <w:t>ЗАО «Энергосервис « Чкаловец»</w:t>
            </w:r>
          </w:p>
        </w:tc>
        <w:tc>
          <w:tcPr>
            <w:tcW w:w="1417" w:type="dxa"/>
            <w:tcBorders>
              <w:top w:val="nil"/>
              <w:left w:val="nil"/>
              <w:bottom w:val="single" w:sz="4" w:space="0" w:color="auto"/>
              <w:right w:val="single" w:sz="4" w:space="0" w:color="auto"/>
            </w:tcBorders>
            <w:noWrap/>
          </w:tcPr>
          <w:p w:rsidR="001E7B45" w:rsidRPr="00056A5C" w:rsidRDefault="001E7B45" w:rsidP="008C1AA9">
            <w:pPr>
              <w:spacing w:after="0" w:line="240" w:lineRule="auto"/>
              <w:jc w:val="right"/>
              <w:rPr>
                <w:rFonts w:eastAsia="Calibri"/>
                <w:color w:val="000000"/>
                <w:lang w:val="en-US" w:eastAsia="en-US"/>
              </w:rPr>
            </w:pPr>
          </w:p>
        </w:tc>
        <w:tc>
          <w:tcPr>
            <w:tcW w:w="1417" w:type="dxa"/>
            <w:tcBorders>
              <w:top w:val="nil"/>
              <w:left w:val="nil"/>
              <w:bottom w:val="single" w:sz="4" w:space="0" w:color="auto"/>
              <w:right w:val="single" w:sz="4" w:space="0" w:color="auto"/>
            </w:tcBorders>
          </w:tcPr>
          <w:p w:rsidR="001E7B45" w:rsidRPr="00056A5C" w:rsidRDefault="001E7B45" w:rsidP="008C1AA9">
            <w:pPr>
              <w:spacing w:after="0" w:line="240" w:lineRule="auto"/>
              <w:jc w:val="right"/>
              <w:rPr>
                <w:rFonts w:eastAsia="Calibri"/>
                <w:color w:val="000000"/>
                <w:lang w:val="en-US" w:eastAsia="en-US"/>
              </w:rPr>
            </w:pPr>
          </w:p>
        </w:tc>
        <w:tc>
          <w:tcPr>
            <w:tcW w:w="1134" w:type="dxa"/>
            <w:tcBorders>
              <w:top w:val="nil"/>
              <w:left w:val="nil"/>
              <w:bottom w:val="single" w:sz="4" w:space="0" w:color="auto"/>
              <w:right w:val="single" w:sz="4" w:space="0" w:color="auto"/>
            </w:tcBorders>
          </w:tcPr>
          <w:p w:rsidR="001E7B45" w:rsidRPr="00056A5C" w:rsidRDefault="001E7B45" w:rsidP="008C1AA9">
            <w:pPr>
              <w:spacing w:after="0" w:line="240" w:lineRule="auto"/>
              <w:jc w:val="center"/>
              <w:rPr>
                <w:rFonts w:eastAsia="Calibri"/>
                <w:color w:val="000000"/>
                <w:lang w:eastAsia="en-US"/>
              </w:rPr>
            </w:pPr>
            <w:r w:rsidRPr="00056A5C">
              <w:rPr>
                <w:rFonts w:eastAsia="Calibri"/>
                <w:color w:val="000000"/>
                <w:lang w:eastAsia="en-US"/>
              </w:rPr>
              <w:t>0%</w:t>
            </w:r>
          </w:p>
        </w:tc>
      </w:tr>
      <w:tr w:rsidR="001E7B45" w:rsidRPr="00056A5C" w:rsidTr="00DF11F6">
        <w:trPr>
          <w:trHeight w:val="255"/>
        </w:trPr>
        <w:tc>
          <w:tcPr>
            <w:tcW w:w="709" w:type="dxa"/>
            <w:tcBorders>
              <w:top w:val="nil"/>
              <w:left w:val="single" w:sz="4" w:space="0" w:color="auto"/>
              <w:bottom w:val="single" w:sz="4" w:space="0" w:color="auto"/>
              <w:right w:val="single" w:sz="4" w:space="0" w:color="auto"/>
            </w:tcBorders>
            <w:noWrap/>
          </w:tcPr>
          <w:p w:rsidR="001E7B45" w:rsidRPr="00056A5C" w:rsidRDefault="001E7B45" w:rsidP="008C1AA9">
            <w:pPr>
              <w:spacing w:after="0" w:line="240" w:lineRule="auto"/>
              <w:rPr>
                <w:rFonts w:eastAsia="Calibri"/>
                <w:color w:val="000000"/>
                <w:lang w:eastAsia="en-US"/>
              </w:rPr>
            </w:pPr>
            <w:r w:rsidRPr="00056A5C">
              <w:rPr>
                <w:rFonts w:eastAsia="Calibri"/>
                <w:color w:val="000000"/>
                <w:lang w:val="en-US" w:eastAsia="en-US"/>
              </w:rPr>
              <w:t>5</w:t>
            </w:r>
            <w:r w:rsidRPr="00056A5C">
              <w:rPr>
                <w:rFonts w:eastAsia="Calibri"/>
                <w:color w:val="000000"/>
                <w:lang w:eastAsia="en-US"/>
              </w:rPr>
              <w:t>.</w:t>
            </w:r>
          </w:p>
        </w:tc>
        <w:tc>
          <w:tcPr>
            <w:tcW w:w="4678" w:type="dxa"/>
            <w:tcBorders>
              <w:top w:val="nil"/>
              <w:left w:val="nil"/>
              <w:bottom w:val="single" w:sz="4" w:space="0" w:color="auto"/>
              <w:right w:val="single" w:sz="4" w:space="0" w:color="auto"/>
            </w:tcBorders>
            <w:noWrap/>
          </w:tcPr>
          <w:p w:rsidR="001E7B45" w:rsidRPr="00056A5C" w:rsidRDefault="001E7B45" w:rsidP="008C1AA9">
            <w:pPr>
              <w:spacing w:after="0" w:line="240" w:lineRule="auto"/>
              <w:jc w:val="both"/>
              <w:rPr>
                <w:rFonts w:eastAsia="Calibri"/>
                <w:color w:val="000000"/>
                <w:lang w:eastAsia="en-US"/>
              </w:rPr>
            </w:pPr>
            <w:r w:rsidRPr="00056A5C">
              <w:rPr>
                <w:rFonts w:eastAsia="Calibri"/>
                <w:color w:val="000000"/>
                <w:lang w:eastAsia="en-US"/>
              </w:rPr>
              <w:t>ООО «РП-10»</w:t>
            </w:r>
          </w:p>
        </w:tc>
        <w:tc>
          <w:tcPr>
            <w:tcW w:w="1417" w:type="dxa"/>
            <w:tcBorders>
              <w:top w:val="nil"/>
              <w:left w:val="nil"/>
              <w:bottom w:val="single" w:sz="4" w:space="0" w:color="auto"/>
              <w:right w:val="single" w:sz="4" w:space="0" w:color="auto"/>
            </w:tcBorders>
            <w:noWrap/>
          </w:tcPr>
          <w:p w:rsidR="001E7B45" w:rsidRPr="00056A5C" w:rsidRDefault="001E7B45" w:rsidP="008C1AA9">
            <w:pPr>
              <w:spacing w:after="0" w:line="240" w:lineRule="auto"/>
              <w:jc w:val="right"/>
              <w:rPr>
                <w:rFonts w:eastAsia="Calibri"/>
                <w:color w:val="000000"/>
                <w:lang w:val="en-US" w:eastAsia="en-US"/>
              </w:rPr>
            </w:pPr>
          </w:p>
        </w:tc>
        <w:tc>
          <w:tcPr>
            <w:tcW w:w="1417" w:type="dxa"/>
            <w:tcBorders>
              <w:top w:val="nil"/>
              <w:left w:val="nil"/>
              <w:bottom w:val="single" w:sz="4" w:space="0" w:color="auto"/>
              <w:right w:val="single" w:sz="4" w:space="0" w:color="auto"/>
            </w:tcBorders>
          </w:tcPr>
          <w:p w:rsidR="001E7B45" w:rsidRPr="00056A5C" w:rsidRDefault="001E7B45" w:rsidP="008C1AA9">
            <w:pPr>
              <w:spacing w:after="0" w:line="240" w:lineRule="auto"/>
              <w:jc w:val="right"/>
              <w:rPr>
                <w:rFonts w:eastAsia="Calibri"/>
                <w:color w:val="000000"/>
                <w:lang w:val="en-US" w:eastAsia="en-US"/>
              </w:rPr>
            </w:pPr>
          </w:p>
        </w:tc>
        <w:tc>
          <w:tcPr>
            <w:tcW w:w="1134" w:type="dxa"/>
            <w:tcBorders>
              <w:top w:val="nil"/>
              <w:left w:val="nil"/>
              <w:bottom w:val="single" w:sz="4" w:space="0" w:color="auto"/>
              <w:right w:val="single" w:sz="4" w:space="0" w:color="auto"/>
            </w:tcBorders>
          </w:tcPr>
          <w:p w:rsidR="001E7B45" w:rsidRPr="00056A5C" w:rsidRDefault="001E7B45" w:rsidP="008C1AA9">
            <w:pPr>
              <w:spacing w:after="0" w:line="240" w:lineRule="auto"/>
              <w:jc w:val="center"/>
              <w:rPr>
                <w:rFonts w:eastAsia="Calibri"/>
                <w:color w:val="000000"/>
                <w:lang w:eastAsia="en-US"/>
              </w:rPr>
            </w:pPr>
            <w:r w:rsidRPr="00056A5C">
              <w:rPr>
                <w:rFonts w:eastAsia="Calibri"/>
                <w:color w:val="000000"/>
                <w:lang w:eastAsia="en-US"/>
              </w:rPr>
              <w:t>0%</w:t>
            </w:r>
          </w:p>
        </w:tc>
      </w:tr>
      <w:tr w:rsidR="001E7B45" w:rsidRPr="00056A5C" w:rsidTr="00DF11F6">
        <w:trPr>
          <w:trHeight w:val="255"/>
        </w:trPr>
        <w:tc>
          <w:tcPr>
            <w:tcW w:w="709" w:type="dxa"/>
            <w:tcBorders>
              <w:top w:val="nil"/>
              <w:left w:val="single" w:sz="4" w:space="0" w:color="auto"/>
              <w:bottom w:val="single" w:sz="4" w:space="0" w:color="auto"/>
              <w:right w:val="single" w:sz="4" w:space="0" w:color="auto"/>
            </w:tcBorders>
            <w:noWrap/>
          </w:tcPr>
          <w:p w:rsidR="001E7B45" w:rsidRPr="00056A5C" w:rsidRDefault="001E7B45" w:rsidP="008C1AA9">
            <w:pPr>
              <w:spacing w:after="0" w:line="240" w:lineRule="auto"/>
              <w:rPr>
                <w:rFonts w:eastAsia="Calibri"/>
                <w:color w:val="000000"/>
                <w:lang w:eastAsia="en-US"/>
              </w:rPr>
            </w:pPr>
            <w:r w:rsidRPr="00056A5C">
              <w:rPr>
                <w:rFonts w:eastAsia="Calibri"/>
                <w:color w:val="000000"/>
                <w:lang w:val="en-US" w:eastAsia="en-US"/>
              </w:rPr>
              <w:t>6</w:t>
            </w:r>
            <w:r w:rsidRPr="00056A5C">
              <w:rPr>
                <w:rFonts w:eastAsia="Calibri"/>
                <w:color w:val="000000"/>
                <w:lang w:eastAsia="en-US"/>
              </w:rPr>
              <w:t>.</w:t>
            </w:r>
          </w:p>
        </w:tc>
        <w:tc>
          <w:tcPr>
            <w:tcW w:w="4678" w:type="dxa"/>
            <w:tcBorders>
              <w:top w:val="nil"/>
              <w:left w:val="nil"/>
              <w:bottom w:val="single" w:sz="4" w:space="0" w:color="auto"/>
              <w:right w:val="single" w:sz="4" w:space="0" w:color="auto"/>
            </w:tcBorders>
            <w:noWrap/>
          </w:tcPr>
          <w:p w:rsidR="001E7B45" w:rsidRPr="00056A5C" w:rsidRDefault="001E7B45" w:rsidP="008C1AA9">
            <w:pPr>
              <w:spacing w:after="0" w:line="240" w:lineRule="auto"/>
              <w:jc w:val="both"/>
              <w:rPr>
                <w:rFonts w:eastAsia="Calibri"/>
                <w:color w:val="000000"/>
                <w:lang w:eastAsia="en-US"/>
              </w:rPr>
            </w:pPr>
            <w:r w:rsidRPr="00056A5C">
              <w:rPr>
                <w:rFonts w:eastAsia="Calibri"/>
                <w:color w:val="000000"/>
                <w:lang w:eastAsia="en-US"/>
              </w:rPr>
              <w:t>ООО «Промышленная сетевая компания»</w:t>
            </w:r>
          </w:p>
        </w:tc>
        <w:tc>
          <w:tcPr>
            <w:tcW w:w="1417" w:type="dxa"/>
            <w:tcBorders>
              <w:top w:val="nil"/>
              <w:left w:val="nil"/>
              <w:bottom w:val="single" w:sz="4" w:space="0" w:color="auto"/>
              <w:right w:val="single" w:sz="4" w:space="0" w:color="auto"/>
            </w:tcBorders>
            <w:noWrap/>
          </w:tcPr>
          <w:p w:rsidR="001E7B45" w:rsidRPr="00056A5C" w:rsidRDefault="001E7B45" w:rsidP="008C1AA9">
            <w:pPr>
              <w:spacing w:after="0" w:line="240" w:lineRule="auto"/>
              <w:jc w:val="right"/>
              <w:rPr>
                <w:rFonts w:eastAsia="Calibri"/>
                <w:color w:val="000000"/>
                <w:lang w:val="en-US" w:eastAsia="en-US"/>
              </w:rPr>
            </w:pPr>
          </w:p>
        </w:tc>
        <w:tc>
          <w:tcPr>
            <w:tcW w:w="1417" w:type="dxa"/>
            <w:tcBorders>
              <w:top w:val="nil"/>
              <w:left w:val="nil"/>
              <w:bottom w:val="single" w:sz="4" w:space="0" w:color="auto"/>
              <w:right w:val="single" w:sz="4" w:space="0" w:color="auto"/>
            </w:tcBorders>
          </w:tcPr>
          <w:p w:rsidR="001E7B45" w:rsidRPr="00056A5C" w:rsidRDefault="001E7B45" w:rsidP="008C1AA9">
            <w:pPr>
              <w:spacing w:after="0" w:line="240" w:lineRule="auto"/>
              <w:jc w:val="right"/>
              <w:rPr>
                <w:rFonts w:eastAsia="Calibri"/>
                <w:color w:val="000000"/>
                <w:lang w:val="en-US" w:eastAsia="en-US"/>
              </w:rPr>
            </w:pPr>
          </w:p>
        </w:tc>
        <w:tc>
          <w:tcPr>
            <w:tcW w:w="1134" w:type="dxa"/>
            <w:tcBorders>
              <w:top w:val="nil"/>
              <w:left w:val="nil"/>
              <w:bottom w:val="single" w:sz="4" w:space="0" w:color="auto"/>
              <w:right w:val="single" w:sz="4" w:space="0" w:color="auto"/>
            </w:tcBorders>
          </w:tcPr>
          <w:p w:rsidR="001E7B45" w:rsidRPr="00056A5C" w:rsidRDefault="001E7B45" w:rsidP="008C1AA9">
            <w:pPr>
              <w:spacing w:after="0" w:line="240" w:lineRule="auto"/>
              <w:jc w:val="center"/>
              <w:rPr>
                <w:rFonts w:eastAsia="Calibri"/>
                <w:color w:val="000000"/>
                <w:lang w:eastAsia="en-US"/>
              </w:rPr>
            </w:pPr>
            <w:r w:rsidRPr="00056A5C">
              <w:rPr>
                <w:rFonts w:eastAsia="Calibri"/>
                <w:color w:val="000000"/>
                <w:lang w:eastAsia="en-US"/>
              </w:rPr>
              <w:t>0%</w:t>
            </w:r>
          </w:p>
        </w:tc>
      </w:tr>
      <w:tr w:rsidR="001E7B45" w:rsidRPr="00056A5C" w:rsidTr="00DF11F6">
        <w:trPr>
          <w:trHeight w:val="255"/>
        </w:trPr>
        <w:tc>
          <w:tcPr>
            <w:tcW w:w="709" w:type="dxa"/>
            <w:tcBorders>
              <w:top w:val="nil"/>
              <w:left w:val="single" w:sz="4" w:space="0" w:color="auto"/>
              <w:bottom w:val="single" w:sz="4" w:space="0" w:color="auto"/>
              <w:right w:val="single" w:sz="4" w:space="0" w:color="auto"/>
            </w:tcBorders>
            <w:noWrap/>
          </w:tcPr>
          <w:p w:rsidR="001E7B45" w:rsidRPr="00056A5C" w:rsidRDefault="001E7B45" w:rsidP="008C1AA9">
            <w:pPr>
              <w:spacing w:after="0" w:line="240" w:lineRule="auto"/>
              <w:rPr>
                <w:rFonts w:eastAsia="Calibri"/>
                <w:color w:val="000000"/>
                <w:lang w:val="en-US" w:eastAsia="en-US"/>
              </w:rPr>
            </w:pPr>
            <w:r w:rsidRPr="00056A5C">
              <w:rPr>
                <w:rFonts w:eastAsia="Calibri"/>
                <w:color w:val="000000"/>
                <w:lang w:val="en-US" w:eastAsia="en-US"/>
              </w:rPr>
              <w:t>7.</w:t>
            </w:r>
          </w:p>
        </w:tc>
        <w:tc>
          <w:tcPr>
            <w:tcW w:w="4678" w:type="dxa"/>
            <w:tcBorders>
              <w:top w:val="nil"/>
              <w:left w:val="nil"/>
              <w:bottom w:val="single" w:sz="4" w:space="0" w:color="auto"/>
              <w:right w:val="single" w:sz="4" w:space="0" w:color="auto"/>
            </w:tcBorders>
            <w:noWrap/>
          </w:tcPr>
          <w:p w:rsidR="001E7B45" w:rsidRPr="00056A5C" w:rsidRDefault="001E7B45" w:rsidP="008C1AA9">
            <w:pPr>
              <w:spacing w:after="0" w:line="240" w:lineRule="auto"/>
              <w:rPr>
                <w:rFonts w:eastAsia="Calibri"/>
                <w:color w:val="000000"/>
                <w:lang w:eastAsia="en-US"/>
              </w:rPr>
            </w:pPr>
            <w:r w:rsidRPr="00056A5C">
              <w:rPr>
                <w:rFonts w:eastAsia="Calibri"/>
                <w:color w:val="000000"/>
                <w:lang w:eastAsia="en-US"/>
              </w:rPr>
              <w:t>ЗАО «Экран – Энергия»</w:t>
            </w:r>
          </w:p>
        </w:tc>
        <w:tc>
          <w:tcPr>
            <w:tcW w:w="1417" w:type="dxa"/>
            <w:tcBorders>
              <w:top w:val="nil"/>
              <w:left w:val="nil"/>
              <w:bottom w:val="single" w:sz="4" w:space="0" w:color="auto"/>
              <w:right w:val="single" w:sz="4" w:space="0" w:color="auto"/>
            </w:tcBorders>
            <w:noWrap/>
          </w:tcPr>
          <w:p w:rsidR="001E7B45" w:rsidRPr="00056A5C" w:rsidRDefault="001E7B45" w:rsidP="008C1AA9">
            <w:pPr>
              <w:spacing w:after="0" w:line="240" w:lineRule="auto"/>
              <w:jc w:val="right"/>
              <w:rPr>
                <w:rFonts w:eastAsia="Calibri"/>
                <w:color w:val="000000"/>
                <w:lang w:val="en-US" w:eastAsia="en-US"/>
              </w:rPr>
            </w:pPr>
          </w:p>
        </w:tc>
        <w:tc>
          <w:tcPr>
            <w:tcW w:w="1417" w:type="dxa"/>
            <w:tcBorders>
              <w:top w:val="nil"/>
              <w:left w:val="nil"/>
              <w:bottom w:val="single" w:sz="4" w:space="0" w:color="auto"/>
              <w:right w:val="single" w:sz="4" w:space="0" w:color="auto"/>
            </w:tcBorders>
          </w:tcPr>
          <w:p w:rsidR="001E7B45" w:rsidRPr="00056A5C" w:rsidRDefault="001E7B45" w:rsidP="008C1AA9">
            <w:pPr>
              <w:spacing w:after="0" w:line="240" w:lineRule="auto"/>
              <w:jc w:val="right"/>
              <w:rPr>
                <w:rFonts w:eastAsia="Calibri"/>
                <w:color w:val="000000"/>
                <w:lang w:val="en-US" w:eastAsia="en-US"/>
              </w:rPr>
            </w:pPr>
          </w:p>
        </w:tc>
        <w:tc>
          <w:tcPr>
            <w:tcW w:w="1134" w:type="dxa"/>
            <w:tcBorders>
              <w:top w:val="nil"/>
              <w:left w:val="nil"/>
              <w:bottom w:val="single" w:sz="4" w:space="0" w:color="auto"/>
              <w:right w:val="single" w:sz="4" w:space="0" w:color="auto"/>
            </w:tcBorders>
          </w:tcPr>
          <w:p w:rsidR="001E7B45" w:rsidRPr="00056A5C" w:rsidRDefault="001E7B45" w:rsidP="008C1AA9">
            <w:pPr>
              <w:spacing w:after="0" w:line="240" w:lineRule="auto"/>
              <w:jc w:val="center"/>
              <w:rPr>
                <w:rFonts w:eastAsia="Calibri"/>
                <w:color w:val="000000"/>
                <w:lang w:eastAsia="en-US"/>
              </w:rPr>
            </w:pPr>
            <w:r w:rsidRPr="00056A5C">
              <w:rPr>
                <w:rFonts w:eastAsia="Calibri"/>
                <w:color w:val="000000"/>
                <w:lang w:eastAsia="en-US"/>
              </w:rPr>
              <w:t>0%</w:t>
            </w:r>
          </w:p>
        </w:tc>
      </w:tr>
      <w:tr w:rsidR="001E7B45" w:rsidRPr="00056A5C" w:rsidTr="00DF11F6">
        <w:trPr>
          <w:trHeight w:val="255"/>
        </w:trPr>
        <w:tc>
          <w:tcPr>
            <w:tcW w:w="709" w:type="dxa"/>
            <w:tcBorders>
              <w:top w:val="single" w:sz="4" w:space="0" w:color="auto"/>
              <w:left w:val="single" w:sz="4" w:space="0" w:color="auto"/>
              <w:bottom w:val="single" w:sz="4" w:space="0" w:color="auto"/>
              <w:right w:val="single" w:sz="4" w:space="0" w:color="auto"/>
            </w:tcBorders>
            <w:noWrap/>
          </w:tcPr>
          <w:p w:rsidR="001E7B45" w:rsidRPr="00056A5C" w:rsidRDefault="001E7B45" w:rsidP="008C1AA9">
            <w:pPr>
              <w:spacing w:after="0" w:line="240" w:lineRule="auto"/>
              <w:rPr>
                <w:rFonts w:eastAsia="Calibri"/>
                <w:color w:val="000000"/>
                <w:lang w:val="en-US" w:eastAsia="en-US"/>
              </w:rPr>
            </w:pPr>
            <w:r w:rsidRPr="00056A5C">
              <w:rPr>
                <w:rFonts w:eastAsia="Calibri"/>
                <w:color w:val="000000"/>
                <w:lang w:val="en-US" w:eastAsia="en-US"/>
              </w:rPr>
              <w:t>8.</w:t>
            </w:r>
          </w:p>
        </w:tc>
        <w:tc>
          <w:tcPr>
            <w:tcW w:w="4678" w:type="dxa"/>
            <w:tcBorders>
              <w:top w:val="single" w:sz="4" w:space="0" w:color="auto"/>
              <w:left w:val="nil"/>
              <w:bottom w:val="single" w:sz="4" w:space="0" w:color="auto"/>
              <w:right w:val="single" w:sz="4" w:space="0" w:color="auto"/>
            </w:tcBorders>
            <w:noWrap/>
          </w:tcPr>
          <w:p w:rsidR="001E7B45" w:rsidRPr="00056A5C" w:rsidRDefault="001E7B45" w:rsidP="008C1AA9">
            <w:pPr>
              <w:spacing w:after="0" w:line="240" w:lineRule="auto"/>
              <w:rPr>
                <w:rFonts w:eastAsia="Calibri"/>
                <w:color w:val="000000"/>
                <w:lang w:eastAsia="en-US"/>
              </w:rPr>
            </w:pPr>
            <w:r w:rsidRPr="00056A5C">
              <w:rPr>
                <w:rFonts w:eastAsia="Calibri"/>
                <w:color w:val="000000"/>
                <w:lang w:eastAsia="en-US"/>
              </w:rPr>
              <w:t>ООО «БЭМЗ-Энергосервис»</w:t>
            </w:r>
          </w:p>
        </w:tc>
        <w:tc>
          <w:tcPr>
            <w:tcW w:w="1417" w:type="dxa"/>
            <w:tcBorders>
              <w:top w:val="single" w:sz="4" w:space="0" w:color="auto"/>
              <w:left w:val="nil"/>
              <w:bottom w:val="single" w:sz="4" w:space="0" w:color="auto"/>
              <w:right w:val="single" w:sz="4" w:space="0" w:color="auto"/>
            </w:tcBorders>
            <w:noWrap/>
          </w:tcPr>
          <w:p w:rsidR="001E7B45" w:rsidRPr="00056A5C" w:rsidRDefault="001E7B45" w:rsidP="008C1AA9">
            <w:pPr>
              <w:spacing w:after="0" w:line="240" w:lineRule="auto"/>
              <w:jc w:val="right"/>
              <w:rPr>
                <w:rFonts w:eastAsia="Calibri"/>
                <w:color w:val="000000"/>
                <w:lang w:val="en-US" w:eastAsia="en-US"/>
              </w:rPr>
            </w:pPr>
          </w:p>
        </w:tc>
        <w:tc>
          <w:tcPr>
            <w:tcW w:w="1417" w:type="dxa"/>
            <w:tcBorders>
              <w:top w:val="single" w:sz="4" w:space="0" w:color="auto"/>
              <w:left w:val="nil"/>
              <w:bottom w:val="single" w:sz="4" w:space="0" w:color="auto"/>
              <w:right w:val="single" w:sz="4" w:space="0" w:color="auto"/>
            </w:tcBorders>
          </w:tcPr>
          <w:p w:rsidR="001E7B45" w:rsidRPr="00056A5C" w:rsidRDefault="001E7B45" w:rsidP="008C1AA9">
            <w:pPr>
              <w:spacing w:after="0" w:line="240" w:lineRule="auto"/>
              <w:jc w:val="right"/>
              <w:rPr>
                <w:rFonts w:eastAsia="Calibri"/>
                <w:color w:val="000000"/>
                <w:lang w:val="en-US" w:eastAsia="en-US"/>
              </w:rPr>
            </w:pPr>
          </w:p>
        </w:tc>
        <w:tc>
          <w:tcPr>
            <w:tcW w:w="1134" w:type="dxa"/>
            <w:tcBorders>
              <w:top w:val="single" w:sz="4" w:space="0" w:color="auto"/>
              <w:left w:val="nil"/>
              <w:bottom w:val="single" w:sz="4" w:space="0" w:color="auto"/>
              <w:right w:val="single" w:sz="4" w:space="0" w:color="auto"/>
            </w:tcBorders>
          </w:tcPr>
          <w:p w:rsidR="001E7B45" w:rsidRPr="00056A5C" w:rsidRDefault="001E7B45" w:rsidP="008C1AA9">
            <w:pPr>
              <w:spacing w:after="0" w:line="240" w:lineRule="auto"/>
              <w:jc w:val="center"/>
              <w:rPr>
                <w:rFonts w:eastAsia="Calibri"/>
                <w:color w:val="000000"/>
                <w:lang w:eastAsia="en-US"/>
              </w:rPr>
            </w:pPr>
            <w:r w:rsidRPr="00056A5C">
              <w:rPr>
                <w:rFonts w:eastAsia="Calibri"/>
                <w:color w:val="000000"/>
                <w:lang w:eastAsia="en-US"/>
              </w:rPr>
              <w:t>0%</w:t>
            </w:r>
          </w:p>
        </w:tc>
      </w:tr>
      <w:tr w:rsidR="001E7B45" w:rsidRPr="00056A5C" w:rsidTr="00DF11F6">
        <w:trPr>
          <w:trHeight w:val="255"/>
        </w:trPr>
        <w:tc>
          <w:tcPr>
            <w:tcW w:w="709" w:type="dxa"/>
            <w:tcBorders>
              <w:top w:val="single" w:sz="4" w:space="0" w:color="auto"/>
              <w:left w:val="single" w:sz="4" w:space="0" w:color="auto"/>
              <w:bottom w:val="single" w:sz="4" w:space="0" w:color="auto"/>
              <w:right w:val="single" w:sz="4" w:space="0" w:color="auto"/>
            </w:tcBorders>
            <w:noWrap/>
          </w:tcPr>
          <w:p w:rsidR="001E7B45" w:rsidRPr="00056A5C" w:rsidRDefault="001E7B45" w:rsidP="008C1AA9">
            <w:pPr>
              <w:spacing w:after="0" w:line="240" w:lineRule="auto"/>
              <w:rPr>
                <w:rFonts w:eastAsia="Calibri"/>
                <w:color w:val="000000"/>
                <w:lang w:val="en-US" w:eastAsia="en-US"/>
              </w:rPr>
            </w:pPr>
            <w:r w:rsidRPr="00056A5C">
              <w:rPr>
                <w:rFonts w:eastAsia="Calibri"/>
                <w:color w:val="000000"/>
                <w:lang w:val="en-US" w:eastAsia="en-US"/>
              </w:rPr>
              <w:t>9.</w:t>
            </w:r>
          </w:p>
        </w:tc>
        <w:tc>
          <w:tcPr>
            <w:tcW w:w="4678" w:type="dxa"/>
            <w:tcBorders>
              <w:top w:val="single" w:sz="4" w:space="0" w:color="auto"/>
              <w:left w:val="nil"/>
              <w:bottom w:val="single" w:sz="4" w:space="0" w:color="auto"/>
              <w:right w:val="single" w:sz="4" w:space="0" w:color="auto"/>
            </w:tcBorders>
            <w:noWrap/>
          </w:tcPr>
          <w:p w:rsidR="001E7B45" w:rsidRPr="00056A5C" w:rsidRDefault="001E7B45" w:rsidP="008C1AA9">
            <w:pPr>
              <w:spacing w:after="0" w:line="240" w:lineRule="auto"/>
              <w:rPr>
                <w:rFonts w:eastAsia="Calibri"/>
                <w:color w:val="000000"/>
                <w:lang w:eastAsia="en-US"/>
              </w:rPr>
            </w:pPr>
            <w:r w:rsidRPr="00056A5C">
              <w:rPr>
                <w:rFonts w:eastAsia="Calibri"/>
                <w:color w:val="000000"/>
                <w:lang w:eastAsia="en-US"/>
              </w:rPr>
              <w:t>ООО «Новосибирский оловянный комбинат»</w:t>
            </w:r>
          </w:p>
        </w:tc>
        <w:tc>
          <w:tcPr>
            <w:tcW w:w="1417" w:type="dxa"/>
            <w:tcBorders>
              <w:top w:val="single" w:sz="4" w:space="0" w:color="auto"/>
              <w:left w:val="nil"/>
              <w:bottom w:val="single" w:sz="4" w:space="0" w:color="auto"/>
              <w:right w:val="single" w:sz="4" w:space="0" w:color="auto"/>
            </w:tcBorders>
            <w:noWrap/>
          </w:tcPr>
          <w:p w:rsidR="001E7B45" w:rsidRPr="00056A5C" w:rsidRDefault="001E7B45" w:rsidP="008C1AA9">
            <w:pPr>
              <w:spacing w:after="0" w:line="240" w:lineRule="auto"/>
              <w:jc w:val="right"/>
              <w:rPr>
                <w:rFonts w:eastAsia="Calibri"/>
                <w:color w:val="000000"/>
                <w:lang w:eastAsia="en-US"/>
              </w:rPr>
            </w:pPr>
          </w:p>
        </w:tc>
        <w:tc>
          <w:tcPr>
            <w:tcW w:w="1417" w:type="dxa"/>
            <w:tcBorders>
              <w:top w:val="single" w:sz="4" w:space="0" w:color="auto"/>
              <w:left w:val="nil"/>
              <w:bottom w:val="single" w:sz="4" w:space="0" w:color="auto"/>
              <w:right w:val="single" w:sz="4" w:space="0" w:color="auto"/>
            </w:tcBorders>
          </w:tcPr>
          <w:p w:rsidR="001E7B45" w:rsidRPr="00056A5C" w:rsidRDefault="001E7B45" w:rsidP="008C1AA9">
            <w:pPr>
              <w:spacing w:after="0" w:line="240" w:lineRule="auto"/>
              <w:jc w:val="right"/>
              <w:rPr>
                <w:rFonts w:eastAsia="Calibri"/>
                <w:color w:val="000000"/>
                <w:lang w:eastAsia="en-US"/>
              </w:rPr>
            </w:pPr>
          </w:p>
        </w:tc>
        <w:tc>
          <w:tcPr>
            <w:tcW w:w="1134" w:type="dxa"/>
            <w:tcBorders>
              <w:top w:val="single" w:sz="4" w:space="0" w:color="auto"/>
              <w:left w:val="nil"/>
              <w:bottom w:val="single" w:sz="4" w:space="0" w:color="auto"/>
              <w:right w:val="single" w:sz="4" w:space="0" w:color="auto"/>
            </w:tcBorders>
          </w:tcPr>
          <w:p w:rsidR="001E7B45" w:rsidRPr="00056A5C" w:rsidRDefault="001E7B45" w:rsidP="008C1AA9">
            <w:pPr>
              <w:spacing w:after="0" w:line="240" w:lineRule="auto"/>
              <w:jc w:val="center"/>
              <w:rPr>
                <w:rFonts w:eastAsia="Calibri"/>
                <w:color w:val="000000"/>
                <w:lang w:eastAsia="en-US"/>
              </w:rPr>
            </w:pPr>
            <w:r w:rsidRPr="00056A5C">
              <w:rPr>
                <w:rFonts w:eastAsia="Calibri"/>
                <w:color w:val="000000"/>
                <w:lang w:eastAsia="en-US"/>
              </w:rPr>
              <w:t>0%</w:t>
            </w:r>
          </w:p>
        </w:tc>
      </w:tr>
      <w:tr w:rsidR="001E7B45" w:rsidRPr="00056A5C" w:rsidTr="00DF11F6">
        <w:trPr>
          <w:trHeight w:val="255"/>
        </w:trPr>
        <w:tc>
          <w:tcPr>
            <w:tcW w:w="709" w:type="dxa"/>
            <w:tcBorders>
              <w:top w:val="single" w:sz="4" w:space="0" w:color="auto"/>
              <w:left w:val="single" w:sz="4" w:space="0" w:color="auto"/>
              <w:bottom w:val="single" w:sz="4" w:space="0" w:color="auto"/>
              <w:right w:val="single" w:sz="4" w:space="0" w:color="auto"/>
            </w:tcBorders>
            <w:noWrap/>
          </w:tcPr>
          <w:p w:rsidR="001E7B45" w:rsidRPr="00056A5C" w:rsidRDefault="001E7B45" w:rsidP="008C1AA9">
            <w:pPr>
              <w:spacing w:after="0" w:line="240" w:lineRule="auto"/>
              <w:rPr>
                <w:rFonts w:eastAsia="Calibri"/>
                <w:color w:val="000000"/>
                <w:lang w:val="en-US" w:eastAsia="en-US"/>
              </w:rPr>
            </w:pPr>
            <w:r w:rsidRPr="00056A5C">
              <w:rPr>
                <w:rFonts w:eastAsia="Calibri"/>
                <w:color w:val="000000"/>
                <w:lang w:val="en-US" w:eastAsia="en-US"/>
              </w:rPr>
              <w:t>10.</w:t>
            </w:r>
          </w:p>
        </w:tc>
        <w:tc>
          <w:tcPr>
            <w:tcW w:w="4678" w:type="dxa"/>
            <w:tcBorders>
              <w:top w:val="single" w:sz="4" w:space="0" w:color="auto"/>
              <w:left w:val="nil"/>
              <w:bottom w:val="single" w:sz="4" w:space="0" w:color="auto"/>
              <w:right w:val="single" w:sz="4" w:space="0" w:color="auto"/>
            </w:tcBorders>
            <w:noWrap/>
          </w:tcPr>
          <w:p w:rsidR="001E7B45" w:rsidRPr="00056A5C" w:rsidRDefault="001E7B45" w:rsidP="008C1AA9">
            <w:pPr>
              <w:spacing w:after="0" w:line="240" w:lineRule="auto"/>
              <w:jc w:val="both"/>
              <w:rPr>
                <w:rFonts w:eastAsia="Calibri"/>
                <w:color w:val="000000"/>
                <w:lang w:eastAsia="en-US"/>
              </w:rPr>
            </w:pPr>
            <w:r w:rsidRPr="00056A5C">
              <w:rPr>
                <w:rFonts w:eastAsia="Calibri"/>
                <w:color w:val="000000"/>
                <w:lang w:eastAsia="en-US"/>
              </w:rPr>
              <w:t>ООО «Сибирские электросети»</w:t>
            </w:r>
          </w:p>
        </w:tc>
        <w:tc>
          <w:tcPr>
            <w:tcW w:w="1417" w:type="dxa"/>
            <w:tcBorders>
              <w:top w:val="single" w:sz="4" w:space="0" w:color="auto"/>
              <w:left w:val="nil"/>
              <w:bottom w:val="single" w:sz="4" w:space="0" w:color="auto"/>
              <w:right w:val="single" w:sz="4" w:space="0" w:color="auto"/>
            </w:tcBorders>
            <w:noWrap/>
          </w:tcPr>
          <w:p w:rsidR="001E7B45" w:rsidRPr="00056A5C" w:rsidRDefault="001E7B45" w:rsidP="008C1AA9">
            <w:pPr>
              <w:spacing w:after="0" w:line="240" w:lineRule="auto"/>
              <w:jc w:val="right"/>
              <w:rPr>
                <w:rFonts w:eastAsia="Calibri"/>
                <w:color w:val="000000"/>
                <w:lang w:val="en-US" w:eastAsia="en-US"/>
              </w:rPr>
            </w:pPr>
          </w:p>
        </w:tc>
        <w:tc>
          <w:tcPr>
            <w:tcW w:w="1417" w:type="dxa"/>
            <w:tcBorders>
              <w:top w:val="single" w:sz="4" w:space="0" w:color="auto"/>
              <w:left w:val="nil"/>
              <w:bottom w:val="single" w:sz="4" w:space="0" w:color="auto"/>
              <w:right w:val="single" w:sz="4" w:space="0" w:color="auto"/>
            </w:tcBorders>
          </w:tcPr>
          <w:p w:rsidR="001E7B45" w:rsidRPr="00056A5C" w:rsidRDefault="001E7B45" w:rsidP="008C1AA9">
            <w:pPr>
              <w:spacing w:after="0" w:line="240" w:lineRule="auto"/>
              <w:jc w:val="right"/>
              <w:rPr>
                <w:rFonts w:eastAsia="Calibri"/>
                <w:color w:val="000000"/>
                <w:lang w:eastAsia="en-US"/>
              </w:rPr>
            </w:pPr>
          </w:p>
        </w:tc>
        <w:tc>
          <w:tcPr>
            <w:tcW w:w="1134" w:type="dxa"/>
            <w:tcBorders>
              <w:top w:val="single" w:sz="4" w:space="0" w:color="auto"/>
              <w:left w:val="nil"/>
              <w:bottom w:val="single" w:sz="4" w:space="0" w:color="auto"/>
              <w:right w:val="single" w:sz="4" w:space="0" w:color="auto"/>
            </w:tcBorders>
          </w:tcPr>
          <w:p w:rsidR="001E7B45" w:rsidRPr="00056A5C" w:rsidRDefault="001E7B45" w:rsidP="008C1AA9">
            <w:pPr>
              <w:spacing w:after="0" w:line="240" w:lineRule="auto"/>
              <w:jc w:val="center"/>
              <w:rPr>
                <w:rFonts w:eastAsia="Calibri"/>
                <w:color w:val="000000"/>
                <w:lang w:eastAsia="en-US"/>
              </w:rPr>
            </w:pPr>
            <w:r w:rsidRPr="00056A5C">
              <w:rPr>
                <w:rFonts w:eastAsia="Calibri"/>
                <w:color w:val="000000"/>
                <w:lang w:eastAsia="en-US"/>
              </w:rPr>
              <w:t>0%</w:t>
            </w:r>
          </w:p>
        </w:tc>
      </w:tr>
      <w:tr w:rsidR="001E7B45" w:rsidRPr="00056A5C" w:rsidTr="00DF11F6">
        <w:trPr>
          <w:trHeight w:val="255"/>
        </w:trPr>
        <w:tc>
          <w:tcPr>
            <w:tcW w:w="709" w:type="dxa"/>
            <w:tcBorders>
              <w:top w:val="single" w:sz="4" w:space="0" w:color="auto"/>
              <w:left w:val="single" w:sz="4" w:space="0" w:color="auto"/>
              <w:bottom w:val="single" w:sz="4" w:space="0" w:color="auto"/>
              <w:right w:val="single" w:sz="4" w:space="0" w:color="auto"/>
            </w:tcBorders>
            <w:noWrap/>
          </w:tcPr>
          <w:p w:rsidR="001E7B45" w:rsidRPr="00056A5C" w:rsidRDefault="001E7B45" w:rsidP="008C1AA9">
            <w:pPr>
              <w:spacing w:after="0" w:line="240" w:lineRule="auto"/>
              <w:rPr>
                <w:rFonts w:eastAsia="Calibri"/>
                <w:color w:val="000000"/>
                <w:lang w:val="en-US" w:eastAsia="en-US"/>
              </w:rPr>
            </w:pPr>
            <w:r w:rsidRPr="00056A5C">
              <w:rPr>
                <w:rFonts w:eastAsia="Calibri"/>
                <w:color w:val="000000"/>
                <w:lang w:val="en-US" w:eastAsia="en-US"/>
              </w:rPr>
              <w:t>11.</w:t>
            </w:r>
          </w:p>
        </w:tc>
        <w:tc>
          <w:tcPr>
            <w:tcW w:w="4678" w:type="dxa"/>
            <w:tcBorders>
              <w:top w:val="single" w:sz="4" w:space="0" w:color="auto"/>
              <w:left w:val="nil"/>
              <w:bottom w:val="single" w:sz="4" w:space="0" w:color="auto"/>
              <w:right w:val="single" w:sz="4" w:space="0" w:color="auto"/>
            </w:tcBorders>
            <w:noWrap/>
          </w:tcPr>
          <w:p w:rsidR="001E7B45" w:rsidRPr="00056A5C" w:rsidRDefault="001E7B45" w:rsidP="008C1AA9">
            <w:pPr>
              <w:spacing w:after="0" w:line="240" w:lineRule="auto"/>
              <w:jc w:val="both"/>
              <w:rPr>
                <w:rFonts w:eastAsia="Calibri"/>
                <w:color w:val="000000"/>
                <w:lang w:eastAsia="en-US"/>
              </w:rPr>
            </w:pPr>
            <w:r w:rsidRPr="00056A5C">
              <w:rPr>
                <w:rFonts w:eastAsia="Calibri"/>
                <w:color w:val="000000"/>
                <w:lang w:eastAsia="en-US"/>
              </w:rPr>
              <w:t>ООО «Сервис-групп»</w:t>
            </w:r>
          </w:p>
        </w:tc>
        <w:tc>
          <w:tcPr>
            <w:tcW w:w="1417" w:type="dxa"/>
            <w:tcBorders>
              <w:top w:val="single" w:sz="4" w:space="0" w:color="auto"/>
              <w:left w:val="nil"/>
              <w:bottom w:val="single" w:sz="4" w:space="0" w:color="auto"/>
              <w:right w:val="single" w:sz="4" w:space="0" w:color="auto"/>
            </w:tcBorders>
            <w:noWrap/>
          </w:tcPr>
          <w:p w:rsidR="001E7B45" w:rsidRPr="00056A5C" w:rsidRDefault="001E7B45" w:rsidP="008C1AA9">
            <w:pPr>
              <w:spacing w:after="0" w:line="240" w:lineRule="auto"/>
              <w:jc w:val="right"/>
              <w:rPr>
                <w:rFonts w:eastAsia="Calibri"/>
                <w:color w:val="000000"/>
                <w:lang w:eastAsia="en-US"/>
              </w:rPr>
            </w:pPr>
          </w:p>
        </w:tc>
        <w:tc>
          <w:tcPr>
            <w:tcW w:w="1417" w:type="dxa"/>
            <w:tcBorders>
              <w:top w:val="single" w:sz="4" w:space="0" w:color="auto"/>
              <w:left w:val="nil"/>
              <w:bottom w:val="single" w:sz="4" w:space="0" w:color="auto"/>
              <w:right w:val="single" w:sz="4" w:space="0" w:color="auto"/>
            </w:tcBorders>
          </w:tcPr>
          <w:p w:rsidR="001E7B45" w:rsidRPr="00056A5C" w:rsidRDefault="001E7B45" w:rsidP="008C1AA9">
            <w:pPr>
              <w:spacing w:after="0" w:line="240" w:lineRule="auto"/>
              <w:jc w:val="right"/>
              <w:rPr>
                <w:rFonts w:eastAsia="Calibri"/>
                <w:color w:val="000000"/>
                <w:lang w:eastAsia="en-US"/>
              </w:rPr>
            </w:pPr>
          </w:p>
        </w:tc>
        <w:tc>
          <w:tcPr>
            <w:tcW w:w="1134" w:type="dxa"/>
            <w:tcBorders>
              <w:top w:val="single" w:sz="4" w:space="0" w:color="auto"/>
              <w:left w:val="nil"/>
              <w:bottom w:val="single" w:sz="4" w:space="0" w:color="auto"/>
              <w:right w:val="single" w:sz="4" w:space="0" w:color="auto"/>
            </w:tcBorders>
          </w:tcPr>
          <w:p w:rsidR="001E7B45" w:rsidRPr="00056A5C" w:rsidRDefault="001E7B45" w:rsidP="008C1AA9">
            <w:pPr>
              <w:spacing w:after="0" w:line="240" w:lineRule="auto"/>
              <w:jc w:val="center"/>
              <w:rPr>
                <w:rFonts w:eastAsia="Calibri"/>
                <w:color w:val="000000"/>
                <w:lang w:eastAsia="en-US"/>
              </w:rPr>
            </w:pPr>
            <w:r w:rsidRPr="00056A5C">
              <w:rPr>
                <w:rFonts w:eastAsia="Calibri"/>
                <w:color w:val="000000"/>
                <w:lang w:eastAsia="en-US"/>
              </w:rPr>
              <w:t>0%</w:t>
            </w:r>
          </w:p>
        </w:tc>
      </w:tr>
      <w:tr w:rsidR="001E7B45" w:rsidRPr="00056A5C" w:rsidTr="00DF11F6">
        <w:trPr>
          <w:trHeight w:val="255"/>
        </w:trPr>
        <w:tc>
          <w:tcPr>
            <w:tcW w:w="709" w:type="dxa"/>
            <w:tcBorders>
              <w:top w:val="single" w:sz="4" w:space="0" w:color="auto"/>
              <w:left w:val="single" w:sz="4" w:space="0" w:color="auto"/>
              <w:bottom w:val="single" w:sz="4" w:space="0" w:color="auto"/>
              <w:right w:val="single" w:sz="4" w:space="0" w:color="auto"/>
            </w:tcBorders>
            <w:noWrap/>
          </w:tcPr>
          <w:p w:rsidR="001E7B45" w:rsidRPr="00056A5C" w:rsidRDefault="001E7B45" w:rsidP="008C1AA9">
            <w:pPr>
              <w:spacing w:after="0" w:line="240" w:lineRule="auto"/>
              <w:rPr>
                <w:rFonts w:eastAsia="Calibri"/>
                <w:color w:val="000000"/>
                <w:lang w:val="en-US" w:eastAsia="en-US"/>
              </w:rPr>
            </w:pPr>
            <w:r w:rsidRPr="00056A5C">
              <w:rPr>
                <w:rFonts w:eastAsia="Calibri"/>
                <w:color w:val="000000"/>
                <w:lang w:val="en-US" w:eastAsia="en-US"/>
              </w:rPr>
              <w:t>12.</w:t>
            </w:r>
          </w:p>
        </w:tc>
        <w:tc>
          <w:tcPr>
            <w:tcW w:w="4678" w:type="dxa"/>
            <w:tcBorders>
              <w:top w:val="single" w:sz="4" w:space="0" w:color="auto"/>
              <w:left w:val="nil"/>
              <w:bottom w:val="single" w:sz="4" w:space="0" w:color="auto"/>
              <w:right w:val="single" w:sz="4" w:space="0" w:color="auto"/>
            </w:tcBorders>
            <w:noWrap/>
          </w:tcPr>
          <w:p w:rsidR="001E7B45" w:rsidRPr="00056A5C" w:rsidRDefault="001E7B45" w:rsidP="008C1AA9">
            <w:pPr>
              <w:spacing w:after="0" w:line="240" w:lineRule="auto"/>
              <w:jc w:val="both"/>
              <w:rPr>
                <w:rFonts w:eastAsia="Calibri"/>
                <w:color w:val="000000"/>
                <w:lang w:eastAsia="en-US"/>
              </w:rPr>
            </w:pPr>
            <w:r w:rsidRPr="00056A5C">
              <w:rPr>
                <w:rFonts w:eastAsia="Calibri"/>
                <w:color w:val="000000"/>
                <w:lang w:eastAsia="en-US"/>
              </w:rPr>
              <w:t>ОАО «Российские железные дороги»</w:t>
            </w:r>
          </w:p>
        </w:tc>
        <w:tc>
          <w:tcPr>
            <w:tcW w:w="1417" w:type="dxa"/>
            <w:tcBorders>
              <w:top w:val="single" w:sz="4" w:space="0" w:color="auto"/>
              <w:left w:val="nil"/>
              <w:bottom w:val="single" w:sz="4" w:space="0" w:color="auto"/>
              <w:right w:val="single" w:sz="4" w:space="0" w:color="auto"/>
            </w:tcBorders>
            <w:noWrap/>
          </w:tcPr>
          <w:p w:rsidR="001E7B45" w:rsidRPr="00056A5C" w:rsidRDefault="001E7B45" w:rsidP="008C1AA9">
            <w:pPr>
              <w:spacing w:after="0" w:line="240" w:lineRule="auto"/>
              <w:jc w:val="right"/>
              <w:rPr>
                <w:rFonts w:eastAsia="Calibri"/>
                <w:color w:val="000000"/>
                <w:lang w:eastAsia="en-US"/>
              </w:rPr>
            </w:pPr>
          </w:p>
        </w:tc>
        <w:tc>
          <w:tcPr>
            <w:tcW w:w="1417" w:type="dxa"/>
            <w:tcBorders>
              <w:top w:val="single" w:sz="4" w:space="0" w:color="auto"/>
              <w:left w:val="nil"/>
              <w:bottom w:val="single" w:sz="4" w:space="0" w:color="auto"/>
              <w:right w:val="single" w:sz="4" w:space="0" w:color="auto"/>
            </w:tcBorders>
          </w:tcPr>
          <w:p w:rsidR="001E7B45" w:rsidRPr="00056A5C" w:rsidRDefault="001E7B45" w:rsidP="008C1AA9">
            <w:pPr>
              <w:spacing w:after="0" w:line="240" w:lineRule="auto"/>
              <w:jc w:val="right"/>
              <w:rPr>
                <w:rFonts w:eastAsia="Calibri"/>
                <w:color w:val="000000"/>
                <w:lang w:eastAsia="en-US"/>
              </w:rPr>
            </w:pPr>
          </w:p>
        </w:tc>
        <w:tc>
          <w:tcPr>
            <w:tcW w:w="1134" w:type="dxa"/>
            <w:tcBorders>
              <w:top w:val="single" w:sz="4" w:space="0" w:color="auto"/>
              <w:left w:val="nil"/>
              <w:bottom w:val="single" w:sz="4" w:space="0" w:color="auto"/>
              <w:right w:val="single" w:sz="4" w:space="0" w:color="auto"/>
            </w:tcBorders>
          </w:tcPr>
          <w:p w:rsidR="001E7B45" w:rsidRPr="00056A5C" w:rsidRDefault="001E7B45" w:rsidP="008C1AA9">
            <w:pPr>
              <w:spacing w:after="0" w:line="240" w:lineRule="auto"/>
              <w:jc w:val="center"/>
              <w:rPr>
                <w:rFonts w:eastAsia="Calibri"/>
                <w:color w:val="000000"/>
                <w:lang w:eastAsia="en-US"/>
              </w:rPr>
            </w:pPr>
            <w:r w:rsidRPr="00056A5C">
              <w:rPr>
                <w:rFonts w:eastAsia="Calibri"/>
                <w:color w:val="000000"/>
                <w:lang w:eastAsia="en-US"/>
              </w:rPr>
              <w:t>0%</w:t>
            </w:r>
          </w:p>
        </w:tc>
      </w:tr>
      <w:tr w:rsidR="001E7B45" w:rsidRPr="00056A5C" w:rsidTr="00DF11F6">
        <w:trPr>
          <w:trHeight w:val="255"/>
        </w:trPr>
        <w:tc>
          <w:tcPr>
            <w:tcW w:w="709" w:type="dxa"/>
            <w:tcBorders>
              <w:top w:val="single" w:sz="4" w:space="0" w:color="auto"/>
              <w:left w:val="single" w:sz="4" w:space="0" w:color="auto"/>
              <w:bottom w:val="single" w:sz="4" w:space="0" w:color="auto"/>
              <w:right w:val="single" w:sz="4" w:space="0" w:color="auto"/>
            </w:tcBorders>
            <w:noWrap/>
          </w:tcPr>
          <w:p w:rsidR="001E7B45" w:rsidRPr="00056A5C" w:rsidRDefault="001E7B45" w:rsidP="008C1AA9">
            <w:pPr>
              <w:spacing w:after="0" w:line="240" w:lineRule="auto"/>
              <w:rPr>
                <w:rFonts w:eastAsia="Calibri"/>
                <w:color w:val="000000"/>
                <w:lang w:val="en-US" w:eastAsia="en-US"/>
              </w:rPr>
            </w:pPr>
            <w:r w:rsidRPr="00056A5C">
              <w:rPr>
                <w:rFonts w:eastAsia="Calibri"/>
                <w:color w:val="000000"/>
                <w:lang w:val="en-US" w:eastAsia="en-US"/>
              </w:rPr>
              <w:lastRenderedPageBreak/>
              <w:t>13.</w:t>
            </w:r>
          </w:p>
        </w:tc>
        <w:tc>
          <w:tcPr>
            <w:tcW w:w="4678" w:type="dxa"/>
            <w:tcBorders>
              <w:top w:val="single" w:sz="4" w:space="0" w:color="auto"/>
              <w:left w:val="nil"/>
              <w:bottom w:val="single" w:sz="4" w:space="0" w:color="auto"/>
              <w:right w:val="single" w:sz="4" w:space="0" w:color="auto"/>
            </w:tcBorders>
            <w:noWrap/>
          </w:tcPr>
          <w:p w:rsidR="001E7B45" w:rsidRPr="00056A5C" w:rsidRDefault="001E7B45" w:rsidP="008C1AA9">
            <w:pPr>
              <w:spacing w:after="0" w:line="240" w:lineRule="auto"/>
              <w:jc w:val="both"/>
              <w:rPr>
                <w:rFonts w:eastAsia="Calibri"/>
                <w:color w:val="000000"/>
                <w:lang w:eastAsia="en-US"/>
              </w:rPr>
            </w:pPr>
            <w:r w:rsidRPr="00056A5C">
              <w:rPr>
                <w:rFonts w:eastAsia="Calibri"/>
                <w:color w:val="000000"/>
                <w:lang w:eastAsia="en-US"/>
              </w:rPr>
              <w:t>АО «Аэропорт Толмачево»</w:t>
            </w:r>
          </w:p>
        </w:tc>
        <w:tc>
          <w:tcPr>
            <w:tcW w:w="1417" w:type="dxa"/>
            <w:tcBorders>
              <w:top w:val="single" w:sz="4" w:space="0" w:color="auto"/>
              <w:left w:val="nil"/>
              <w:bottom w:val="single" w:sz="4" w:space="0" w:color="auto"/>
              <w:right w:val="single" w:sz="4" w:space="0" w:color="auto"/>
            </w:tcBorders>
            <w:noWrap/>
          </w:tcPr>
          <w:p w:rsidR="001E7B45" w:rsidRPr="00056A5C" w:rsidRDefault="001E7B45" w:rsidP="008C1AA9">
            <w:pPr>
              <w:spacing w:after="0" w:line="240" w:lineRule="auto"/>
              <w:jc w:val="right"/>
              <w:rPr>
                <w:rFonts w:eastAsia="Calibri"/>
                <w:color w:val="000000"/>
                <w:lang w:eastAsia="en-US"/>
              </w:rPr>
            </w:pPr>
          </w:p>
        </w:tc>
        <w:tc>
          <w:tcPr>
            <w:tcW w:w="1417" w:type="dxa"/>
            <w:tcBorders>
              <w:top w:val="single" w:sz="4" w:space="0" w:color="auto"/>
              <w:left w:val="nil"/>
              <w:bottom w:val="single" w:sz="4" w:space="0" w:color="auto"/>
              <w:right w:val="single" w:sz="4" w:space="0" w:color="auto"/>
            </w:tcBorders>
          </w:tcPr>
          <w:p w:rsidR="001E7B45" w:rsidRPr="00056A5C" w:rsidRDefault="001E7B45" w:rsidP="008C1AA9">
            <w:pPr>
              <w:spacing w:after="0" w:line="240" w:lineRule="auto"/>
              <w:jc w:val="right"/>
              <w:rPr>
                <w:rFonts w:eastAsia="Calibri"/>
                <w:color w:val="000000"/>
                <w:lang w:eastAsia="en-US"/>
              </w:rPr>
            </w:pPr>
          </w:p>
        </w:tc>
        <w:tc>
          <w:tcPr>
            <w:tcW w:w="1134" w:type="dxa"/>
            <w:tcBorders>
              <w:top w:val="single" w:sz="4" w:space="0" w:color="auto"/>
              <w:left w:val="nil"/>
              <w:bottom w:val="single" w:sz="4" w:space="0" w:color="auto"/>
              <w:right w:val="single" w:sz="4" w:space="0" w:color="auto"/>
            </w:tcBorders>
          </w:tcPr>
          <w:p w:rsidR="001E7B45" w:rsidRPr="00056A5C" w:rsidRDefault="001E7B45" w:rsidP="008C1AA9">
            <w:pPr>
              <w:spacing w:after="0" w:line="240" w:lineRule="auto"/>
              <w:jc w:val="center"/>
              <w:rPr>
                <w:rFonts w:eastAsia="Calibri"/>
                <w:color w:val="000000"/>
                <w:lang w:eastAsia="en-US"/>
              </w:rPr>
            </w:pPr>
            <w:r w:rsidRPr="00056A5C">
              <w:rPr>
                <w:rFonts w:eastAsia="Calibri"/>
                <w:color w:val="000000"/>
                <w:lang w:eastAsia="en-US"/>
              </w:rPr>
              <w:t>0%</w:t>
            </w:r>
          </w:p>
        </w:tc>
      </w:tr>
      <w:tr w:rsidR="001E7B45" w:rsidRPr="00056A5C" w:rsidTr="00DF11F6">
        <w:trPr>
          <w:trHeight w:val="255"/>
        </w:trPr>
        <w:tc>
          <w:tcPr>
            <w:tcW w:w="709" w:type="dxa"/>
            <w:tcBorders>
              <w:top w:val="single" w:sz="4" w:space="0" w:color="auto"/>
              <w:left w:val="single" w:sz="4" w:space="0" w:color="auto"/>
              <w:bottom w:val="single" w:sz="4" w:space="0" w:color="auto"/>
              <w:right w:val="single" w:sz="4" w:space="0" w:color="auto"/>
            </w:tcBorders>
            <w:noWrap/>
          </w:tcPr>
          <w:p w:rsidR="001E7B45" w:rsidRPr="00056A5C" w:rsidRDefault="001E7B45" w:rsidP="008C1AA9">
            <w:pPr>
              <w:spacing w:after="0" w:line="240" w:lineRule="auto"/>
              <w:rPr>
                <w:rFonts w:eastAsia="Calibri"/>
                <w:color w:val="000000"/>
                <w:lang w:val="en-US" w:eastAsia="en-US"/>
              </w:rPr>
            </w:pPr>
            <w:r w:rsidRPr="00056A5C">
              <w:rPr>
                <w:rFonts w:eastAsia="Calibri"/>
                <w:color w:val="000000"/>
                <w:lang w:val="en-US" w:eastAsia="en-US"/>
              </w:rPr>
              <w:t>14.</w:t>
            </w:r>
          </w:p>
        </w:tc>
        <w:tc>
          <w:tcPr>
            <w:tcW w:w="4678" w:type="dxa"/>
            <w:tcBorders>
              <w:top w:val="single" w:sz="4" w:space="0" w:color="auto"/>
              <w:left w:val="nil"/>
              <w:bottom w:val="single" w:sz="4" w:space="0" w:color="auto"/>
              <w:right w:val="single" w:sz="4" w:space="0" w:color="auto"/>
            </w:tcBorders>
            <w:noWrap/>
          </w:tcPr>
          <w:p w:rsidR="001E7B45" w:rsidRPr="00056A5C" w:rsidRDefault="001E7B45" w:rsidP="008C1AA9">
            <w:pPr>
              <w:spacing w:after="0" w:line="240" w:lineRule="auto"/>
              <w:jc w:val="both"/>
              <w:rPr>
                <w:rFonts w:eastAsia="Calibri"/>
                <w:color w:val="000000"/>
                <w:lang w:eastAsia="en-US"/>
              </w:rPr>
            </w:pPr>
            <w:r w:rsidRPr="00056A5C">
              <w:rPr>
                <w:rFonts w:eastAsia="Calibri"/>
                <w:color w:val="000000"/>
                <w:lang w:eastAsia="en-US"/>
              </w:rPr>
              <w:t>ООО «Сибирские Энергетические Сети»</w:t>
            </w:r>
          </w:p>
        </w:tc>
        <w:tc>
          <w:tcPr>
            <w:tcW w:w="1417" w:type="dxa"/>
            <w:tcBorders>
              <w:top w:val="single" w:sz="4" w:space="0" w:color="auto"/>
              <w:left w:val="nil"/>
              <w:bottom w:val="single" w:sz="4" w:space="0" w:color="auto"/>
              <w:right w:val="single" w:sz="4" w:space="0" w:color="auto"/>
            </w:tcBorders>
            <w:noWrap/>
          </w:tcPr>
          <w:p w:rsidR="001E7B45" w:rsidRPr="00056A5C" w:rsidRDefault="001E7B45" w:rsidP="008C1AA9">
            <w:pPr>
              <w:spacing w:after="0" w:line="240" w:lineRule="auto"/>
              <w:jc w:val="right"/>
              <w:rPr>
                <w:rFonts w:eastAsia="Calibri"/>
                <w:color w:val="000000"/>
                <w:lang w:eastAsia="en-US"/>
              </w:rPr>
            </w:pPr>
          </w:p>
        </w:tc>
        <w:tc>
          <w:tcPr>
            <w:tcW w:w="1417" w:type="dxa"/>
            <w:tcBorders>
              <w:top w:val="single" w:sz="4" w:space="0" w:color="auto"/>
              <w:left w:val="nil"/>
              <w:bottom w:val="single" w:sz="4" w:space="0" w:color="auto"/>
              <w:right w:val="single" w:sz="4" w:space="0" w:color="auto"/>
            </w:tcBorders>
          </w:tcPr>
          <w:p w:rsidR="001E7B45" w:rsidRPr="00056A5C" w:rsidRDefault="001E7B45" w:rsidP="008C1AA9">
            <w:pPr>
              <w:spacing w:after="0" w:line="240" w:lineRule="auto"/>
              <w:jc w:val="right"/>
              <w:rPr>
                <w:rFonts w:eastAsia="Calibri"/>
                <w:b/>
                <w:color w:val="000000"/>
                <w:u w:val="single"/>
                <w:lang w:val="en-US" w:eastAsia="en-US"/>
              </w:rPr>
            </w:pPr>
          </w:p>
        </w:tc>
        <w:tc>
          <w:tcPr>
            <w:tcW w:w="1134" w:type="dxa"/>
            <w:tcBorders>
              <w:top w:val="single" w:sz="4" w:space="0" w:color="auto"/>
              <w:left w:val="nil"/>
              <w:bottom w:val="single" w:sz="4" w:space="0" w:color="auto"/>
              <w:right w:val="single" w:sz="4" w:space="0" w:color="auto"/>
            </w:tcBorders>
          </w:tcPr>
          <w:p w:rsidR="001E7B45" w:rsidRPr="00056A5C" w:rsidRDefault="001E7B45" w:rsidP="008C1AA9">
            <w:pPr>
              <w:spacing w:after="0" w:line="240" w:lineRule="auto"/>
              <w:jc w:val="center"/>
              <w:rPr>
                <w:rFonts w:eastAsia="Calibri"/>
                <w:color w:val="000000"/>
                <w:lang w:eastAsia="en-US"/>
              </w:rPr>
            </w:pPr>
            <w:r w:rsidRPr="00056A5C">
              <w:rPr>
                <w:rFonts w:eastAsia="Calibri"/>
                <w:color w:val="000000"/>
                <w:lang w:eastAsia="en-US"/>
              </w:rPr>
              <w:t>0%</w:t>
            </w:r>
          </w:p>
        </w:tc>
      </w:tr>
      <w:tr w:rsidR="001E7B45" w:rsidRPr="00056A5C" w:rsidTr="00DF11F6">
        <w:trPr>
          <w:trHeight w:val="647"/>
        </w:trPr>
        <w:tc>
          <w:tcPr>
            <w:tcW w:w="709" w:type="dxa"/>
            <w:tcBorders>
              <w:top w:val="single" w:sz="4" w:space="0" w:color="auto"/>
              <w:left w:val="single" w:sz="4" w:space="0" w:color="auto"/>
              <w:bottom w:val="single" w:sz="4" w:space="0" w:color="auto"/>
              <w:right w:val="single" w:sz="4" w:space="0" w:color="auto"/>
            </w:tcBorders>
            <w:noWrap/>
          </w:tcPr>
          <w:p w:rsidR="001E7B45" w:rsidRPr="00056A5C" w:rsidRDefault="001E7B45" w:rsidP="008C1AA9">
            <w:pPr>
              <w:spacing w:after="0" w:line="240" w:lineRule="auto"/>
              <w:rPr>
                <w:rFonts w:eastAsia="Calibri"/>
                <w:color w:val="000000"/>
                <w:lang w:val="en-US" w:eastAsia="en-US"/>
              </w:rPr>
            </w:pPr>
          </w:p>
        </w:tc>
        <w:tc>
          <w:tcPr>
            <w:tcW w:w="4678" w:type="dxa"/>
            <w:tcBorders>
              <w:top w:val="single" w:sz="4" w:space="0" w:color="auto"/>
              <w:left w:val="nil"/>
              <w:bottom w:val="single" w:sz="4" w:space="0" w:color="auto"/>
              <w:right w:val="single" w:sz="4" w:space="0" w:color="auto"/>
            </w:tcBorders>
            <w:noWrap/>
          </w:tcPr>
          <w:p w:rsidR="001E7B45" w:rsidRPr="00056A5C" w:rsidRDefault="001E7B45" w:rsidP="008C1AA9">
            <w:pPr>
              <w:spacing w:after="0" w:line="240" w:lineRule="auto"/>
              <w:rPr>
                <w:rFonts w:eastAsia="Calibri"/>
                <w:color w:val="000000"/>
                <w:lang w:eastAsia="en-US"/>
              </w:rPr>
            </w:pPr>
            <w:r w:rsidRPr="00056A5C">
              <w:rPr>
                <w:rFonts w:eastAsia="Calibri"/>
                <w:color w:val="000000"/>
                <w:lang w:eastAsia="en-US"/>
              </w:rPr>
              <w:t>ИТОГО сумма корректировки НВВ на 2020год:</w:t>
            </w:r>
          </w:p>
        </w:tc>
        <w:tc>
          <w:tcPr>
            <w:tcW w:w="1417" w:type="dxa"/>
            <w:tcBorders>
              <w:top w:val="single" w:sz="4" w:space="0" w:color="auto"/>
              <w:left w:val="nil"/>
              <w:bottom w:val="single" w:sz="4" w:space="0" w:color="auto"/>
              <w:right w:val="single" w:sz="4" w:space="0" w:color="auto"/>
            </w:tcBorders>
            <w:noWrap/>
          </w:tcPr>
          <w:p w:rsidR="001E7B45" w:rsidRPr="00056A5C" w:rsidRDefault="001E7B45" w:rsidP="008C1AA9">
            <w:pPr>
              <w:spacing w:after="0" w:line="240" w:lineRule="auto"/>
              <w:jc w:val="right"/>
              <w:rPr>
                <w:rFonts w:eastAsia="Calibri"/>
                <w:color w:val="000000"/>
                <w:lang w:eastAsia="en-US"/>
              </w:rPr>
            </w:pPr>
          </w:p>
        </w:tc>
        <w:tc>
          <w:tcPr>
            <w:tcW w:w="1417" w:type="dxa"/>
            <w:tcBorders>
              <w:top w:val="single" w:sz="4" w:space="0" w:color="auto"/>
              <w:left w:val="nil"/>
              <w:bottom w:val="single" w:sz="4" w:space="0" w:color="auto"/>
              <w:right w:val="single" w:sz="4" w:space="0" w:color="auto"/>
            </w:tcBorders>
          </w:tcPr>
          <w:p w:rsidR="001E7B45" w:rsidRPr="00056A5C" w:rsidRDefault="001E7B45" w:rsidP="008C1AA9">
            <w:pPr>
              <w:spacing w:after="0" w:line="240" w:lineRule="auto"/>
              <w:jc w:val="right"/>
              <w:rPr>
                <w:rFonts w:eastAsia="Calibri"/>
                <w:b/>
                <w:color w:val="000000"/>
                <w:u w:val="single"/>
                <w:lang w:val="en-US" w:eastAsia="en-US"/>
              </w:rPr>
            </w:pPr>
            <w:r w:rsidRPr="00056A5C">
              <w:rPr>
                <w:rFonts w:eastAsia="Calibri"/>
                <w:b/>
                <w:color w:val="000000"/>
                <w:u w:val="single"/>
                <w:lang w:val="en-US" w:eastAsia="en-US"/>
              </w:rPr>
              <w:t>+130678,63</w:t>
            </w:r>
          </w:p>
        </w:tc>
        <w:tc>
          <w:tcPr>
            <w:tcW w:w="1134" w:type="dxa"/>
            <w:tcBorders>
              <w:top w:val="single" w:sz="4" w:space="0" w:color="auto"/>
              <w:left w:val="nil"/>
              <w:bottom w:val="single" w:sz="4" w:space="0" w:color="auto"/>
              <w:right w:val="single" w:sz="4" w:space="0" w:color="auto"/>
            </w:tcBorders>
          </w:tcPr>
          <w:p w:rsidR="001E7B45" w:rsidRPr="00056A5C" w:rsidRDefault="001E7B45" w:rsidP="008C1AA9">
            <w:pPr>
              <w:spacing w:after="0" w:line="240" w:lineRule="auto"/>
              <w:jc w:val="center"/>
              <w:rPr>
                <w:rFonts w:eastAsia="Calibri"/>
                <w:color w:val="000000"/>
                <w:lang w:eastAsia="en-US"/>
              </w:rPr>
            </w:pPr>
          </w:p>
        </w:tc>
      </w:tr>
    </w:tbl>
    <w:p w:rsidR="001E7B45" w:rsidRPr="00056A5C" w:rsidRDefault="001E7B45" w:rsidP="008C1AA9">
      <w:pPr>
        <w:autoSpaceDE w:val="0"/>
        <w:autoSpaceDN w:val="0"/>
        <w:adjustRightInd w:val="0"/>
        <w:spacing w:after="0" w:line="240" w:lineRule="auto"/>
        <w:jc w:val="both"/>
        <w:rPr>
          <w:rFonts w:eastAsia="Times New Roman"/>
          <w:sz w:val="27"/>
          <w:szCs w:val="27"/>
          <w:lang w:val="en-US"/>
        </w:rPr>
      </w:pPr>
    </w:p>
    <w:p w:rsidR="001E7B45" w:rsidRPr="00056A5C" w:rsidRDefault="001E7B45" w:rsidP="008C1AA9">
      <w:pPr>
        <w:autoSpaceDE w:val="0"/>
        <w:autoSpaceDN w:val="0"/>
        <w:adjustRightInd w:val="0"/>
        <w:spacing w:after="0" w:line="240" w:lineRule="auto"/>
        <w:ind w:firstLine="708"/>
        <w:jc w:val="both"/>
        <w:rPr>
          <w:rFonts w:eastAsia="Times New Roman"/>
          <w:sz w:val="28"/>
          <w:szCs w:val="28"/>
        </w:rPr>
      </w:pPr>
      <w:r w:rsidRPr="00056A5C">
        <w:rPr>
          <w:rFonts w:eastAsia="Times New Roman"/>
          <w:sz w:val="28"/>
          <w:szCs w:val="28"/>
        </w:rPr>
        <w:t>В соответствии с требованиями постановления №1220 фактические значения показателей надежности и качества, а также индикативных показателей уровня надежности регулируемых электросетевых организаций (итоги 2018 года) опубликованы в срок до 01</w:t>
      </w:r>
      <w:r w:rsidR="00DF11F6">
        <w:rPr>
          <w:rFonts w:eastAsia="Times New Roman"/>
          <w:sz w:val="28"/>
          <w:szCs w:val="28"/>
        </w:rPr>
        <w:t>.06.2019г.</w:t>
      </w:r>
      <w:r w:rsidRPr="00056A5C">
        <w:rPr>
          <w:rFonts w:eastAsia="Times New Roman"/>
          <w:sz w:val="28"/>
          <w:szCs w:val="28"/>
        </w:rPr>
        <w:t xml:space="preserve"> на сайте </w:t>
      </w:r>
      <w:r w:rsidR="00DF11F6">
        <w:rPr>
          <w:rFonts w:eastAsia="Times New Roman"/>
          <w:sz w:val="28"/>
          <w:szCs w:val="28"/>
        </w:rPr>
        <w:t>Д</w:t>
      </w:r>
      <w:r w:rsidRPr="00056A5C">
        <w:rPr>
          <w:rFonts w:eastAsia="Times New Roman"/>
          <w:sz w:val="28"/>
          <w:szCs w:val="28"/>
        </w:rPr>
        <w:t xml:space="preserve">епартамента в сети Интернет: </w:t>
      </w:r>
      <w:hyperlink r:id="rId15" w:history="1">
        <w:r w:rsidRPr="00056A5C">
          <w:rPr>
            <w:rFonts w:eastAsia="Times New Roman"/>
            <w:sz w:val="28"/>
            <w:szCs w:val="28"/>
            <w:u w:val="single"/>
            <w:lang w:val="en-US"/>
          </w:rPr>
          <w:t>www</w:t>
        </w:r>
        <w:r w:rsidRPr="00056A5C">
          <w:rPr>
            <w:rFonts w:eastAsia="Times New Roman"/>
            <w:sz w:val="28"/>
            <w:szCs w:val="28"/>
            <w:u w:val="single"/>
          </w:rPr>
          <w:t>.</w:t>
        </w:r>
        <w:r w:rsidRPr="00056A5C">
          <w:rPr>
            <w:rFonts w:eastAsia="Times New Roman"/>
            <w:sz w:val="28"/>
            <w:szCs w:val="28"/>
            <w:u w:val="single"/>
            <w:lang w:val="en-US"/>
          </w:rPr>
          <w:t>tarif</w:t>
        </w:r>
        <w:r w:rsidRPr="00056A5C">
          <w:rPr>
            <w:rFonts w:eastAsia="Times New Roman"/>
            <w:sz w:val="28"/>
            <w:szCs w:val="28"/>
            <w:u w:val="single"/>
          </w:rPr>
          <w:t>.</w:t>
        </w:r>
        <w:r w:rsidRPr="00056A5C">
          <w:rPr>
            <w:rFonts w:eastAsia="Times New Roman"/>
            <w:sz w:val="28"/>
            <w:szCs w:val="28"/>
            <w:u w:val="single"/>
            <w:lang w:val="en-US"/>
          </w:rPr>
          <w:t>nso</w:t>
        </w:r>
        <w:r w:rsidRPr="00056A5C">
          <w:rPr>
            <w:rFonts w:eastAsia="Times New Roman"/>
            <w:sz w:val="28"/>
            <w:szCs w:val="28"/>
            <w:u w:val="single"/>
          </w:rPr>
          <w:t>.</w:t>
        </w:r>
        <w:r w:rsidRPr="00056A5C">
          <w:rPr>
            <w:rFonts w:eastAsia="Times New Roman"/>
            <w:sz w:val="28"/>
            <w:szCs w:val="28"/>
            <w:u w:val="single"/>
            <w:lang w:val="en-US"/>
          </w:rPr>
          <w:t>ru</w:t>
        </w:r>
      </w:hyperlink>
      <w:r w:rsidRPr="00056A5C">
        <w:rPr>
          <w:rFonts w:eastAsia="Times New Roman"/>
          <w:sz w:val="28"/>
          <w:szCs w:val="28"/>
        </w:rPr>
        <w:t xml:space="preserve">. (приказ </w:t>
      </w:r>
      <w:r w:rsidR="00B0259A">
        <w:rPr>
          <w:rFonts w:eastAsia="Times New Roman"/>
          <w:sz w:val="28"/>
          <w:szCs w:val="28"/>
        </w:rPr>
        <w:t>Д</w:t>
      </w:r>
      <w:r w:rsidRPr="00056A5C">
        <w:rPr>
          <w:rFonts w:eastAsia="Times New Roman"/>
          <w:sz w:val="28"/>
          <w:szCs w:val="28"/>
        </w:rPr>
        <w:t>епартамента от 21.05.2019г. №142-ЭЭ «Об определении фактических значений показателей надежности и качества оказываемых услуг для территориальных сетевых организаций Новосибирской области за 2018 год»).</w:t>
      </w:r>
    </w:p>
    <w:p w:rsidR="001E7B45" w:rsidRPr="00056A5C" w:rsidRDefault="001E7B45" w:rsidP="008C1AA9">
      <w:pPr>
        <w:autoSpaceDE w:val="0"/>
        <w:autoSpaceDN w:val="0"/>
        <w:adjustRightInd w:val="0"/>
        <w:spacing w:after="0" w:line="240" w:lineRule="auto"/>
        <w:ind w:firstLine="708"/>
        <w:jc w:val="both"/>
        <w:rPr>
          <w:rFonts w:eastAsia="Times New Roman"/>
          <w:color w:val="000000"/>
          <w:sz w:val="28"/>
          <w:szCs w:val="28"/>
        </w:rPr>
      </w:pPr>
      <w:r w:rsidRPr="00056A5C">
        <w:rPr>
          <w:rFonts w:eastAsia="Times New Roman"/>
          <w:color w:val="000000"/>
          <w:sz w:val="28"/>
          <w:szCs w:val="28"/>
        </w:rPr>
        <w:t xml:space="preserve">В соответствии </w:t>
      </w:r>
      <w:r w:rsidRPr="00056A5C">
        <w:rPr>
          <w:rFonts w:eastAsia="Times New Roman"/>
          <w:color w:val="000000"/>
          <w:sz w:val="28"/>
          <w:szCs w:val="28"/>
          <w:lang w:val="en-US"/>
        </w:rPr>
        <w:t>c</w:t>
      </w:r>
      <w:r w:rsidRPr="00056A5C">
        <w:rPr>
          <w:rFonts w:eastAsia="Times New Roman"/>
          <w:color w:val="000000"/>
          <w:sz w:val="28"/>
          <w:szCs w:val="28"/>
        </w:rPr>
        <w:t xml:space="preserve"> требованиями постановления Правительства Российской Федерации от 30.09.2016г. №990 «</w:t>
      </w:r>
      <w:r w:rsidRPr="00056A5C">
        <w:rPr>
          <w:rFonts w:eastAsia="Calibri"/>
          <w:sz w:val="28"/>
          <w:szCs w:val="28"/>
        </w:rPr>
        <w:t>Об определении применяемых при установлении долгосрочных тарифов показателей надежности и качества поставляемых товаров и оказываемых услуг»</w:t>
      </w:r>
      <w:r w:rsidRPr="00056A5C">
        <w:rPr>
          <w:rFonts w:eastAsia="Times New Roman"/>
          <w:color w:val="000000"/>
          <w:sz w:val="28"/>
          <w:szCs w:val="28"/>
        </w:rPr>
        <w:t xml:space="preserve"> в срок до 1 июля 2019 года в личный кабинет комплексной системы сбора, передачи, обработки и проверки достоверности исходных данных, используемых для определения фактических показателей надежности сетевых организаций и базовых значений показателей надежности Минэнерго России – </w:t>
      </w:r>
      <w:r w:rsidRPr="00056A5C">
        <w:rPr>
          <w:rFonts w:eastAsia="Times New Roman"/>
          <w:color w:val="000000"/>
          <w:sz w:val="28"/>
          <w:szCs w:val="28"/>
          <w:lang w:val="en-US"/>
        </w:rPr>
        <w:t>http</w:t>
      </w:r>
      <w:r w:rsidRPr="00056A5C">
        <w:rPr>
          <w:rFonts w:eastAsia="Times New Roman"/>
          <w:color w:val="000000"/>
          <w:sz w:val="28"/>
          <w:szCs w:val="28"/>
        </w:rPr>
        <w:t xml:space="preserve">:// </w:t>
      </w:r>
      <w:r w:rsidRPr="00056A5C">
        <w:rPr>
          <w:rFonts w:eastAsia="Times New Roman"/>
          <w:color w:val="000000"/>
          <w:sz w:val="28"/>
          <w:szCs w:val="28"/>
          <w:lang w:val="en-US"/>
        </w:rPr>
        <w:t>nadezhnost</w:t>
      </w:r>
      <w:r w:rsidRPr="00056A5C">
        <w:rPr>
          <w:rFonts w:eastAsia="Times New Roman"/>
          <w:color w:val="000000"/>
          <w:sz w:val="28"/>
          <w:szCs w:val="28"/>
        </w:rPr>
        <w:t>.</w:t>
      </w:r>
      <w:r w:rsidRPr="00056A5C">
        <w:rPr>
          <w:rFonts w:eastAsia="Times New Roman"/>
          <w:color w:val="000000"/>
          <w:sz w:val="28"/>
          <w:szCs w:val="28"/>
          <w:lang w:val="en-US"/>
        </w:rPr>
        <w:t>minenergo</w:t>
      </w:r>
      <w:r w:rsidRPr="00056A5C">
        <w:rPr>
          <w:rFonts w:eastAsia="Times New Roman"/>
          <w:color w:val="000000"/>
          <w:sz w:val="28"/>
          <w:szCs w:val="28"/>
        </w:rPr>
        <w:t>.</w:t>
      </w:r>
      <w:r w:rsidRPr="00056A5C">
        <w:rPr>
          <w:rFonts w:eastAsia="Times New Roman"/>
          <w:color w:val="000000"/>
          <w:sz w:val="28"/>
          <w:szCs w:val="28"/>
          <w:lang w:val="en-US"/>
        </w:rPr>
        <w:t>gov</w:t>
      </w:r>
      <w:r w:rsidRPr="00056A5C">
        <w:rPr>
          <w:rFonts w:eastAsia="Times New Roman"/>
          <w:color w:val="000000"/>
          <w:sz w:val="28"/>
          <w:szCs w:val="28"/>
        </w:rPr>
        <w:t>.</w:t>
      </w:r>
      <w:r w:rsidRPr="00056A5C">
        <w:rPr>
          <w:rFonts w:eastAsia="Times New Roman"/>
          <w:color w:val="000000"/>
          <w:sz w:val="28"/>
          <w:szCs w:val="28"/>
          <w:lang w:val="en-US"/>
        </w:rPr>
        <w:t>ru</w:t>
      </w:r>
      <w:r w:rsidRPr="00056A5C">
        <w:rPr>
          <w:rFonts w:eastAsia="Times New Roman"/>
          <w:color w:val="000000"/>
          <w:sz w:val="28"/>
          <w:szCs w:val="28"/>
        </w:rPr>
        <w:t xml:space="preserve"> внесены плановые значения показателей надежности, отчетные данные, используемые при расчете фактических значений показателей надежности и при расчете значений индикативных показателей надежности, фактические значения таких показателей по итогам 2018 года.</w:t>
      </w:r>
    </w:p>
    <w:p w:rsidR="001E7B45" w:rsidRPr="00056A5C" w:rsidRDefault="001E7B45" w:rsidP="008C1AA9">
      <w:pPr>
        <w:spacing w:after="0" w:line="240" w:lineRule="auto"/>
        <w:ind w:firstLine="709"/>
        <w:jc w:val="both"/>
        <w:rPr>
          <w:rFonts w:eastAsia="Calibri"/>
          <w:color w:val="000000"/>
          <w:sz w:val="28"/>
          <w:szCs w:val="28"/>
          <w:lang w:eastAsia="en-US"/>
        </w:rPr>
      </w:pPr>
      <w:r w:rsidRPr="00056A5C">
        <w:rPr>
          <w:rFonts w:eastAsia="Calibri"/>
          <w:color w:val="000000"/>
          <w:sz w:val="28"/>
          <w:szCs w:val="28"/>
          <w:lang w:eastAsia="en-US"/>
        </w:rPr>
        <w:t>Долгосрочные параметры регулирования рассчитаны на период 2020-2022гг. для 3 новых организаций, а именно: ООО «НСК-Электросеть», ООО Инжиниринговый центр «Сибирьэнергия», ООО «КВТ-СЕТЬ»; на 2020-2024гг. - для 14 -ти ТСО, то есть в целом для 17 территориальных сетевых организаций проведен расчет уровня качества реализуемых услуг и уровней надежности на долгосрочный период регулирования в соответствии с приказом Минэнерго РФ от 29.11.2016г. №1256 «Об утверждении Методических указаний по расчету уровня надежности и качества поставляемых товаров и оказываемых услуг для организации единой национальной (общероссийской) электрической сетью и территориальных сетевых организаций» (в ред. приказа Минэнерго РФ от 21.06.2017г. №544).</w:t>
      </w:r>
    </w:p>
    <w:p w:rsidR="001E7B45" w:rsidRPr="00056A5C" w:rsidRDefault="001E7B45" w:rsidP="008C1AA9">
      <w:pPr>
        <w:spacing w:after="0" w:line="240" w:lineRule="auto"/>
        <w:ind w:firstLine="709"/>
        <w:jc w:val="both"/>
        <w:rPr>
          <w:rFonts w:eastAsia="Calibri"/>
          <w:color w:val="000000"/>
          <w:sz w:val="28"/>
          <w:szCs w:val="28"/>
          <w:lang w:eastAsia="en-US"/>
        </w:rPr>
      </w:pPr>
      <w:r w:rsidRPr="00056A5C">
        <w:rPr>
          <w:rFonts w:eastAsia="Calibri"/>
          <w:color w:val="000000"/>
          <w:sz w:val="28"/>
          <w:szCs w:val="28"/>
          <w:lang w:eastAsia="en-US"/>
        </w:rPr>
        <w:t xml:space="preserve">Утверждены вышеупомянутые параметры приказами </w:t>
      </w:r>
      <w:r w:rsidR="00B0259A">
        <w:rPr>
          <w:rFonts w:eastAsia="Calibri"/>
          <w:color w:val="000000"/>
          <w:sz w:val="28"/>
          <w:szCs w:val="28"/>
          <w:lang w:eastAsia="en-US"/>
        </w:rPr>
        <w:t>Д</w:t>
      </w:r>
      <w:r w:rsidRPr="00056A5C">
        <w:rPr>
          <w:rFonts w:eastAsia="Calibri"/>
          <w:color w:val="000000"/>
          <w:sz w:val="28"/>
          <w:szCs w:val="28"/>
          <w:lang w:eastAsia="en-US"/>
        </w:rPr>
        <w:t>епартамента от 23</w:t>
      </w:r>
      <w:r w:rsidR="00B0259A">
        <w:rPr>
          <w:rFonts w:eastAsia="Calibri"/>
          <w:color w:val="000000"/>
          <w:sz w:val="28"/>
          <w:szCs w:val="28"/>
          <w:lang w:eastAsia="en-US"/>
        </w:rPr>
        <w:t>.12.</w:t>
      </w:r>
      <w:r w:rsidRPr="00056A5C">
        <w:rPr>
          <w:rFonts w:eastAsia="Calibri"/>
          <w:color w:val="000000"/>
          <w:sz w:val="28"/>
          <w:szCs w:val="28"/>
          <w:lang w:eastAsia="en-US"/>
        </w:rPr>
        <w:t>2019</w:t>
      </w:r>
      <w:r w:rsidR="00B0259A">
        <w:rPr>
          <w:rFonts w:eastAsia="Calibri"/>
          <w:color w:val="000000"/>
          <w:sz w:val="28"/>
          <w:szCs w:val="28"/>
          <w:lang w:eastAsia="en-US"/>
        </w:rPr>
        <w:t>г.</w:t>
      </w:r>
      <w:r w:rsidRPr="00056A5C">
        <w:rPr>
          <w:rFonts w:eastAsia="Calibri"/>
          <w:color w:val="000000"/>
          <w:sz w:val="28"/>
          <w:szCs w:val="28"/>
          <w:lang w:eastAsia="en-US"/>
        </w:rPr>
        <w:t xml:space="preserve">  №752-ЭЭ «Об установлении долгосрочных параметров</w:t>
      </w:r>
      <w:r w:rsidRPr="00056A5C">
        <w:rPr>
          <w:rFonts w:eastAsia="Calibri"/>
          <w:bCs/>
          <w:sz w:val="28"/>
          <w:szCs w:val="28"/>
          <w:lang w:eastAsia="en-US"/>
        </w:rPr>
        <w:t xml:space="preserve"> регулирования</w:t>
      </w:r>
      <w:r w:rsidRPr="00056A5C">
        <w:rPr>
          <w:rFonts w:eastAsia="Calibri"/>
          <w:bCs/>
          <w:sz w:val="22"/>
          <w:szCs w:val="28"/>
          <w:lang w:eastAsia="en-US"/>
        </w:rPr>
        <w:t xml:space="preserve"> </w:t>
      </w:r>
      <w:r w:rsidRPr="00056A5C">
        <w:rPr>
          <w:rFonts w:eastAsia="Calibri"/>
          <w:sz w:val="28"/>
          <w:szCs w:val="28"/>
          <w:lang w:eastAsia="en-US"/>
        </w:rPr>
        <w:t xml:space="preserve">для территориальных сетевых организаций в Новосибирской области, в отношении которых тарифы на услуги по передаче электрической энергии устанавливаются на основе долгосрочных параметров регулирования деятельности территориальных сетевых организаций, на 2020-2022 годы»; </w:t>
      </w:r>
      <w:r w:rsidRPr="00056A5C">
        <w:rPr>
          <w:rFonts w:eastAsia="Calibri"/>
          <w:color w:val="000000"/>
          <w:sz w:val="28"/>
          <w:szCs w:val="28"/>
          <w:lang w:eastAsia="en-US"/>
        </w:rPr>
        <w:t>от 23</w:t>
      </w:r>
      <w:r w:rsidR="00B0259A">
        <w:rPr>
          <w:rFonts w:eastAsia="Calibri"/>
          <w:color w:val="000000"/>
          <w:sz w:val="28"/>
          <w:szCs w:val="28"/>
          <w:lang w:eastAsia="en-US"/>
        </w:rPr>
        <w:t>.12.</w:t>
      </w:r>
      <w:r w:rsidRPr="00056A5C">
        <w:rPr>
          <w:rFonts w:eastAsia="Calibri"/>
          <w:color w:val="000000"/>
          <w:sz w:val="28"/>
          <w:szCs w:val="28"/>
          <w:lang w:eastAsia="en-US"/>
        </w:rPr>
        <w:t>2019</w:t>
      </w:r>
      <w:r w:rsidR="00B0259A">
        <w:rPr>
          <w:rFonts w:eastAsia="Calibri"/>
          <w:color w:val="000000"/>
          <w:sz w:val="28"/>
          <w:szCs w:val="28"/>
          <w:lang w:eastAsia="en-US"/>
        </w:rPr>
        <w:t>г.</w:t>
      </w:r>
      <w:r w:rsidRPr="00056A5C">
        <w:rPr>
          <w:rFonts w:eastAsia="Calibri"/>
          <w:color w:val="000000"/>
          <w:sz w:val="28"/>
          <w:szCs w:val="28"/>
          <w:lang w:eastAsia="en-US"/>
        </w:rPr>
        <w:t xml:space="preserve"> №754-ЭЭ «Об установлении долгосрочных параметров</w:t>
      </w:r>
      <w:r w:rsidRPr="00056A5C">
        <w:rPr>
          <w:rFonts w:eastAsia="Calibri"/>
          <w:bCs/>
          <w:sz w:val="28"/>
          <w:szCs w:val="28"/>
          <w:lang w:eastAsia="en-US"/>
        </w:rPr>
        <w:t xml:space="preserve"> регулирования</w:t>
      </w:r>
      <w:r w:rsidRPr="00056A5C">
        <w:rPr>
          <w:rFonts w:eastAsia="Calibri"/>
          <w:bCs/>
          <w:sz w:val="22"/>
          <w:szCs w:val="28"/>
          <w:lang w:eastAsia="en-US"/>
        </w:rPr>
        <w:t xml:space="preserve"> </w:t>
      </w:r>
      <w:r w:rsidRPr="00056A5C">
        <w:rPr>
          <w:rFonts w:eastAsia="Calibri"/>
          <w:sz w:val="28"/>
          <w:szCs w:val="28"/>
          <w:lang w:eastAsia="en-US"/>
        </w:rPr>
        <w:t xml:space="preserve">для территориальных сетевых организаций в Новосибирской области, в отношении которых тарифы на услуги по передаче электрической энергии устанавливаются на основе долгосрочных параметров регулирования деятельности территориальных сетевых организаций, на 2020-2024 годы»; и от </w:t>
      </w:r>
      <w:r w:rsidRPr="00056A5C">
        <w:rPr>
          <w:rFonts w:eastAsia="Calibri"/>
          <w:color w:val="000000"/>
          <w:sz w:val="28"/>
          <w:szCs w:val="28"/>
          <w:lang w:eastAsia="en-US"/>
        </w:rPr>
        <w:t>26</w:t>
      </w:r>
      <w:r w:rsidR="00B0259A">
        <w:rPr>
          <w:rFonts w:eastAsia="Calibri"/>
          <w:color w:val="000000"/>
          <w:sz w:val="28"/>
          <w:szCs w:val="28"/>
          <w:lang w:eastAsia="en-US"/>
        </w:rPr>
        <w:t>.12.</w:t>
      </w:r>
      <w:r w:rsidRPr="00056A5C">
        <w:rPr>
          <w:rFonts w:eastAsia="Calibri"/>
          <w:color w:val="000000"/>
          <w:sz w:val="28"/>
          <w:szCs w:val="28"/>
          <w:lang w:eastAsia="en-US"/>
        </w:rPr>
        <w:t>2019г. №758-ЭЭ «Об установлении долгосрочных параметров</w:t>
      </w:r>
      <w:r w:rsidRPr="00056A5C">
        <w:rPr>
          <w:rFonts w:eastAsia="Calibri"/>
          <w:bCs/>
          <w:sz w:val="28"/>
          <w:szCs w:val="28"/>
          <w:lang w:eastAsia="en-US"/>
        </w:rPr>
        <w:t xml:space="preserve"> регулирования</w:t>
      </w:r>
      <w:r w:rsidRPr="00056A5C">
        <w:rPr>
          <w:rFonts w:eastAsia="Calibri"/>
          <w:bCs/>
          <w:sz w:val="22"/>
          <w:szCs w:val="28"/>
          <w:lang w:eastAsia="en-US"/>
        </w:rPr>
        <w:t xml:space="preserve"> </w:t>
      </w:r>
      <w:r w:rsidRPr="00056A5C">
        <w:rPr>
          <w:rFonts w:eastAsia="Calibri"/>
          <w:sz w:val="28"/>
          <w:szCs w:val="28"/>
          <w:lang w:eastAsia="en-US"/>
        </w:rPr>
        <w:t xml:space="preserve">для Открытого акционерного общества «Российские железные дороги» в лице Западно-Сибирской дирекции по </w:t>
      </w:r>
      <w:r w:rsidRPr="00056A5C">
        <w:rPr>
          <w:rFonts w:eastAsia="Calibri"/>
          <w:sz w:val="28"/>
          <w:szCs w:val="28"/>
          <w:lang w:eastAsia="en-US"/>
        </w:rPr>
        <w:lastRenderedPageBreak/>
        <w:t>энергообеспечению – структурного подразделения Трансэнерго – филиала ОАО «РЖД» на 2020-2024 годы».</w:t>
      </w:r>
    </w:p>
    <w:p w:rsidR="001E7B45" w:rsidRPr="00056A5C" w:rsidRDefault="001E7B45" w:rsidP="008C1AA9">
      <w:pPr>
        <w:spacing w:after="0" w:line="240" w:lineRule="auto"/>
        <w:jc w:val="both"/>
        <w:rPr>
          <w:rFonts w:eastAsia="Calibri"/>
          <w:color w:val="000000"/>
          <w:sz w:val="28"/>
          <w:szCs w:val="28"/>
          <w:lang w:eastAsia="en-US"/>
        </w:rPr>
      </w:pPr>
      <w:r w:rsidRPr="00056A5C">
        <w:rPr>
          <w:rFonts w:eastAsia="Calibri"/>
          <w:color w:val="000000"/>
          <w:sz w:val="28"/>
          <w:szCs w:val="28"/>
          <w:lang w:eastAsia="en-US"/>
        </w:rPr>
        <w:tab/>
        <w:t>Кроме того, в 1 полугодии 2019</w:t>
      </w:r>
      <w:r>
        <w:rPr>
          <w:rFonts w:eastAsia="Calibri"/>
          <w:color w:val="000000"/>
          <w:sz w:val="28"/>
          <w:szCs w:val="28"/>
          <w:lang w:eastAsia="en-US"/>
        </w:rPr>
        <w:t xml:space="preserve"> </w:t>
      </w:r>
      <w:r w:rsidRPr="00056A5C">
        <w:rPr>
          <w:rFonts w:eastAsia="Calibri"/>
          <w:color w:val="000000"/>
          <w:sz w:val="28"/>
          <w:szCs w:val="28"/>
          <w:lang w:eastAsia="en-US"/>
        </w:rPr>
        <w:t xml:space="preserve">года </w:t>
      </w:r>
      <w:r w:rsidR="00CC14CD">
        <w:rPr>
          <w:rFonts w:eastAsia="Calibri"/>
          <w:color w:val="000000"/>
          <w:sz w:val="28"/>
          <w:szCs w:val="28"/>
          <w:lang w:eastAsia="en-US"/>
        </w:rPr>
        <w:t>Д</w:t>
      </w:r>
      <w:r w:rsidRPr="00056A5C">
        <w:rPr>
          <w:rFonts w:eastAsia="Calibri"/>
          <w:color w:val="000000"/>
          <w:sz w:val="28"/>
          <w:szCs w:val="28"/>
          <w:lang w:eastAsia="en-US"/>
        </w:rPr>
        <w:t>епартаментом осуществлена плановая выездная проверка Муниципального унитарного предприятия города Новосибирска «Новосибирская энергосетевая компания» на предмет соблюдения установленного порядка ценообразования на услуги по передаче электрической энергии в соответствии с законодательством об электроэнергетике (в том числе) по следующему направлению:</w:t>
      </w:r>
    </w:p>
    <w:p w:rsidR="001E7B45" w:rsidRPr="00056A5C" w:rsidRDefault="001E7B45" w:rsidP="00D818A7">
      <w:pPr>
        <w:spacing w:after="0" w:line="240" w:lineRule="auto"/>
        <w:ind w:firstLine="709"/>
        <w:jc w:val="both"/>
        <w:rPr>
          <w:rFonts w:ascii="Calibri" w:eastAsia="Calibri" w:hAnsi="Calibri"/>
          <w:color w:val="000000"/>
          <w:sz w:val="28"/>
          <w:szCs w:val="28"/>
          <w:lang w:eastAsia="en-US"/>
        </w:rPr>
      </w:pPr>
      <w:r w:rsidRPr="00056A5C">
        <w:rPr>
          <w:rFonts w:eastAsia="Calibri"/>
          <w:color w:val="000000"/>
          <w:sz w:val="28"/>
          <w:szCs w:val="28"/>
          <w:lang w:eastAsia="en-US"/>
        </w:rPr>
        <w:t>Достоверность отчётных данных за 2018 год, используемых при расчёте фактических значений показателей надёжности и качества оказываемых услуг, а также при расчете индикативного показателя уровня надежности в соответствии с приказом Минэнерго РФ от 29.11.2016 №1256 «Об утверждении методических указаний по расчету уровня надежности и качества поставляемых товаров и оказываемых услуг для организации по управлению единой национальной (общероссийской) электрической сетью и территориальных сетевых организаций»</w:t>
      </w:r>
      <w:r w:rsidRPr="00056A5C">
        <w:rPr>
          <w:rFonts w:ascii="Calibri" w:eastAsia="Calibri" w:hAnsi="Calibri"/>
          <w:color w:val="000000"/>
          <w:sz w:val="28"/>
          <w:szCs w:val="28"/>
          <w:lang w:eastAsia="en-US"/>
        </w:rPr>
        <w:t xml:space="preserve"> </w:t>
      </w:r>
      <w:r w:rsidRPr="00056A5C">
        <w:rPr>
          <w:rFonts w:eastAsia="Calibri"/>
          <w:color w:val="000000"/>
          <w:sz w:val="28"/>
          <w:szCs w:val="28"/>
          <w:lang w:eastAsia="en-US"/>
        </w:rPr>
        <w:t>(в ред. приказа Минэнерго РФ от 21.06.2017г. №544).</w:t>
      </w:r>
      <w:r w:rsidRPr="00056A5C">
        <w:rPr>
          <w:rFonts w:eastAsia="Calibri"/>
          <w:sz w:val="28"/>
          <w:szCs w:val="28"/>
          <w:lang w:eastAsia="en-US"/>
        </w:rPr>
        <w:t xml:space="preserve"> По результатам проверки нарушений не выявлено.</w:t>
      </w:r>
    </w:p>
    <w:p w:rsidR="001E7B45" w:rsidRDefault="001E7B45" w:rsidP="00D818A7">
      <w:pPr>
        <w:autoSpaceDE w:val="0"/>
        <w:autoSpaceDN w:val="0"/>
        <w:adjustRightInd w:val="0"/>
        <w:spacing w:after="0" w:line="240" w:lineRule="auto"/>
        <w:ind w:firstLine="709"/>
        <w:jc w:val="both"/>
        <w:rPr>
          <w:rFonts w:eastAsia="Calibri"/>
          <w:b/>
          <w:sz w:val="28"/>
          <w:szCs w:val="28"/>
        </w:rPr>
      </w:pPr>
    </w:p>
    <w:p w:rsidR="001E7B45" w:rsidRDefault="001E7B45" w:rsidP="00D818A7">
      <w:pPr>
        <w:autoSpaceDE w:val="0"/>
        <w:autoSpaceDN w:val="0"/>
        <w:adjustRightInd w:val="0"/>
        <w:spacing w:after="0"/>
        <w:ind w:firstLine="709"/>
        <w:jc w:val="both"/>
        <w:rPr>
          <w:rFonts w:eastAsia="Calibri"/>
          <w:b/>
          <w:sz w:val="28"/>
          <w:szCs w:val="28"/>
        </w:rPr>
      </w:pPr>
      <w:r>
        <w:rPr>
          <w:rFonts w:eastAsia="Calibri"/>
          <w:b/>
          <w:sz w:val="28"/>
          <w:szCs w:val="28"/>
        </w:rPr>
        <w:t>2.</w:t>
      </w:r>
      <w:r w:rsidR="00D818A7">
        <w:rPr>
          <w:rFonts w:eastAsia="Calibri"/>
          <w:b/>
          <w:sz w:val="28"/>
          <w:szCs w:val="28"/>
        </w:rPr>
        <w:t>1.8.</w:t>
      </w:r>
      <w:r w:rsidRPr="009E2DE1">
        <w:rPr>
          <w:rFonts w:eastAsia="Calibri"/>
          <w:b/>
          <w:sz w:val="28"/>
          <w:szCs w:val="28"/>
        </w:rPr>
        <w:t>Технологическое присоединение к электрическим сетям</w:t>
      </w:r>
    </w:p>
    <w:p w:rsidR="001E7B45" w:rsidRPr="00984DA0" w:rsidRDefault="001E7B45" w:rsidP="00D818A7">
      <w:pPr>
        <w:autoSpaceDE w:val="0"/>
        <w:autoSpaceDN w:val="0"/>
        <w:adjustRightInd w:val="0"/>
        <w:spacing w:after="0" w:line="240" w:lineRule="auto"/>
        <w:ind w:firstLine="709"/>
        <w:jc w:val="both"/>
        <w:rPr>
          <w:rFonts w:eastAsia="Times New Roman"/>
          <w:b/>
          <w:color w:val="000000"/>
          <w:sz w:val="28"/>
          <w:szCs w:val="28"/>
        </w:rPr>
      </w:pPr>
      <w:r w:rsidRPr="00984DA0">
        <w:rPr>
          <w:rFonts w:eastAsia="Times New Roman"/>
          <w:sz w:val="28"/>
          <w:szCs w:val="28"/>
        </w:rPr>
        <w:t xml:space="preserve">В соответствии со сроками рассмотрения материалов по установлению цен (тарифов) в электроэнергетике на основании Регламента установления цен (тарифов) и (или) их предельных уровней, предусматривающего порядок </w:t>
      </w:r>
      <w:r w:rsidRPr="00984DA0">
        <w:rPr>
          <w:rFonts w:eastAsia="Times New Roman"/>
          <w:sz w:val="28"/>
          <w:szCs w:val="28"/>
        </w:rPr>
        <w:br/>
        <w:t xml:space="preserve">регистрации, принятия к рассмотрению и выдачи отказов в рассмотрении </w:t>
      </w:r>
      <w:r w:rsidRPr="00984DA0">
        <w:rPr>
          <w:rFonts w:eastAsia="Times New Roman"/>
          <w:sz w:val="28"/>
          <w:szCs w:val="28"/>
        </w:rPr>
        <w:br/>
        <w:t xml:space="preserve">заявлений об установлении цен (тарифов) и (или) их предельных уровней, </w:t>
      </w:r>
      <w:r w:rsidRPr="00984DA0">
        <w:rPr>
          <w:rFonts w:eastAsia="Times New Roman"/>
          <w:sz w:val="28"/>
          <w:szCs w:val="28"/>
        </w:rPr>
        <w:br/>
        <w:t xml:space="preserve">и формы решения органа исполнительной власти субъекта Российской Федерации в области государственного регулирования тарифов, утвержденного приказом ФАС России от 19.06.2018 № 834/18, в 2019 году </w:t>
      </w:r>
      <w:r w:rsidR="00CC14CD">
        <w:rPr>
          <w:rFonts w:eastAsia="Times New Roman"/>
          <w:sz w:val="28"/>
          <w:szCs w:val="28"/>
        </w:rPr>
        <w:t>Д</w:t>
      </w:r>
      <w:r w:rsidRPr="00984DA0">
        <w:rPr>
          <w:rFonts w:eastAsia="Times New Roman"/>
          <w:sz w:val="28"/>
          <w:szCs w:val="28"/>
        </w:rPr>
        <w:t xml:space="preserve">епартаментом проводилась экономическая экспертиза материалов по расчету платы за технологическое присоединение энергопринимающих устройств (энергетических установок) юридических и физических лиц к электрическим сетям территориальных сетевых организаций, платы за технологическое присоединение по индивидуальным проектам, стандартизированных тарифных ставок для определения размера платы за технологическое присоединение энергопринимающих устройств юридических и физических лиц к электрическим сетям территориальных сетевых организаций и формулы платы за технологическое присоединение на территории Новосибирской области. В течение 2018 года отделом подготовлено 249 экспертных заключений, на основании которых правлением </w:t>
      </w:r>
      <w:r w:rsidR="00CC14CD">
        <w:rPr>
          <w:rFonts w:eastAsia="Times New Roman"/>
          <w:sz w:val="28"/>
          <w:szCs w:val="28"/>
        </w:rPr>
        <w:t>Д</w:t>
      </w:r>
      <w:r w:rsidRPr="00984DA0">
        <w:rPr>
          <w:rFonts w:eastAsia="Times New Roman"/>
          <w:sz w:val="28"/>
          <w:szCs w:val="28"/>
        </w:rPr>
        <w:t>епартамента приняты решения по установлению платы за технологическое присоединение к электрическим сетям.</w:t>
      </w:r>
    </w:p>
    <w:p w:rsidR="001E7B45" w:rsidRPr="00984DA0" w:rsidRDefault="001E7B45" w:rsidP="008C1AA9">
      <w:pPr>
        <w:tabs>
          <w:tab w:val="left" w:pos="708"/>
          <w:tab w:val="center" w:pos="4153"/>
          <w:tab w:val="right" w:pos="8306"/>
        </w:tabs>
        <w:spacing w:after="0" w:line="240" w:lineRule="auto"/>
        <w:ind w:firstLine="708"/>
        <w:jc w:val="both"/>
        <w:rPr>
          <w:rFonts w:eastAsia="Times New Roman"/>
          <w:sz w:val="28"/>
          <w:szCs w:val="28"/>
        </w:rPr>
      </w:pPr>
      <w:r w:rsidRPr="00984DA0">
        <w:rPr>
          <w:rFonts w:eastAsia="Times New Roman"/>
          <w:sz w:val="28"/>
          <w:szCs w:val="28"/>
        </w:rPr>
        <w:t xml:space="preserve">В 2019 году </w:t>
      </w:r>
      <w:r w:rsidR="00CC14CD">
        <w:rPr>
          <w:rFonts w:eastAsia="Times New Roman"/>
          <w:sz w:val="28"/>
          <w:szCs w:val="28"/>
        </w:rPr>
        <w:t>Д</w:t>
      </w:r>
      <w:r w:rsidRPr="00984DA0">
        <w:rPr>
          <w:rFonts w:eastAsia="Times New Roman"/>
          <w:sz w:val="28"/>
          <w:szCs w:val="28"/>
        </w:rPr>
        <w:t>епартаментом утверждены стандартизированные тарифные ставки и формула платы за технологическое присоединение, а также ставки за единицу максимальной мощности на территории Новосибирской области на 2020 год, а также принято 35 приказов об установлении платы за технологическое присоединение к электрическим сетям по индивидуальному проекту.</w:t>
      </w:r>
    </w:p>
    <w:p w:rsidR="001E7B45" w:rsidRDefault="001E7B45" w:rsidP="008C1AA9">
      <w:pPr>
        <w:spacing w:after="0" w:line="240" w:lineRule="auto"/>
        <w:ind w:firstLine="708"/>
        <w:jc w:val="both"/>
        <w:rPr>
          <w:rFonts w:eastAsia="Times New Roman"/>
          <w:sz w:val="28"/>
          <w:szCs w:val="28"/>
        </w:rPr>
      </w:pPr>
    </w:p>
    <w:p w:rsidR="00DF11F6" w:rsidRPr="00984DA0" w:rsidRDefault="00DF11F6" w:rsidP="008C1AA9">
      <w:pPr>
        <w:spacing w:after="0" w:line="240" w:lineRule="auto"/>
        <w:ind w:firstLine="708"/>
        <w:jc w:val="both"/>
        <w:rPr>
          <w:rFonts w:eastAsia="Times New Roman"/>
          <w:sz w:val="28"/>
          <w:szCs w:val="28"/>
        </w:rPr>
      </w:pPr>
    </w:p>
    <w:p w:rsidR="001E7B45" w:rsidRPr="00984DA0" w:rsidRDefault="001E7B45" w:rsidP="00CC14CD">
      <w:pPr>
        <w:spacing w:after="0" w:line="240" w:lineRule="auto"/>
        <w:ind w:left="720"/>
        <w:jc w:val="both"/>
        <w:rPr>
          <w:rFonts w:eastAsia="Times New Roman"/>
          <w:b/>
          <w:sz w:val="28"/>
          <w:szCs w:val="28"/>
        </w:rPr>
      </w:pPr>
      <w:r>
        <w:rPr>
          <w:rFonts w:eastAsia="Times New Roman"/>
          <w:b/>
          <w:sz w:val="28"/>
          <w:szCs w:val="28"/>
        </w:rPr>
        <w:lastRenderedPageBreak/>
        <w:t>2.</w:t>
      </w:r>
      <w:r w:rsidRPr="00984DA0">
        <w:rPr>
          <w:rFonts w:eastAsia="Times New Roman"/>
          <w:b/>
          <w:sz w:val="28"/>
          <w:szCs w:val="28"/>
        </w:rPr>
        <w:t>1.</w:t>
      </w:r>
      <w:r w:rsidR="00D818A7">
        <w:rPr>
          <w:rFonts w:eastAsia="Times New Roman"/>
          <w:b/>
          <w:sz w:val="28"/>
          <w:szCs w:val="28"/>
        </w:rPr>
        <w:t>8.1.</w:t>
      </w:r>
      <w:r w:rsidRPr="00984DA0">
        <w:rPr>
          <w:rFonts w:eastAsia="Times New Roman"/>
          <w:b/>
          <w:sz w:val="28"/>
          <w:szCs w:val="28"/>
        </w:rPr>
        <w:t xml:space="preserve"> Установление платы за технологическое присоединение к электрическим сетям на 2020 год.</w:t>
      </w:r>
    </w:p>
    <w:p w:rsidR="001E7B45" w:rsidRPr="00984DA0" w:rsidRDefault="001E7B45" w:rsidP="00CC14CD">
      <w:pPr>
        <w:spacing w:after="0" w:line="240" w:lineRule="auto"/>
        <w:ind w:firstLine="708"/>
        <w:jc w:val="both"/>
        <w:rPr>
          <w:rFonts w:eastAsia="Times New Roman"/>
          <w:sz w:val="28"/>
          <w:szCs w:val="20"/>
        </w:rPr>
      </w:pPr>
      <w:r w:rsidRPr="00984DA0">
        <w:rPr>
          <w:rFonts w:eastAsia="Times New Roman"/>
          <w:sz w:val="28"/>
          <w:szCs w:val="28"/>
        </w:rPr>
        <w:t xml:space="preserve">Департаментом у всех территориальных сетевых организаций Новосибирской области были запрошены </w:t>
      </w:r>
      <w:r w:rsidRPr="00984DA0">
        <w:rPr>
          <w:rFonts w:eastAsia="Times New Roman"/>
          <w:sz w:val="28"/>
          <w:szCs w:val="20"/>
        </w:rPr>
        <w:t>прогнозные сведения о расходах за технологическое присоединение на очередной календарный год согласно пунктам 23 и 31 Методических указаний по определению размера платы за технологическое присоединение к электрическим сетям, утвержденным приказом ФАС России от 29.08.2017 № 1135/17, (далее – Методические указания) в формате приложений № 1, № 2 и № 5 к Методическим указаниям.</w:t>
      </w:r>
    </w:p>
    <w:p w:rsidR="001E7B45" w:rsidRPr="00984DA0" w:rsidRDefault="001E7B45" w:rsidP="008C1AA9">
      <w:pPr>
        <w:spacing w:after="0" w:line="240" w:lineRule="auto"/>
        <w:ind w:firstLine="708"/>
        <w:jc w:val="both"/>
        <w:rPr>
          <w:rFonts w:eastAsia="Times New Roman"/>
          <w:sz w:val="28"/>
          <w:szCs w:val="28"/>
        </w:rPr>
      </w:pPr>
      <w:r w:rsidRPr="00984DA0">
        <w:rPr>
          <w:rFonts w:eastAsia="Times New Roman"/>
          <w:sz w:val="28"/>
          <w:szCs w:val="20"/>
        </w:rPr>
        <w:t xml:space="preserve">На основании представленных сведений рассчитаны и приказом </w:t>
      </w:r>
      <w:r w:rsidR="00CC14CD">
        <w:rPr>
          <w:rFonts w:eastAsia="Times New Roman"/>
          <w:sz w:val="28"/>
          <w:szCs w:val="20"/>
        </w:rPr>
        <w:t xml:space="preserve"> Д</w:t>
      </w:r>
      <w:r w:rsidRPr="00984DA0">
        <w:rPr>
          <w:rFonts w:eastAsia="Times New Roman"/>
          <w:sz w:val="28"/>
          <w:szCs w:val="20"/>
        </w:rPr>
        <w:t>епартамента от 30.12.2019 № 770-ЭЭ утверждены стандартизированные тарифные ставки и ставки за единицу максимальной мощности для расчета платы за технологическое присоединение к электрическим сетям.</w:t>
      </w:r>
    </w:p>
    <w:p w:rsidR="001E7B45" w:rsidRPr="00984DA0" w:rsidRDefault="001E7B45" w:rsidP="008C1AA9">
      <w:pPr>
        <w:autoSpaceDE w:val="0"/>
        <w:autoSpaceDN w:val="0"/>
        <w:adjustRightInd w:val="0"/>
        <w:spacing w:after="0" w:line="240" w:lineRule="auto"/>
        <w:ind w:firstLine="540"/>
        <w:jc w:val="both"/>
        <w:rPr>
          <w:rFonts w:eastAsia="Times New Roman"/>
          <w:sz w:val="28"/>
          <w:szCs w:val="28"/>
        </w:rPr>
      </w:pPr>
      <w:r w:rsidRPr="00984DA0">
        <w:rPr>
          <w:rFonts w:eastAsia="Times New Roman"/>
          <w:sz w:val="28"/>
          <w:szCs w:val="28"/>
        </w:rPr>
        <w:tab/>
        <w:t>По результатам расчетов величина ставки С</w:t>
      </w:r>
      <w:r w:rsidRPr="00984DA0">
        <w:rPr>
          <w:rFonts w:eastAsia="Times New Roman"/>
          <w:sz w:val="28"/>
          <w:szCs w:val="28"/>
          <w:vertAlign w:val="subscript"/>
        </w:rPr>
        <w:t>1.1</w:t>
      </w:r>
      <w:r w:rsidRPr="00984DA0">
        <w:rPr>
          <w:rFonts w:eastAsia="Times New Roman"/>
          <w:sz w:val="28"/>
          <w:szCs w:val="28"/>
        </w:rPr>
        <w:t xml:space="preserve"> за подготовку и выдачу сетевой организацией технических условий Заявителю составила 8384 руб./ТП, величина ставки С</w:t>
      </w:r>
      <w:r w:rsidRPr="00984DA0">
        <w:rPr>
          <w:rFonts w:eastAsia="Times New Roman"/>
          <w:sz w:val="28"/>
          <w:szCs w:val="28"/>
          <w:vertAlign w:val="subscript"/>
        </w:rPr>
        <w:t>1.2</w:t>
      </w:r>
      <w:r w:rsidRPr="00984DA0">
        <w:rPr>
          <w:rFonts w:eastAsia="Times New Roman"/>
          <w:sz w:val="28"/>
          <w:szCs w:val="28"/>
        </w:rPr>
        <w:t xml:space="preserve"> за проверку сетевой организацией выполнения Заявителем технических условий составила 73020 руб./ТП.</w:t>
      </w:r>
    </w:p>
    <w:p w:rsidR="001E7B45" w:rsidRPr="00984DA0" w:rsidRDefault="001E7B45" w:rsidP="008C1AA9">
      <w:pPr>
        <w:autoSpaceDE w:val="0"/>
        <w:autoSpaceDN w:val="0"/>
        <w:adjustRightInd w:val="0"/>
        <w:spacing w:after="0" w:line="240" w:lineRule="auto"/>
        <w:ind w:firstLine="708"/>
        <w:jc w:val="both"/>
        <w:rPr>
          <w:rFonts w:eastAsia="Times New Roman"/>
          <w:sz w:val="28"/>
          <w:szCs w:val="28"/>
        </w:rPr>
      </w:pPr>
      <w:r w:rsidRPr="00984DA0">
        <w:rPr>
          <w:rFonts w:eastAsia="Times New Roman"/>
          <w:sz w:val="28"/>
          <w:szCs w:val="28"/>
        </w:rPr>
        <w:t>Расчет стандартизированных тарифных ставок</w:t>
      </w:r>
      <w:r w:rsidRPr="00984DA0">
        <w:rPr>
          <w:rFonts w:eastAsia="Times New Roman"/>
          <w:bCs/>
          <w:sz w:val="28"/>
          <w:szCs w:val="28"/>
        </w:rPr>
        <w:t xml:space="preserve"> по мероприятиям «последней мили» - С</w:t>
      </w:r>
      <w:r w:rsidRPr="00984DA0">
        <w:rPr>
          <w:rFonts w:eastAsia="Times New Roman"/>
          <w:bCs/>
          <w:sz w:val="28"/>
          <w:szCs w:val="28"/>
          <w:vertAlign w:val="subscript"/>
        </w:rPr>
        <w:t>2</w:t>
      </w:r>
      <w:r w:rsidRPr="00984DA0">
        <w:rPr>
          <w:rFonts w:eastAsia="Times New Roman"/>
          <w:bCs/>
          <w:sz w:val="28"/>
          <w:szCs w:val="28"/>
        </w:rPr>
        <w:t>, С</w:t>
      </w:r>
      <w:r w:rsidRPr="00984DA0">
        <w:rPr>
          <w:rFonts w:eastAsia="Times New Roman"/>
          <w:bCs/>
          <w:sz w:val="28"/>
          <w:szCs w:val="28"/>
          <w:vertAlign w:val="subscript"/>
        </w:rPr>
        <w:t>3</w:t>
      </w:r>
      <w:r w:rsidRPr="00984DA0">
        <w:rPr>
          <w:rFonts w:eastAsia="Times New Roman"/>
          <w:bCs/>
          <w:sz w:val="28"/>
          <w:szCs w:val="28"/>
        </w:rPr>
        <w:t>, С</w:t>
      </w:r>
      <w:r w:rsidRPr="00984DA0">
        <w:rPr>
          <w:rFonts w:eastAsia="Times New Roman"/>
          <w:bCs/>
          <w:sz w:val="28"/>
          <w:szCs w:val="28"/>
          <w:vertAlign w:val="subscript"/>
        </w:rPr>
        <w:t>4</w:t>
      </w:r>
      <w:r w:rsidRPr="00984DA0">
        <w:rPr>
          <w:rFonts w:eastAsia="Times New Roman"/>
          <w:bCs/>
          <w:sz w:val="28"/>
          <w:szCs w:val="28"/>
        </w:rPr>
        <w:t>, С</w:t>
      </w:r>
      <w:r w:rsidRPr="00984DA0">
        <w:rPr>
          <w:rFonts w:eastAsia="Times New Roman"/>
          <w:bCs/>
          <w:sz w:val="28"/>
          <w:szCs w:val="28"/>
          <w:vertAlign w:val="subscript"/>
        </w:rPr>
        <w:t>5</w:t>
      </w:r>
      <w:r w:rsidRPr="00984DA0">
        <w:rPr>
          <w:rFonts w:eastAsia="Times New Roman"/>
          <w:bCs/>
          <w:sz w:val="28"/>
          <w:szCs w:val="28"/>
        </w:rPr>
        <w:t>, С</w:t>
      </w:r>
      <w:r w:rsidRPr="00984DA0">
        <w:rPr>
          <w:rFonts w:eastAsia="Times New Roman"/>
          <w:bCs/>
          <w:sz w:val="28"/>
          <w:szCs w:val="28"/>
          <w:vertAlign w:val="subscript"/>
        </w:rPr>
        <w:t>6</w:t>
      </w:r>
      <w:r w:rsidRPr="00984DA0">
        <w:rPr>
          <w:rFonts w:eastAsia="Times New Roman"/>
          <w:sz w:val="28"/>
          <w:szCs w:val="28"/>
        </w:rPr>
        <w:t xml:space="preserve"> выполнен по формулам (29) - (34) пункта 27 Методических указаний. </w:t>
      </w:r>
    </w:p>
    <w:p w:rsidR="001E7B45" w:rsidRPr="00984DA0" w:rsidRDefault="001E7B45" w:rsidP="008C1AA9">
      <w:pPr>
        <w:autoSpaceDE w:val="0"/>
        <w:autoSpaceDN w:val="0"/>
        <w:adjustRightInd w:val="0"/>
        <w:spacing w:after="0" w:line="240" w:lineRule="auto"/>
        <w:ind w:firstLine="708"/>
        <w:jc w:val="both"/>
        <w:rPr>
          <w:rFonts w:eastAsia="Times New Roman"/>
          <w:sz w:val="28"/>
          <w:szCs w:val="28"/>
        </w:rPr>
      </w:pPr>
      <w:r w:rsidRPr="00984DA0">
        <w:rPr>
          <w:rFonts w:eastAsia="Times New Roman"/>
          <w:sz w:val="28"/>
          <w:szCs w:val="28"/>
        </w:rPr>
        <w:t>Величина стандартизированных тарифных ставок определена едиными для городских населенных пунктов и для поселений</w:t>
      </w:r>
      <w:r>
        <w:rPr>
          <w:rFonts w:eastAsia="Times New Roman"/>
          <w:sz w:val="28"/>
          <w:szCs w:val="28"/>
        </w:rPr>
        <w:t>,</w:t>
      </w:r>
      <w:r w:rsidRPr="00984DA0">
        <w:rPr>
          <w:rFonts w:eastAsia="Times New Roman"/>
          <w:sz w:val="28"/>
          <w:szCs w:val="28"/>
        </w:rPr>
        <w:t xml:space="preserve"> не относящихся к городским населенным пунктам.</w:t>
      </w:r>
    </w:p>
    <w:p w:rsidR="001E7B45" w:rsidRPr="00984DA0" w:rsidRDefault="001E7B45" w:rsidP="008C1AA9">
      <w:pPr>
        <w:autoSpaceDE w:val="0"/>
        <w:autoSpaceDN w:val="0"/>
        <w:adjustRightInd w:val="0"/>
        <w:spacing w:after="0" w:line="240" w:lineRule="auto"/>
        <w:ind w:firstLine="708"/>
        <w:jc w:val="both"/>
        <w:rPr>
          <w:rFonts w:eastAsia="Times New Roman"/>
          <w:sz w:val="28"/>
          <w:szCs w:val="28"/>
        </w:rPr>
      </w:pPr>
      <w:r w:rsidRPr="00984DA0">
        <w:rPr>
          <w:rFonts w:eastAsia="Times New Roman"/>
          <w:sz w:val="28"/>
          <w:szCs w:val="28"/>
        </w:rPr>
        <w:t xml:space="preserve">В соответствии с рассчитанными стандартизированными ставками </w:t>
      </w:r>
      <w:r w:rsidRPr="00984DA0">
        <w:rPr>
          <w:rFonts w:eastAsia="Times New Roman"/>
          <w:sz w:val="28"/>
          <w:szCs w:val="28"/>
          <w:lang w:val="en-US"/>
        </w:rPr>
        <w:t>C</w:t>
      </w:r>
      <w:r w:rsidRPr="00984DA0">
        <w:rPr>
          <w:rFonts w:eastAsia="Times New Roman"/>
          <w:sz w:val="28"/>
          <w:szCs w:val="28"/>
          <w:vertAlign w:val="subscript"/>
        </w:rPr>
        <w:t>1.1</w:t>
      </w:r>
      <w:r w:rsidRPr="00984DA0">
        <w:rPr>
          <w:rFonts w:eastAsia="Times New Roman"/>
          <w:sz w:val="28"/>
          <w:szCs w:val="28"/>
        </w:rPr>
        <w:t xml:space="preserve"> и С</w:t>
      </w:r>
      <w:r w:rsidRPr="00984DA0">
        <w:rPr>
          <w:rFonts w:eastAsia="Times New Roman"/>
          <w:sz w:val="28"/>
          <w:szCs w:val="28"/>
          <w:vertAlign w:val="subscript"/>
        </w:rPr>
        <w:t>1.2</w:t>
      </w:r>
      <w:r w:rsidRPr="00984DA0">
        <w:rPr>
          <w:rFonts w:eastAsia="Times New Roman"/>
          <w:sz w:val="28"/>
          <w:szCs w:val="28"/>
        </w:rPr>
        <w:t xml:space="preserve"> и представленными данными об общем количестве технологических присоединений и суммарной максимальной мощности энергопринимающих устройств  величина ставки</w:t>
      </w:r>
      <m:oMath>
        <m:r>
          <w:rPr>
            <w:rFonts w:ascii="Cambria Math" w:eastAsia="Times New Roman" w:hAnsi="Cambria Math"/>
            <w:sz w:val="28"/>
            <w:szCs w:val="28"/>
          </w:rPr>
          <m:t xml:space="preserve"> </m:t>
        </m:r>
        <m:sSubSup>
          <m:sSubSupPr>
            <m:ctrlPr>
              <w:rPr>
                <w:rFonts w:ascii="Cambria Math" w:eastAsia="Times New Roman" w:hAnsi="Cambria Math"/>
                <w:sz w:val="28"/>
                <w:szCs w:val="28"/>
              </w:rPr>
            </m:ctrlPr>
          </m:sSubSupPr>
          <m:e>
            <m:r>
              <m:rPr>
                <m:sty m:val="p"/>
              </m:rPr>
              <w:rPr>
                <w:rFonts w:ascii="Cambria Math" w:eastAsia="Times New Roman" w:hAnsi="Cambria Math"/>
                <w:sz w:val="28"/>
                <w:szCs w:val="28"/>
              </w:rPr>
              <m:t>С</m:t>
            </m:r>
          </m:e>
          <m:sub>
            <m:r>
              <m:rPr>
                <m:sty m:val="p"/>
              </m:rPr>
              <w:rPr>
                <w:rFonts w:ascii="Cambria Math" w:eastAsia="Times New Roman" w:hAnsi="Cambria Math"/>
                <w:sz w:val="28"/>
                <w:szCs w:val="28"/>
              </w:rPr>
              <m:t>1.1</m:t>
            </m:r>
          </m:sub>
          <m:sup>
            <m:r>
              <m:rPr>
                <m:sty m:val="p"/>
              </m:rPr>
              <w:rPr>
                <w:rFonts w:ascii="Cambria Math" w:eastAsia="Times New Roman" w:hAnsi="Cambria Math"/>
                <w:sz w:val="28"/>
                <w:szCs w:val="28"/>
                <w:lang w:val="en-US"/>
              </w:rPr>
              <m:t>maxN</m:t>
            </m:r>
          </m:sup>
        </m:sSubSup>
      </m:oMath>
      <w:r w:rsidRPr="00984DA0">
        <w:rPr>
          <w:rFonts w:eastAsia="Times New Roman"/>
          <w:sz w:val="28"/>
          <w:szCs w:val="28"/>
        </w:rPr>
        <w:t xml:space="preserve"> за подготовку и выдачу сетевой организацией технических условий Заявителю  составила 74 руб./кВт величина ставки </w:t>
      </w:r>
      <m:oMath>
        <m:sSubSup>
          <m:sSubSupPr>
            <m:ctrlPr>
              <w:rPr>
                <w:rFonts w:ascii="Cambria Math" w:eastAsia="Times New Roman" w:hAnsi="Cambria Math"/>
                <w:sz w:val="28"/>
                <w:szCs w:val="28"/>
              </w:rPr>
            </m:ctrlPr>
          </m:sSubSupPr>
          <m:e>
            <m:r>
              <m:rPr>
                <m:sty m:val="p"/>
              </m:rPr>
              <w:rPr>
                <w:rFonts w:ascii="Cambria Math" w:eastAsia="Times New Roman" w:hAnsi="Cambria Math"/>
                <w:sz w:val="28"/>
                <w:szCs w:val="28"/>
              </w:rPr>
              <m:t>С</m:t>
            </m:r>
          </m:e>
          <m:sub>
            <m:r>
              <m:rPr>
                <m:sty m:val="p"/>
              </m:rPr>
              <w:rPr>
                <w:rFonts w:ascii="Cambria Math" w:eastAsia="Times New Roman" w:hAnsi="Cambria Math"/>
                <w:sz w:val="28"/>
                <w:szCs w:val="28"/>
              </w:rPr>
              <m:t>1.2</m:t>
            </m:r>
          </m:sub>
          <m:sup>
            <m:r>
              <m:rPr>
                <m:sty m:val="p"/>
              </m:rPr>
              <w:rPr>
                <w:rFonts w:ascii="Cambria Math" w:eastAsia="Times New Roman" w:hAnsi="Cambria Math"/>
                <w:sz w:val="28"/>
                <w:szCs w:val="28"/>
                <w:lang w:val="en-US"/>
              </w:rPr>
              <m:t>maxN</m:t>
            </m:r>
          </m:sup>
        </m:sSubSup>
      </m:oMath>
      <w:r w:rsidRPr="00984DA0">
        <w:rPr>
          <w:rFonts w:eastAsia="Times New Roman"/>
          <w:sz w:val="28"/>
          <w:szCs w:val="28"/>
        </w:rPr>
        <w:t xml:space="preserve"> за проверку сетевой организацией выполнения Заявителем технических условий составила 644 руб./ТП.</w:t>
      </w:r>
    </w:p>
    <w:p w:rsidR="001E7B45" w:rsidRPr="00984DA0" w:rsidRDefault="001E7B45" w:rsidP="008C1AA9">
      <w:pPr>
        <w:autoSpaceDE w:val="0"/>
        <w:autoSpaceDN w:val="0"/>
        <w:adjustRightInd w:val="0"/>
        <w:spacing w:after="0" w:line="240" w:lineRule="auto"/>
        <w:ind w:firstLine="708"/>
        <w:jc w:val="both"/>
        <w:rPr>
          <w:rFonts w:eastAsia="Times New Roman"/>
          <w:sz w:val="28"/>
          <w:szCs w:val="28"/>
        </w:rPr>
      </w:pPr>
      <w:r w:rsidRPr="00984DA0">
        <w:rPr>
          <w:rFonts w:eastAsia="Times New Roman"/>
          <w:bCs/>
          <w:sz w:val="28"/>
          <w:szCs w:val="28"/>
        </w:rPr>
        <w:t xml:space="preserve">Расчет ставок </w:t>
      </w:r>
      <w:r w:rsidRPr="00984DA0">
        <w:rPr>
          <w:rFonts w:eastAsia="Times New Roman"/>
          <w:sz w:val="28"/>
          <w:szCs w:val="28"/>
        </w:rPr>
        <w:t>за единицу максимальной мощности на осуществление мероприятий «последней мили» для Заявителей, осуществляющих технологическое присоединение своих энергопринимающих устройств максимальной мощностью более 150 кВт</w:t>
      </w:r>
      <w:r w:rsidR="00CC14CD">
        <w:rPr>
          <w:rFonts w:eastAsia="Times New Roman"/>
          <w:sz w:val="28"/>
          <w:szCs w:val="28"/>
        </w:rPr>
        <w:t>,</w:t>
      </w:r>
      <w:r w:rsidRPr="00984DA0">
        <w:rPr>
          <w:rFonts w:eastAsia="Times New Roman"/>
          <w:sz w:val="28"/>
          <w:szCs w:val="28"/>
        </w:rPr>
        <w:t xml:space="preserve"> произведен</w:t>
      </w:r>
      <w:r w:rsidR="00CC14CD">
        <w:rPr>
          <w:rFonts w:eastAsia="Times New Roman"/>
          <w:sz w:val="28"/>
          <w:szCs w:val="28"/>
        </w:rPr>
        <w:t>,</w:t>
      </w:r>
      <w:r w:rsidRPr="00984DA0">
        <w:rPr>
          <w:rFonts w:eastAsia="Times New Roman"/>
          <w:sz w:val="28"/>
          <w:szCs w:val="28"/>
        </w:rPr>
        <w:t xml:space="preserve"> исходя из рассчитанных стандартизированных тарифных ставок</w:t>
      </w:r>
      <w:r w:rsidR="00CC14CD">
        <w:rPr>
          <w:rFonts w:eastAsia="Times New Roman"/>
          <w:sz w:val="28"/>
          <w:szCs w:val="28"/>
        </w:rPr>
        <w:t>,</w:t>
      </w:r>
      <w:r w:rsidRPr="00984DA0">
        <w:rPr>
          <w:rFonts w:eastAsia="Times New Roman"/>
          <w:sz w:val="28"/>
          <w:szCs w:val="28"/>
        </w:rPr>
        <w:t xml:space="preserve"> и приведен в таблице</w:t>
      </w:r>
      <w:r w:rsidR="00CC14CD">
        <w:rPr>
          <w:rFonts w:eastAsia="Times New Roman"/>
          <w:sz w:val="28"/>
          <w:szCs w:val="28"/>
        </w:rPr>
        <w:t xml:space="preserve"> ниже</w:t>
      </w:r>
      <w:r w:rsidRPr="00984DA0">
        <w:rPr>
          <w:rFonts w:eastAsia="Times New Roman"/>
          <w:sz w:val="28"/>
          <w:szCs w:val="28"/>
        </w:rPr>
        <w:t>:</w:t>
      </w:r>
    </w:p>
    <w:tbl>
      <w:tblPr>
        <w:tblW w:w="0" w:type="auto"/>
        <w:tblCellSpacing w:w="5" w:type="nil"/>
        <w:tblInd w:w="35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5" w:type="dxa"/>
          <w:right w:w="75" w:type="dxa"/>
        </w:tblCellMar>
        <w:tblLook w:val="0000" w:firstRow="0" w:lastRow="0" w:firstColumn="0" w:lastColumn="0" w:noHBand="0" w:noVBand="0"/>
      </w:tblPr>
      <w:tblGrid>
        <w:gridCol w:w="567"/>
        <w:gridCol w:w="4820"/>
        <w:gridCol w:w="1417"/>
        <w:gridCol w:w="1418"/>
        <w:gridCol w:w="1559"/>
      </w:tblGrid>
      <w:tr w:rsidR="001E7B45" w:rsidRPr="00984DA0" w:rsidTr="00D818A7">
        <w:trPr>
          <w:trHeight w:val="400"/>
          <w:tblCellSpacing w:w="5" w:type="nil"/>
        </w:trPr>
        <w:tc>
          <w:tcPr>
            <w:tcW w:w="567" w:type="dxa"/>
            <w:vMerge w:val="restart"/>
            <w:vAlign w:val="center"/>
          </w:tcPr>
          <w:p w:rsidR="001E7B45" w:rsidRPr="00984DA0" w:rsidRDefault="001E7B45" w:rsidP="008C1AA9">
            <w:pPr>
              <w:autoSpaceDE w:val="0"/>
              <w:autoSpaceDN w:val="0"/>
              <w:adjustRightInd w:val="0"/>
              <w:spacing w:after="0" w:line="240" w:lineRule="auto"/>
              <w:jc w:val="center"/>
              <w:rPr>
                <w:rFonts w:eastAsia="Times New Roman"/>
              </w:rPr>
            </w:pPr>
            <w:r w:rsidRPr="00984DA0">
              <w:rPr>
                <w:rFonts w:eastAsia="Times New Roman"/>
              </w:rPr>
              <w:t xml:space="preserve">N  </w:t>
            </w:r>
            <w:r w:rsidRPr="00984DA0">
              <w:rPr>
                <w:rFonts w:eastAsia="Times New Roman"/>
              </w:rPr>
              <w:br/>
              <w:t>п/п</w:t>
            </w:r>
          </w:p>
        </w:tc>
        <w:tc>
          <w:tcPr>
            <w:tcW w:w="4820" w:type="dxa"/>
            <w:vMerge w:val="restart"/>
            <w:vAlign w:val="center"/>
          </w:tcPr>
          <w:p w:rsidR="001E7B45" w:rsidRPr="00984DA0" w:rsidRDefault="001E7B45" w:rsidP="008C1AA9">
            <w:pPr>
              <w:autoSpaceDE w:val="0"/>
              <w:autoSpaceDN w:val="0"/>
              <w:adjustRightInd w:val="0"/>
              <w:spacing w:after="0" w:line="240" w:lineRule="auto"/>
              <w:jc w:val="center"/>
              <w:rPr>
                <w:rFonts w:eastAsia="Times New Roman"/>
              </w:rPr>
            </w:pPr>
            <w:r w:rsidRPr="00984DA0">
              <w:rPr>
                <w:rFonts w:eastAsia="Times New Roman"/>
              </w:rPr>
              <w:t>Наименование мероприятий</w:t>
            </w:r>
          </w:p>
        </w:tc>
        <w:tc>
          <w:tcPr>
            <w:tcW w:w="2835" w:type="dxa"/>
            <w:gridSpan w:val="2"/>
            <w:vAlign w:val="center"/>
          </w:tcPr>
          <w:p w:rsidR="001E7B45" w:rsidRPr="00984DA0" w:rsidRDefault="001E7B45" w:rsidP="008C1AA9">
            <w:pPr>
              <w:autoSpaceDE w:val="0"/>
              <w:autoSpaceDN w:val="0"/>
              <w:adjustRightInd w:val="0"/>
              <w:spacing w:after="0" w:line="240" w:lineRule="auto"/>
              <w:jc w:val="center"/>
              <w:rPr>
                <w:rFonts w:eastAsia="Times New Roman"/>
              </w:rPr>
            </w:pPr>
          </w:p>
        </w:tc>
        <w:tc>
          <w:tcPr>
            <w:tcW w:w="1559" w:type="dxa"/>
            <w:shd w:val="clear" w:color="auto" w:fill="auto"/>
          </w:tcPr>
          <w:p w:rsidR="001E7B45" w:rsidRPr="00984DA0" w:rsidRDefault="001E7B45" w:rsidP="008C1AA9">
            <w:pPr>
              <w:spacing w:after="0" w:line="240" w:lineRule="auto"/>
              <w:rPr>
                <w:rFonts w:eastAsia="Times New Roman"/>
              </w:rPr>
            </w:pPr>
          </w:p>
        </w:tc>
      </w:tr>
      <w:tr w:rsidR="001E7B45" w:rsidRPr="00984DA0" w:rsidTr="00D818A7">
        <w:trPr>
          <w:trHeight w:val="800"/>
          <w:tblCellSpacing w:w="5" w:type="nil"/>
        </w:trPr>
        <w:tc>
          <w:tcPr>
            <w:tcW w:w="567" w:type="dxa"/>
            <w:vMerge/>
          </w:tcPr>
          <w:p w:rsidR="001E7B45" w:rsidRPr="00984DA0" w:rsidRDefault="001E7B45" w:rsidP="008C1AA9">
            <w:pPr>
              <w:autoSpaceDE w:val="0"/>
              <w:autoSpaceDN w:val="0"/>
              <w:adjustRightInd w:val="0"/>
              <w:spacing w:after="0" w:line="240" w:lineRule="auto"/>
              <w:rPr>
                <w:rFonts w:eastAsia="Times New Roman"/>
              </w:rPr>
            </w:pPr>
          </w:p>
        </w:tc>
        <w:tc>
          <w:tcPr>
            <w:tcW w:w="4820" w:type="dxa"/>
            <w:vMerge/>
          </w:tcPr>
          <w:p w:rsidR="001E7B45" w:rsidRPr="00984DA0" w:rsidRDefault="001E7B45" w:rsidP="008C1AA9">
            <w:pPr>
              <w:autoSpaceDE w:val="0"/>
              <w:autoSpaceDN w:val="0"/>
              <w:adjustRightInd w:val="0"/>
              <w:spacing w:after="0" w:line="240" w:lineRule="auto"/>
              <w:rPr>
                <w:rFonts w:eastAsia="Times New Roman"/>
              </w:rPr>
            </w:pPr>
          </w:p>
        </w:tc>
        <w:tc>
          <w:tcPr>
            <w:tcW w:w="1417" w:type="dxa"/>
          </w:tcPr>
          <w:p w:rsidR="001E7B45" w:rsidRPr="00984DA0" w:rsidRDefault="001E7B45" w:rsidP="008C1AA9">
            <w:pPr>
              <w:autoSpaceDE w:val="0"/>
              <w:autoSpaceDN w:val="0"/>
              <w:adjustRightInd w:val="0"/>
              <w:spacing w:after="0" w:line="240" w:lineRule="auto"/>
              <w:jc w:val="center"/>
              <w:rPr>
                <w:rFonts w:eastAsia="Times New Roman"/>
              </w:rPr>
            </w:pPr>
            <w:r w:rsidRPr="00984DA0">
              <w:rPr>
                <w:rFonts w:eastAsia="Times New Roman"/>
              </w:rPr>
              <w:t>Разбивка НВВ по каждому мероприятию, (руб.)</w:t>
            </w:r>
          </w:p>
        </w:tc>
        <w:tc>
          <w:tcPr>
            <w:tcW w:w="1418" w:type="dxa"/>
          </w:tcPr>
          <w:p w:rsidR="001E7B45" w:rsidRPr="00984DA0" w:rsidRDefault="001E7B45" w:rsidP="008C1AA9">
            <w:pPr>
              <w:autoSpaceDE w:val="0"/>
              <w:autoSpaceDN w:val="0"/>
              <w:adjustRightInd w:val="0"/>
              <w:spacing w:after="0" w:line="240" w:lineRule="auto"/>
              <w:jc w:val="center"/>
              <w:rPr>
                <w:rFonts w:eastAsia="Times New Roman"/>
              </w:rPr>
            </w:pPr>
            <w:r w:rsidRPr="00984DA0">
              <w:rPr>
                <w:rFonts w:eastAsia="Times New Roman"/>
              </w:rPr>
              <w:t>Объем максимальной мощности (кВт)</w:t>
            </w:r>
          </w:p>
        </w:tc>
        <w:tc>
          <w:tcPr>
            <w:tcW w:w="1559" w:type="dxa"/>
            <w:shd w:val="clear" w:color="auto" w:fill="auto"/>
          </w:tcPr>
          <w:p w:rsidR="001E7B45" w:rsidRPr="00984DA0" w:rsidRDefault="001E7B45" w:rsidP="008C1AA9">
            <w:pPr>
              <w:autoSpaceDE w:val="0"/>
              <w:autoSpaceDN w:val="0"/>
              <w:adjustRightInd w:val="0"/>
              <w:spacing w:after="0" w:line="240" w:lineRule="auto"/>
              <w:jc w:val="center"/>
              <w:rPr>
                <w:rFonts w:eastAsia="Times New Roman"/>
              </w:rPr>
            </w:pPr>
            <w:r w:rsidRPr="00984DA0">
              <w:rPr>
                <w:rFonts w:eastAsia="Times New Roman"/>
              </w:rPr>
              <w:t>Ставки для расчета платы по каждому мероприятию, (руб/кВт)</w:t>
            </w:r>
          </w:p>
        </w:tc>
      </w:tr>
      <w:tr w:rsidR="001E7B45" w:rsidRPr="00984DA0" w:rsidTr="00D818A7">
        <w:trPr>
          <w:trHeight w:val="482"/>
          <w:tblCellSpacing w:w="5" w:type="nil"/>
        </w:trPr>
        <w:tc>
          <w:tcPr>
            <w:tcW w:w="567" w:type="dxa"/>
            <w:vAlign w:val="center"/>
          </w:tcPr>
          <w:p w:rsidR="001E7B45" w:rsidRPr="00984DA0" w:rsidRDefault="001E7B45" w:rsidP="008C1AA9">
            <w:pPr>
              <w:autoSpaceDE w:val="0"/>
              <w:autoSpaceDN w:val="0"/>
              <w:adjustRightInd w:val="0"/>
              <w:spacing w:after="0" w:line="240" w:lineRule="auto"/>
              <w:rPr>
                <w:rFonts w:eastAsia="Times New Roman"/>
              </w:rPr>
            </w:pPr>
            <w:r w:rsidRPr="00984DA0">
              <w:rPr>
                <w:rFonts w:eastAsia="Times New Roman"/>
              </w:rPr>
              <w:t>1.</w:t>
            </w:r>
          </w:p>
        </w:tc>
        <w:tc>
          <w:tcPr>
            <w:tcW w:w="4820" w:type="dxa"/>
            <w:vAlign w:val="center"/>
          </w:tcPr>
          <w:p w:rsidR="001E7B45" w:rsidRPr="00984DA0" w:rsidRDefault="001E7B45" w:rsidP="008C1AA9">
            <w:pPr>
              <w:spacing w:after="0" w:line="240" w:lineRule="auto"/>
              <w:rPr>
                <w:rFonts w:eastAsia="Times New Roman"/>
              </w:rPr>
            </w:pPr>
            <w:r w:rsidRPr="00984DA0">
              <w:rPr>
                <w:rFonts w:eastAsia="Times New Roman"/>
              </w:rPr>
              <w:t>строительство воздушных линий электропередач 0,4 кВ (</w:t>
            </w:r>
            <w:r w:rsidRPr="00984DA0">
              <w:rPr>
                <w:rFonts w:eastAsia="Times New Roman"/>
                <w:position w:val="-14"/>
                <w:sz w:val="28"/>
              </w:rPr>
              <w:object w:dxaOrig="660" w:dyaOrig="405">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33.75pt;height:20.25pt" o:ole="">
                  <v:imagedata r:id="rId16" o:title=""/>
                </v:shape>
                <o:OLEObject Type="Embed" ProgID="Equation.3" ShapeID="_x0000_i1025" DrawAspect="Content" ObjectID="_1647172713" r:id="rId17"/>
              </w:object>
            </w:r>
            <w:r w:rsidRPr="00984DA0">
              <w:rPr>
                <w:rFonts w:eastAsia="Times New Roman"/>
              </w:rPr>
              <w:t>)</w:t>
            </w:r>
          </w:p>
        </w:tc>
        <w:tc>
          <w:tcPr>
            <w:tcW w:w="1417" w:type="dxa"/>
            <w:vAlign w:val="center"/>
          </w:tcPr>
          <w:p w:rsidR="001E7B45" w:rsidRPr="00984DA0" w:rsidRDefault="001E7B45" w:rsidP="008C1AA9">
            <w:pPr>
              <w:autoSpaceDE w:val="0"/>
              <w:autoSpaceDN w:val="0"/>
              <w:adjustRightInd w:val="0"/>
              <w:spacing w:after="0" w:line="240" w:lineRule="auto"/>
              <w:rPr>
                <w:rFonts w:eastAsia="Times New Roman"/>
              </w:rPr>
            </w:pPr>
            <w:r w:rsidRPr="00984DA0">
              <w:rPr>
                <w:rFonts w:eastAsia="Times New Roman"/>
              </w:rPr>
              <w:t>-</w:t>
            </w:r>
          </w:p>
        </w:tc>
        <w:tc>
          <w:tcPr>
            <w:tcW w:w="1418" w:type="dxa"/>
            <w:vAlign w:val="center"/>
          </w:tcPr>
          <w:p w:rsidR="001E7B45" w:rsidRPr="00984DA0" w:rsidRDefault="001E7B45" w:rsidP="008C1AA9">
            <w:pPr>
              <w:autoSpaceDE w:val="0"/>
              <w:autoSpaceDN w:val="0"/>
              <w:adjustRightInd w:val="0"/>
              <w:spacing w:after="0" w:line="240" w:lineRule="auto"/>
              <w:rPr>
                <w:rFonts w:eastAsia="Times New Roman"/>
              </w:rPr>
            </w:pPr>
            <w:r w:rsidRPr="00984DA0">
              <w:rPr>
                <w:rFonts w:eastAsia="Times New Roman"/>
              </w:rPr>
              <w:t>-</w:t>
            </w:r>
          </w:p>
        </w:tc>
        <w:tc>
          <w:tcPr>
            <w:tcW w:w="1559" w:type="dxa"/>
            <w:shd w:val="clear" w:color="auto" w:fill="auto"/>
            <w:vAlign w:val="center"/>
          </w:tcPr>
          <w:p w:rsidR="001E7B45" w:rsidRPr="00984DA0" w:rsidRDefault="001E7B45" w:rsidP="008C1AA9">
            <w:pPr>
              <w:spacing w:after="0" w:line="240" w:lineRule="auto"/>
              <w:rPr>
                <w:rFonts w:eastAsia="Times New Roman"/>
              </w:rPr>
            </w:pPr>
            <w:r w:rsidRPr="00984DA0">
              <w:rPr>
                <w:rFonts w:eastAsia="Times New Roman"/>
              </w:rPr>
              <w:t>529</w:t>
            </w:r>
          </w:p>
        </w:tc>
      </w:tr>
      <w:tr w:rsidR="001E7B45" w:rsidRPr="00984DA0" w:rsidTr="00D818A7">
        <w:trPr>
          <w:trHeight w:val="204"/>
          <w:tblCellSpacing w:w="5" w:type="nil"/>
        </w:trPr>
        <w:tc>
          <w:tcPr>
            <w:tcW w:w="567" w:type="dxa"/>
            <w:vAlign w:val="center"/>
          </w:tcPr>
          <w:p w:rsidR="001E7B45" w:rsidRPr="00984DA0" w:rsidRDefault="001E7B45" w:rsidP="008C1AA9">
            <w:pPr>
              <w:autoSpaceDE w:val="0"/>
              <w:autoSpaceDN w:val="0"/>
              <w:adjustRightInd w:val="0"/>
              <w:spacing w:after="0" w:line="240" w:lineRule="auto"/>
              <w:rPr>
                <w:rFonts w:eastAsia="Times New Roman"/>
              </w:rPr>
            </w:pPr>
            <w:r w:rsidRPr="00984DA0">
              <w:rPr>
                <w:rFonts w:eastAsia="Times New Roman"/>
              </w:rPr>
              <w:t>2.</w:t>
            </w:r>
          </w:p>
        </w:tc>
        <w:tc>
          <w:tcPr>
            <w:tcW w:w="4820" w:type="dxa"/>
            <w:vAlign w:val="center"/>
          </w:tcPr>
          <w:p w:rsidR="001E7B45" w:rsidRPr="00984DA0" w:rsidRDefault="001E7B45" w:rsidP="008C1AA9">
            <w:pPr>
              <w:spacing w:after="0" w:line="240" w:lineRule="auto"/>
              <w:rPr>
                <w:rFonts w:eastAsia="Times New Roman"/>
              </w:rPr>
            </w:pPr>
            <w:r w:rsidRPr="00984DA0">
              <w:rPr>
                <w:rFonts w:eastAsia="Times New Roman"/>
              </w:rPr>
              <w:t>строительство воздушных линий электропередач 6(10) кВ (</w:t>
            </w:r>
            <w:r w:rsidRPr="00984DA0">
              <w:rPr>
                <w:rFonts w:eastAsia="Times New Roman"/>
                <w:position w:val="-14"/>
                <w:sz w:val="28"/>
              </w:rPr>
              <w:object w:dxaOrig="660" w:dyaOrig="405">
                <v:shape id="_x0000_i1026" type="#_x0000_t75" style="width:33.75pt;height:20.25pt" o:ole="">
                  <v:imagedata r:id="rId18" o:title=""/>
                </v:shape>
                <o:OLEObject Type="Embed" ProgID="Equation.3" ShapeID="_x0000_i1026" DrawAspect="Content" ObjectID="_1647172714" r:id="rId19"/>
              </w:object>
            </w:r>
            <w:r w:rsidRPr="00984DA0">
              <w:rPr>
                <w:rFonts w:eastAsia="Times New Roman"/>
              </w:rPr>
              <w:t>)</w:t>
            </w:r>
          </w:p>
        </w:tc>
        <w:tc>
          <w:tcPr>
            <w:tcW w:w="1417" w:type="dxa"/>
            <w:vAlign w:val="center"/>
          </w:tcPr>
          <w:p w:rsidR="001E7B45" w:rsidRPr="00984DA0" w:rsidRDefault="001E7B45" w:rsidP="008C1AA9">
            <w:pPr>
              <w:spacing w:after="0" w:line="240" w:lineRule="auto"/>
              <w:rPr>
                <w:rFonts w:eastAsia="Times New Roman"/>
              </w:rPr>
            </w:pPr>
            <w:r w:rsidRPr="00984DA0">
              <w:rPr>
                <w:rFonts w:eastAsia="Times New Roman"/>
                <w:bCs/>
                <w:color w:val="000000"/>
              </w:rPr>
              <w:t>18 877 894</w:t>
            </w:r>
          </w:p>
        </w:tc>
        <w:tc>
          <w:tcPr>
            <w:tcW w:w="1418" w:type="dxa"/>
            <w:vAlign w:val="center"/>
          </w:tcPr>
          <w:p w:rsidR="001E7B45" w:rsidRPr="00984DA0" w:rsidRDefault="001E7B45" w:rsidP="008C1AA9">
            <w:pPr>
              <w:autoSpaceDE w:val="0"/>
              <w:autoSpaceDN w:val="0"/>
              <w:adjustRightInd w:val="0"/>
              <w:spacing w:after="0" w:line="240" w:lineRule="auto"/>
              <w:rPr>
                <w:rFonts w:eastAsia="Times New Roman"/>
              </w:rPr>
            </w:pPr>
            <w:r w:rsidRPr="00984DA0">
              <w:rPr>
                <w:rFonts w:eastAsia="Times New Roman"/>
              </w:rPr>
              <w:t>4 970</w:t>
            </w:r>
          </w:p>
        </w:tc>
        <w:tc>
          <w:tcPr>
            <w:tcW w:w="1559" w:type="dxa"/>
            <w:shd w:val="clear" w:color="auto" w:fill="auto"/>
            <w:vAlign w:val="center"/>
          </w:tcPr>
          <w:p w:rsidR="001E7B45" w:rsidRPr="00984DA0" w:rsidRDefault="001E7B45" w:rsidP="008C1AA9">
            <w:pPr>
              <w:spacing w:after="0" w:line="240" w:lineRule="auto"/>
              <w:rPr>
                <w:rFonts w:eastAsia="Times New Roman"/>
              </w:rPr>
            </w:pPr>
            <w:r w:rsidRPr="00984DA0">
              <w:rPr>
                <w:rFonts w:eastAsia="Times New Roman"/>
              </w:rPr>
              <w:t>3 798</w:t>
            </w:r>
          </w:p>
        </w:tc>
      </w:tr>
      <w:tr w:rsidR="001E7B45" w:rsidRPr="00984DA0" w:rsidTr="00D818A7">
        <w:trPr>
          <w:trHeight w:val="268"/>
          <w:tblCellSpacing w:w="5" w:type="nil"/>
        </w:trPr>
        <w:tc>
          <w:tcPr>
            <w:tcW w:w="567" w:type="dxa"/>
            <w:vAlign w:val="center"/>
          </w:tcPr>
          <w:p w:rsidR="001E7B45" w:rsidRPr="00984DA0" w:rsidRDefault="001E7B45" w:rsidP="008C1AA9">
            <w:pPr>
              <w:autoSpaceDE w:val="0"/>
              <w:autoSpaceDN w:val="0"/>
              <w:adjustRightInd w:val="0"/>
              <w:spacing w:after="0" w:line="240" w:lineRule="auto"/>
              <w:rPr>
                <w:rFonts w:eastAsia="Times New Roman"/>
              </w:rPr>
            </w:pPr>
            <w:r w:rsidRPr="00984DA0">
              <w:rPr>
                <w:rFonts w:eastAsia="Times New Roman"/>
              </w:rPr>
              <w:t>3.</w:t>
            </w:r>
          </w:p>
        </w:tc>
        <w:tc>
          <w:tcPr>
            <w:tcW w:w="4820" w:type="dxa"/>
            <w:vAlign w:val="center"/>
          </w:tcPr>
          <w:p w:rsidR="001E7B45" w:rsidRPr="00984DA0" w:rsidRDefault="001E7B45" w:rsidP="008C1AA9">
            <w:pPr>
              <w:spacing w:after="0" w:line="240" w:lineRule="auto"/>
              <w:rPr>
                <w:rFonts w:eastAsia="Times New Roman"/>
              </w:rPr>
            </w:pPr>
            <w:r w:rsidRPr="00984DA0">
              <w:rPr>
                <w:rFonts w:eastAsia="Times New Roman"/>
              </w:rPr>
              <w:t xml:space="preserve">строительство кабельных линий </w:t>
            </w:r>
            <w:r w:rsidRPr="00984DA0">
              <w:rPr>
                <w:rFonts w:eastAsia="Times New Roman"/>
              </w:rPr>
              <w:lastRenderedPageBreak/>
              <w:t>электропередач 0,4 кВ (</w:t>
            </w:r>
            <w:r w:rsidRPr="00984DA0">
              <w:rPr>
                <w:rFonts w:eastAsia="Times New Roman"/>
                <w:position w:val="-14"/>
                <w:sz w:val="28"/>
              </w:rPr>
              <w:object w:dxaOrig="660" w:dyaOrig="405">
                <v:shape id="_x0000_i1027" type="#_x0000_t75" style="width:33.75pt;height:20.25pt" o:ole="">
                  <v:imagedata r:id="rId20" o:title=""/>
                </v:shape>
                <o:OLEObject Type="Embed" ProgID="Equation.3" ShapeID="_x0000_i1027" DrawAspect="Content" ObjectID="_1647172715" r:id="rId21"/>
              </w:object>
            </w:r>
            <w:r w:rsidRPr="00984DA0">
              <w:rPr>
                <w:rFonts w:eastAsia="Times New Roman"/>
              </w:rPr>
              <w:t>)</w:t>
            </w:r>
          </w:p>
        </w:tc>
        <w:tc>
          <w:tcPr>
            <w:tcW w:w="1417" w:type="dxa"/>
            <w:vAlign w:val="center"/>
          </w:tcPr>
          <w:p w:rsidR="001E7B45" w:rsidRPr="00984DA0" w:rsidRDefault="001E7B45" w:rsidP="008C1AA9">
            <w:pPr>
              <w:spacing w:after="0" w:line="240" w:lineRule="auto"/>
              <w:rPr>
                <w:rFonts w:eastAsia="Times New Roman"/>
              </w:rPr>
            </w:pPr>
            <w:r w:rsidRPr="00984DA0">
              <w:rPr>
                <w:rFonts w:eastAsia="Times New Roman"/>
              </w:rPr>
              <w:lastRenderedPageBreak/>
              <w:t>3 374 127</w:t>
            </w:r>
          </w:p>
        </w:tc>
        <w:tc>
          <w:tcPr>
            <w:tcW w:w="1418" w:type="dxa"/>
            <w:vAlign w:val="center"/>
          </w:tcPr>
          <w:p w:rsidR="001E7B45" w:rsidRPr="00984DA0" w:rsidRDefault="001E7B45" w:rsidP="008C1AA9">
            <w:pPr>
              <w:spacing w:after="0" w:line="240" w:lineRule="auto"/>
              <w:rPr>
                <w:rFonts w:eastAsia="Times New Roman"/>
              </w:rPr>
            </w:pPr>
            <w:r w:rsidRPr="00984DA0">
              <w:rPr>
                <w:rFonts w:eastAsia="Times New Roman"/>
              </w:rPr>
              <w:t>1 214</w:t>
            </w:r>
          </w:p>
        </w:tc>
        <w:tc>
          <w:tcPr>
            <w:tcW w:w="1559" w:type="dxa"/>
            <w:shd w:val="clear" w:color="auto" w:fill="auto"/>
            <w:vAlign w:val="center"/>
          </w:tcPr>
          <w:p w:rsidR="001E7B45" w:rsidRPr="00984DA0" w:rsidRDefault="001E7B45" w:rsidP="008C1AA9">
            <w:pPr>
              <w:spacing w:after="0" w:line="240" w:lineRule="auto"/>
              <w:rPr>
                <w:rFonts w:eastAsia="Times New Roman"/>
              </w:rPr>
            </w:pPr>
            <w:r w:rsidRPr="00984DA0">
              <w:rPr>
                <w:rFonts w:eastAsia="Times New Roman"/>
              </w:rPr>
              <w:t>2 780</w:t>
            </w:r>
          </w:p>
        </w:tc>
      </w:tr>
      <w:tr w:rsidR="001E7B45" w:rsidRPr="00984DA0" w:rsidTr="00D818A7">
        <w:trPr>
          <w:trHeight w:val="420"/>
          <w:tblCellSpacing w:w="5" w:type="nil"/>
        </w:trPr>
        <w:tc>
          <w:tcPr>
            <w:tcW w:w="567" w:type="dxa"/>
            <w:vAlign w:val="center"/>
          </w:tcPr>
          <w:p w:rsidR="001E7B45" w:rsidRPr="00984DA0" w:rsidRDefault="001E7B45" w:rsidP="008C1AA9">
            <w:pPr>
              <w:autoSpaceDE w:val="0"/>
              <w:autoSpaceDN w:val="0"/>
              <w:adjustRightInd w:val="0"/>
              <w:spacing w:after="0" w:line="240" w:lineRule="auto"/>
              <w:rPr>
                <w:rFonts w:eastAsia="Times New Roman"/>
              </w:rPr>
            </w:pPr>
            <w:r w:rsidRPr="00984DA0">
              <w:rPr>
                <w:rFonts w:eastAsia="Times New Roman"/>
              </w:rPr>
              <w:lastRenderedPageBreak/>
              <w:t>4.</w:t>
            </w:r>
          </w:p>
        </w:tc>
        <w:tc>
          <w:tcPr>
            <w:tcW w:w="4820" w:type="dxa"/>
            <w:vAlign w:val="center"/>
          </w:tcPr>
          <w:p w:rsidR="001E7B45" w:rsidRPr="00984DA0" w:rsidRDefault="001E7B45" w:rsidP="008C1AA9">
            <w:pPr>
              <w:spacing w:after="0" w:line="240" w:lineRule="auto"/>
              <w:rPr>
                <w:rFonts w:eastAsia="Times New Roman"/>
              </w:rPr>
            </w:pPr>
            <w:r w:rsidRPr="00984DA0">
              <w:rPr>
                <w:rFonts w:eastAsia="Times New Roman"/>
              </w:rPr>
              <w:t>строительство кабельных линий электропередач 6(10) кВ (</w:t>
            </w:r>
            <w:r w:rsidRPr="00984DA0">
              <w:rPr>
                <w:rFonts w:eastAsia="Times New Roman"/>
                <w:position w:val="-14"/>
                <w:sz w:val="28"/>
              </w:rPr>
              <w:object w:dxaOrig="660" w:dyaOrig="405">
                <v:shape id="_x0000_i1028" type="#_x0000_t75" style="width:33.75pt;height:20.25pt" o:ole="">
                  <v:imagedata r:id="rId22" o:title=""/>
                </v:shape>
                <o:OLEObject Type="Embed" ProgID="Equation.3" ShapeID="_x0000_i1028" DrawAspect="Content" ObjectID="_1647172716" r:id="rId23"/>
              </w:object>
            </w:r>
            <w:r w:rsidRPr="00984DA0">
              <w:rPr>
                <w:rFonts w:eastAsia="Times New Roman"/>
              </w:rPr>
              <w:t>)</w:t>
            </w:r>
          </w:p>
        </w:tc>
        <w:tc>
          <w:tcPr>
            <w:tcW w:w="1417" w:type="dxa"/>
            <w:vAlign w:val="center"/>
          </w:tcPr>
          <w:p w:rsidR="001E7B45" w:rsidRPr="00984DA0" w:rsidRDefault="001E7B45" w:rsidP="008C1AA9">
            <w:pPr>
              <w:spacing w:after="0" w:line="240" w:lineRule="auto"/>
              <w:rPr>
                <w:rFonts w:eastAsia="Times New Roman"/>
              </w:rPr>
            </w:pPr>
            <w:r w:rsidRPr="00984DA0">
              <w:rPr>
                <w:rFonts w:eastAsia="Times New Roman"/>
              </w:rPr>
              <w:t>88 077 362</w:t>
            </w:r>
          </w:p>
        </w:tc>
        <w:tc>
          <w:tcPr>
            <w:tcW w:w="1418" w:type="dxa"/>
            <w:vAlign w:val="center"/>
          </w:tcPr>
          <w:p w:rsidR="001E7B45" w:rsidRPr="00984DA0" w:rsidRDefault="001E7B45" w:rsidP="008C1AA9">
            <w:pPr>
              <w:spacing w:after="0" w:line="240" w:lineRule="auto"/>
              <w:rPr>
                <w:rFonts w:eastAsia="Times New Roman"/>
              </w:rPr>
            </w:pPr>
            <w:r w:rsidRPr="00984DA0">
              <w:rPr>
                <w:rFonts w:eastAsia="Times New Roman"/>
              </w:rPr>
              <w:t>33 463</w:t>
            </w:r>
          </w:p>
        </w:tc>
        <w:tc>
          <w:tcPr>
            <w:tcW w:w="1559" w:type="dxa"/>
            <w:shd w:val="clear" w:color="auto" w:fill="auto"/>
            <w:vAlign w:val="center"/>
          </w:tcPr>
          <w:p w:rsidR="001E7B45" w:rsidRPr="00984DA0" w:rsidRDefault="001E7B45" w:rsidP="008C1AA9">
            <w:pPr>
              <w:spacing w:after="0" w:line="240" w:lineRule="auto"/>
              <w:rPr>
                <w:rFonts w:eastAsia="Times New Roman"/>
              </w:rPr>
            </w:pPr>
            <w:r w:rsidRPr="00984DA0">
              <w:rPr>
                <w:rFonts w:eastAsia="Times New Roman"/>
              </w:rPr>
              <w:t>2 632</w:t>
            </w:r>
          </w:p>
        </w:tc>
      </w:tr>
      <w:tr w:rsidR="001E7B45" w:rsidRPr="00984DA0" w:rsidTr="00D818A7">
        <w:trPr>
          <w:trHeight w:val="360"/>
          <w:tblCellSpacing w:w="5" w:type="nil"/>
        </w:trPr>
        <w:tc>
          <w:tcPr>
            <w:tcW w:w="567" w:type="dxa"/>
            <w:vAlign w:val="center"/>
          </w:tcPr>
          <w:p w:rsidR="001E7B45" w:rsidRPr="00984DA0" w:rsidRDefault="001E7B45" w:rsidP="008C1AA9">
            <w:pPr>
              <w:autoSpaceDE w:val="0"/>
              <w:autoSpaceDN w:val="0"/>
              <w:adjustRightInd w:val="0"/>
              <w:spacing w:after="0" w:line="240" w:lineRule="auto"/>
              <w:rPr>
                <w:rFonts w:eastAsia="Times New Roman"/>
              </w:rPr>
            </w:pPr>
            <w:r w:rsidRPr="00984DA0">
              <w:rPr>
                <w:rFonts w:eastAsia="Times New Roman"/>
              </w:rPr>
              <w:t>5.</w:t>
            </w:r>
          </w:p>
        </w:tc>
        <w:tc>
          <w:tcPr>
            <w:tcW w:w="4820" w:type="dxa"/>
            <w:vAlign w:val="center"/>
          </w:tcPr>
          <w:p w:rsidR="001E7B45" w:rsidRPr="00984DA0" w:rsidRDefault="001E7B45" w:rsidP="008C1AA9">
            <w:pPr>
              <w:spacing w:after="0" w:line="240" w:lineRule="auto"/>
              <w:rPr>
                <w:rFonts w:eastAsia="Times New Roman"/>
              </w:rPr>
            </w:pPr>
            <w:r w:rsidRPr="00984DA0">
              <w:rPr>
                <w:rFonts w:eastAsia="Times New Roman"/>
              </w:rPr>
              <w:t>строительство кабельных линий электропередач 20 кВ (</w:t>
            </w:r>
            <w:r w:rsidRPr="00984DA0">
              <w:rPr>
                <w:rFonts w:eastAsia="Times New Roman"/>
                <w:position w:val="-14"/>
                <w:sz w:val="28"/>
              </w:rPr>
              <w:object w:dxaOrig="660" w:dyaOrig="405">
                <v:shape id="_x0000_i1029" type="#_x0000_t75" style="width:33.75pt;height:20.25pt" o:ole="">
                  <v:imagedata r:id="rId24" o:title=""/>
                </v:shape>
                <o:OLEObject Type="Embed" ProgID="Equation.3" ShapeID="_x0000_i1029" DrawAspect="Content" ObjectID="_1647172717" r:id="rId25"/>
              </w:object>
            </w:r>
            <w:r w:rsidRPr="00984DA0">
              <w:rPr>
                <w:rFonts w:eastAsia="Times New Roman"/>
              </w:rPr>
              <w:t>)</w:t>
            </w:r>
          </w:p>
        </w:tc>
        <w:tc>
          <w:tcPr>
            <w:tcW w:w="1417" w:type="dxa"/>
            <w:vAlign w:val="center"/>
          </w:tcPr>
          <w:p w:rsidR="001E7B45" w:rsidRPr="00984DA0" w:rsidRDefault="001E7B45" w:rsidP="008C1AA9">
            <w:pPr>
              <w:spacing w:after="0" w:line="240" w:lineRule="auto"/>
              <w:rPr>
                <w:rFonts w:eastAsia="Times New Roman"/>
              </w:rPr>
            </w:pPr>
            <w:r w:rsidRPr="00984DA0">
              <w:rPr>
                <w:rFonts w:eastAsia="Times New Roman"/>
              </w:rPr>
              <w:t>51 221 260</w:t>
            </w:r>
          </w:p>
        </w:tc>
        <w:tc>
          <w:tcPr>
            <w:tcW w:w="1418" w:type="dxa"/>
            <w:vAlign w:val="center"/>
          </w:tcPr>
          <w:p w:rsidR="001E7B45" w:rsidRPr="00984DA0" w:rsidRDefault="001E7B45" w:rsidP="008C1AA9">
            <w:pPr>
              <w:spacing w:after="0" w:line="240" w:lineRule="auto"/>
              <w:rPr>
                <w:rFonts w:eastAsia="Times New Roman"/>
              </w:rPr>
            </w:pPr>
            <w:r w:rsidRPr="00984DA0">
              <w:rPr>
                <w:rFonts w:eastAsia="Times New Roman"/>
              </w:rPr>
              <w:t>72 169</w:t>
            </w:r>
          </w:p>
        </w:tc>
        <w:tc>
          <w:tcPr>
            <w:tcW w:w="1559" w:type="dxa"/>
            <w:shd w:val="clear" w:color="auto" w:fill="auto"/>
            <w:vAlign w:val="center"/>
          </w:tcPr>
          <w:p w:rsidR="001E7B45" w:rsidRPr="00984DA0" w:rsidRDefault="001E7B45" w:rsidP="008C1AA9">
            <w:pPr>
              <w:spacing w:after="0" w:line="240" w:lineRule="auto"/>
              <w:rPr>
                <w:rFonts w:eastAsia="Times New Roman"/>
              </w:rPr>
            </w:pPr>
            <w:r w:rsidRPr="00984DA0">
              <w:rPr>
                <w:rFonts w:eastAsia="Times New Roman"/>
              </w:rPr>
              <w:t>710</w:t>
            </w:r>
          </w:p>
        </w:tc>
      </w:tr>
      <w:tr w:rsidR="001E7B45" w:rsidRPr="00984DA0" w:rsidTr="00D818A7">
        <w:trPr>
          <w:trHeight w:val="420"/>
          <w:tblCellSpacing w:w="5" w:type="nil"/>
        </w:trPr>
        <w:tc>
          <w:tcPr>
            <w:tcW w:w="567" w:type="dxa"/>
            <w:vAlign w:val="center"/>
          </w:tcPr>
          <w:p w:rsidR="001E7B45" w:rsidRPr="00984DA0" w:rsidRDefault="001E7B45" w:rsidP="008C1AA9">
            <w:pPr>
              <w:autoSpaceDE w:val="0"/>
              <w:autoSpaceDN w:val="0"/>
              <w:adjustRightInd w:val="0"/>
              <w:spacing w:after="0" w:line="240" w:lineRule="auto"/>
              <w:rPr>
                <w:rFonts w:eastAsia="Times New Roman"/>
              </w:rPr>
            </w:pPr>
            <w:r w:rsidRPr="00984DA0">
              <w:rPr>
                <w:rFonts w:eastAsia="Times New Roman"/>
              </w:rPr>
              <w:t>6.</w:t>
            </w:r>
          </w:p>
        </w:tc>
        <w:tc>
          <w:tcPr>
            <w:tcW w:w="4820" w:type="dxa"/>
            <w:vAlign w:val="center"/>
          </w:tcPr>
          <w:p w:rsidR="001E7B45" w:rsidRPr="00984DA0" w:rsidRDefault="001E7B45" w:rsidP="008C1AA9">
            <w:pPr>
              <w:spacing w:after="0" w:line="240" w:lineRule="auto"/>
              <w:rPr>
                <w:rFonts w:eastAsia="Times New Roman"/>
              </w:rPr>
            </w:pPr>
            <w:r w:rsidRPr="00984DA0">
              <w:rPr>
                <w:rFonts w:eastAsia="Times New Roman"/>
              </w:rPr>
              <w:t>строительство пунктов секционирования 6 кВ     (</w:t>
            </w:r>
            <w:r w:rsidRPr="00984DA0">
              <w:rPr>
                <w:rFonts w:eastAsia="Times New Roman"/>
                <w:position w:val="-14"/>
                <w:sz w:val="28"/>
              </w:rPr>
              <w:object w:dxaOrig="660" w:dyaOrig="405">
                <v:shape id="_x0000_i1030" type="#_x0000_t75" style="width:33.75pt;height:20.25pt" o:ole="">
                  <v:imagedata r:id="rId26" o:title=""/>
                </v:shape>
                <o:OLEObject Type="Embed" ProgID="Equation.3" ShapeID="_x0000_i1030" DrawAspect="Content" ObjectID="_1647172718" r:id="rId27"/>
              </w:object>
            </w:r>
            <w:r w:rsidRPr="00984DA0">
              <w:rPr>
                <w:rFonts w:eastAsia="Times New Roman"/>
              </w:rPr>
              <w:t>)</w:t>
            </w:r>
          </w:p>
        </w:tc>
        <w:tc>
          <w:tcPr>
            <w:tcW w:w="1417" w:type="dxa"/>
            <w:vAlign w:val="center"/>
          </w:tcPr>
          <w:p w:rsidR="001E7B45" w:rsidRPr="00984DA0" w:rsidRDefault="001E7B45" w:rsidP="008C1AA9">
            <w:pPr>
              <w:spacing w:after="0" w:line="240" w:lineRule="auto"/>
              <w:rPr>
                <w:rFonts w:eastAsia="Times New Roman"/>
              </w:rPr>
            </w:pPr>
            <w:r w:rsidRPr="00984DA0">
              <w:rPr>
                <w:rFonts w:eastAsia="Times New Roman"/>
              </w:rPr>
              <w:t>21 384 527</w:t>
            </w:r>
          </w:p>
        </w:tc>
        <w:tc>
          <w:tcPr>
            <w:tcW w:w="1418" w:type="dxa"/>
            <w:vAlign w:val="center"/>
          </w:tcPr>
          <w:p w:rsidR="001E7B45" w:rsidRPr="00984DA0" w:rsidRDefault="001E7B45" w:rsidP="008C1AA9">
            <w:pPr>
              <w:spacing w:after="0" w:line="240" w:lineRule="auto"/>
              <w:rPr>
                <w:rFonts w:eastAsia="Times New Roman"/>
              </w:rPr>
            </w:pPr>
            <w:r w:rsidRPr="00984DA0">
              <w:rPr>
                <w:rFonts w:eastAsia="Times New Roman"/>
              </w:rPr>
              <w:t>6 000</w:t>
            </w:r>
          </w:p>
        </w:tc>
        <w:tc>
          <w:tcPr>
            <w:tcW w:w="1559" w:type="dxa"/>
            <w:shd w:val="clear" w:color="auto" w:fill="auto"/>
            <w:vAlign w:val="center"/>
          </w:tcPr>
          <w:p w:rsidR="001E7B45" w:rsidRPr="00984DA0" w:rsidRDefault="001E7B45" w:rsidP="008C1AA9">
            <w:pPr>
              <w:spacing w:after="0" w:line="240" w:lineRule="auto"/>
              <w:rPr>
                <w:rFonts w:eastAsia="Times New Roman"/>
              </w:rPr>
            </w:pPr>
            <w:r w:rsidRPr="00984DA0">
              <w:rPr>
                <w:rFonts w:eastAsia="Times New Roman"/>
              </w:rPr>
              <w:t>3 564</w:t>
            </w:r>
          </w:p>
        </w:tc>
      </w:tr>
      <w:tr w:rsidR="001E7B45" w:rsidRPr="00984DA0" w:rsidTr="00D818A7">
        <w:trPr>
          <w:trHeight w:val="529"/>
          <w:tblCellSpacing w:w="5" w:type="nil"/>
        </w:trPr>
        <w:tc>
          <w:tcPr>
            <w:tcW w:w="567" w:type="dxa"/>
            <w:vAlign w:val="center"/>
          </w:tcPr>
          <w:p w:rsidR="001E7B45" w:rsidRPr="00984DA0" w:rsidRDefault="001E7B45" w:rsidP="008C1AA9">
            <w:pPr>
              <w:autoSpaceDE w:val="0"/>
              <w:autoSpaceDN w:val="0"/>
              <w:adjustRightInd w:val="0"/>
              <w:spacing w:after="0" w:line="240" w:lineRule="auto"/>
              <w:rPr>
                <w:rFonts w:eastAsia="Times New Roman"/>
              </w:rPr>
            </w:pPr>
            <w:r w:rsidRPr="00984DA0">
              <w:rPr>
                <w:rFonts w:eastAsia="Times New Roman"/>
              </w:rPr>
              <w:t>7.</w:t>
            </w:r>
          </w:p>
        </w:tc>
        <w:tc>
          <w:tcPr>
            <w:tcW w:w="4820" w:type="dxa"/>
            <w:vAlign w:val="center"/>
          </w:tcPr>
          <w:p w:rsidR="001E7B45" w:rsidRPr="00984DA0" w:rsidRDefault="001E7B45" w:rsidP="008C1AA9">
            <w:pPr>
              <w:spacing w:after="0" w:line="240" w:lineRule="auto"/>
              <w:rPr>
                <w:rFonts w:eastAsia="Times New Roman"/>
              </w:rPr>
            </w:pPr>
            <w:r w:rsidRPr="00984DA0">
              <w:rPr>
                <w:rFonts w:eastAsia="Times New Roman"/>
              </w:rPr>
              <w:t>строительство пунктов секционирования 10 кВ  (</w:t>
            </w:r>
            <w:r w:rsidRPr="00984DA0">
              <w:rPr>
                <w:rFonts w:eastAsia="Times New Roman"/>
                <w:position w:val="-14"/>
                <w:sz w:val="28"/>
              </w:rPr>
              <w:object w:dxaOrig="660" w:dyaOrig="405">
                <v:shape id="_x0000_i1031" type="#_x0000_t75" style="width:33.75pt;height:20.25pt" o:ole="">
                  <v:imagedata r:id="rId28" o:title=""/>
                </v:shape>
                <o:OLEObject Type="Embed" ProgID="Equation.3" ShapeID="_x0000_i1031" DrawAspect="Content" ObjectID="_1647172719" r:id="rId29"/>
              </w:object>
            </w:r>
            <w:r w:rsidRPr="00984DA0">
              <w:rPr>
                <w:rFonts w:eastAsia="Times New Roman"/>
              </w:rPr>
              <w:t xml:space="preserve">) </w:t>
            </w:r>
          </w:p>
        </w:tc>
        <w:tc>
          <w:tcPr>
            <w:tcW w:w="1417" w:type="dxa"/>
            <w:vAlign w:val="center"/>
          </w:tcPr>
          <w:p w:rsidR="001E7B45" w:rsidRPr="00984DA0" w:rsidRDefault="001E7B45" w:rsidP="008C1AA9">
            <w:pPr>
              <w:spacing w:after="0" w:line="240" w:lineRule="auto"/>
              <w:rPr>
                <w:rFonts w:eastAsia="Times New Roman"/>
              </w:rPr>
            </w:pPr>
            <w:r w:rsidRPr="00984DA0">
              <w:rPr>
                <w:rFonts w:eastAsia="Times New Roman"/>
              </w:rPr>
              <w:t>21 384 527</w:t>
            </w:r>
          </w:p>
        </w:tc>
        <w:tc>
          <w:tcPr>
            <w:tcW w:w="1418" w:type="dxa"/>
            <w:vAlign w:val="center"/>
          </w:tcPr>
          <w:p w:rsidR="001E7B45" w:rsidRPr="00984DA0" w:rsidRDefault="001E7B45" w:rsidP="008C1AA9">
            <w:pPr>
              <w:autoSpaceDE w:val="0"/>
              <w:autoSpaceDN w:val="0"/>
              <w:adjustRightInd w:val="0"/>
              <w:spacing w:after="0" w:line="240" w:lineRule="auto"/>
              <w:rPr>
                <w:rFonts w:eastAsia="Times New Roman"/>
              </w:rPr>
            </w:pPr>
            <w:r w:rsidRPr="00984DA0">
              <w:rPr>
                <w:rFonts w:eastAsia="Times New Roman"/>
              </w:rPr>
              <w:t>10 000</w:t>
            </w:r>
          </w:p>
        </w:tc>
        <w:tc>
          <w:tcPr>
            <w:tcW w:w="1559" w:type="dxa"/>
            <w:shd w:val="clear" w:color="auto" w:fill="auto"/>
            <w:vAlign w:val="center"/>
          </w:tcPr>
          <w:p w:rsidR="001E7B45" w:rsidRPr="00984DA0" w:rsidRDefault="001E7B45" w:rsidP="008C1AA9">
            <w:pPr>
              <w:spacing w:after="0" w:line="240" w:lineRule="auto"/>
              <w:rPr>
                <w:rFonts w:eastAsia="Times New Roman"/>
              </w:rPr>
            </w:pPr>
            <w:r w:rsidRPr="00984DA0">
              <w:rPr>
                <w:rFonts w:eastAsia="Times New Roman"/>
              </w:rPr>
              <w:t>2 138</w:t>
            </w:r>
          </w:p>
        </w:tc>
      </w:tr>
      <w:tr w:rsidR="001E7B45" w:rsidRPr="00984DA0" w:rsidTr="00D818A7">
        <w:trPr>
          <w:trHeight w:val="539"/>
          <w:tblCellSpacing w:w="5" w:type="nil"/>
        </w:trPr>
        <w:tc>
          <w:tcPr>
            <w:tcW w:w="567" w:type="dxa"/>
            <w:vAlign w:val="center"/>
          </w:tcPr>
          <w:p w:rsidR="001E7B45" w:rsidRPr="00984DA0" w:rsidRDefault="001E7B45" w:rsidP="008C1AA9">
            <w:pPr>
              <w:autoSpaceDE w:val="0"/>
              <w:autoSpaceDN w:val="0"/>
              <w:adjustRightInd w:val="0"/>
              <w:spacing w:after="0" w:line="240" w:lineRule="auto"/>
              <w:rPr>
                <w:rFonts w:eastAsia="Times New Roman"/>
              </w:rPr>
            </w:pPr>
            <w:r w:rsidRPr="00984DA0">
              <w:rPr>
                <w:rFonts w:eastAsia="Times New Roman"/>
              </w:rPr>
              <w:t>8.</w:t>
            </w:r>
          </w:p>
        </w:tc>
        <w:tc>
          <w:tcPr>
            <w:tcW w:w="4820" w:type="dxa"/>
            <w:vAlign w:val="center"/>
          </w:tcPr>
          <w:p w:rsidR="001E7B45" w:rsidRPr="00984DA0" w:rsidRDefault="001E7B45" w:rsidP="008C1AA9">
            <w:pPr>
              <w:spacing w:after="0" w:line="240" w:lineRule="auto"/>
              <w:rPr>
                <w:rFonts w:eastAsia="Times New Roman"/>
              </w:rPr>
            </w:pPr>
            <w:r w:rsidRPr="00984DA0">
              <w:rPr>
                <w:rFonts w:eastAsia="Times New Roman"/>
              </w:rPr>
              <w:t>строительство пунктов секционирования 20 кВ  (</w:t>
            </w:r>
            <w:r w:rsidRPr="00984DA0">
              <w:rPr>
                <w:rFonts w:eastAsia="Times New Roman"/>
                <w:position w:val="-14"/>
                <w:sz w:val="28"/>
              </w:rPr>
              <w:object w:dxaOrig="660" w:dyaOrig="405">
                <v:shape id="_x0000_i1032" type="#_x0000_t75" style="width:33.75pt;height:20.25pt" o:ole="">
                  <v:imagedata r:id="rId30" o:title=""/>
                </v:shape>
                <o:OLEObject Type="Embed" ProgID="Equation.3" ShapeID="_x0000_i1032" DrawAspect="Content" ObjectID="_1647172720" r:id="rId31"/>
              </w:object>
            </w:r>
            <w:r w:rsidRPr="00984DA0">
              <w:rPr>
                <w:rFonts w:eastAsia="Times New Roman"/>
              </w:rPr>
              <w:t>)</w:t>
            </w:r>
          </w:p>
        </w:tc>
        <w:tc>
          <w:tcPr>
            <w:tcW w:w="1417" w:type="dxa"/>
            <w:vAlign w:val="center"/>
          </w:tcPr>
          <w:p w:rsidR="001E7B45" w:rsidRPr="00984DA0" w:rsidRDefault="001E7B45" w:rsidP="008C1AA9">
            <w:pPr>
              <w:spacing w:after="0" w:line="240" w:lineRule="auto"/>
              <w:rPr>
                <w:rFonts w:eastAsia="Times New Roman"/>
              </w:rPr>
            </w:pPr>
            <w:r w:rsidRPr="00984DA0">
              <w:rPr>
                <w:rFonts w:eastAsia="Times New Roman"/>
              </w:rPr>
              <w:t>54 524 807</w:t>
            </w:r>
          </w:p>
        </w:tc>
        <w:tc>
          <w:tcPr>
            <w:tcW w:w="1418" w:type="dxa"/>
            <w:vAlign w:val="center"/>
          </w:tcPr>
          <w:p w:rsidR="001E7B45" w:rsidRPr="00984DA0" w:rsidRDefault="001E7B45" w:rsidP="008C1AA9">
            <w:pPr>
              <w:autoSpaceDE w:val="0"/>
              <w:autoSpaceDN w:val="0"/>
              <w:adjustRightInd w:val="0"/>
              <w:spacing w:after="0" w:line="240" w:lineRule="auto"/>
              <w:rPr>
                <w:rFonts w:eastAsia="Times New Roman"/>
              </w:rPr>
            </w:pPr>
            <w:r w:rsidRPr="00984DA0">
              <w:rPr>
                <w:rFonts w:eastAsia="Times New Roman"/>
              </w:rPr>
              <w:t>20 000</w:t>
            </w:r>
          </w:p>
        </w:tc>
        <w:tc>
          <w:tcPr>
            <w:tcW w:w="1559" w:type="dxa"/>
            <w:shd w:val="clear" w:color="auto" w:fill="auto"/>
            <w:vAlign w:val="center"/>
          </w:tcPr>
          <w:p w:rsidR="001E7B45" w:rsidRPr="00984DA0" w:rsidRDefault="001E7B45" w:rsidP="008C1AA9">
            <w:pPr>
              <w:spacing w:after="0" w:line="240" w:lineRule="auto"/>
              <w:rPr>
                <w:rFonts w:eastAsia="Times New Roman"/>
              </w:rPr>
            </w:pPr>
            <w:r w:rsidRPr="00984DA0">
              <w:rPr>
                <w:rFonts w:eastAsia="Times New Roman"/>
              </w:rPr>
              <w:t>2 726</w:t>
            </w:r>
          </w:p>
        </w:tc>
      </w:tr>
      <w:tr w:rsidR="001E7B45" w:rsidRPr="00984DA0" w:rsidTr="00D818A7">
        <w:trPr>
          <w:trHeight w:val="303"/>
          <w:tblCellSpacing w:w="5" w:type="nil"/>
        </w:trPr>
        <w:tc>
          <w:tcPr>
            <w:tcW w:w="567" w:type="dxa"/>
            <w:vAlign w:val="center"/>
          </w:tcPr>
          <w:p w:rsidR="001E7B45" w:rsidRPr="00984DA0" w:rsidRDefault="001E7B45" w:rsidP="008C1AA9">
            <w:pPr>
              <w:autoSpaceDE w:val="0"/>
              <w:autoSpaceDN w:val="0"/>
              <w:adjustRightInd w:val="0"/>
              <w:spacing w:after="0" w:line="240" w:lineRule="auto"/>
              <w:rPr>
                <w:rFonts w:eastAsia="Times New Roman"/>
              </w:rPr>
            </w:pPr>
            <w:r w:rsidRPr="00984DA0">
              <w:rPr>
                <w:rFonts w:eastAsia="Times New Roman"/>
              </w:rPr>
              <w:t>9.</w:t>
            </w:r>
          </w:p>
        </w:tc>
        <w:tc>
          <w:tcPr>
            <w:tcW w:w="4820" w:type="dxa"/>
            <w:vAlign w:val="center"/>
          </w:tcPr>
          <w:p w:rsidR="001E7B45" w:rsidRPr="00984DA0" w:rsidRDefault="001E7B45" w:rsidP="008C1AA9">
            <w:pPr>
              <w:spacing w:after="0" w:line="240" w:lineRule="auto"/>
              <w:rPr>
                <w:rFonts w:eastAsia="Times New Roman"/>
              </w:rPr>
            </w:pPr>
            <w:r w:rsidRPr="00984DA0">
              <w:rPr>
                <w:rFonts w:eastAsia="Times New Roman"/>
              </w:rPr>
              <w:t>строительство комплектных трансформаторных подстанций (КТП) напряжением 6(10)/0,4 кВ      (</w:t>
            </w:r>
            <w:r w:rsidRPr="00984DA0">
              <w:rPr>
                <w:rFonts w:eastAsia="Times New Roman"/>
                <w:position w:val="-14"/>
                <w:sz w:val="28"/>
              </w:rPr>
              <w:object w:dxaOrig="660" w:dyaOrig="405">
                <v:shape id="_x0000_i1033" type="#_x0000_t75" style="width:33.75pt;height:20.25pt" o:ole="">
                  <v:imagedata r:id="rId32" o:title=""/>
                </v:shape>
                <o:OLEObject Type="Embed" ProgID="Equation.3" ShapeID="_x0000_i1033" DrawAspect="Content" ObjectID="_1647172721" r:id="rId33"/>
              </w:object>
            </w:r>
            <w:r w:rsidRPr="00984DA0">
              <w:rPr>
                <w:rFonts w:eastAsia="Times New Roman"/>
              </w:rPr>
              <w:t>)</w:t>
            </w:r>
          </w:p>
        </w:tc>
        <w:tc>
          <w:tcPr>
            <w:tcW w:w="1417" w:type="dxa"/>
            <w:vAlign w:val="center"/>
          </w:tcPr>
          <w:p w:rsidR="001E7B45" w:rsidRPr="00984DA0" w:rsidRDefault="001E7B45" w:rsidP="008C1AA9">
            <w:pPr>
              <w:spacing w:after="0" w:line="240" w:lineRule="auto"/>
              <w:rPr>
                <w:rFonts w:eastAsia="Times New Roman"/>
              </w:rPr>
            </w:pPr>
            <w:r w:rsidRPr="00984DA0">
              <w:rPr>
                <w:rFonts w:eastAsia="Times New Roman"/>
              </w:rPr>
              <w:t>2 774 944</w:t>
            </w:r>
          </w:p>
        </w:tc>
        <w:tc>
          <w:tcPr>
            <w:tcW w:w="1418" w:type="dxa"/>
            <w:vAlign w:val="center"/>
          </w:tcPr>
          <w:p w:rsidR="001E7B45" w:rsidRPr="00984DA0" w:rsidRDefault="001E7B45" w:rsidP="008C1AA9">
            <w:pPr>
              <w:autoSpaceDE w:val="0"/>
              <w:autoSpaceDN w:val="0"/>
              <w:adjustRightInd w:val="0"/>
              <w:spacing w:after="0" w:line="240" w:lineRule="auto"/>
              <w:rPr>
                <w:rFonts w:eastAsia="Times New Roman"/>
              </w:rPr>
            </w:pPr>
            <w:r w:rsidRPr="00984DA0">
              <w:rPr>
                <w:rFonts w:eastAsia="Times New Roman"/>
              </w:rPr>
              <w:t>1 134</w:t>
            </w:r>
          </w:p>
        </w:tc>
        <w:tc>
          <w:tcPr>
            <w:tcW w:w="1559" w:type="dxa"/>
            <w:shd w:val="clear" w:color="auto" w:fill="auto"/>
            <w:vAlign w:val="center"/>
          </w:tcPr>
          <w:p w:rsidR="001E7B45" w:rsidRPr="00984DA0" w:rsidRDefault="001E7B45" w:rsidP="008C1AA9">
            <w:pPr>
              <w:spacing w:after="0" w:line="240" w:lineRule="auto"/>
              <w:rPr>
                <w:rFonts w:eastAsia="Times New Roman"/>
              </w:rPr>
            </w:pPr>
            <w:r w:rsidRPr="00984DA0">
              <w:rPr>
                <w:rFonts w:eastAsia="Times New Roman"/>
              </w:rPr>
              <w:t>2 448</w:t>
            </w:r>
          </w:p>
        </w:tc>
      </w:tr>
      <w:tr w:rsidR="001E7B45" w:rsidRPr="00984DA0" w:rsidTr="00D818A7">
        <w:trPr>
          <w:trHeight w:val="360"/>
          <w:tblCellSpacing w:w="5" w:type="nil"/>
        </w:trPr>
        <w:tc>
          <w:tcPr>
            <w:tcW w:w="567" w:type="dxa"/>
            <w:vAlign w:val="center"/>
          </w:tcPr>
          <w:p w:rsidR="001E7B45" w:rsidRPr="00984DA0" w:rsidRDefault="001E7B45" w:rsidP="008C1AA9">
            <w:pPr>
              <w:autoSpaceDE w:val="0"/>
              <w:autoSpaceDN w:val="0"/>
              <w:adjustRightInd w:val="0"/>
              <w:spacing w:after="0" w:line="240" w:lineRule="auto"/>
              <w:rPr>
                <w:rFonts w:eastAsia="Times New Roman"/>
              </w:rPr>
            </w:pPr>
            <w:r w:rsidRPr="00984DA0">
              <w:rPr>
                <w:rFonts w:eastAsia="Times New Roman"/>
              </w:rPr>
              <w:t>10.</w:t>
            </w:r>
          </w:p>
        </w:tc>
        <w:tc>
          <w:tcPr>
            <w:tcW w:w="4820" w:type="dxa"/>
            <w:vAlign w:val="center"/>
          </w:tcPr>
          <w:p w:rsidR="001E7B45" w:rsidRPr="00984DA0" w:rsidRDefault="001E7B45" w:rsidP="008C1AA9">
            <w:pPr>
              <w:spacing w:after="0" w:line="240" w:lineRule="auto"/>
              <w:rPr>
                <w:rFonts w:eastAsia="Times New Roman"/>
              </w:rPr>
            </w:pPr>
            <w:r w:rsidRPr="00984DA0">
              <w:rPr>
                <w:rFonts w:eastAsia="Times New Roman"/>
              </w:rPr>
              <w:t>строительство комплектных трансформаторных подстанций (КТП) напряжением 20/0,4 кВ          (</w:t>
            </w:r>
            <w:r w:rsidRPr="00984DA0">
              <w:rPr>
                <w:rFonts w:eastAsia="Times New Roman"/>
                <w:position w:val="-14"/>
                <w:sz w:val="28"/>
              </w:rPr>
              <w:object w:dxaOrig="660" w:dyaOrig="405">
                <v:shape id="_x0000_i1034" type="#_x0000_t75" style="width:33.75pt;height:20.25pt" o:ole="">
                  <v:imagedata r:id="rId34" o:title=""/>
                </v:shape>
                <o:OLEObject Type="Embed" ProgID="Equation.3" ShapeID="_x0000_i1034" DrawAspect="Content" ObjectID="_1647172722" r:id="rId35"/>
              </w:object>
            </w:r>
            <w:r w:rsidRPr="00984DA0">
              <w:rPr>
                <w:rFonts w:eastAsia="Times New Roman"/>
              </w:rPr>
              <w:t>)</w:t>
            </w:r>
          </w:p>
        </w:tc>
        <w:tc>
          <w:tcPr>
            <w:tcW w:w="1417" w:type="dxa"/>
            <w:vAlign w:val="center"/>
          </w:tcPr>
          <w:p w:rsidR="001E7B45" w:rsidRPr="00984DA0" w:rsidRDefault="001E7B45" w:rsidP="008C1AA9">
            <w:pPr>
              <w:spacing w:after="0" w:line="240" w:lineRule="auto"/>
              <w:rPr>
                <w:rFonts w:eastAsia="Times New Roman"/>
                <w:bCs/>
                <w:color w:val="000000"/>
              </w:rPr>
            </w:pPr>
            <w:r w:rsidRPr="00984DA0">
              <w:rPr>
                <w:rFonts w:eastAsia="Times New Roman"/>
                <w:bCs/>
                <w:color w:val="000000"/>
              </w:rPr>
              <w:t>6 365 915</w:t>
            </w:r>
          </w:p>
        </w:tc>
        <w:tc>
          <w:tcPr>
            <w:tcW w:w="1418" w:type="dxa"/>
            <w:vAlign w:val="center"/>
          </w:tcPr>
          <w:p w:rsidR="001E7B45" w:rsidRPr="00984DA0" w:rsidRDefault="001E7B45" w:rsidP="008C1AA9">
            <w:pPr>
              <w:autoSpaceDE w:val="0"/>
              <w:autoSpaceDN w:val="0"/>
              <w:adjustRightInd w:val="0"/>
              <w:spacing w:after="0" w:line="240" w:lineRule="auto"/>
              <w:rPr>
                <w:rFonts w:eastAsia="Times New Roman"/>
              </w:rPr>
            </w:pPr>
            <w:r w:rsidRPr="00984DA0">
              <w:rPr>
                <w:rFonts w:eastAsia="Times New Roman"/>
              </w:rPr>
              <w:t>1 936</w:t>
            </w:r>
          </w:p>
        </w:tc>
        <w:tc>
          <w:tcPr>
            <w:tcW w:w="1559" w:type="dxa"/>
            <w:shd w:val="clear" w:color="auto" w:fill="auto"/>
            <w:vAlign w:val="center"/>
          </w:tcPr>
          <w:p w:rsidR="001E7B45" w:rsidRPr="00984DA0" w:rsidRDefault="001E7B45" w:rsidP="008C1AA9">
            <w:pPr>
              <w:spacing w:after="0" w:line="240" w:lineRule="auto"/>
              <w:rPr>
                <w:rFonts w:eastAsia="Times New Roman"/>
              </w:rPr>
            </w:pPr>
            <w:r w:rsidRPr="00984DA0">
              <w:rPr>
                <w:rFonts w:eastAsia="Times New Roman"/>
              </w:rPr>
              <w:t>3 288</w:t>
            </w:r>
          </w:p>
        </w:tc>
      </w:tr>
      <w:tr w:rsidR="001E7B45" w:rsidRPr="00984DA0" w:rsidTr="00D818A7">
        <w:trPr>
          <w:trHeight w:val="330"/>
          <w:tblCellSpacing w:w="5" w:type="nil"/>
        </w:trPr>
        <w:tc>
          <w:tcPr>
            <w:tcW w:w="567" w:type="dxa"/>
            <w:vAlign w:val="center"/>
          </w:tcPr>
          <w:p w:rsidR="001E7B45" w:rsidRPr="00984DA0" w:rsidRDefault="001E7B45" w:rsidP="008C1AA9">
            <w:pPr>
              <w:autoSpaceDE w:val="0"/>
              <w:autoSpaceDN w:val="0"/>
              <w:adjustRightInd w:val="0"/>
              <w:spacing w:after="0" w:line="240" w:lineRule="auto"/>
              <w:rPr>
                <w:rFonts w:eastAsia="Times New Roman"/>
              </w:rPr>
            </w:pPr>
            <w:r w:rsidRPr="00984DA0">
              <w:rPr>
                <w:rFonts w:eastAsia="Times New Roman"/>
              </w:rPr>
              <w:t>11.</w:t>
            </w:r>
          </w:p>
        </w:tc>
        <w:tc>
          <w:tcPr>
            <w:tcW w:w="4820" w:type="dxa"/>
            <w:vAlign w:val="center"/>
          </w:tcPr>
          <w:p w:rsidR="001E7B45" w:rsidRPr="00984DA0" w:rsidRDefault="001E7B45" w:rsidP="008C1AA9">
            <w:pPr>
              <w:spacing w:after="0" w:line="240" w:lineRule="auto"/>
              <w:rPr>
                <w:rFonts w:eastAsia="Times New Roman"/>
              </w:rPr>
            </w:pPr>
            <w:r w:rsidRPr="00984DA0">
              <w:rPr>
                <w:rFonts w:eastAsia="Times New Roman"/>
              </w:rPr>
              <w:t>строительство распределительных трансформаторных подстанций (РТП)  6 кВ        (</w:t>
            </w:r>
            <w:r w:rsidRPr="00984DA0">
              <w:rPr>
                <w:rFonts w:eastAsia="Times New Roman"/>
                <w:position w:val="-14"/>
                <w:sz w:val="28"/>
              </w:rPr>
              <w:object w:dxaOrig="660" w:dyaOrig="405">
                <v:shape id="_x0000_i1035" type="#_x0000_t75" style="width:33.75pt;height:20.25pt" o:ole="">
                  <v:imagedata r:id="rId36" o:title=""/>
                </v:shape>
                <o:OLEObject Type="Embed" ProgID="Equation.3" ShapeID="_x0000_i1035" DrawAspect="Content" ObjectID="_1647172723" r:id="rId37"/>
              </w:object>
            </w:r>
            <w:r w:rsidRPr="00984DA0">
              <w:rPr>
                <w:rFonts w:eastAsia="Times New Roman"/>
              </w:rPr>
              <w:t>)</w:t>
            </w:r>
          </w:p>
        </w:tc>
        <w:tc>
          <w:tcPr>
            <w:tcW w:w="1417" w:type="dxa"/>
            <w:vAlign w:val="center"/>
          </w:tcPr>
          <w:p w:rsidR="001E7B45" w:rsidRPr="00984DA0" w:rsidRDefault="001E7B45" w:rsidP="008C1AA9">
            <w:pPr>
              <w:spacing w:after="0" w:line="240" w:lineRule="auto"/>
              <w:rPr>
                <w:rFonts w:eastAsia="Times New Roman"/>
                <w:bCs/>
                <w:color w:val="000000"/>
              </w:rPr>
            </w:pPr>
            <w:r w:rsidRPr="00984DA0">
              <w:rPr>
                <w:rFonts w:eastAsia="Times New Roman"/>
                <w:bCs/>
                <w:color w:val="000000"/>
              </w:rPr>
              <w:t>17 922 034</w:t>
            </w:r>
          </w:p>
        </w:tc>
        <w:tc>
          <w:tcPr>
            <w:tcW w:w="1418" w:type="dxa"/>
            <w:vAlign w:val="center"/>
          </w:tcPr>
          <w:p w:rsidR="001E7B45" w:rsidRPr="00984DA0" w:rsidRDefault="001E7B45" w:rsidP="008C1AA9">
            <w:pPr>
              <w:spacing w:after="0" w:line="240" w:lineRule="auto"/>
              <w:rPr>
                <w:rFonts w:eastAsia="Times New Roman"/>
              </w:rPr>
            </w:pPr>
            <w:r w:rsidRPr="00984DA0">
              <w:rPr>
                <w:rFonts w:eastAsia="Times New Roman"/>
              </w:rPr>
              <w:t>6 000</w:t>
            </w:r>
          </w:p>
        </w:tc>
        <w:tc>
          <w:tcPr>
            <w:tcW w:w="1559" w:type="dxa"/>
            <w:shd w:val="clear" w:color="auto" w:fill="auto"/>
            <w:vAlign w:val="center"/>
          </w:tcPr>
          <w:p w:rsidR="001E7B45" w:rsidRPr="00984DA0" w:rsidRDefault="001E7B45" w:rsidP="008C1AA9">
            <w:pPr>
              <w:spacing w:after="0" w:line="240" w:lineRule="auto"/>
              <w:rPr>
                <w:rFonts w:eastAsia="Times New Roman"/>
              </w:rPr>
            </w:pPr>
            <w:r w:rsidRPr="00984DA0">
              <w:rPr>
                <w:rFonts w:eastAsia="Times New Roman"/>
              </w:rPr>
              <w:t>2 987</w:t>
            </w:r>
          </w:p>
        </w:tc>
      </w:tr>
      <w:tr w:rsidR="001E7B45" w:rsidRPr="00984DA0" w:rsidTr="00D818A7">
        <w:trPr>
          <w:trHeight w:val="774"/>
          <w:tblCellSpacing w:w="5" w:type="nil"/>
        </w:trPr>
        <w:tc>
          <w:tcPr>
            <w:tcW w:w="567" w:type="dxa"/>
            <w:vAlign w:val="center"/>
          </w:tcPr>
          <w:p w:rsidR="001E7B45" w:rsidRPr="00984DA0" w:rsidRDefault="001E7B45" w:rsidP="008C1AA9">
            <w:pPr>
              <w:autoSpaceDE w:val="0"/>
              <w:autoSpaceDN w:val="0"/>
              <w:adjustRightInd w:val="0"/>
              <w:spacing w:after="0" w:line="240" w:lineRule="auto"/>
              <w:rPr>
                <w:rFonts w:eastAsia="Times New Roman"/>
              </w:rPr>
            </w:pPr>
            <w:r w:rsidRPr="00984DA0">
              <w:rPr>
                <w:rFonts w:eastAsia="Times New Roman"/>
              </w:rPr>
              <w:t>12.</w:t>
            </w:r>
          </w:p>
        </w:tc>
        <w:tc>
          <w:tcPr>
            <w:tcW w:w="4820" w:type="dxa"/>
            <w:vAlign w:val="center"/>
          </w:tcPr>
          <w:p w:rsidR="001E7B45" w:rsidRPr="00984DA0" w:rsidRDefault="001E7B45" w:rsidP="008C1AA9">
            <w:pPr>
              <w:spacing w:after="0" w:line="240" w:lineRule="auto"/>
              <w:rPr>
                <w:rFonts w:eastAsia="Times New Roman"/>
              </w:rPr>
            </w:pPr>
            <w:r w:rsidRPr="00984DA0">
              <w:rPr>
                <w:rFonts w:eastAsia="Times New Roman"/>
              </w:rPr>
              <w:t>строительство распределительных трансформаторных подстанций (РТП)  10 кВ      (</w:t>
            </w:r>
            <w:r w:rsidRPr="00984DA0">
              <w:rPr>
                <w:rFonts w:eastAsia="Times New Roman"/>
                <w:position w:val="-14"/>
                <w:sz w:val="28"/>
              </w:rPr>
              <w:object w:dxaOrig="660" w:dyaOrig="405">
                <v:shape id="_x0000_i1036" type="#_x0000_t75" style="width:33.75pt;height:20.25pt" o:ole="">
                  <v:imagedata r:id="rId38" o:title=""/>
                </v:shape>
                <o:OLEObject Type="Embed" ProgID="Equation.3" ShapeID="_x0000_i1036" DrawAspect="Content" ObjectID="_1647172724" r:id="rId39"/>
              </w:object>
            </w:r>
            <w:r w:rsidRPr="00984DA0">
              <w:rPr>
                <w:rFonts w:eastAsia="Times New Roman"/>
              </w:rPr>
              <w:t>)</w:t>
            </w:r>
          </w:p>
        </w:tc>
        <w:tc>
          <w:tcPr>
            <w:tcW w:w="1417" w:type="dxa"/>
            <w:vAlign w:val="center"/>
          </w:tcPr>
          <w:p w:rsidR="001E7B45" w:rsidRPr="00984DA0" w:rsidRDefault="001E7B45" w:rsidP="008C1AA9">
            <w:pPr>
              <w:spacing w:after="0" w:line="240" w:lineRule="auto"/>
              <w:rPr>
                <w:rFonts w:eastAsia="Times New Roman"/>
                <w:bCs/>
                <w:color w:val="000000"/>
              </w:rPr>
            </w:pPr>
            <w:r w:rsidRPr="00984DA0">
              <w:rPr>
                <w:rFonts w:eastAsia="Times New Roman"/>
                <w:bCs/>
                <w:color w:val="000000"/>
              </w:rPr>
              <w:t>17 922 034</w:t>
            </w:r>
          </w:p>
        </w:tc>
        <w:tc>
          <w:tcPr>
            <w:tcW w:w="1418" w:type="dxa"/>
            <w:vAlign w:val="center"/>
          </w:tcPr>
          <w:p w:rsidR="001E7B45" w:rsidRPr="00984DA0" w:rsidRDefault="001E7B45" w:rsidP="008C1AA9">
            <w:pPr>
              <w:autoSpaceDE w:val="0"/>
              <w:autoSpaceDN w:val="0"/>
              <w:adjustRightInd w:val="0"/>
              <w:spacing w:after="0" w:line="240" w:lineRule="auto"/>
              <w:rPr>
                <w:rFonts w:eastAsia="Times New Roman"/>
              </w:rPr>
            </w:pPr>
            <w:r w:rsidRPr="00984DA0">
              <w:rPr>
                <w:rFonts w:eastAsia="Times New Roman"/>
              </w:rPr>
              <w:t>10 000</w:t>
            </w:r>
          </w:p>
        </w:tc>
        <w:tc>
          <w:tcPr>
            <w:tcW w:w="1559" w:type="dxa"/>
            <w:shd w:val="clear" w:color="auto" w:fill="auto"/>
            <w:vAlign w:val="center"/>
          </w:tcPr>
          <w:p w:rsidR="001E7B45" w:rsidRPr="00984DA0" w:rsidRDefault="001E7B45" w:rsidP="008C1AA9">
            <w:pPr>
              <w:spacing w:after="0" w:line="240" w:lineRule="auto"/>
              <w:rPr>
                <w:rFonts w:eastAsia="Times New Roman"/>
              </w:rPr>
            </w:pPr>
            <w:r w:rsidRPr="00984DA0">
              <w:rPr>
                <w:rFonts w:eastAsia="Times New Roman"/>
              </w:rPr>
              <w:t>1 792</w:t>
            </w:r>
          </w:p>
        </w:tc>
      </w:tr>
    </w:tbl>
    <w:p w:rsidR="001E7B45" w:rsidRPr="002F7BB0" w:rsidRDefault="001E7B45" w:rsidP="008C1AA9">
      <w:pPr>
        <w:pStyle w:val="a8"/>
        <w:ind w:firstLine="708"/>
        <w:rPr>
          <w:sz w:val="28"/>
          <w:szCs w:val="28"/>
        </w:rPr>
      </w:pPr>
    </w:p>
    <w:p w:rsidR="001E7B45" w:rsidRPr="00C330ED" w:rsidRDefault="001E7B45" w:rsidP="001E7B45">
      <w:pPr>
        <w:pStyle w:val="22"/>
        <w:tabs>
          <w:tab w:val="left" w:pos="0"/>
          <w:tab w:val="left" w:pos="2394"/>
        </w:tabs>
        <w:spacing w:after="0" w:line="240" w:lineRule="auto"/>
        <w:ind w:firstLine="709"/>
        <w:jc w:val="both"/>
        <w:rPr>
          <w:b/>
          <w:iCs/>
          <w:sz w:val="28"/>
          <w:szCs w:val="28"/>
        </w:rPr>
      </w:pPr>
      <w:r>
        <w:rPr>
          <w:b/>
          <w:sz w:val="28"/>
          <w:szCs w:val="28"/>
        </w:rPr>
        <w:t>2.</w:t>
      </w:r>
      <w:r w:rsidR="00D818A7">
        <w:rPr>
          <w:b/>
          <w:sz w:val="28"/>
          <w:szCs w:val="28"/>
        </w:rPr>
        <w:t>1.8</w:t>
      </w:r>
      <w:r>
        <w:rPr>
          <w:b/>
          <w:sz w:val="28"/>
          <w:szCs w:val="28"/>
        </w:rPr>
        <w:t>.2</w:t>
      </w:r>
      <w:r w:rsidRPr="00C330ED">
        <w:rPr>
          <w:b/>
          <w:sz w:val="28"/>
          <w:szCs w:val="28"/>
        </w:rPr>
        <w:t xml:space="preserve">. </w:t>
      </w:r>
      <w:r w:rsidRPr="00C330ED">
        <w:rPr>
          <w:b/>
          <w:iCs/>
          <w:sz w:val="28"/>
          <w:szCs w:val="28"/>
        </w:rPr>
        <w:t>Расчет выпадающих доходов, связанных с осуществлением технологического присоединения к электрическим сетям, подлежащих включению в состав тарифов на услуги по передаче электрической энергии.</w:t>
      </w:r>
    </w:p>
    <w:p w:rsidR="001E7B45" w:rsidRPr="00984DA0" w:rsidRDefault="001E7B45" w:rsidP="00D818A7">
      <w:pPr>
        <w:tabs>
          <w:tab w:val="left" w:pos="0"/>
          <w:tab w:val="left" w:pos="2394"/>
        </w:tabs>
        <w:spacing w:after="0" w:line="240" w:lineRule="auto"/>
        <w:ind w:firstLine="709"/>
        <w:jc w:val="both"/>
        <w:rPr>
          <w:rFonts w:eastAsia="Times New Roman"/>
          <w:b/>
          <w:iCs/>
          <w:sz w:val="28"/>
          <w:szCs w:val="28"/>
        </w:rPr>
      </w:pPr>
      <w:r w:rsidRPr="00984DA0">
        <w:rPr>
          <w:rFonts w:eastAsia="Times New Roman"/>
          <w:i/>
          <w:iCs/>
          <w:sz w:val="28"/>
          <w:szCs w:val="28"/>
        </w:rPr>
        <w:t>АО «Региональные электрические сети»</w:t>
      </w:r>
      <w:r w:rsidR="00CC14CD">
        <w:rPr>
          <w:rFonts w:eastAsia="Times New Roman"/>
          <w:i/>
          <w:iCs/>
          <w:sz w:val="28"/>
          <w:szCs w:val="28"/>
        </w:rPr>
        <w:t xml:space="preserve"> (далее – АО «РЭС»)</w:t>
      </w:r>
    </w:p>
    <w:p w:rsidR="001E7B45" w:rsidRPr="00984DA0" w:rsidRDefault="001E7B45" w:rsidP="00D818A7">
      <w:pPr>
        <w:widowControl w:val="0"/>
        <w:autoSpaceDE w:val="0"/>
        <w:autoSpaceDN w:val="0"/>
        <w:adjustRightInd w:val="0"/>
        <w:spacing w:after="0" w:line="240" w:lineRule="auto"/>
        <w:ind w:firstLine="708"/>
        <w:jc w:val="both"/>
        <w:rPr>
          <w:rFonts w:eastAsia="Times New Roman"/>
          <w:iCs/>
          <w:sz w:val="28"/>
          <w:szCs w:val="28"/>
        </w:rPr>
      </w:pPr>
      <w:r w:rsidRPr="00984DA0">
        <w:rPr>
          <w:rFonts w:eastAsia="Times New Roman"/>
          <w:iCs/>
          <w:sz w:val="28"/>
          <w:szCs w:val="28"/>
        </w:rPr>
        <w:t>В составе пакета обосновывающих материалов АО «Р</w:t>
      </w:r>
      <w:r w:rsidR="00CC14CD">
        <w:rPr>
          <w:rFonts w:eastAsia="Times New Roman"/>
          <w:iCs/>
          <w:sz w:val="28"/>
          <w:szCs w:val="28"/>
        </w:rPr>
        <w:t>ЭС</w:t>
      </w:r>
      <w:r w:rsidRPr="00984DA0">
        <w:rPr>
          <w:rFonts w:eastAsia="Times New Roman"/>
          <w:iCs/>
          <w:sz w:val="28"/>
          <w:szCs w:val="28"/>
        </w:rPr>
        <w:t xml:space="preserve">» представлены расчеты выпадающих доходов, связанных с осуществлением технологического присоединения к электрическим сетям, подлежащих включению в состав тарифов на услуги по передаче электрической энергии в соответствии с пунктом 87 Основ ценообразования. </w:t>
      </w:r>
    </w:p>
    <w:p w:rsidR="001E7B45" w:rsidRPr="00984DA0" w:rsidRDefault="001E7B45" w:rsidP="00D818A7">
      <w:pPr>
        <w:tabs>
          <w:tab w:val="left" w:pos="0"/>
          <w:tab w:val="left" w:pos="2394"/>
        </w:tabs>
        <w:spacing w:after="0" w:line="240" w:lineRule="auto"/>
        <w:ind w:firstLine="709"/>
        <w:jc w:val="both"/>
        <w:rPr>
          <w:rFonts w:eastAsia="Times New Roman"/>
          <w:iCs/>
          <w:sz w:val="28"/>
          <w:szCs w:val="28"/>
        </w:rPr>
      </w:pPr>
      <w:r w:rsidRPr="00984DA0">
        <w:rPr>
          <w:rFonts w:eastAsia="Times New Roman"/>
          <w:iCs/>
          <w:sz w:val="28"/>
          <w:szCs w:val="28"/>
        </w:rPr>
        <w:t>Расчет выпадающих доходов АО «РЭС», связанных с осуществлением технологического присоединения к электрическим сетям, произведен департаментом в соответствии с Методическими указаниями по определению выпадающих доходов, связанных с осуществлением технологического присоединения к электрическим сетям, утвержденными приказом ФСТ России от 11.09.2014 № 215-э/1.</w:t>
      </w:r>
      <w:r>
        <w:rPr>
          <w:rFonts w:eastAsia="Times New Roman"/>
          <w:iCs/>
          <w:sz w:val="28"/>
          <w:szCs w:val="28"/>
        </w:rPr>
        <w:t xml:space="preserve"> </w:t>
      </w:r>
      <w:r w:rsidRPr="00984DA0">
        <w:rPr>
          <w:rFonts w:eastAsia="Times New Roman"/>
          <w:iCs/>
          <w:sz w:val="28"/>
          <w:szCs w:val="28"/>
        </w:rPr>
        <w:t>Объем</w:t>
      </w:r>
      <w:r w:rsidRPr="00984DA0">
        <w:rPr>
          <w:rFonts w:eastAsia="Times New Roman"/>
          <w:b/>
          <w:iCs/>
          <w:sz w:val="28"/>
          <w:szCs w:val="28"/>
        </w:rPr>
        <w:t xml:space="preserve"> </w:t>
      </w:r>
      <w:r w:rsidRPr="00984DA0">
        <w:rPr>
          <w:rFonts w:eastAsia="Times New Roman"/>
          <w:iCs/>
          <w:sz w:val="28"/>
          <w:szCs w:val="28"/>
        </w:rPr>
        <w:t xml:space="preserve">выпадающих доходов, связанных с осуществлением технологического присоединения к электрическим сетям в 2019 году, подлежащих включению в состав тарифов на услуги по передаче электрической энергии, в соответствии с расчетами </w:t>
      </w:r>
      <w:r w:rsidR="00CC14CD">
        <w:rPr>
          <w:rFonts w:eastAsia="Times New Roman"/>
          <w:iCs/>
          <w:sz w:val="28"/>
          <w:szCs w:val="28"/>
        </w:rPr>
        <w:t>Д</w:t>
      </w:r>
      <w:r w:rsidRPr="00984DA0">
        <w:rPr>
          <w:rFonts w:eastAsia="Times New Roman"/>
          <w:iCs/>
          <w:sz w:val="28"/>
          <w:szCs w:val="28"/>
        </w:rPr>
        <w:t xml:space="preserve">епартамента составил </w:t>
      </w:r>
      <w:r>
        <w:rPr>
          <w:rFonts w:eastAsia="Times New Roman"/>
          <w:iCs/>
          <w:sz w:val="28"/>
          <w:szCs w:val="28"/>
        </w:rPr>
        <w:t xml:space="preserve">     </w:t>
      </w:r>
      <w:r w:rsidRPr="00984DA0">
        <w:rPr>
          <w:rFonts w:eastAsia="Times New Roman"/>
          <w:iCs/>
          <w:sz w:val="28"/>
          <w:szCs w:val="28"/>
        </w:rPr>
        <w:t>429 654,148 тыс. руб., в том числе:</w:t>
      </w:r>
    </w:p>
    <w:p w:rsidR="001E7B45" w:rsidRPr="00984DA0" w:rsidRDefault="001E7B45" w:rsidP="00D818A7">
      <w:pPr>
        <w:tabs>
          <w:tab w:val="left" w:pos="0"/>
          <w:tab w:val="left" w:pos="2394"/>
        </w:tabs>
        <w:spacing w:after="0" w:line="240" w:lineRule="auto"/>
        <w:ind w:firstLine="709"/>
        <w:jc w:val="both"/>
        <w:rPr>
          <w:rFonts w:eastAsia="Times New Roman"/>
          <w:iCs/>
          <w:sz w:val="28"/>
          <w:szCs w:val="28"/>
        </w:rPr>
      </w:pPr>
      <w:r w:rsidRPr="00984DA0">
        <w:rPr>
          <w:rFonts w:eastAsia="Times New Roman"/>
          <w:iCs/>
          <w:sz w:val="28"/>
          <w:szCs w:val="28"/>
        </w:rPr>
        <w:t xml:space="preserve">- расходы на выполнение организационно-технических мероприятий (указанные в пункте 16 (за исключением подпункта "б") Методических указаний), связанные с осуществлением технологического присоединения, не включаемые в </w:t>
      </w:r>
      <w:r w:rsidRPr="00984DA0">
        <w:rPr>
          <w:rFonts w:eastAsia="Times New Roman"/>
          <w:iCs/>
          <w:sz w:val="28"/>
          <w:szCs w:val="28"/>
        </w:rPr>
        <w:lastRenderedPageBreak/>
        <w:t>состав платы за технологическое присоединение энергопринимающих устройств Льготной категории заявителей (550 рублей с НДС за присоединение) – 249 582,683 тыс. руб.;</w:t>
      </w:r>
    </w:p>
    <w:p w:rsidR="001E7B45" w:rsidRPr="00984DA0" w:rsidRDefault="001E7B45" w:rsidP="00D818A7">
      <w:pPr>
        <w:tabs>
          <w:tab w:val="left" w:pos="0"/>
          <w:tab w:val="left" w:pos="2394"/>
        </w:tabs>
        <w:spacing w:after="0" w:line="240" w:lineRule="auto"/>
        <w:ind w:firstLine="709"/>
        <w:jc w:val="both"/>
        <w:rPr>
          <w:rFonts w:eastAsia="Times New Roman"/>
          <w:iCs/>
          <w:sz w:val="28"/>
          <w:szCs w:val="28"/>
        </w:rPr>
      </w:pPr>
      <w:r w:rsidRPr="00984DA0">
        <w:rPr>
          <w:rFonts w:eastAsia="Times New Roman"/>
          <w:iCs/>
          <w:sz w:val="28"/>
          <w:szCs w:val="28"/>
        </w:rPr>
        <w:t>- расходы по мероприятиям "последней мили", связанные с осуществлением технологического присоединения, не включаемые в состав платы за технологическое присоединение энергопринимающих устройств Льготной категории (550 рублей с НДС за присоединение) – 108 278,172 тыс. руб.;</w:t>
      </w:r>
    </w:p>
    <w:p w:rsidR="001E7B45" w:rsidRPr="00984DA0" w:rsidRDefault="001E7B45" w:rsidP="00D818A7">
      <w:pPr>
        <w:tabs>
          <w:tab w:val="left" w:pos="0"/>
          <w:tab w:val="left" w:pos="2394"/>
        </w:tabs>
        <w:spacing w:after="0" w:line="240" w:lineRule="auto"/>
        <w:ind w:firstLine="709"/>
        <w:jc w:val="both"/>
        <w:rPr>
          <w:rFonts w:eastAsia="Times New Roman"/>
          <w:iCs/>
          <w:sz w:val="28"/>
          <w:szCs w:val="28"/>
        </w:rPr>
      </w:pPr>
      <w:r w:rsidRPr="00984DA0">
        <w:rPr>
          <w:rFonts w:eastAsia="Times New Roman"/>
          <w:iCs/>
          <w:sz w:val="28"/>
          <w:szCs w:val="28"/>
        </w:rPr>
        <w:t>- расходы на выплату процентов по кредитным договорам, связанным с рассрочкой по оплате технологического присоединения энергопринимающих устройств максимальной мощностью свыше 15 и до 150 кВт включительно (с учетом ранее присоединенных в данной точке присоединения энергопринимающих устройств), не включаемые в состав платы за технологическое присоединение – 1 503,822 тыс. руб.;</w:t>
      </w:r>
    </w:p>
    <w:p w:rsidR="001E7B45" w:rsidRPr="00984DA0" w:rsidRDefault="001E7B45" w:rsidP="00D818A7">
      <w:pPr>
        <w:tabs>
          <w:tab w:val="left" w:pos="0"/>
          <w:tab w:val="left" w:pos="2394"/>
        </w:tabs>
        <w:spacing w:after="0" w:line="240" w:lineRule="auto"/>
        <w:ind w:firstLine="709"/>
        <w:jc w:val="both"/>
        <w:rPr>
          <w:rFonts w:eastAsia="Times New Roman"/>
          <w:iCs/>
          <w:sz w:val="28"/>
          <w:szCs w:val="28"/>
        </w:rPr>
      </w:pPr>
      <w:r w:rsidRPr="00984DA0">
        <w:rPr>
          <w:rFonts w:eastAsia="Times New Roman"/>
          <w:iCs/>
          <w:sz w:val="28"/>
          <w:szCs w:val="28"/>
        </w:rPr>
        <w:t>- расходы, связанные с осуществлением технологического присоединения к электрическим сетям энергопринимающих устройств максимальной мощностью до 150 кВт включительно, не включаемые в состав платы за технологическое присоединение (мероприятия «последней мили») – 69 636,670 тыс. руб.;</w:t>
      </w:r>
    </w:p>
    <w:p w:rsidR="001E7B45" w:rsidRPr="00984DA0" w:rsidRDefault="001E7B45" w:rsidP="00D818A7">
      <w:pPr>
        <w:tabs>
          <w:tab w:val="left" w:pos="0"/>
          <w:tab w:val="left" w:pos="2394"/>
        </w:tabs>
        <w:spacing w:after="0" w:line="240" w:lineRule="auto"/>
        <w:ind w:firstLine="709"/>
        <w:jc w:val="both"/>
        <w:rPr>
          <w:rFonts w:eastAsia="Times New Roman"/>
          <w:iCs/>
          <w:sz w:val="28"/>
          <w:szCs w:val="28"/>
        </w:rPr>
      </w:pPr>
      <w:r w:rsidRPr="00984DA0">
        <w:rPr>
          <w:rFonts w:eastAsia="Times New Roman"/>
          <w:iCs/>
          <w:sz w:val="28"/>
          <w:szCs w:val="28"/>
        </w:rPr>
        <w:t>- расходы на оплату технологического присоединения объектов электросетевого хозяйства к сетям смежных сетевых организаций – 876,726  тыс. руб.</w:t>
      </w:r>
    </w:p>
    <w:p w:rsidR="001E7B45" w:rsidRPr="00984DA0" w:rsidRDefault="001E7B45" w:rsidP="00D818A7">
      <w:pPr>
        <w:widowControl w:val="0"/>
        <w:autoSpaceDE w:val="0"/>
        <w:autoSpaceDN w:val="0"/>
        <w:adjustRightInd w:val="0"/>
        <w:spacing w:after="0" w:line="240" w:lineRule="auto"/>
        <w:ind w:firstLine="540"/>
        <w:jc w:val="both"/>
        <w:rPr>
          <w:rFonts w:eastAsia="Times New Roman"/>
          <w:i/>
          <w:iCs/>
          <w:sz w:val="28"/>
          <w:szCs w:val="28"/>
        </w:rPr>
      </w:pPr>
      <w:r w:rsidRPr="00984DA0">
        <w:rPr>
          <w:rFonts w:eastAsia="Times New Roman"/>
          <w:i/>
          <w:iCs/>
          <w:sz w:val="28"/>
          <w:szCs w:val="28"/>
        </w:rPr>
        <w:t>ОАО «Российские железные дороги»</w:t>
      </w:r>
    </w:p>
    <w:p w:rsidR="001E7B45" w:rsidRPr="00984DA0" w:rsidRDefault="001E7B45" w:rsidP="00D818A7">
      <w:pPr>
        <w:autoSpaceDE w:val="0"/>
        <w:autoSpaceDN w:val="0"/>
        <w:adjustRightInd w:val="0"/>
        <w:spacing w:after="0" w:line="240" w:lineRule="auto"/>
        <w:ind w:firstLine="709"/>
        <w:jc w:val="both"/>
        <w:rPr>
          <w:rFonts w:eastAsia="Times New Roman"/>
          <w:iCs/>
          <w:sz w:val="28"/>
          <w:szCs w:val="28"/>
        </w:rPr>
      </w:pPr>
      <w:r w:rsidRPr="00984DA0">
        <w:rPr>
          <w:rFonts w:eastAsia="Times New Roman"/>
          <w:iCs/>
          <w:sz w:val="28"/>
          <w:szCs w:val="28"/>
        </w:rPr>
        <w:t xml:space="preserve">В составе пакета обосновывающих материалов для расчета тарифов на услуги по передаче электрической энергии Западно-Сибирской дирекцией по энергообеспечению – структурным подразделением Трансэнерго – филиала ОАО «Российские железные дороги» представлены обосновывающие материалы и расчет выпадающих доходов связанных с осуществлением технологического присоединения к электрическим сетям в соответствии с Методическими указаниями по определению выпадающих доходов, связанных с осуществлением технологического присоединения к электрическим сетям, утвержденными приказом ФСТ России от 11.09.2014 № 215-э/1. </w:t>
      </w:r>
    </w:p>
    <w:p w:rsidR="001E7B45" w:rsidRPr="00984DA0" w:rsidRDefault="001E7B45" w:rsidP="00D818A7">
      <w:pPr>
        <w:autoSpaceDE w:val="0"/>
        <w:autoSpaceDN w:val="0"/>
        <w:adjustRightInd w:val="0"/>
        <w:spacing w:after="0" w:line="240" w:lineRule="auto"/>
        <w:ind w:firstLine="709"/>
        <w:jc w:val="both"/>
        <w:rPr>
          <w:rFonts w:eastAsia="Times New Roman"/>
          <w:iCs/>
          <w:sz w:val="28"/>
          <w:szCs w:val="28"/>
        </w:rPr>
      </w:pPr>
      <w:r w:rsidRPr="00984DA0">
        <w:rPr>
          <w:rFonts w:eastAsia="Times New Roman"/>
          <w:iCs/>
          <w:sz w:val="28"/>
          <w:szCs w:val="28"/>
        </w:rPr>
        <w:t>По результатам анализа представленных материалов подлежащие включению в необходимую валовую выручку выпадающие доходы признаны экономически обоснованными в размере 6201,307 тыс. руб., в том числе:</w:t>
      </w:r>
    </w:p>
    <w:p w:rsidR="001E7B45" w:rsidRPr="00984DA0" w:rsidRDefault="001E7B45" w:rsidP="00D818A7">
      <w:pPr>
        <w:autoSpaceDE w:val="0"/>
        <w:autoSpaceDN w:val="0"/>
        <w:adjustRightInd w:val="0"/>
        <w:spacing w:after="0" w:line="240" w:lineRule="auto"/>
        <w:ind w:firstLine="540"/>
        <w:jc w:val="both"/>
        <w:rPr>
          <w:rFonts w:eastAsia="Times New Roman"/>
          <w:iCs/>
          <w:sz w:val="28"/>
          <w:szCs w:val="28"/>
        </w:rPr>
      </w:pPr>
      <w:r w:rsidRPr="00984DA0">
        <w:rPr>
          <w:rFonts w:eastAsia="Times New Roman"/>
          <w:iCs/>
          <w:sz w:val="28"/>
          <w:szCs w:val="28"/>
        </w:rPr>
        <w:t xml:space="preserve"> - расходы на выполнение организационно-технических мероприятий (указанные в пункте 16 (за исключением подпункта "б") Методических указаний), связанные с осуществлением технологического присоединения, не включаемые в состав платы за технологическое присоединение энергопринимающих устройств Льготной категории заявителей (550 рублей с НДС за присоединение) – 2670,005 тыс. руб. (расходы рассчитаны исходя из фактических расходов «Желдорэнерго» - филиала ООО «ЭНЕРГОПРОМСБЫТ» по данным бухгалтерского учета за 2018 год, отнесенных на «льготную» категорию присоединений за вычетом полученной по договорам платы за технологическое присоединение);</w:t>
      </w:r>
    </w:p>
    <w:p w:rsidR="001E7B45" w:rsidRPr="00984DA0" w:rsidRDefault="001E7B45" w:rsidP="00D818A7">
      <w:pPr>
        <w:autoSpaceDE w:val="0"/>
        <w:autoSpaceDN w:val="0"/>
        <w:adjustRightInd w:val="0"/>
        <w:spacing w:after="0" w:line="240" w:lineRule="auto"/>
        <w:ind w:firstLine="540"/>
        <w:jc w:val="both"/>
        <w:rPr>
          <w:rFonts w:eastAsia="Times New Roman"/>
          <w:iCs/>
          <w:sz w:val="28"/>
          <w:szCs w:val="28"/>
        </w:rPr>
      </w:pPr>
      <w:r w:rsidRPr="00984DA0">
        <w:rPr>
          <w:rFonts w:eastAsia="Times New Roman"/>
          <w:iCs/>
          <w:sz w:val="28"/>
          <w:szCs w:val="28"/>
        </w:rPr>
        <w:t xml:space="preserve">- расходы по мероприятиям "последней мили", связанные с осуществлением технологического присоединения, не включаемые в состав платы за технологическое присоединение энергопринимающих устройств Льготной категории (550 рублей с НДС за присоединение) – 189,370 тыс. руб. (расходы </w:t>
      </w:r>
      <w:r w:rsidRPr="00984DA0">
        <w:rPr>
          <w:rFonts w:eastAsia="Times New Roman"/>
          <w:iCs/>
          <w:sz w:val="28"/>
          <w:szCs w:val="28"/>
        </w:rPr>
        <w:lastRenderedPageBreak/>
        <w:t>рассчитаны исходя из фактических расходов на строительство мероприятий «последней мили» за 2018 год для «льготных» присоединений);</w:t>
      </w:r>
    </w:p>
    <w:p w:rsidR="001E7B45" w:rsidRPr="00984DA0" w:rsidRDefault="001E7B45" w:rsidP="00D818A7">
      <w:pPr>
        <w:autoSpaceDE w:val="0"/>
        <w:autoSpaceDN w:val="0"/>
        <w:adjustRightInd w:val="0"/>
        <w:spacing w:after="0" w:line="240" w:lineRule="auto"/>
        <w:ind w:firstLine="540"/>
        <w:jc w:val="both"/>
        <w:rPr>
          <w:rFonts w:eastAsia="Times New Roman"/>
          <w:iCs/>
          <w:sz w:val="28"/>
          <w:szCs w:val="28"/>
        </w:rPr>
      </w:pPr>
      <w:r w:rsidRPr="00984DA0">
        <w:rPr>
          <w:rFonts w:eastAsia="Times New Roman"/>
          <w:iCs/>
          <w:sz w:val="28"/>
          <w:szCs w:val="28"/>
        </w:rPr>
        <w:t xml:space="preserve">- расходы, связанные с осуществлением технологического присоединения к электрическим сетям энергопринимающих устройств максимальной мощностью до 150 кВт включительно, не включаемые в состав платы за технологическое присоединение (мероприятия «последней мили») – 3341,932 тыс. руб. (расходы рассчитаны исходя из фактических расходов на строительству мероприятий «последней мили» за 2018 год за вычетом полученной по договорам платы за технологическое присоединение на строительство объектов электросетевого хозяйства). </w:t>
      </w:r>
    </w:p>
    <w:p w:rsidR="001E7B45" w:rsidRPr="00984DA0" w:rsidRDefault="001E7B45" w:rsidP="00D818A7">
      <w:pPr>
        <w:autoSpaceDE w:val="0"/>
        <w:autoSpaceDN w:val="0"/>
        <w:adjustRightInd w:val="0"/>
        <w:spacing w:after="0" w:line="240" w:lineRule="auto"/>
        <w:ind w:firstLine="540"/>
        <w:jc w:val="both"/>
        <w:rPr>
          <w:rFonts w:eastAsia="Times New Roman"/>
          <w:i/>
          <w:iCs/>
          <w:sz w:val="28"/>
          <w:szCs w:val="28"/>
        </w:rPr>
      </w:pPr>
      <w:r w:rsidRPr="00984DA0">
        <w:rPr>
          <w:rFonts w:eastAsia="Times New Roman"/>
          <w:i/>
          <w:iCs/>
          <w:sz w:val="28"/>
          <w:szCs w:val="28"/>
        </w:rPr>
        <w:t>ФГУП «Энергетик»</w:t>
      </w:r>
    </w:p>
    <w:p w:rsidR="001E7B45" w:rsidRPr="00984DA0" w:rsidRDefault="001E7B45" w:rsidP="00D818A7">
      <w:pPr>
        <w:autoSpaceDE w:val="0"/>
        <w:autoSpaceDN w:val="0"/>
        <w:adjustRightInd w:val="0"/>
        <w:spacing w:after="0" w:line="240" w:lineRule="auto"/>
        <w:ind w:firstLine="708"/>
        <w:jc w:val="both"/>
        <w:rPr>
          <w:rFonts w:eastAsia="Times New Roman"/>
          <w:iCs/>
          <w:sz w:val="28"/>
          <w:szCs w:val="28"/>
        </w:rPr>
      </w:pPr>
      <w:r w:rsidRPr="00984DA0">
        <w:rPr>
          <w:rFonts w:eastAsia="Times New Roman"/>
          <w:iCs/>
          <w:sz w:val="28"/>
          <w:szCs w:val="28"/>
        </w:rPr>
        <w:t xml:space="preserve">В составе пакета обосновывающих материалов ФГУП «Энергетик» представлены расчеты выпадающих доходов, связанных с осуществлением технологического присоединения к электрическим сетям, подлежащих включению в состав тарифов на услуги по передаче электрической энергии в соответствии с пунктом 87 Основ ценообразования. </w:t>
      </w:r>
    </w:p>
    <w:p w:rsidR="001E7B45" w:rsidRPr="00984DA0" w:rsidRDefault="001E7B45" w:rsidP="00D818A7">
      <w:pPr>
        <w:tabs>
          <w:tab w:val="left" w:pos="0"/>
          <w:tab w:val="left" w:pos="2394"/>
        </w:tabs>
        <w:spacing w:after="0" w:line="240" w:lineRule="auto"/>
        <w:ind w:firstLine="709"/>
        <w:jc w:val="both"/>
        <w:rPr>
          <w:rFonts w:eastAsia="Times New Roman"/>
          <w:iCs/>
          <w:sz w:val="28"/>
          <w:szCs w:val="28"/>
        </w:rPr>
      </w:pPr>
      <w:r w:rsidRPr="00984DA0">
        <w:rPr>
          <w:rFonts w:eastAsia="Times New Roman"/>
          <w:iCs/>
          <w:sz w:val="28"/>
          <w:szCs w:val="28"/>
        </w:rPr>
        <w:t>Расчет выпадающих доходов ФГУП «Энергетик», связанных с осуществлением технологического присоединения к э</w:t>
      </w:r>
      <w:r w:rsidR="00CC14CD">
        <w:rPr>
          <w:rFonts w:eastAsia="Times New Roman"/>
          <w:iCs/>
          <w:sz w:val="28"/>
          <w:szCs w:val="28"/>
        </w:rPr>
        <w:t>лектрическим сетям, произведен Д</w:t>
      </w:r>
      <w:r w:rsidRPr="00984DA0">
        <w:rPr>
          <w:rFonts w:eastAsia="Times New Roman"/>
          <w:iCs/>
          <w:sz w:val="28"/>
          <w:szCs w:val="28"/>
        </w:rPr>
        <w:t>епартаментом в соответствии с Методическими указаниями по определению выпадающих доходов, связанных с осуществлением технологического присоединения к электрическим сетям, утвержденными приказом ФСТ России от 11.09.2014 № 215-э/1.</w:t>
      </w:r>
    </w:p>
    <w:p w:rsidR="001E7B45" w:rsidRPr="00984DA0" w:rsidRDefault="001E7B45" w:rsidP="00D818A7">
      <w:pPr>
        <w:tabs>
          <w:tab w:val="left" w:pos="0"/>
          <w:tab w:val="left" w:pos="2394"/>
        </w:tabs>
        <w:spacing w:after="0" w:line="240" w:lineRule="auto"/>
        <w:ind w:firstLine="709"/>
        <w:jc w:val="both"/>
        <w:rPr>
          <w:rFonts w:eastAsia="Times New Roman"/>
          <w:iCs/>
          <w:sz w:val="28"/>
          <w:szCs w:val="28"/>
        </w:rPr>
      </w:pPr>
      <w:r w:rsidRPr="00984DA0">
        <w:rPr>
          <w:rFonts w:eastAsia="Times New Roman"/>
          <w:iCs/>
          <w:sz w:val="28"/>
          <w:szCs w:val="28"/>
        </w:rPr>
        <w:t>Объем</w:t>
      </w:r>
      <w:r w:rsidRPr="00984DA0">
        <w:rPr>
          <w:rFonts w:eastAsia="Times New Roman"/>
          <w:b/>
          <w:iCs/>
          <w:sz w:val="28"/>
          <w:szCs w:val="28"/>
        </w:rPr>
        <w:t xml:space="preserve"> </w:t>
      </w:r>
      <w:r w:rsidRPr="00984DA0">
        <w:rPr>
          <w:rFonts w:eastAsia="Times New Roman"/>
          <w:iCs/>
          <w:sz w:val="28"/>
          <w:szCs w:val="28"/>
        </w:rPr>
        <w:t>выпадающих доходов, связанных с осуществлением технологического присоединения к электрическим сетям в 2020 году, подлежащих включению в состав тарифов на услуги по передаче электрической энергии, рассчитан на основании фактических данных по технологическому присоединению заявителей с максимальной мощностью до 15 кВт включительно (при присоединении по третьей категории надежности (по одному источнику электроснабжения) при условии, что расстояние от границ участка заявителя до объектов электросетевого хозяйства необходимого заявителю класса напряжения составляет не более 300 метров в городах и поселках городского типа и не более 500 метров в сельской местности в 2018 году и в соответствии с расчетами департамента составил 2 269,567 тыс. руб., в том числе:</w:t>
      </w:r>
    </w:p>
    <w:p w:rsidR="001E7B45" w:rsidRPr="00984DA0" w:rsidRDefault="001E7B45" w:rsidP="00D818A7">
      <w:pPr>
        <w:tabs>
          <w:tab w:val="left" w:pos="0"/>
          <w:tab w:val="left" w:pos="2394"/>
        </w:tabs>
        <w:spacing w:after="0" w:line="240" w:lineRule="auto"/>
        <w:ind w:firstLine="709"/>
        <w:jc w:val="both"/>
        <w:rPr>
          <w:rFonts w:eastAsia="Times New Roman"/>
          <w:iCs/>
          <w:sz w:val="28"/>
          <w:szCs w:val="28"/>
        </w:rPr>
      </w:pPr>
      <w:r w:rsidRPr="00984DA0">
        <w:rPr>
          <w:rFonts w:eastAsia="Times New Roman"/>
          <w:iCs/>
          <w:sz w:val="28"/>
          <w:szCs w:val="28"/>
        </w:rPr>
        <w:t>- расходы на выполнение организационно-технических мероприятий (указанные в пункте 16 (за исключением подпункта "б") Методических указаний), связанные с осуществлением технологического присоединения, не включаемые в состав платы за технологическое присоединение энергопринимающих устройств Льготной категории заявителей (550 рублей с НДС за присоединение) – 894,720 тыс. руб.</w:t>
      </w:r>
      <w:r w:rsidRPr="00984DA0">
        <w:rPr>
          <w:rFonts w:ascii="Calibri" w:eastAsia="Calibri" w:hAnsi="Calibri"/>
          <w:sz w:val="28"/>
          <w:szCs w:val="28"/>
          <w:lang w:eastAsia="en-US"/>
        </w:rPr>
        <w:t xml:space="preserve"> </w:t>
      </w:r>
      <w:r w:rsidRPr="00984DA0">
        <w:rPr>
          <w:rFonts w:eastAsia="Times New Roman"/>
          <w:iCs/>
          <w:sz w:val="28"/>
          <w:szCs w:val="28"/>
        </w:rPr>
        <w:t>на основании представленной организацией оборотно-сальдовой ведомости по счету 20.01 (Технологическое присоединение) за 2018 год, в которой отражены фактические расходы организации, отнесенные на этот вид деятельности и количества договоров технологического присоединения;</w:t>
      </w:r>
    </w:p>
    <w:p w:rsidR="001E7B45" w:rsidRPr="00984DA0" w:rsidRDefault="001E7B45" w:rsidP="00D818A7">
      <w:pPr>
        <w:tabs>
          <w:tab w:val="left" w:pos="0"/>
          <w:tab w:val="left" w:pos="2394"/>
        </w:tabs>
        <w:spacing w:after="0" w:line="240" w:lineRule="auto"/>
        <w:ind w:firstLine="709"/>
        <w:jc w:val="both"/>
        <w:rPr>
          <w:rFonts w:eastAsia="Times New Roman"/>
          <w:iCs/>
          <w:sz w:val="28"/>
          <w:szCs w:val="28"/>
        </w:rPr>
      </w:pPr>
      <w:r w:rsidRPr="00984DA0">
        <w:rPr>
          <w:rFonts w:eastAsia="Times New Roman"/>
          <w:iCs/>
          <w:sz w:val="28"/>
          <w:szCs w:val="28"/>
        </w:rPr>
        <w:t xml:space="preserve">- расходы по мероприятиям "последней мили", связанные с осуществлением технологического присоединения, не включаемые в состав платы за технологическое присоединение энергопринимающих устройств Льготной категории (550 рублей с НДС за присоединение) – 1 374,847 тыс. руб. на основании представленной организацией оборотно-сальдовой ведомости по счету 08.03 за 2018 </w:t>
      </w:r>
      <w:r w:rsidRPr="00984DA0">
        <w:rPr>
          <w:rFonts w:eastAsia="Times New Roman"/>
          <w:iCs/>
          <w:sz w:val="28"/>
          <w:szCs w:val="28"/>
        </w:rPr>
        <w:lastRenderedPageBreak/>
        <w:t>год в части поставленных на баланс объектов основных средств, построенных для технологического присоединения указанной категории заявителей.</w:t>
      </w:r>
    </w:p>
    <w:p w:rsidR="001E7B45" w:rsidRDefault="001E7B45" w:rsidP="00D818A7">
      <w:pPr>
        <w:pStyle w:val="22"/>
        <w:tabs>
          <w:tab w:val="left" w:pos="0"/>
          <w:tab w:val="left" w:pos="2394"/>
        </w:tabs>
        <w:spacing w:after="0" w:line="240" w:lineRule="auto"/>
        <w:ind w:firstLine="709"/>
        <w:jc w:val="both"/>
        <w:rPr>
          <w:i/>
          <w:iCs/>
          <w:sz w:val="28"/>
          <w:szCs w:val="28"/>
        </w:rPr>
      </w:pPr>
    </w:p>
    <w:p w:rsidR="001E7B45" w:rsidRDefault="001E7B45" w:rsidP="008D6150">
      <w:pPr>
        <w:pStyle w:val="a8"/>
        <w:ind w:firstLine="708"/>
        <w:jc w:val="both"/>
        <w:rPr>
          <w:b/>
          <w:sz w:val="28"/>
          <w:szCs w:val="28"/>
        </w:rPr>
      </w:pPr>
      <w:r>
        <w:rPr>
          <w:b/>
          <w:sz w:val="28"/>
          <w:szCs w:val="28"/>
        </w:rPr>
        <w:t>2.</w:t>
      </w:r>
      <w:r w:rsidR="00D818A7">
        <w:rPr>
          <w:b/>
          <w:sz w:val="28"/>
          <w:szCs w:val="28"/>
        </w:rPr>
        <w:t>1.8</w:t>
      </w:r>
      <w:r w:rsidRPr="002F7BB0">
        <w:rPr>
          <w:b/>
          <w:sz w:val="28"/>
          <w:szCs w:val="28"/>
        </w:rPr>
        <w:t>.3. Установление платы за технологическое присоединение по индивидуальному проекту и платы за технологическое присоединение</w:t>
      </w:r>
      <w:r w:rsidRPr="002F7BB0">
        <w:rPr>
          <w:sz w:val="28"/>
          <w:szCs w:val="28"/>
        </w:rPr>
        <w:t xml:space="preserve"> </w:t>
      </w:r>
      <w:r w:rsidRPr="002F7BB0">
        <w:rPr>
          <w:b/>
          <w:sz w:val="28"/>
          <w:szCs w:val="28"/>
        </w:rPr>
        <w:t>отдельных потребителей на уровне напряжения не ниже 35 кВ и максимальной мощности не менее 8 900 кВт и объектов по производству электрической энергии.</w:t>
      </w:r>
    </w:p>
    <w:p w:rsidR="001E7B45" w:rsidRPr="002E0D80" w:rsidRDefault="001E7B45" w:rsidP="008D6150">
      <w:pPr>
        <w:spacing w:line="240" w:lineRule="auto"/>
        <w:ind w:firstLine="708"/>
        <w:jc w:val="both"/>
        <w:rPr>
          <w:rFonts w:eastAsia="Times New Roman"/>
          <w:sz w:val="28"/>
          <w:szCs w:val="28"/>
        </w:rPr>
      </w:pPr>
      <w:r w:rsidRPr="002E0D80">
        <w:rPr>
          <w:rFonts w:eastAsia="Times New Roman"/>
          <w:sz w:val="28"/>
          <w:szCs w:val="28"/>
        </w:rPr>
        <w:t xml:space="preserve">В 2019 году </w:t>
      </w:r>
      <w:r w:rsidR="008D6150">
        <w:rPr>
          <w:rFonts w:eastAsia="Times New Roman"/>
          <w:sz w:val="28"/>
          <w:szCs w:val="28"/>
        </w:rPr>
        <w:t>Д</w:t>
      </w:r>
      <w:r w:rsidRPr="002E0D80">
        <w:rPr>
          <w:rFonts w:eastAsia="Times New Roman"/>
          <w:sz w:val="28"/>
          <w:szCs w:val="28"/>
        </w:rPr>
        <w:t>епартаментом установлен</w:t>
      </w:r>
      <w:r w:rsidR="008D6150">
        <w:rPr>
          <w:rFonts w:eastAsia="Times New Roman"/>
          <w:sz w:val="28"/>
          <w:szCs w:val="28"/>
        </w:rPr>
        <w:t>о</w:t>
      </w:r>
      <w:r w:rsidRPr="002E0D80">
        <w:rPr>
          <w:rFonts w:eastAsia="Times New Roman"/>
          <w:sz w:val="28"/>
          <w:szCs w:val="28"/>
        </w:rPr>
        <w:t xml:space="preserve"> </w:t>
      </w:r>
      <w:r w:rsidR="00CC14CD">
        <w:rPr>
          <w:rFonts w:eastAsia="Times New Roman"/>
          <w:sz w:val="28"/>
          <w:szCs w:val="28"/>
        </w:rPr>
        <w:t xml:space="preserve">248 </w:t>
      </w:r>
      <w:r w:rsidRPr="002E0D80">
        <w:rPr>
          <w:rFonts w:eastAsia="Times New Roman"/>
          <w:sz w:val="28"/>
          <w:szCs w:val="28"/>
        </w:rPr>
        <w:t>плат за технологическое присоединение по индивидуальному проекту</w:t>
      </w:r>
      <w:r w:rsidR="00F165C1">
        <w:rPr>
          <w:rFonts w:eastAsia="Times New Roman"/>
          <w:sz w:val="28"/>
          <w:szCs w:val="28"/>
        </w:rPr>
        <w:t xml:space="preserve"> и</w:t>
      </w:r>
      <w:r w:rsidRPr="002E0D80">
        <w:rPr>
          <w:rFonts w:eastAsia="Times New Roman"/>
          <w:sz w:val="28"/>
          <w:szCs w:val="28"/>
        </w:rPr>
        <w:t xml:space="preserve"> плат за технологическое присоединение отдельных потребителей на уровне напряжения не ниже 35 кВ и максимальной мощности не менее 8 900 кВт и объектов по производству электрической энергии. </w:t>
      </w:r>
      <w:r w:rsidR="008D6150">
        <w:rPr>
          <w:rFonts w:eastAsia="Times New Roman"/>
          <w:sz w:val="28"/>
          <w:szCs w:val="28"/>
        </w:rPr>
        <w:t xml:space="preserve"> С</w:t>
      </w:r>
      <w:r w:rsidR="00CC14CD">
        <w:rPr>
          <w:rFonts w:eastAsia="Times New Roman"/>
          <w:sz w:val="28"/>
          <w:szCs w:val="28"/>
        </w:rPr>
        <w:t xml:space="preserve"> указанными </w:t>
      </w:r>
      <w:r w:rsidR="008D6150">
        <w:rPr>
          <w:rFonts w:eastAsia="Times New Roman"/>
          <w:sz w:val="28"/>
          <w:szCs w:val="28"/>
        </w:rPr>
        <w:t xml:space="preserve">приказами Департамента можно ознакомится на сайте в сети Интернет </w:t>
      </w:r>
      <w:r w:rsidR="008D6150" w:rsidRPr="008D6150">
        <w:rPr>
          <w:rFonts w:eastAsia="Times New Roman"/>
          <w:sz w:val="28"/>
          <w:szCs w:val="28"/>
        </w:rPr>
        <w:t>https://tarif.nso.ru/page/94</w:t>
      </w:r>
      <w:r w:rsidR="008D6150">
        <w:rPr>
          <w:rFonts w:eastAsia="Times New Roman"/>
          <w:sz w:val="28"/>
          <w:szCs w:val="28"/>
        </w:rPr>
        <w:t>.</w:t>
      </w:r>
    </w:p>
    <w:p w:rsidR="00943F22" w:rsidRDefault="00943F22" w:rsidP="002F3255">
      <w:pPr>
        <w:pStyle w:val="a5"/>
        <w:spacing w:after="0" w:line="240" w:lineRule="auto"/>
      </w:pPr>
    </w:p>
    <w:p w:rsidR="00943F22" w:rsidRDefault="00943F22" w:rsidP="00943F22">
      <w:pPr>
        <w:pStyle w:val="a5"/>
        <w:spacing w:after="0" w:line="240" w:lineRule="auto"/>
      </w:pPr>
      <w:r w:rsidRPr="00943F22">
        <w:t>2.2. Тепло</w:t>
      </w:r>
      <w:r w:rsidR="003051F4">
        <w:t>снабжение</w:t>
      </w:r>
    </w:p>
    <w:p w:rsidR="005727C2" w:rsidRDefault="005727C2" w:rsidP="005727C2">
      <w:pPr>
        <w:pStyle w:val="a8"/>
        <w:ind w:firstLine="539"/>
        <w:jc w:val="both"/>
        <w:rPr>
          <w:sz w:val="28"/>
          <w:szCs w:val="28"/>
        </w:rPr>
      </w:pPr>
      <w:r>
        <w:rPr>
          <w:iCs/>
          <w:sz w:val="28"/>
          <w:szCs w:val="28"/>
        </w:rPr>
        <w:t xml:space="preserve">Деятельность в сфере </w:t>
      </w:r>
      <w:r w:rsidR="00220164">
        <w:rPr>
          <w:iCs/>
          <w:sz w:val="28"/>
          <w:szCs w:val="28"/>
        </w:rPr>
        <w:t xml:space="preserve">государственного </w:t>
      </w:r>
      <w:r>
        <w:rPr>
          <w:iCs/>
          <w:sz w:val="28"/>
          <w:szCs w:val="28"/>
        </w:rPr>
        <w:t xml:space="preserve">регулирования </w:t>
      </w:r>
      <w:r w:rsidR="00220164">
        <w:rPr>
          <w:iCs/>
          <w:sz w:val="28"/>
          <w:szCs w:val="28"/>
        </w:rPr>
        <w:t>цен (</w:t>
      </w:r>
      <w:r>
        <w:rPr>
          <w:iCs/>
          <w:sz w:val="28"/>
          <w:szCs w:val="28"/>
        </w:rPr>
        <w:t>тарифов</w:t>
      </w:r>
      <w:r w:rsidR="00220164">
        <w:rPr>
          <w:iCs/>
          <w:sz w:val="28"/>
          <w:szCs w:val="28"/>
        </w:rPr>
        <w:t>) в сфере тепло</w:t>
      </w:r>
      <w:r w:rsidR="003051F4">
        <w:rPr>
          <w:iCs/>
          <w:sz w:val="28"/>
          <w:szCs w:val="28"/>
        </w:rPr>
        <w:t>снабжения</w:t>
      </w:r>
      <w:r w:rsidR="00220164">
        <w:rPr>
          <w:iCs/>
          <w:sz w:val="28"/>
          <w:szCs w:val="28"/>
        </w:rPr>
        <w:t xml:space="preserve"> </w:t>
      </w:r>
      <w:r>
        <w:rPr>
          <w:iCs/>
          <w:sz w:val="28"/>
          <w:szCs w:val="28"/>
        </w:rPr>
        <w:t>определена Федеральным законом от 27.07.2010 № 190-ФЗ «О теплоснабжении» (</w:t>
      </w:r>
      <w:r>
        <w:rPr>
          <w:i/>
          <w:iCs/>
          <w:sz w:val="28"/>
          <w:szCs w:val="28"/>
        </w:rPr>
        <w:t>далее - Федеральный закон № 190-ФЗ</w:t>
      </w:r>
      <w:r>
        <w:rPr>
          <w:iCs/>
          <w:sz w:val="28"/>
          <w:szCs w:val="28"/>
        </w:rPr>
        <w:t xml:space="preserve">), а также </w:t>
      </w:r>
      <w:r>
        <w:rPr>
          <w:sz w:val="28"/>
          <w:szCs w:val="28"/>
        </w:rPr>
        <w:t>Основами ценообразования в сфере теплоснабжения и Правилами регулирования цен (тарифов) в сфере теплоснабжения, утвержденными постановлением Правительства Российской Федерации от 22.10.2012 № 1075, (</w:t>
      </w:r>
      <w:r>
        <w:rPr>
          <w:i/>
          <w:sz w:val="28"/>
          <w:szCs w:val="28"/>
        </w:rPr>
        <w:t>далее</w:t>
      </w:r>
      <w:r>
        <w:rPr>
          <w:sz w:val="28"/>
          <w:szCs w:val="28"/>
        </w:rPr>
        <w:t xml:space="preserve"> </w:t>
      </w:r>
      <w:r>
        <w:rPr>
          <w:i/>
          <w:sz w:val="28"/>
          <w:szCs w:val="28"/>
        </w:rPr>
        <w:t>- Основы ценообразования № 1075 и Правила регулирования № 1075</w:t>
      </w:r>
      <w:r>
        <w:rPr>
          <w:sz w:val="28"/>
          <w:szCs w:val="28"/>
        </w:rPr>
        <w:t>), постановлением Правительства Российской Федерации от 05.07.2018 № 787 «О подключении (технологическом присоединении) к системам теплоснабжения, недискриминационном доступе к услугам в сфере теплоснабжения, изменении и признании утратившими силу некоторых актов Правительства Российской Федерации», Методическими указаниями по расчету регулируемых цен (тарифов) в сфере теплоснабжения, утвержденными приказом Федеральной службы по тарифам от 13.06.2013 № 760-э (</w:t>
      </w:r>
      <w:r>
        <w:rPr>
          <w:i/>
          <w:sz w:val="28"/>
          <w:szCs w:val="28"/>
        </w:rPr>
        <w:t>далее - Методические указания № 760-э</w:t>
      </w:r>
      <w:r>
        <w:rPr>
          <w:sz w:val="28"/>
          <w:szCs w:val="28"/>
        </w:rPr>
        <w:t xml:space="preserve">), приказом Федеральной службы по тарифам от 07.06.2013 № 163 «Об утверждении Регламента открытия дел об установлении регулируемых цен (тарифов) и отмене регулирования тарифов в сфере теплоснабжения», другими действующими нормативными правовыми актами Российской Федерации в области государственного регулирования цен (тарифов) в </w:t>
      </w:r>
      <w:r w:rsidR="000E55EA">
        <w:rPr>
          <w:sz w:val="28"/>
          <w:szCs w:val="28"/>
        </w:rPr>
        <w:t xml:space="preserve">сфере </w:t>
      </w:r>
      <w:r>
        <w:rPr>
          <w:sz w:val="28"/>
          <w:szCs w:val="28"/>
        </w:rPr>
        <w:t>тепло</w:t>
      </w:r>
      <w:r w:rsidR="000E55EA">
        <w:rPr>
          <w:sz w:val="28"/>
          <w:szCs w:val="28"/>
        </w:rPr>
        <w:t>снабжения</w:t>
      </w:r>
      <w:r>
        <w:rPr>
          <w:sz w:val="28"/>
          <w:szCs w:val="28"/>
        </w:rPr>
        <w:t>, а также результатами анализа технико-экономи</w:t>
      </w:r>
      <w:r w:rsidR="000E55EA">
        <w:rPr>
          <w:sz w:val="28"/>
          <w:szCs w:val="28"/>
        </w:rPr>
        <w:t xml:space="preserve">ческих и финансовых показателей деятельности регулируемых </w:t>
      </w:r>
      <w:r>
        <w:rPr>
          <w:sz w:val="28"/>
          <w:szCs w:val="28"/>
        </w:rPr>
        <w:t>организаций,  в периодах, предшествующих регулируемому</w:t>
      </w:r>
      <w:r w:rsidR="002D099C">
        <w:rPr>
          <w:sz w:val="28"/>
          <w:szCs w:val="28"/>
        </w:rPr>
        <w:t xml:space="preserve"> периоду</w:t>
      </w:r>
      <w:r>
        <w:rPr>
          <w:sz w:val="28"/>
          <w:szCs w:val="28"/>
        </w:rPr>
        <w:t>.</w:t>
      </w:r>
    </w:p>
    <w:p w:rsidR="005727C2" w:rsidRDefault="005727C2" w:rsidP="005727C2">
      <w:pPr>
        <w:adjustRightInd w:val="0"/>
        <w:spacing w:after="0" w:line="240" w:lineRule="auto"/>
        <w:ind w:firstLine="709"/>
        <w:jc w:val="both"/>
        <w:rPr>
          <w:iCs/>
          <w:sz w:val="28"/>
          <w:szCs w:val="28"/>
        </w:rPr>
      </w:pPr>
      <w:r>
        <w:rPr>
          <w:iCs/>
          <w:sz w:val="28"/>
          <w:szCs w:val="28"/>
        </w:rPr>
        <w:t xml:space="preserve">В сфере теплоснабжения департамент осуществляет: </w:t>
      </w:r>
    </w:p>
    <w:p w:rsidR="005727C2" w:rsidRDefault="005727C2" w:rsidP="005727C2">
      <w:pPr>
        <w:autoSpaceDE w:val="0"/>
        <w:autoSpaceDN w:val="0"/>
        <w:adjustRightInd w:val="0"/>
        <w:spacing w:after="0" w:line="240" w:lineRule="auto"/>
        <w:ind w:firstLine="540"/>
        <w:jc w:val="both"/>
        <w:rPr>
          <w:rFonts w:eastAsiaTheme="minorHAnsi"/>
          <w:sz w:val="28"/>
          <w:szCs w:val="28"/>
          <w:lang w:eastAsia="en-US"/>
        </w:rPr>
      </w:pPr>
      <w:r>
        <w:rPr>
          <w:rFonts w:eastAsiaTheme="minorHAnsi"/>
          <w:sz w:val="28"/>
          <w:szCs w:val="28"/>
          <w:lang w:eastAsia="en-US"/>
        </w:rPr>
        <w:t xml:space="preserve">а) подготовку и представление в федеральный орган исполнительной власти в области регулирования тарифов в порядке, установленном законодательством Российской Федерации, обоснованных предложений об установлении для Новосибирской области предельных (минимального и (или) максимального) уровней тарифов на тепловую энергию (мощность), производимую в режиме комбинированной выработки электрической и тепловой энергии источниками тепловой энергии с установленной генерирующей мощностью производства </w:t>
      </w:r>
      <w:r>
        <w:rPr>
          <w:rFonts w:eastAsiaTheme="minorHAnsi"/>
          <w:sz w:val="28"/>
          <w:szCs w:val="28"/>
          <w:lang w:eastAsia="en-US"/>
        </w:rPr>
        <w:lastRenderedPageBreak/>
        <w:t>электрической энергии 25 МВт и более, и тарифов на тепловую энергию (мощность), поставляемую теплоснабжающими организациями потребителям;</w:t>
      </w:r>
    </w:p>
    <w:p w:rsidR="005727C2" w:rsidRDefault="005727C2" w:rsidP="005727C2">
      <w:pPr>
        <w:autoSpaceDE w:val="0"/>
        <w:autoSpaceDN w:val="0"/>
        <w:adjustRightInd w:val="0"/>
        <w:spacing w:after="0" w:line="240" w:lineRule="auto"/>
        <w:ind w:firstLine="540"/>
        <w:jc w:val="both"/>
        <w:rPr>
          <w:rFonts w:eastAsiaTheme="minorHAnsi"/>
          <w:sz w:val="28"/>
          <w:szCs w:val="28"/>
          <w:lang w:eastAsia="en-US"/>
        </w:rPr>
      </w:pPr>
      <w:r>
        <w:rPr>
          <w:rFonts w:eastAsiaTheme="minorHAnsi"/>
          <w:sz w:val="28"/>
          <w:szCs w:val="28"/>
          <w:lang w:eastAsia="en-US"/>
        </w:rPr>
        <w:t>б) устанавливает следующие цены (тарифы, плату, нормативы) в сфере теплоснабжения:</w:t>
      </w:r>
    </w:p>
    <w:p w:rsidR="005727C2" w:rsidRDefault="005727C2" w:rsidP="005727C2">
      <w:pPr>
        <w:autoSpaceDE w:val="0"/>
        <w:autoSpaceDN w:val="0"/>
        <w:adjustRightInd w:val="0"/>
        <w:spacing w:after="0" w:line="240" w:lineRule="auto"/>
        <w:ind w:firstLine="540"/>
        <w:jc w:val="both"/>
        <w:rPr>
          <w:rFonts w:eastAsiaTheme="minorHAnsi"/>
          <w:sz w:val="28"/>
          <w:szCs w:val="28"/>
          <w:lang w:eastAsia="en-US"/>
        </w:rPr>
      </w:pPr>
      <w:r>
        <w:rPr>
          <w:rFonts w:eastAsiaTheme="minorHAnsi"/>
          <w:sz w:val="28"/>
          <w:szCs w:val="28"/>
          <w:lang w:eastAsia="en-US"/>
        </w:rPr>
        <w:t>- тарифы на тепловую энергию (мощность), производимую в режиме комбинированной выработки электрической и тепловой энергии источниками тепловой энергии с установленной генерирующей мощностью производства электрической энергии 25 МВт и более, в соответствии с установленными федеральным органом исполнительной власти в области государственного регулирования тарифов в сфере теплоснабжения предельными (минимальным и (или) максимальным) уровнями указанных тарифов;</w:t>
      </w:r>
    </w:p>
    <w:p w:rsidR="005727C2" w:rsidRDefault="005727C2" w:rsidP="005727C2">
      <w:pPr>
        <w:autoSpaceDE w:val="0"/>
        <w:autoSpaceDN w:val="0"/>
        <w:adjustRightInd w:val="0"/>
        <w:spacing w:after="0" w:line="240" w:lineRule="auto"/>
        <w:ind w:firstLine="540"/>
        <w:jc w:val="both"/>
        <w:rPr>
          <w:rFonts w:eastAsiaTheme="minorHAnsi"/>
          <w:sz w:val="28"/>
          <w:szCs w:val="28"/>
          <w:lang w:eastAsia="en-US"/>
        </w:rPr>
      </w:pPr>
      <w:r>
        <w:rPr>
          <w:rFonts w:eastAsiaTheme="minorHAnsi"/>
          <w:sz w:val="28"/>
          <w:szCs w:val="28"/>
          <w:lang w:eastAsia="en-US"/>
        </w:rPr>
        <w:t>- тарифы на тепловую энергию (мощность), поставляемую теплоснабжающими организациями потребителям, в соответствии с установленными федеральным органом исполнительной власти в области государственного регулирования тарифов в сфере теплоснабжения предельными (минимальным и (или) максимальным) уровнями указанных тарифов, а также тарифы на тепловую энергию (мощность), поставляемую теплоснабжающими организациями другим теплоснабжающим организациям;</w:t>
      </w:r>
    </w:p>
    <w:p w:rsidR="005727C2" w:rsidRDefault="005727C2" w:rsidP="005727C2">
      <w:pPr>
        <w:autoSpaceDE w:val="0"/>
        <w:autoSpaceDN w:val="0"/>
        <w:adjustRightInd w:val="0"/>
        <w:spacing w:after="0" w:line="240" w:lineRule="auto"/>
        <w:ind w:firstLine="540"/>
        <w:jc w:val="both"/>
        <w:rPr>
          <w:rFonts w:eastAsiaTheme="minorHAnsi"/>
          <w:sz w:val="28"/>
          <w:szCs w:val="28"/>
          <w:lang w:eastAsia="en-US"/>
        </w:rPr>
      </w:pPr>
      <w:r>
        <w:rPr>
          <w:rFonts w:eastAsiaTheme="minorHAnsi"/>
          <w:sz w:val="28"/>
          <w:szCs w:val="28"/>
          <w:lang w:eastAsia="en-US"/>
        </w:rPr>
        <w:t>- тарифы на теплоноситель, поставляемый теплоснабжающими организациями потребителям тепловой энергии (мощности), другим теплоснабжающим организациям;</w:t>
      </w:r>
    </w:p>
    <w:p w:rsidR="005727C2" w:rsidRDefault="005727C2" w:rsidP="005727C2">
      <w:pPr>
        <w:autoSpaceDE w:val="0"/>
        <w:autoSpaceDN w:val="0"/>
        <w:adjustRightInd w:val="0"/>
        <w:spacing w:after="0" w:line="240" w:lineRule="auto"/>
        <w:ind w:firstLine="540"/>
        <w:jc w:val="both"/>
        <w:rPr>
          <w:rFonts w:eastAsiaTheme="minorHAnsi"/>
          <w:sz w:val="28"/>
          <w:szCs w:val="28"/>
          <w:lang w:eastAsia="en-US"/>
        </w:rPr>
      </w:pPr>
      <w:r>
        <w:rPr>
          <w:rFonts w:eastAsiaTheme="minorHAnsi"/>
          <w:sz w:val="28"/>
          <w:szCs w:val="28"/>
          <w:lang w:eastAsia="en-US"/>
        </w:rPr>
        <w:t>- тарифы на горячую воду, поставляемую теплоснабжающими организациями потребителям, другим теплоснабжающим организациям с использованием открытых систем теплоснабжения (горячего водоснабжения);</w:t>
      </w:r>
    </w:p>
    <w:p w:rsidR="005727C2" w:rsidRDefault="005727C2" w:rsidP="005727C2">
      <w:pPr>
        <w:autoSpaceDE w:val="0"/>
        <w:autoSpaceDN w:val="0"/>
        <w:adjustRightInd w:val="0"/>
        <w:spacing w:after="0" w:line="240" w:lineRule="auto"/>
        <w:ind w:firstLine="540"/>
        <w:jc w:val="both"/>
        <w:rPr>
          <w:rFonts w:eastAsiaTheme="minorHAnsi"/>
          <w:sz w:val="28"/>
          <w:szCs w:val="28"/>
          <w:lang w:eastAsia="en-US"/>
        </w:rPr>
      </w:pPr>
      <w:r>
        <w:rPr>
          <w:rFonts w:eastAsiaTheme="minorHAnsi"/>
          <w:sz w:val="28"/>
          <w:szCs w:val="28"/>
          <w:lang w:eastAsia="en-US"/>
        </w:rPr>
        <w:t>- тарифы на услуги по передаче тепловой энергии, теплоносителя;</w:t>
      </w:r>
    </w:p>
    <w:p w:rsidR="005727C2" w:rsidRDefault="005727C2" w:rsidP="005727C2">
      <w:pPr>
        <w:autoSpaceDE w:val="0"/>
        <w:autoSpaceDN w:val="0"/>
        <w:adjustRightInd w:val="0"/>
        <w:spacing w:after="0" w:line="240" w:lineRule="auto"/>
        <w:ind w:firstLine="540"/>
        <w:jc w:val="both"/>
        <w:rPr>
          <w:rFonts w:eastAsiaTheme="minorHAnsi"/>
          <w:sz w:val="28"/>
          <w:szCs w:val="28"/>
          <w:lang w:eastAsia="en-US"/>
        </w:rPr>
      </w:pPr>
      <w:r>
        <w:rPr>
          <w:rFonts w:eastAsiaTheme="minorHAnsi"/>
          <w:sz w:val="28"/>
          <w:szCs w:val="28"/>
          <w:lang w:eastAsia="en-US"/>
        </w:rPr>
        <w:t>- плату за услуги по поддержанию резервной тепловой мощности при отсутствии потребления тепловой энергии;</w:t>
      </w:r>
    </w:p>
    <w:p w:rsidR="005727C2" w:rsidRDefault="005727C2" w:rsidP="005727C2">
      <w:pPr>
        <w:autoSpaceDE w:val="0"/>
        <w:autoSpaceDN w:val="0"/>
        <w:adjustRightInd w:val="0"/>
        <w:spacing w:after="0" w:line="240" w:lineRule="auto"/>
        <w:ind w:firstLine="540"/>
        <w:jc w:val="both"/>
        <w:rPr>
          <w:rFonts w:eastAsiaTheme="minorHAnsi"/>
          <w:sz w:val="28"/>
          <w:szCs w:val="28"/>
          <w:lang w:eastAsia="en-US"/>
        </w:rPr>
      </w:pPr>
      <w:r>
        <w:rPr>
          <w:rFonts w:eastAsiaTheme="minorHAnsi"/>
          <w:sz w:val="28"/>
          <w:szCs w:val="28"/>
          <w:lang w:eastAsia="en-US"/>
        </w:rPr>
        <w:t>- нормативы технологических потерь при передаче тепловой энергии, теплоносителя по тепловым сетям, за исключением тепловых сетей, расположенных в поселениях, городских округах с численностью населения пятьсот тысяч человек и более;</w:t>
      </w:r>
    </w:p>
    <w:p w:rsidR="005727C2" w:rsidRDefault="005727C2" w:rsidP="005727C2">
      <w:pPr>
        <w:autoSpaceDE w:val="0"/>
        <w:autoSpaceDN w:val="0"/>
        <w:adjustRightInd w:val="0"/>
        <w:spacing w:after="0" w:line="240" w:lineRule="auto"/>
        <w:ind w:firstLine="540"/>
        <w:jc w:val="both"/>
        <w:rPr>
          <w:rFonts w:eastAsiaTheme="minorHAnsi"/>
          <w:sz w:val="28"/>
          <w:szCs w:val="28"/>
          <w:lang w:eastAsia="en-US"/>
        </w:rPr>
      </w:pPr>
      <w:r>
        <w:rPr>
          <w:rFonts w:eastAsiaTheme="minorHAnsi"/>
          <w:sz w:val="28"/>
          <w:szCs w:val="28"/>
          <w:lang w:eastAsia="en-US"/>
        </w:rPr>
        <w:t>- нормативы удельного расхода топлива при производстве тепловой энергии источниками тепловой энергии, за исключением источников тепловой энергии, функционирующих в режиме комбинированной выработки электрической и тепловой энергии с установленной мощностью производства электрической энергии 25 МВт и более;</w:t>
      </w:r>
    </w:p>
    <w:p w:rsidR="005727C2" w:rsidRDefault="005727C2" w:rsidP="005727C2">
      <w:pPr>
        <w:autoSpaceDE w:val="0"/>
        <w:autoSpaceDN w:val="0"/>
        <w:adjustRightInd w:val="0"/>
        <w:spacing w:after="0" w:line="240" w:lineRule="auto"/>
        <w:ind w:firstLine="540"/>
        <w:jc w:val="both"/>
        <w:rPr>
          <w:rFonts w:eastAsiaTheme="minorHAnsi"/>
          <w:sz w:val="28"/>
          <w:szCs w:val="28"/>
          <w:lang w:eastAsia="en-US"/>
        </w:rPr>
      </w:pPr>
      <w:r>
        <w:rPr>
          <w:rFonts w:eastAsiaTheme="minorHAnsi"/>
          <w:sz w:val="28"/>
          <w:szCs w:val="28"/>
          <w:lang w:eastAsia="en-US"/>
        </w:rPr>
        <w:t>- нормативы запасов топлива на источниках тепловой энергии, за исключением источников тепловой энергии, функционирующих в режиме комбинированной выработки электрической и тепловой энергии с установленной мощностью производства электрической энергии 25 МВт и более;</w:t>
      </w:r>
    </w:p>
    <w:p w:rsidR="005727C2" w:rsidRDefault="005727C2" w:rsidP="005727C2">
      <w:pPr>
        <w:tabs>
          <w:tab w:val="num" w:pos="284"/>
        </w:tabs>
        <w:spacing w:after="0" w:line="240" w:lineRule="auto"/>
        <w:ind w:firstLine="567"/>
        <w:jc w:val="both"/>
        <w:rPr>
          <w:iCs/>
          <w:sz w:val="28"/>
          <w:szCs w:val="28"/>
        </w:rPr>
      </w:pPr>
      <w:r>
        <w:rPr>
          <w:iCs/>
          <w:sz w:val="28"/>
          <w:szCs w:val="28"/>
        </w:rPr>
        <w:t xml:space="preserve">- </w:t>
      </w:r>
      <w:r>
        <w:rPr>
          <w:sz w:val="28"/>
          <w:szCs w:val="28"/>
        </w:rPr>
        <w:t>нормативы потребления коммунальной услуги по отоплению;</w:t>
      </w:r>
    </w:p>
    <w:p w:rsidR="005727C2" w:rsidRDefault="005727C2" w:rsidP="005727C2">
      <w:pPr>
        <w:pStyle w:val="a8"/>
        <w:ind w:firstLine="539"/>
        <w:jc w:val="both"/>
        <w:rPr>
          <w:b/>
          <w:sz w:val="28"/>
          <w:szCs w:val="28"/>
        </w:rPr>
      </w:pPr>
      <w:r>
        <w:rPr>
          <w:rFonts w:eastAsiaTheme="minorHAnsi"/>
          <w:sz w:val="28"/>
          <w:szCs w:val="28"/>
          <w:lang w:eastAsia="en-US"/>
        </w:rPr>
        <w:t xml:space="preserve">в) </w:t>
      </w:r>
      <w:r>
        <w:rPr>
          <w:sz w:val="28"/>
          <w:szCs w:val="28"/>
        </w:rPr>
        <w:t>устанавливает плату за технологическое присоединение к тепловым сетям;</w:t>
      </w:r>
    </w:p>
    <w:p w:rsidR="005727C2" w:rsidRDefault="005727C2" w:rsidP="005727C2">
      <w:pPr>
        <w:autoSpaceDE w:val="0"/>
        <w:autoSpaceDN w:val="0"/>
        <w:adjustRightInd w:val="0"/>
        <w:spacing w:after="0" w:line="240" w:lineRule="auto"/>
        <w:ind w:firstLine="540"/>
        <w:jc w:val="both"/>
        <w:rPr>
          <w:rFonts w:eastAsiaTheme="minorHAnsi"/>
          <w:sz w:val="28"/>
          <w:szCs w:val="28"/>
          <w:lang w:eastAsia="en-US"/>
        </w:rPr>
      </w:pPr>
      <w:r>
        <w:rPr>
          <w:rFonts w:eastAsiaTheme="minorHAnsi"/>
          <w:sz w:val="28"/>
          <w:szCs w:val="28"/>
          <w:lang w:eastAsia="en-US"/>
        </w:rPr>
        <w:t>г) осуществляет следующие полномочия:</w:t>
      </w:r>
    </w:p>
    <w:p w:rsidR="005727C2" w:rsidRDefault="005727C2" w:rsidP="005727C2">
      <w:pPr>
        <w:autoSpaceDE w:val="0"/>
        <w:autoSpaceDN w:val="0"/>
        <w:adjustRightInd w:val="0"/>
        <w:spacing w:after="0" w:line="240" w:lineRule="auto"/>
        <w:ind w:firstLine="540"/>
        <w:jc w:val="both"/>
        <w:rPr>
          <w:rFonts w:eastAsiaTheme="minorHAnsi"/>
          <w:sz w:val="28"/>
          <w:szCs w:val="28"/>
          <w:lang w:eastAsia="en-US"/>
        </w:rPr>
      </w:pPr>
      <w:r>
        <w:rPr>
          <w:rFonts w:eastAsiaTheme="minorHAnsi"/>
          <w:sz w:val="28"/>
          <w:szCs w:val="28"/>
          <w:lang w:eastAsia="en-US"/>
        </w:rPr>
        <w:t>- определяет и устанавливает плановые и фактические значения показателей надежности и энергетической эффективности объектов теплоснабжения;</w:t>
      </w:r>
    </w:p>
    <w:p w:rsidR="005727C2" w:rsidRDefault="005727C2" w:rsidP="005727C2">
      <w:pPr>
        <w:autoSpaceDE w:val="0"/>
        <w:autoSpaceDN w:val="0"/>
        <w:adjustRightInd w:val="0"/>
        <w:spacing w:after="0" w:line="240" w:lineRule="auto"/>
        <w:ind w:firstLine="540"/>
        <w:jc w:val="both"/>
        <w:rPr>
          <w:rFonts w:eastAsiaTheme="minorHAnsi"/>
          <w:sz w:val="28"/>
          <w:szCs w:val="28"/>
          <w:lang w:eastAsia="en-US"/>
        </w:rPr>
      </w:pPr>
      <w:r>
        <w:rPr>
          <w:rFonts w:eastAsiaTheme="minorHAnsi"/>
          <w:sz w:val="28"/>
          <w:szCs w:val="28"/>
          <w:lang w:eastAsia="en-US"/>
        </w:rPr>
        <w:t xml:space="preserve">- осуществляет согласование значений долгосрочных параметров государственного регулирования цен (тарифов) в сфере теплоснабжения, </w:t>
      </w:r>
      <w:r>
        <w:rPr>
          <w:rFonts w:eastAsiaTheme="minorHAnsi"/>
          <w:sz w:val="28"/>
          <w:szCs w:val="28"/>
          <w:lang w:eastAsia="en-US"/>
        </w:rPr>
        <w:lastRenderedPageBreak/>
        <w:t>включаемых в конкурсную документацию, согласование решения концедента о выборе метода регулирования цен (тарифов) в сфере теплоснабжения, а так же представляет по запросу организатора конкурса, концедента цены, величины, значения, параметры, включаемые в конкурсную документацию;</w:t>
      </w:r>
    </w:p>
    <w:p w:rsidR="005727C2" w:rsidRDefault="005727C2" w:rsidP="005727C2">
      <w:pPr>
        <w:autoSpaceDE w:val="0"/>
        <w:autoSpaceDN w:val="0"/>
        <w:adjustRightInd w:val="0"/>
        <w:spacing w:after="0" w:line="240" w:lineRule="auto"/>
        <w:ind w:firstLine="540"/>
        <w:jc w:val="both"/>
        <w:rPr>
          <w:rFonts w:eastAsiaTheme="minorHAnsi"/>
          <w:sz w:val="28"/>
          <w:szCs w:val="28"/>
          <w:lang w:eastAsia="en-US"/>
        </w:rPr>
      </w:pPr>
      <w:r>
        <w:rPr>
          <w:rFonts w:eastAsiaTheme="minorHAnsi"/>
          <w:sz w:val="28"/>
          <w:szCs w:val="28"/>
          <w:lang w:eastAsia="en-US"/>
        </w:rPr>
        <w:t>д) осуществляет государственный контроль (надзор) за применением регулируемыми организациями установленных цен (тарифов, нормативов) в сфере теплоснабжения.</w:t>
      </w:r>
    </w:p>
    <w:p w:rsidR="005727C2" w:rsidRDefault="005727C2" w:rsidP="005727C2">
      <w:pPr>
        <w:adjustRightInd w:val="0"/>
        <w:spacing w:after="0" w:line="240" w:lineRule="auto"/>
        <w:ind w:firstLine="709"/>
        <w:jc w:val="both"/>
        <w:rPr>
          <w:iCs/>
          <w:sz w:val="28"/>
          <w:szCs w:val="28"/>
        </w:rPr>
      </w:pPr>
      <w:r>
        <w:rPr>
          <w:iCs/>
          <w:sz w:val="28"/>
          <w:szCs w:val="28"/>
        </w:rPr>
        <w:t xml:space="preserve">В 2019 году государственное регулирование </w:t>
      </w:r>
      <w:r w:rsidR="00550B90">
        <w:rPr>
          <w:iCs/>
          <w:sz w:val="28"/>
          <w:szCs w:val="28"/>
        </w:rPr>
        <w:t>цен (</w:t>
      </w:r>
      <w:r>
        <w:rPr>
          <w:iCs/>
          <w:sz w:val="28"/>
          <w:szCs w:val="28"/>
        </w:rPr>
        <w:t>тарифов</w:t>
      </w:r>
      <w:r w:rsidR="00550B90">
        <w:rPr>
          <w:iCs/>
          <w:sz w:val="28"/>
          <w:szCs w:val="28"/>
        </w:rPr>
        <w:t>)</w:t>
      </w:r>
      <w:r>
        <w:rPr>
          <w:iCs/>
          <w:sz w:val="28"/>
          <w:szCs w:val="28"/>
        </w:rPr>
        <w:t xml:space="preserve"> на тепловую энергию, теплоноситель, горячую воду и на услуги по передаче тепловой энергии осуществлялось в отношении </w:t>
      </w:r>
      <w:r>
        <w:rPr>
          <w:b/>
          <w:iCs/>
          <w:sz w:val="28"/>
          <w:szCs w:val="28"/>
        </w:rPr>
        <w:t xml:space="preserve">365 </w:t>
      </w:r>
      <w:r>
        <w:rPr>
          <w:iCs/>
          <w:sz w:val="28"/>
          <w:szCs w:val="28"/>
        </w:rPr>
        <w:t xml:space="preserve">теплоснабжающих организаций (ТСО), в том числе: </w:t>
      </w:r>
    </w:p>
    <w:p w:rsidR="005727C2" w:rsidRPr="002D099C" w:rsidRDefault="005727C2" w:rsidP="00763A8B">
      <w:pPr>
        <w:pStyle w:val="a6"/>
        <w:numPr>
          <w:ilvl w:val="0"/>
          <w:numId w:val="12"/>
        </w:numPr>
        <w:adjustRightInd w:val="0"/>
        <w:spacing w:after="0" w:line="240" w:lineRule="auto"/>
        <w:ind w:left="0" w:firstLine="1069"/>
        <w:jc w:val="both"/>
        <w:rPr>
          <w:rFonts w:ascii="Times New Roman" w:eastAsia="MS Mincho" w:hAnsi="Times New Roman"/>
          <w:iCs/>
          <w:sz w:val="28"/>
          <w:szCs w:val="28"/>
          <w:lang w:eastAsia="ru-RU"/>
        </w:rPr>
      </w:pPr>
      <w:r w:rsidRPr="002D099C">
        <w:rPr>
          <w:rFonts w:ascii="Times New Roman" w:eastAsia="MS Mincho" w:hAnsi="Times New Roman"/>
          <w:iCs/>
          <w:sz w:val="28"/>
          <w:szCs w:val="28"/>
          <w:u w:val="single"/>
          <w:lang w:eastAsia="ru-RU"/>
        </w:rPr>
        <w:t>1 организация</w:t>
      </w:r>
      <w:r w:rsidRPr="002D099C">
        <w:rPr>
          <w:rFonts w:ascii="Times New Roman" w:eastAsia="MS Mincho" w:hAnsi="Times New Roman"/>
          <w:iCs/>
          <w:sz w:val="28"/>
          <w:szCs w:val="28"/>
          <w:lang w:eastAsia="ru-RU"/>
        </w:rPr>
        <w:t xml:space="preserve"> (АО «СИБЭКО»), осуществляющая деятельность по производству и реализации тепловой энергии, производимую в режиме комбинированной выработки электрической и тепловой энергии источниками тепловой энергии с установленной генерирующей мощностью производства электрической энергии 25 МВт и более;</w:t>
      </w:r>
    </w:p>
    <w:p w:rsidR="005727C2" w:rsidRPr="002D099C" w:rsidRDefault="005727C2" w:rsidP="00763A8B">
      <w:pPr>
        <w:pStyle w:val="a6"/>
        <w:numPr>
          <w:ilvl w:val="0"/>
          <w:numId w:val="12"/>
        </w:numPr>
        <w:adjustRightInd w:val="0"/>
        <w:spacing w:after="0" w:line="240" w:lineRule="auto"/>
        <w:ind w:left="0" w:firstLine="1069"/>
        <w:jc w:val="both"/>
        <w:rPr>
          <w:rFonts w:ascii="Times New Roman" w:eastAsia="MS Mincho" w:hAnsi="Times New Roman"/>
          <w:iCs/>
          <w:sz w:val="28"/>
          <w:szCs w:val="28"/>
          <w:lang w:eastAsia="ru-RU"/>
        </w:rPr>
      </w:pPr>
      <w:r w:rsidRPr="002D099C">
        <w:rPr>
          <w:rFonts w:ascii="Times New Roman" w:eastAsia="MS Mincho" w:hAnsi="Times New Roman"/>
          <w:iCs/>
          <w:sz w:val="28"/>
          <w:szCs w:val="28"/>
          <w:u w:val="single"/>
          <w:lang w:eastAsia="ru-RU"/>
        </w:rPr>
        <w:t>348 организаций</w:t>
      </w:r>
      <w:r w:rsidRPr="002D099C">
        <w:rPr>
          <w:rFonts w:ascii="Times New Roman" w:eastAsia="MS Mincho" w:hAnsi="Times New Roman"/>
          <w:iCs/>
          <w:sz w:val="28"/>
          <w:szCs w:val="28"/>
          <w:lang w:eastAsia="ru-RU"/>
        </w:rPr>
        <w:t>, осуществляющих деятельность по производству и реализации тепловой энергии (за исключением тепловой энергии, производимой в режиме комбинированной выработки электрической и тепловой энергии источниками тепловой энергии с установленной генерирующей мощностью производства электрической энергии 25 МВт и более) на тепловых станциях и котельных, работающих на угле, газе, ином топливе;</w:t>
      </w:r>
    </w:p>
    <w:p w:rsidR="005727C2" w:rsidRPr="002D099C" w:rsidRDefault="005727C2" w:rsidP="00763A8B">
      <w:pPr>
        <w:pStyle w:val="a6"/>
        <w:numPr>
          <w:ilvl w:val="0"/>
          <w:numId w:val="12"/>
        </w:numPr>
        <w:adjustRightInd w:val="0"/>
        <w:spacing w:after="0" w:line="240" w:lineRule="auto"/>
        <w:ind w:left="0" w:firstLine="1069"/>
        <w:jc w:val="both"/>
        <w:rPr>
          <w:rFonts w:ascii="Times New Roman" w:eastAsia="MS Mincho" w:hAnsi="Times New Roman"/>
          <w:iCs/>
          <w:sz w:val="28"/>
          <w:szCs w:val="28"/>
          <w:lang w:eastAsia="ru-RU"/>
        </w:rPr>
      </w:pPr>
      <w:r w:rsidRPr="002D099C">
        <w:rPr>
          <w:rFonts w:ascii="Times New Roman" w:eastAsia="MS Mincho" w:hAnsi="Times New Roman"/>
          <w:iCs/>
          <w:sz w:val="28"/>
          <w:szCs w:val="28"/>
          <w:u w:val="single"/>
          <w:lang w:eastAsia="ru-RU"/>
        </w:rPr>
        <w:t>5 организации</w:t>
      </w:r>
      <w:r w:rsidRPr="002D099C">
        <w:rPr>
          <w:rFonts w:ascii="Times New Roman" w:eastAsia="MS Mincho" w:hAnsi="Times New Roman"/>
          <w:iCs/>
          <w:sz w:val="28"/>
          <w:szCs w:val="28"/>
          <w:lang w:eastAsia="ru-RU"/>
        </w:rPr>
        <w:t>, осуществляющие деятельность по реализации покупной</w:t>
      </w:r>
      <w:r>
        <w:rPr>
          <w:iCs/>
          <w:sz w:val="28"/>
          <w:szCs w:val="28"/>
        </w:rPr>
        <w:t xml:space="preserve"> </w:t>
      </w:r>
      <w:r w:rsidRPr="002D099C">
        <w:rPr>
          <w:rFonts w:ascii="Times New Roman" w:eastAsia="MS Mincho" w:hAnsi="Times New Roman"/>
          <w:iCs/>
          <w:sz w:val="28"/>
          <w:szCs w:val="28"/>
          <w:lang w:eastAsia="ru-RU"/>
        </w:rPr>
        <w:t>тепловой энергии;</w:t>
      </w:r>
    </w:p>
    <w:p w:rsidR="005727C2" w:rsidRPr="002D099C" w:rsidRDefault="005727C2" w:rsidP="00763A8B">
      <w:pPr>
        <w:pStyle w:val="a6"/>
        <w:numPr>
          <w:ilvl w:val="0"/>
          <w:numId w:val="12"/>
        </w:numPr>
        <w:adjustRightInd w:val="0"/>
        <w:spacing w:after="0" w:line="240" w:lineRule="auto"/>
        <w:ind w:left="0" w:firstLine="1069"/>
        <w:jc w:val="both"/>
        <w:rPr>
          <w:rFonts w:ascii="Times New Roman" w:eastAsia="MS Mincho" w:hAnsi="Times New Roman"/>
          <w:iCs/>
          <w:sz w:val="28"/>
          <w:szCs w:val="28"/>
          <w:lang w:eastAsia="ru-RU"/>
        </w:rPr>
      </w:pPr>
      <w:r w:rsidRPr="002D099C">
        <w:rPr>
          <w:rFonts w:ascii="Times New Roman" w:eastAsia="MS Mincho" w:hAnsi="Times New Roman"/>
          <w:iCs/>
          <w:sz w:val="28"/>
          <w:szCs w:val="28"/>
          <w:u w:val="single"/>
          <w:lang w:eastAsia="ru-RU"/>
        </w:rPr>
        <w:t>11 организаций</w:t>
      </w:r>
      <w:r w:rsidRPr="002D099C">
        <w:rPr>
          <w:rFonts w:ascii="Times New Roman" w:eastAsia="MS Mincho" w:hAnsi="Times New Roman"/>
          <w:iCs/>
          <w:sz w:val="28"/>
          <w:szCs w:val="28"/>
          <w:lang w:eastAsia="ru-RU"/>
        </w:rPr>
        <w:t>, осуществляющих деятельность по передаче тепловой энергии по тепловым сетям.</w:t>
      </w:r>
    </w:p>
    <w:p w:rsidR="005727C2" w:rsidRDefault="005727C2" w:rsidP="005727C2">
      <w:pPr>
        <w:pStyle w:val="afa"/>
        <w:ind w:firstLine="709"/>
        <w:jc w:val="both"/>
        <w:rPr>
          <w:rFonts w:ascii="Times New Roman" w:hAnsi="Times New Roman" w:cs="Times New Roman"/>
          <w:sz w:val="28"/>
          <w:szCs w:val="28"/>
        </w:rPr>
      </w:pPr>
      <w:r>
        <w:rPr>
          <w:rFonts w:ascii="Times New Roman" w:hAnsi="Times New Roman" w:cs="Times New Roman"/>
          <w:sz w:val="28"/>
          <w:szCs w:val="28"/>
        </w:rPr>
        <w:t>В соответствии с частями 2.1 (пункт 3) и 2.2 статьи 8 Федерального закона № 190-ФЗ, а также пунктом 5(5) Основ ценообразования № 1075, установлены критерии и сроки «дерегулирования» цен (тарифов) на товары и услуги в сфере теплоснабжения.</w:t>
      </w:r>
      <w:r w:rsidR="00550B90">
        <w:rPr>
          <w:rFonts w:ascii="Times New Roman" w:hAnsi="Times New Roman" w:cs="Times New Roman"/>
          <w:sz w:val="28"/>
          <w:szCs w:val="28"/>
        </w:rPr>
        <w:t xml:space="preserve"> С</w:t>
      </w:r>
      <w:r w:rsidR="00550B90">
        <w:rPr>
          <w:rFonts w:ascii="Times New Roman" w:hAnsi="Times New Roman" w:cs="Times New Roman"/>
          <w:sz w:val="28"/>
          <w:szCs w:val="28"/>
          <w:u w:val="single"/>
        </w:rPr>
        <w:t xml:space="preserve"> 1 января 2019 года</w:t>
      </w:r>
      <w:r>
        <w:rPr>
          <w:rFonts w:ascii="Times New Roman" w:hAnsi="Times New Roman" w:cs="Times New Roman"/>
          <w:sz w:val="28"/>
          <w:szCs w:val="28"/>
        </w:rPr>
        <w:t xml:space="preserve"> </w:t>
      </w:r>
      <w:r w:rsidR="00550B90">
        <w:rPr>
          <w:rFonts w:ascii="Times New Roman" w:hAnsi="Times New Roman" w:cs="Times New Roman"/>
          <w:sz w:val="28"/>
          <w:szCs w:val="28"/>
        </w:rPr>
        <w:t>ц</w:t>
      </w:r>
      <w:r>
        <w:rPr>
          <w:rFonts w:ascii="Times New Roman" w:hAnsi="Times New Roman" w:cs="Times New Roman"/>
          <w:sz w:val="28"/>
          <w:szCs w:val="28"/>
        </w:rPr>
        <w:t>ены</w:t>
      </w:r>
      <w:r w:rsidR="00550B90">
        <w:rPr>
          <w:rFonts w:ascii="Times New Roman" w:hAnsi="Times New Roman" w:cs="Times New Roman"/>
          <w:sz w:val="28"/>
          <w:szCs w:val="28"/>
        </w:rPr>
        <w:t xml:space="preserve"> (тарифы) </w:t>
      </w:r>
      <w:r>
        <w:rPr>
          <w:rFonts w:ascii="Times New Roman" w:hAnsi="Times New Roman" w:cs="Times New Roman"/>
          <w:sz w:val="28"/>
          <w:szCs w:val="28"/>
        </w:rPr>
        <w:t xml:space="preserve"> на виды </w:t>
      </w:r>
      <w:r w:rsidR="00550B90">
        <w:rPr>
          <w:rFonts w:ascii="Times New Roman" w:hAnsi="Times New Roman" w:cs="Times New Roman"/>
          <w:sz w:val="28"/>
          <w:szCs w:val="28"/>
        </w:rPr>
        <w:t xml:space="preserve">товаров в сфере теплоснабжения, </w:t>
      </w:r>
      <w:r>
        <w:rPr>
          <w:rFonts w:ascii="Times New Roman" w:hAnsi="Times New Roman" w:cs="Times New Roman"/>
          <w:sz w:val="28"/>
          <w:szCs w:val="28"/>
        </w:rPr>
        <w:t xml:space="preserve">которые соответствуют критериям, определенным вышеуказанными нормативными правовыми актами, </w:t>
      </w:r>
      <w:r w:rsidRPr="00990B89">
        <w:rPr>
          <w:rFonts w:ascii="Times New Roman" w:hAnsi="Times New Roman" w:cs="Times New Roman"/>
          <w:sz w:val="28"/>
          <w:szCs w:val="28"/>
          <w:u w:val="single"/>
        </w:rPr>
        <w:t>не подлежат государственному регулированию</w:t>
      </w:r>
      <w:r>
        <w:rPr>
          <w:rFonts w:ascii="Times New Roman" w:hAnsi="Times New Roman" w:cs="Times New Roman"/>
          <w:sz w:val="28"/>
          <w:szCs w:val="28"/>
        </w:rPr>
        <w:t xml:space="preserve"> и должны определяться по соглашению сторон договора</w:t>
      </w:r>
      <w:r w:rsidR="00990B89">
        <w:rPr>
          <w:rFonts w:ascii="Times New Roman" w:hAnsi="Times New Roman" w:cs="Times New Roman"/>
          <w:sz w:val="28"/>
          <w:szCs w:val="28"/>
        </w:rPr>
        <w:t>,</w:t>
      </w:r>
      <w:r>
        <w:rPr>
          <w:rFonts w:ascii="Times New Roman" w:hAnsi="Times New Roman" w:cs="Times New Roman"/>
          <w:sz w:val="28"/>
          <w:szCs w:val="28"/>
        </w:rPr>
        <w:t xml:space="preserve"> </w:t>
      </w:r>
      <w:r w:rsidR="00990B89">
        <w:rPr>
          <w:rFonts w:ascii="Times New Roman" w:hAnsi="Times New Roman" w:cs="Times New Roman"/>
          <w:sz w:val="28"/>
          <w:szCs w:val="28"/>
        </w:rPr>
        <w:t>з</w:t>
      </w:r>
      <w:r>
        <w:rPr>
          <w:rFonts w:ascii="Times New Roman" w:hAnsi="Times New Roman" w:cs="Times New Roman"/>
          <w:sz w:val="28"/>
          <w:szCs w:val="28"/>
        </w:rPr>
        <w:t xml:space="preserve">а исключением случая, предусмотренного пунктом 1 части 2.2 статьи 8 Федерального закона № 190-ФЗ, согласно которому при реализации тепловой энергии (мощности) и (или) теплоносителя, необходимых для оказания коммунальных услуг по отоплению и горячему водоснабжению населению и приравненным к нему категориям потребителей, регулирование цен (тарифов) в сфере теплоснабжения сохраняется, а также случая, предусмотренного частью 2 статьи 44 Федерального закона от 21.07.2005 № 115-ФЗ «О концессионных соглашениях». </w:t>
      </w:r>
    </w:p>
    <w:p w:rsidR="005727C2" w:rsidRDefault="005727C2" w:rsidP="005727C2">
      <w:pPr>
        <w:pStyle w:val="afa"/>
        <w:ind w:firstLine="709"/>
        <w:jc w:val="both"/>
        <w:rPr>
          <w:rFonts w:ascii="Times New Roman" w:hAnsi="Times New Roman" w:cs="Times New Roman"/>
          <w:sz w:val="28"/>
          <w:szCs w:val="28"/>
        </w:rPr>
      </w:pPr>
      <w:r>
        <w:rPr>
          <w:rFonts w:ascii="Times New Roman" w:hAnsi="Times New Roman" w:cs="Times New Roman"/>
          <w:sz w:val="28"/>
          <w:szCs w:val="28"/>
        </w:rPr>
        <w:t xml:space="preserve">В соответствии с пунктом 3 части 2.1 статьи 8 </w:t>
      </w:r>
      <w:r w:rsidR="00990B89">
        <w:rPr>
          <w:rFonts w:ascii="Times New Roman" w:hAnsi="Times New Roman" w:cs="Times New Roman"/>
          <w:sz w:val="28"/>
          <w:szCs w:val="28"/>
        </w:rPr>
        <w:t xml:space="preserve"> </w:t>
      </w:r>
      <w:r>
        <w:rPr>
          <w:rFonts w:ascii="Times New Roman" w:hAnsi="Times New Roman" w:cs="Times New Roman"/>
          <w:sz w:val="28"/>
          <w:szCs w:val="28"/>
        </w:rPr>
        <w:t xml:space="preserve">Федерального закона № 190-ФЗ </w:t>
      </w:r>
      <w:r>
        <w:rPr>
          <w:rFonts w:ascii="Times New Roman" w:hAnsi="Times New Roman" w:cs="Times New Roman"/>
          <w:sz w:val="28"/>
          <w:szCs w:val="28"/>
          <w:u w:val="single"/>
        </w:rPr>
        <w:t>соглашением сторон</w:t>
      </w:r>
      <w:r>
        <w:rPr>
          <w:rFonts w:ascii="Times New Roman" w:hAnsi="Times New Roman" w:cs="Times New Roman"/>
          <w:sz w:val="28"/>
          <w:szCs w:val="28"/>
        </w:rPr>
        <w:t xml:space="preserve"> договора теплоснабжения и (или) договора поставки тепловой энергии (мощности) и (или) теплоносителя, определяются цены на тепловую энергию (мощность), теплоноситель, поставляемые теплоснабжающей организацией, владеющей на праве собственности или на ином законном основании источником тепловой энергии, потребителю, теплопотребляющие установки которого технологически соединены с этим источником тепловой энергии </w:t>
      </w:r>
      <w:r>
        <w:rPr>
          <w:rFonts w:ascii="Times New Roman" w:hAnsi="Times New Roman" w:cs="Times New Roman"/>
          <w:sz w:val="28"/>
          <w:szCs w:val="28"/>
        </w:rPr>
        <w:lastRenderedPageBreak/>
        <w:t xml:space="preserve">непосредственно или через тепловую сеть, принадлежащую на праве собственности и (или) на ином законном основании указанной теплоснабжающей организации или указанному потребителю, </w:t>
      </w:r>
      <w:r>
        <w:rPr>
          <w:rFonts w:ascii="Times New Roman" w:hAnsi="Times New Roman" w:cs="Times New Roman"/>
          <w:sz w:val="28"/>
          <w:szCs w:val="28"/>
          <w:u w:val="single"/>
        </w:rPr>
        <w:t>если такие</w:t>
      </w:r>
      <w:r>
        <w:rPr>
          <w:rFonts w:ascii="Times New Roman" w:hAnsi="Times New Roman" w:cs="Times New Roman"/>
          <w:sz w:val="28"/>
          <w:szCs w:val="28"/>
        </w:rPr>
        <w:t xml:space="preserve"> </w:t>
      </w:r>
      <w:r>
        <w:rPr>
          <w:rFonts w:ascii="Times New Roman" w:hAnsi="Times New Roman" w:cs="Times New Roman"/>
          <w:sz w:val="28"/>
          <w:szCs w:val="28"/>
          <w:u w:val="single"/>
        </w:rPr>
        <w:t>теплопотребляющие установки и такая тепловая сеть не имеют иного технологического соединения с системой теплоснабжения и к тепловым сетям указанного потребителя не присоединены теплопотребляющие установки иных потребителей</w:t>
      </w:r>
      <w:r>
        <w:rPr>
          <w:rFonts w:ascii="Times New Roman" w:hAnsi="Times New Roman" w:cs="Times New Roman"/>
          <w:sz w:val="28"/>
          <w:szCs w:val="28"/>
        </w:rPr>
        <w:t xml:space="preserve">. </w:t>
      </w:r>
    </w:p>
    <w:p w:rsidR="005727C2" w:rsidRDefault="005727C2" w:rsidP="005727C2">
      <w:pPr>
        <w:pStyle w:val="afa"/>
        <w:ind w:firstLine="709"/>
        <w:jc w:val="both"/>
        <w:rPr>
          <w:rFonts w:ascii="Times New Roman" w:hAnsi="Times New Roman" w:cs="Times New Roman"/>
          <w:sz w:val="28"/>
          <w:szCs w:val="28"/>
        </w:rPr>
      </w:pPr>
      <w:r>
        <w:rPr>
          <w:rFonts w:ascii="Times New Roman" w:hAnsi="Times New Roman" w:cs="Times New Roman"/>
          <w:sz w:val="28"/>
          <w:szCs w:val="28"/>
        </w:rPr>
        <w:t xml:space="preserve">Таким образом, в силу </w:t>
      </w:r>
      <w:r>
        <w:rPr>
          <w:rFonts w:ascii="Times New Roman" w:eastAsia="Calibri" w:hAnsi="Times New Roman" w:cs="Times New Roman"/>
          <w:sz w:val="28"/>
          <w:szCs w:val="28"/>
          <w:lang w:eastAsia="en-US"/>
        </w:rPr>
        <w:t>пункта 3 части 2.1 статьи 8 Федерального закона № 190-ФЗ</w:t>
      </w:r>
      <w:r>
        <w:rPr>
          <w:rFonts w:ascii="Times New Roman" w:hAnsi="Times New Roman" w:cs="Times New Roman"/>
          <w:sz w:val="28"/>
          <w:szCs w:val="28"/>
        </w:rPr>
        <w:t xml:space="preserve">, а также пункта 5(5) Основ ценообразования № 1075 департаментом определено, что деятельность </w:t>
      </w:r>
      <w:r>
        <w:rPr>
          <w:rFonts w:ascii="Times New Roman" w:hAnsi="Times New Roman" w:cs="Times New Roman"/>
          <w:b/>
          <w:sz w:val="28"/>
          <w:szCs w:val="28"/>
        </w:rPr>
        <w:t>60</w:t>
      </w:r>
      <w:r>
        <w:rPr>
          <w:rFonts w:ascii="Times New Roman" w:hAnsi="Times New Roman" w:cs="Times New Roman"/>
          <w:sz w:val="28"/>
          <w:szCs w:val="28"/>
        </w:rPr>
        <w:t xml:space="preserve"> теплоснабжающих организаций Новосибирской области соответствует критериям перехода на нерегулируемые договорные отношения, </w:t>
      </w:r>
      <w:r w:rsidR="00990B89">
        <w:rPr>
          <w:rFonts w:ascii="Times New Roman" w:hAnsi="Times New Roman" w:cs="Times New Roman"/>
          <w:sz w:val="28"/>
          <w:szCs w:val="28"/>
        </w:rPr>
        <w:t xml:space="preserve">следовательно </w:t>
      </w:r>
      <w:r>
        <w:rPr>
          <w:rFonts w:ascii="Times New Roman" w:hAnsi="Times New Roman" w:cs="Times New Roman"/>
          <w:sz w:val="28"/>
          <w:szCs w:val="28"/>
        </w:rPr>
        <w:t xml:space="preserve"> цены (тарифы) в сфере теплоснабжения для них </w:t>
      </w:r>
      <w:r>
        <w:rPr>
          <w:rFonts w:ascii="Times New Roman" w:hAnsi="Times New Roman" w:cs="Times New Roman"/>
          <w:sz w:val="28"/>
          <w:szCs w:val="28"/>
          <w:u w:val="single"/>
        </w:rPr>
        <w:t>должны определяться по соглашению сторон</w:t>
      </w:r>
      <w:r>
        <w:rPr>
          <w:rFonts w:ascii="Times New Roman" w:hAnsi="Times New Roman" w:cs="Times New Roman"/>
          <w:sz w:val="28"/>
          <w:szCs w:val="28"/>
        </w:rPr>
        <w:t xml:space="preserve"> договора теплоснабжения и (или) договора поставки тепловой энергии (мощности) и (или) теплоносителя. Тарифы для указанных организаций на 2020 год</w:t>
      </w:r>
      <w:r w:rsidR="00990B89">
        <w:rPr>
          <w:rFonts w:ascii="Times New Roman" w:hAnsi="Times New Roman" w:cs="Times New Roman"/>
          <w:sz w:val="28"/>
          <w:szCs w:val="28"/>
        </w:rPr>
        <w:t xml:space="preserve"> Департаментом </w:t>
      </w:r>
      <w:r>
        <w:rPr>
          <w:rFonts w:ascii="Times New Roman" w:hAnsi="Times New Roman" w:cs="Times New Roman"/>
          <w:sz w:val="28"/>
          <w:szCs w:val="28"/>
        </w:rPr>
        <w:t xml:space="preserve"> не устанавливались.</w:t>
      </w:r>
    </w:p>
    <w:p w:rsidR="005727C2" w:rsidRDefault="00CA230A" w:rsidP="005727C2">
      <w:pPr>
        <w:adjustRightInd w:val="0"/>
        <w:spacing w:after="0" w:line="240" w:lineRule="auto"/>
        <w:ind w:firstLine="709"/>
        <w:jc w:val="both"/>
        <w:rPr>
          <w:iCs/>
          <w:sz w:val="28"/>
          <w:szCs w:val="28"/>
        </w:rPr>
      </w:pPr>
      <w:r>
        <w:rPr>
          <w:iCs/>
          <w:sz w:val="28"/>
          <w:szCs w:val="28"/>
        </w:rPr>
        <w:t>Д</w:t>
      </w:r>
      <w:r w:rsidR="005727C2">
        <w:rPr>
          <w:iCs/>
          <w:sz w:val="28"/>
          <w:szCs w:val="28"/>
        </w:rPr>
        <w:t>епартаментом</w:t>
      </w:r>
      <w:r>
        <w:rPr>
          <w:iCs/>
          <w:sz w:val="28"/>
          <w:szCs w:val="28"/>
        </w:rPr>
        <w:t xml:space="preserve"> </w:t>
      </w:r>
      <w:r w:rsidR="00E03445">
        <w:rPr>
          <w:iCs/>
          <w:sz w:val="28"/>
          <w:szCs w:val="28"/>
        </w:rPr>
        <w:t xml:space="preserve">в 2019 году </w:t>
      </w:r>
      <w:r>
        <w:rPr>
          <w:iCs/>
          <w:sz w:val="28"/>
          <w:szCs w:val="28"/>
        </w:rPr>
        <w:t>на 2020 год</w:t>
      </w:r>
      <w:r w:rsidR="005727C2">
        <w:rPr>
          <w:iCs/>
          <w:sz w:val="28"/>
          <w:szCs w:val="28"/>
        </w:rPr>
        <w:t xml:space="preserve"> установлены </w:t>
      </w:r>
      <w:r>
        <w:rPr>
          <w:iCs/>
          <w:sz w:val="28"/>
          <w:szCs w:val="28"/>
        </w:rPr>
        <w:t>цены (</w:t>
      </w:r>
      <w:r w:rsidR="005727C2">
        <w:rPr>
          <w:iCs/>
          <w:sz w:val="28"/>
          <w:szCs w:val="28"/>
        </w:rPr>
        <w:t>тарифы</w:t>
      </w:r>
      <w:r>
        <w:rPr>
          <w:iCs/>
          <w:sz w:val="28"/>
          <w:szCs w:val="28"/>
        </w:rPr>
        <w:t>)</w:t>
      </w:r>
      <w:r w:rsidR="005727C2">
        <w:rPr>
          <w:iCs/>
          <w:sz w:val="28"/>
          <w:szCs w:val="28"/>
        </w:rPr>
        <w:t xml:space="preserve"> на тепловую энергию (мощность) для </w:t>
      </w:r>
      <w:r w:rsidR="005727C2">
        <w:rPr>
          <w:b/>
          <w:iCs/>
          <w:sz w:val="28"/>
          <w:szCs w:val="28"/>
        </w:rPr>
        <w:t>305</w:t>
      </w:r>
      <w:r w:rsidR="005727C2">
        <w:rPr>
          <w:iCs/>
          <w:sz w:val="28"/>
          <w:szCs w:val="28"/>
        </w:rPr>
        <w:t xml:space="preserve"> организаций, осуществляющих деятельность по производству и реализации тепловой энергии, по реализации покупной тепловой энергии, а также по передаче тепловой энергии по тепловым сетям.</w:t>
      </w:r>
    </w:p>
    <w:p w:rsidR="005727C2" w:rsidRDefault="005727C2" w:rsidP="005727C2">
      <w:pPr>
        <w:pStyle w:val="afa"/>
        <w:ind w:firstLine="709"/>
        <w:jc w:val="both"/>
        <w:rPr>
          <w:rFonts w:ascii="Times New Roman" w:hAnsi="Times New Roman" w:cs="Times New Roman"/>
          <w:iCs/>
          <w:sz w:val="28"/>
          <w:szCs w:val="28"/>
        </w:rPr>
      </w:pPr>
      <w:r>
        <w:rPr>
          <w:rFonts w:ascii="Times New Roman" w:hAnsi="Times New Roman" w:cs="Times New Roman"/>
          <w:iCs/>
          <w:sz w:val="28"/>
          <w:szCs w:val="28"/>
        </w:rPr>
        <w:t>Подготовлено и выпущено</w:t>
      </w:r>
      <w:r w:rsidR="00E03445">
        <w:rPr>
          <w:rFonts w:ascii="Times New Roman" w:hAnsi="Times New Roman" w:cs="Times New Roman"/>
          <w:iCs/>
          <w:sz w:val="28"/>
          <w:szCs w:val="28"/>
        </w:rPr>
        <w:t xml:space="preserve"> в 2019 году </w:t>
      </w:r>
      <w:r>
        <w:rPr>
          <w:rFonts w:ascii="Times New Roman" w:hAnsi="Times New Roman" w:cs="Times New Roman"/>
          <w:iCs/>
          <w:sz w:val="28"/>
          <w:szCs w:val="28"/>
        </w:rPr>
        <w:t xml:space="preserve">всего </w:t>
      </w:r>
      <w:r>
        <w:rPr>
          <w:rFonts w:ascii="Times New Roman" w:hAnsi="Times New Roman" w:cs="Times New Roman"/>
          <w:iCs/>
          <w:sz w:val="28"/>
          <w:szCs w:val="28"/>
          <w:u w:val="single"/>
        </w:rPr>
        <w:t>194 приказа</w:t>
      </w:r>
      <w:r>
        <w:rPr>
          <w:rFonts w:ascii="Times New Roman" w:hAnsi="Times New Roman" w:cs="Times New Roman"/>
          <w:iCs/>
          <w:sz w:val="28"/>
          <w:szCs w:val="28"/>
        </w:rPr>
        <w:t xml:space="preserve"> в сфере теплоснабжения, из них:</w:t>
      </w:r>
    </w:p>
    <w:p w:rsidR="005727C2" w:rsidRDefault="005727C2" w:rsidP="005727C2">
      <w:pPr>
        <w:spacing w:after="0" w:line="240" w:lineRule="auto"/>
        <w:ind w:firstLine="709"/>
        <w:jc w:val="both"/>
        <w:rPr>
          <w:iCs/>
          <w:sz w:val="28"/>
          <w:szCs w:val="28"/>
        </w:rPr>
      </w:pPr>
      <w:r>
        <w:rPr>
          <w:iCs/>
          <w:sz w:val="28"/>
          <w:szCs w:val="28"/>
        </w:rPr>
        <w:t>- </w:t>
      </w:r>
      <w:r>
        <w:rPr>
          <w:iCs/>
          <w:sz w:val="28"/>
          <w:szCs w:val="28"/>
          <w:u w:val="single"/>
        </w:rPr>
        <w:t>170 приказов</w:t>
      </w:r>
      <w:r>
        <w:rPr>
          <w:iCs/>
          <w:sz w:val="28"/>
          <w:szCs w:val="28"/>
        </w:rPr>
        <w:t xml:space="preserve"> по тарифному регулированию </w:t>
      </w:r>
      <w:r w:rsidR="00CA230A">
        <w:rPr>
          <w:iCs/>
          <w:sz w:val="28"/>
          <w:szCs w:val="28"/>
        </w:rPr>
        <w:t xml:space="preserve"> в отношении теплоснабжающих </w:t>
      </w:r>
      <w:r>
        <w:rPr>
          <w:iCs/>
          <w:sz w:val="28"/>
          <w:szCs w:val="28"/>
        </w:rPr>
        <w:t xml:space="preserve"> </w:t>
      </w:r>
      <w:r w:rsidR="00CA230A">
        <w:rPr>
          <w:iCs/>
          <w:sz w:val="28"/>
          <w:szCs w:val="28"/>
        </w:rPr>
        <w:t xml:space="preserve">организаций (далее – ТСО) </w:t>
      </w:r>
      <w:r>
        <w:rPr>
          <w:iCs/>
          <w:sz w:val="28"/>
          <w:szCs w:val="28"/>
        </w:rPr>
        <w:t>(включая АО «СИБЭКО») установлены тарифы</w:t>
      </w:r>
      <w:r w:rsidR="008228C9">
        <w:rPr>
          <w:iCs/>
          <w:sz w:val="28"/>
          <w:szCs w:val="28"/>
        </w:rPr>
        <w:t>:</w:t>
      </w:r>
      <w:r>
        <w:rPr>
          <w:iCs/>
          <w:sz w:val="28"/>
          <w:szCs w:val="28"/>
        </w:rPr>
        <w:t xml:space="preserve"> на первый год регулирования (на 2019 год</w:t>
      </w:r>
      <w:r w:rsidR="00CA230A">
        <w:rPr>
          <w:iCs/>
          <w:sz w:val="28"/>
          <w:szCs w:val="28"/>
        </w:rPr>
        <w:t xml:space="preserve"> или </w:t>
      </w:r>
      <w:r>
        <w:rPr>
          <w:iCs/>
          <w:sz w:val="28"/>
          <w:szCs w:val="28"/>
        </w:rPr>
        <w:t>на 2020 год)</w:t>
      </w:r>
      <w:r w:rsidR="008228C9">
        <w:rPr>
          <w:iCs/>
          <w:sz w:val="28"/>
          <w:szCs w:val="28"/>
        </w:rPr>
        <w:t>,</w:t>
      </w:r>
      <w:r>
        <w:rPr>
          <w:iCs/>
          <w:sz w:val="28"/>
          <w:szCs w:val="28"/>
        </w:rPr>
        <w:t xml:space="preserve"> на долгосрочные периоды регулирования (2020-2022 гг., 2020-2024 гг.)</w:t>
      </w:r>
      <w:r w:rsidR="008228C9">
        <w:rPr>
          <w:iCs/>
          <w:sz w:val="28"/>
          <w:szCs w:val="28"/>
        </w:rPr>
        <w:t>,</w:t>
      </w:r>
      <w:r>
        <w:rPr>
          <w:iCs/>
          <w:sz w:val="28"/>
          <w:szCs w:val="28"/>
        </w:rPr>
        <w:t xml:space="preserve"> на горячую воду, теплоноситель и резервную мощность, а также внесены изменения в действующие приказы </w:t>
      </w:r>
      <w:r w:rsidR="00E03445">
        <w:rPr>
          <w:iCs/>
          <w:sz w:val="28"/>
          <w:szCs w:val="28"/>
        </w:rPr>
        <w:t>Д</w:t>
      </w:r>
      <w:r>
        <w:rPr>
          <w:iCs/>
          <w:sz w:val="28"/>
          <w:szCs w:val="28"/>
        </w:rPr>
        <w:t xml:space="preserve">епартамента (причины внесения изменений – реорганизация ТСО, прекращение регулируемой деятельности, изменение применяемого режима налогообложения, изменение в </w:t>
      </w:r>
      <w:r w:rsidR="00E03445">
        <w:rPr>
          <w:iCs/>
          <w:sz w:val="28"/>
          <w:szCs w:val="28"/>
        </w:rPr>
        <w:t xml:space="preserve">структуре </w:t>
      </w:r>
      <w:r>
        <w:rPr>
          <w:iCs/>
          <w:sz w:val="28"/>
          <w:szCs w:val="28"/>
        </w:rPr>
        <w:t xml:space="preserve"> группы потребителей «население», изменение наименования организации</w:t>
      </w:r>
      <w:r w:rsidR="008228C9">
        <w:rPr>
          <w:iCs/>
          <w:sz w:val="28"/>
          <w:szCs w:val="28"/>
        </w:rPr>
        <w:t>)</w:t>
      </w:r>
      <w:r>
        <w:rPr>
          <w:iCs/>
          <w:sz w:val="28"/>
          <w:szCs w:val="28"/>
        </w:rPr>
        <w:t>;</w:t>
      </w:r>
    </w:p>
    <w:p w:rsidR="005727C2" w:rsidRDefault="005727C2" w:rsidP="005727C2">
      <w:pPr>
        <w:spacing w:after="0" w:line="240" w:lineRule="auto"/>
        <w:ind w:firstLine="709"/>
        <w:jc w:val="both"/>
        <w:rPr>
          <w:iCs/>
          <w:sz w:val="28"/>
          <w:szCs w:val="28"/>
        </w:rPr>
      </w:pPr>
      <w:r>
        <w:rPr>
          <w:iCs/>
          <w:sz w:val="28"/>
          <w:szCs w:val="28"/>
        </w:rPr>
        <w:t xml:space="preserve">- </w:t>
      </w:r>
      <w:r>
        <w:rPr>
          <w:iCs/>
          <w:sz w:val="28"/>
          <w:szCs w:val="28"/>
          <w:u w:val="single"/>
        </w:rPr>
        <w:t>4 приказа</w:t>
      </w:r>
      <w:r>
        <w:rPr>
          <w:iCs/>
          <w:sz w:val="28"/>
          <w:szCs w:val="28"/>
        </w:rPr>
        <w:t xml:space="preserve"> по утверждению индикативного предельного уровня цены и предельного уровня цены в ценовой зоне теплоснабжения (на 2019 и 2020 годы);</w:t>
      </w:r>
    </w:p>
    <w:p w:rsidR="005727C2" w:rsidRDefault="005727C2" w:rsidP="005727C2">
      <w:pPr>
        <w:spacing w:after="0" w:line="240" w:lineRule="auto"/>
        <w:ind w:firstLine="709"/>
        <w:jc w:val="both"/>
        <w:rPr>
          <w:sz w:val="28"/>
          <w:szCs w:val="28"/>
        </w:rPr>
      </w:pPr>
      <w:r>
        <w:rPr>
          <w:iCs/>
          <w:sz w:val="28"/>
          <w:szCs w:val="28"/>
        </w:rPr>
        <w:t>- </w:t>
      </w:r>
      <w:r>
        <w:rPr>
          <w:iCs/>
          <w:sz w:val="28"/>
          <w:szCs w:val="28"/>
          <w:u w:val="single"/>
        </w:rPr>
        <w:t>11 приказов</w:t>
      </w:r>
      <w:r>
        <w:rPr>
          <w:iCs/>
          <w:sz w:val="28"/>
          <w:szCs w:val="28"/>
        </w:rPr>
        <w:t xml:space="preserve"> по утверждению </w:t>
      </w:r>
      <w:r>
        <w:rPr>
          <w:sz w:val="28"/>
          <w:szCs w:val="28"/>
        </w:rPr>
        <w:t>нормативов удельного расхода топлива при производстве тепловой энергии и утверждению нормативов запасов топлива на источниках тепловой энергии ТСО;</w:t>
      </w:r>
    </w:p>
    <w:p w:rsidR="005727C2" w:rsidRDefault="005727C2" w:rsidP="005727C2">
      <w:pPr>
        <w:spacing w:after="0" w:line="240" w:lineRule="auto"/>
        <w:ind w:firstLine="709"/>
        <w:jc w:val="both"/>
        <w:rPr>
          <w:sz w:val="28"/>
          <w:szCs w:val="28"/>
        </w:rPr>
      </w:pPr>
      <w:r>
        <w:rPr>
          <w:sz w:val="28"/>
          <w:szCs w:val="28"/>
        </w:rPr>
        <w:t xml:space="preserve">- </w:t>
      </w:r>
      <w:r>
        <w:rPr>
          <w:sz w:val="28"/>
          <w:szCs w:val="28"/>
          <w:u w:val="single"/>
        </w:rPr>
        <w:t xml:space="preserve">5 </w:t>
      </w:r>
      <w:r>
        <w:rPr>
          <w:iCs/>
          <w:sz w:val="28"/>
          <w:szCs w:val="28"/>
          <w:u w:val="single"/>
        </w:rPr>
        <w:t>приказов</w:t>
      </w:r>
      <w:r>
        <w:rPr>
          <w:iCs/>
          <w:sz w:val="28"/>
          <w:szCs w:val="28"/>
        </w:rPr>
        <w:t xml:space="preserve"> по утверждению </w:t>
      </w:r>
      <w:r>
        <w:rPr>
          <w:sz w:val="28"/>
          <w:szCs w:val="28"/>
        </w:rPr>
        <w:t>нормативов технологических потерь при передаче тепловой энергии, теплоносителя по тепловым сетям ТСО;</w:t>
      </w:r>
    </w:p>
    <w:p w:rsidR="005727C2" w:rsidRDefault="005727C2" w:rsidP="005727C2">
      <w:pPr>
        <w:spacing w:after="0" w:line="240" w:lineRule="auto"/>
        <w:ind w:firstLine="709"/>
        <w:jc w:val="both"/>
        <w:rPr>
          <w:iCs/>
          <w:sz w:val="28"/>
          <w:szCs w:val="28"/>
        </w:rPr>
      </w:pPr>
      <w:r>
        <w:rPr>
          <w:sz w:val="28"/>
          <w:szCs w:val="28"/>
        </w:rPr>
        <w:t xml:space="preserve">- </w:t>
      </w:r>
      <w:r>
        <w:rPr>
          <w:sz w:val="28"/>
          <w:szCs w:val="28"/>
          <w:u w:val="single"/>
        </w:rPr>
        <w:t>4 приказа</w:t>
      </w:r>
      <w:r>
        <w:rPr>
          <w:sz w:val="28"/>
          <w:szCs w:val="28"/>
        </w:rPr>
        <w:t xml:space="preserve"> по внесению изменения в приказ </w:t>
      </w:r>
      <w:r w:rsidR="00E03445">
        <w:rPr>
          <w:sz w:val="28"/>
          <w:szCs w:val="28"/>
        </w:rPr>
        <w:t>Д</w:t>
      </w:r>
      <w:r>
        <w:rPr>
          <w:sz w:val="28"/>
          <w:szCs w:val="28"/>
        </w:rPr>
        <w:t>епартамента от 27.03.2018 № 58-ТЭ «Об установлении на период 2019-2021 годов требований к программам в области энергосбережения и повышения энергетической эффективности теплоснабжающих и теплосетевых организаций Новосибирской области».</w:t>
      </w:r>
    </w:p>
    <w:p w:rsidR="002D099C" w:rsidRDefault="002D099C" w:rsidP="005727C2">
      <w:pPr>
        <w:spacing w:after="0" w:line="240" w:lineRule="auto"/>
        <w:ind w:firstLine="709"/>
        <w:jc w:val="both"/>
        <w:rPr>
          <w:b/>
          <w:sz w:val="28"/>
          <w:szCs w:val="28"/>
        </w:rPr>
      </w:pPr>
      <w:r w:rsidRPr="002D099C">
        <w:rPr>
          <w:b/>
          <w:iCs/>
          <w:sz w:val="28"/>
          <w:szCs w:val="28"/>
        </w:rPr>
        <w:t>2.2.</w:t>
      </w:r>
      <w:r w:rsidR="003D2783">
        <w:rPr>
          <w:b/>
          <w:iCs/>
          <w:sz w:val="28"/>
          <w:szCs w:val="28"/>
        </w:rPr>
        <w:t>1.</w:t>
      </w:r>
      <w:r w:rsidRPr="002D099C">
        <w:rPr>
          <w:b/>
          <w:iCs/>
          <w:sz w:val="28"/>
          <w:szCs w:val="28"/>
        </w:rPr>
        <w:t xml:space="preserve">  Тарифное регулирование в отношении</w:t>
      </w:r>
      <w:r>
        <w:rPr>
          <w:b/>
          <w:iCs/>
          <w:sz w:val="28"/>
          <w:szCs w:val="28"/>
        </w:rPr>
        <w:t xml:space="preserve"> </w:t>
      </w:r>
      <w:r w:rsidRPr="002D099C">
        <w:rPr>
          <w:b/>
          <w:iCs/>
          <w:sz w:val="28"/>
          <w:szCs w:val="28"/>
        </w:rPr>
        <w:t xml:space="preserve"> </w:t>
      </w:r>
      <w:r w:rsidRPr="002D099C">
        <w:rPr>
          <w:b/>
          <w:sz w:val="28"/>
          <w:szCs w:val="28"/>
        </w:rPr>
        <w:t>АО «СИБЭКО»</w:t>
      </w:r>
    </w:p>
    <w:p w:rsidR="005727C2" w:rsidRPr="002D099C" w:rsidRDefault="002D099C" w:rsidP="005727C2">
      <w:pPr>
        <w:spacing w:after="0" w:line="240" w:lineRule="auto"/>
        <w:ind w:firstLine="709"/>
        <w:jc w:val="both"/>
        <w:rPr>
          <w:iCs/>
          <w:sz w:val="28"/>
          <w:szCs w:val="28"/>
        </w:rPr>
      </w:pPr>
      <w:r w:rsidRPr="002D099C">
        <w:rPr>
          <w:sz w:val="28"/>
          <w:szCs w:val="28"/>
        </w:rPr>
        <w:t>АО «СИБЭКО»  - единая теплоснабжающая организация осуществляющей деятельность  на территории г</w:t>
      </w:r>
      <w:r w:rsidR="00364535">
        <w:rPr>
          <w:sz w:val="28"/>
          <w:szCs w:val="28"/>
        </w:rPr>
        <w:t xml:space="preserve">ородов </w:t>
      </w:r>
      <w:r w:rsidRPr="002D099C">
        <w:rPr>
          <w:sz w:val="28"/>
          <w:szCs w:val="28"/>
        </w:rPr>
        <w:t xml:space="preserve"> Новосибирска и  Куйбышева.</w:t>
      </w:r>
    </w:p>
    <w:p w:rsidR="005727C2" w:rsidRPr="002D099C" w:rsidRDefault="005727C2" w:rsidP="002D099C">
      <w:pPr>
        <w:spacing w:after="0" w:line="240" w:lineRule="auto"/>
        <w:ind w:firstLine="709"/>
        <w:jc w:val="both"/>
        <w:rPr>
          <w:b/>
          <w:i/>
          <w:sz w:val="28"/>
          <w:szCs w:val="28"/>
        </w:rPr>
      </w:pPr>
      <w:r w:rsidRPr="002D099C">
        <w:rPr>
          <w:b/>
          <w:i/>
          <w:sz w:val="28"/>
          <w:szCs w:val="28"/>
        </w:rPr>
        <w:t>2.2.1.</w:t>
      </w:r>
      <w:r w:rsidR="002D099C" w:rsidRPr="002D099C">
        <w:rPr>
          <w:b/>
          <w:i/>
          <w:sz w:val="28"/>
          <w:szCs w:val="28"/>
        </w:rPr>
        <w:t>1.</w:t>
      </w:r>
      <w:r w:rsidRPr="002D099C">
        <w:rPr>
          <w:b/>
          <w:i/>
          <w:sz w:val="28"/>
          <w:szCs w:val="28"/>
        </w:rPr>
        <w:t xml:space="preserve"> Тарифы на тепловую энергию, поставляемую АО «СИБЭКО» потребителям на территории Новосибирской области </w:t>
      </w:r>
    </w:p>
    <w:p w:rsidR="005727C2" w:rsidRDefault="005727C2" w:rsidP="005727C2">
      <w:pPr>
        <w:pStyle w:val="afa"/>
        <w:ind w:firstLine="709"/>
        <w:jc w:val="both"/>
        <w:rPr>
          <w:rFonts w:ascii="Times New Roman" w:hAnsi="Times New Roman" w:cs="Times New Roman"/>
          <w:sz w:val="28"/>
          <w:szCs w:val="28"/>
        </w:rPr>
      </w:pPr>
      <w:r>
        <w:rPr>
          <w:rFonts w:ascii="Times New Roman" w:hAnsi="Times New Roman" w:cs="Times New Roman"/>
          <w:sz w:val="28"/>
          <w:szCs w:val="28"/>
        </w:rPr>
        <w:t xml:space="preserve">В 2019 году </w:t>
      </w:r>
      <w:r w:rsidR="00E03445">
        <w:rPr>
          <w:rFonts w:ascii="Times New Roman" w:hAnsi="Times New Roman" w:cs="Times New Roman"/>
          <w:sz w:val="28"/>
          <w:szCs w:val="28"/>
        </w:rPr>
        <w:t>Д</w:t>
      </w:r>
      <w:r>
        <w:rPr>
          <w:rFonts w:ascii="Times New Roman" w:hAnsi="Times New Roman" w:cs="Times New Roman"/>
          <w:sz w:val="28"/>
          <w:szCs w:val="28"/>
        </w:rPr>
        <w:t>епартаментом произведена корректировка необходимой валовой выручки (</w:t>
      </w:r>
      <w:r w:rsidR="00E03445">
        <w:rPr>
          <w:rFonts w:ascii="Times New Roman" w:hAnsi="Times New Roman" w:cs="Times New Roman"/>
          <w:sz w:val="28"/>
          <w:szCs w:val="28"/>
        </w:rPr>
        <w:t xml:space="preserve">далее - </w:t>
      </w:r>
      <w:r>
        <w:rPr>
          <w:rFonts w:ascii="Times New Roman" w:hAnsi="Times New Roman" w:cs="Times New Roman"/>
          <w:sz w:val="28"/>
          <w:szCs w:val="28"/>
        </w:rPr>
        <w:t xml:space="preserve">НВВ) и тарифов на тепловую энергию, поставляемую </w:t>
      </w:r>
      <w:r>
        <w:rPr>
          <w:rFonts w:ascii="Times New Roman" w:hAnsi="Times New Roman" w:cs="Times New Roman"/>
          <w:sz w:val="28"/>
          <w:szCs w:val="28"/>
        </w:rPr>
        <w:lastRenderedPageBreak/>
        <w:t xml:space="preserve">АО «СИБЭКО» потребителям на территории Новосибирской области, на 2020 год в рамках долгосрочного периода регулирования 2019-2023 годов. Долгосрочные параметры регулирования и тарифы на 2019-2023 гг. утверждены приказом </w:t>
      </w:r>
      <w:r w:rsidR="00E03445">
        <w:rPr>
          <w:rFonts w:ascii="Times New Roman" w:hAnsi="Times New Roman" w:cs="Times New Roman"/>
          <w:sz w:val="28"/>
          <w:szCs w:val="28"/>
        </w:rPr>
        <w:t>Д</w:t>
      </w:r>
      <w:r>
        <w:rPr>
          <w:rFonts w:ascii="Times New Roman" w:hAnsi="Times New Roman" w:cs="Times New Roman"/>
          <w:sz w:val="28"/>
          <w:szCs w:val="28"/>
        </w:rPr>
        <w:t>епартамента от 10.12.2018 № 701-ТЭ «Об установлении долгосрочных параметров регулирования и тарифов на тепловую энергию (мощность), поставляемую Акционерным обществом «Сибирская энергетическая компания» потребителям на территории Новосибирской области, на долгосрочный период регулирования 2019 - 2023 годов» (</w:t>
      </w:r>
      <w:r>
        <w:rPr>
          <w:rFonts w:ascii="Times New Roman" w:hAnsi="Times New Roman" w:cs="Times New Roman"/>
          <w:i/>
          <w:sz w:val="28"/>
          <w:szCs w:val="28"/>
        </w:rPr>
        <w:t>далее – приказ департамента № 701-ТЭ</w:t>
      </w:r>
      <w:r>
        <w:rPr>
          <w:rFonts w:ascii="Times New Roman" w:hAnsi="Times New Roman" w:cs="Times New Roman"/>
          <w:sz w:val="28"/>
          <w:szCs w:val="28"/>
        </w:rPr>
        <w:t>).</w:t>
      </w:r>
    </w:p>
    <w:p w:rsidR="005727C2" w:rsidRDefault="005727C2" w:rsidP="005727C2">
      <w:pPr>
        <w:pStyle w:val="afa"/>
        <w:ind w:firstLine="709"/>
        <w:jc w:val="both"/>
        <w:rPr>
          <w:rFonts w:ascii="Times New Roman" w:hAnsi="Times New Roman" w:cs="Times New Roman"/>
          <w:sz w:val="28"/>
          <w:szCs w:val="28"/>
        </w:rPr>
      </w:pPr>
      <w:r>
        <w:rPr>
          <w:rFonts w:ascii="Times New Roman" w:hAnsi="Times New Roman" w:cs="Times New Roman"/>
          <w:sz w:val="28"/>
          <w:szCs w:val="28"/>
        </w:rPr>
        <w:t xml:space="preserve">При корректировке </w:t>
      </w:r>
      <w:r w:rsidR="00E03445">
        <w:rPr>
          <w:rFonts w:ascii="Times New Roman" w:hAnsi="Times New Roman" w:cs="Times New Roman"/>
          <w:sz w:val="28"/>
          <w:szCs w:val="28"/>
        </w:rPr>
        <w:t>НВВ</w:t>
      </w:r>
      <w:r>
        <w:rPr>
          <w:rFonts w:ascii="Times New Roman" w:hAnsi="Times New Roman" w:cs="Times New Roman"/>
          <w:sz w:val="28"/>
          <w:szCs w:val="28"/>
        </w:rPr>
        <w:t xml:space="preserve"> АО «СИБЭКО» для осуществления регулируемой деятельности по производству тепловой энергии (в комбинированном и некомбинированном режиме) и расчете </w:t>
      </w:r>
      <w:r w:rsidR="00E03445">
        <w:rPr>
          <w:rFonts w:ascii="Times New Roman" w:hAnsi="Times New Roman" w:cs="Times New Roman"/>
          <w:sz w:val="28"/>
          <w:szCs w:val="28"/>
        </w:rPr>
        <w:t>цен (</w:t>
      </w:r>
      <w:r>
        <w:rPr>
          <w:rFonts w:ascii="Times New Roman" w:hAnsi="Times New Roman" w:cs="Times New Roman"/>
          <w:sz w:val="28"/>
          <w:szCs w:val="28"/>
        </w:rPr>
        <w:t>тарифов</w:t>
      </w:r>
      <w:r w:rsidR="00E03445">
        <w:rPr>
          <w:rFonts w:ascii="Times New Roman" w:hAnsi="Times New Roman" w:cs="Times New Roman"/>
          <w:sz w:val="28"/>
          <w:szCs w:val="28"/>
        </w:rPr>
        <w:t xml:space="preserve">) </w:t>
      </w:r>
      <w:r>
        <w:rPr>
          <w:rFonts w:ascii="Times New Roman" w:hAnsi="Times New Roman" w:cs="Times New Roman"/>
          <w:sz w:val="28"/>
          <w:szCs w:val="28"/>
        </w:rPr>
        <w:t xml:space="preserve">на производство тепловой энергии в режиме комбинированной выработки электрической и тепловой энергии, </w:t>
      </w:r>
      <w:r w:rsidR="00E03445">
        <w:rPr>
          <w:rFonts w:ascii="Times New Roman" w:hAnsi="Times New Roman" w:cs="Times New Roman"/>
          <w:sz w:val="28"/>
          <w:szCs w:val="28"/>
        </w:rPr>
        <w:t>цен (</w:t>
      </w:r>
      <w:r>
        <w:rPr>
          <w:rFonts w:ascii="Times New Roman" w:hAnsi="Times New Roman" w:cs="Times New Roman"/>
          <w:sz w:val="28"/>
          <w:szCs w:val="28"/>
        </w:rPr>
        <w:t>тарифов</w:t>
      </w:r>
      <w:r w:rsidR="00E03445">
        <w:rPr>
          <w:rFonts w:ascii="Times New Roman" w:hAnsi="Times New Roman" w:cs="Times New Roman"/>
          <w:sz w:val="28"/>
          <w:szCs w:val="28"/>
        </w:rPr>
        <w:t>)</w:t>
      </w:r>
      <w:r>
        <w:rPr>
          <w:rFonts w:ascii="Times New Roman" w:hAnsi="Times New Roman" w:cs="Times New Roman"/>
          <w:sz w:val="28"/>
          <w:szCs w:val="28"/>
        </w:rPr>
        <w:t xml:space="preserve"> на тепловую энергию, поставляемую АО «СИБЭКО» потребителям, </w:t>
      </w:r>
      <w:r w:rsidR="00E03445">
        <w:rPr>
          <w:rFonts w:ascii="Times New Roman" w:hAnsi="Times New Roman" w:cs="Times New Roman"/>
          <w:sz w:val="28"/>
          <w:szCs w:val="28"/>
        </w:rPr>
        <w:t>Д</w:t>
      </w:r>
      <w:r>
        <w:rPr>
          <w:rFonts w:ascii="Times New Roman" w:hAnsi="Times New Roman" w:cs="Times New Roman"/>
          <w:sz w:val="28"/>
          <w:szCs w:val="28"/>
        </w:rPr>
        <w:t>епартаментом в соответствии с подпункт</w:t>
      </w:r>
      <w:r w:rsidR="00E03445">
        <w:rPr>
          <w:rFonts w:ascii="Times New Roman" w:hAnsi="Times New Roman" w:cs="Times New Roman"/>
          <w:sz w:val="28"/>
          <w:szCs w:val="28"/>
        </w:rPr>
        <w:t>ом</w:t>
      </w:r>
      <w:r>
        <w:rPr>
          <w:rFonts w:ascii="Times New Roman" w:hAnsi="Times New Roman" w:cs="Times New Roman"/>
          <w:sz w:val="28"/>
          <w:szCs w:val="28"/>
        </w:rPr>
        <w:t xml:space="preserve"> «в»</w:t>
      </w:r>
      <w:r w:rsidR="00E03445" w:rsidRPr="00E03445">
        <w:rPr>
          <w:rFonts w:ascii="Times New Roman" w:hAnsi="Times New Roman" w:cs="Times New Roman"/>
          <w:sz w:val="28"/>
          <w:szCs w:val="28"/>
        </w:rPr>
        <w:t xml:space="preserve"> </w:t>
      </w:r>
      <w:r w:rsidR="00E03445">
        <w:rPr>
          <w:rFonts w:ascii="Times New Roman" w:hAnsi="Times New Roman" w:cs="Times New Roman"/>
          <w:sz w:val="28"/>
          <w:szCs w:val="28"/>
        </w:rPr>
        <w:t>пункта 16</w:t>
      </w:r>
      <w:r>
        <w:rPr>
          <w:rFonts w:ascii="Times New Roman" w:hAnsi="Times New Roman" w:cs="Times New Roman"/>
          <w:sz w:val="28"/>
          <w:szCs w:val="28"/>
        </w:rPr>
        <w:t xml:space="preserve">, </w:t>
      </w:r>
      <w:r w:rsidR="00133CCA">
        <w:rPr>
          <w:rFonts w:ascii="Times New Roman" w:hAnsi="Times New Roman" w:cs="Times New Roman"/>
          <w:sz w:val="28"/>
          <w:szCs w:val="28"/>
        </w:rPr>
        <w:t>абзацам</w:t>
      </w:r>
      <w:r>
        <w:rPr>
          <w:rFonts w:ascii="Times New Roman" w:hAnsi="Times New Roman" w:cs="Times New Roman"/>
          <w:sz w:val="28"/>
          <w:szCs w:val="28"/>
        </w:rPr>
        <w:t xml:space="preserve"> 2</w:t>
      </w:r>
      <w:r w:rsidR="00133CCA">
        <w:rPr>
          <w:rFonts w:ascii="Times New Roman" w:hAnsi="Times New Roman" w:cs="Times New Roman"/>
          <w:sz w:val="28"/>
          <w:szCs w:val="28"/>
        </w:rPr>
        <w:t xml:space="preserve"> пункта 18</w:t>
      </w:r>
      <w:r>
        <w:rPr>
          <w:rFonts w:ascii="Times New Roman" w:hAnsi="Times New Roman" w:cs="Times New Roman"/>
          <w:sz w:val="28"/>
          <w:szCs w:val="28"/>
        </w:rPr>
        <w:t>, абзац</w:t>
      </w:r>
      <w:r w:rsidR="00133CCA">
        <w:rPr>
          <w:rFonts w:ascii="Times New Roman" w:hAnsi="Times New Roman" w:cs="Times New Roman"/>
          <w:sz w:val="28"/>
          <w:szCs w:val="28"/>
        </w:rPr>
        <w:t>ам</w:t>
      </w:r>
      <w:r>
        <w:rPr>
          <w:rFonts w:ascii="Times New Roman" w:hAnsi="Times New Roman" w:cs="Times New Roman"/>
          <w:sz w:val="28"/>
          <w:szCs w:val="28"/>
        </w:rPr>
        <w:t xml:space="preserve"> 3 </w:t>
      </w:r>
      <w:r w:rsidR="00133CCA">
        <w:rPr>
          <w:rFonts w:ascii="Times New Roman" w:hAnsi="Times New Roman" w:cs="Times New Roman"/>
          <w:sz w:val="28"/>
          <w:szCs w:val="28"/>
        </w:rPr>
        <w:t xml:space="preserve">пункта 19 </w:t>
      </w:r>
      <w:r>
        <w:rPr>
          <w:rFonts w:ascii="Times New Roman" w:hAnsi="Times New Roman" w:cs="Times New Roman"/>
          <w:sz w:val="28"/>
          <w:szCs w:val="28"/>
        </w:rPr>
        <w:t xml:space="preserve">Основ ценообразования № 1075 и в соответствии с Методическими указаниями №760-э </w:t>
      </w:r>
      <w:r w:rsidR="00133CCA">
        <w:rPr>
          <w:rFonts w:ascii="Times New Roman" w:hAnsi="Times New Roman" w:cs="Times New Roman"/>
          <w:sz w:val="28"/>
          <w:szCs w:val="28"/>
        </w:rPr>
        <w:t xml:space="preserve"> </w:t>
      </w:r>
      <w:r>
        <w:rPr>
          <w:rFonts w:ascii="Times New Roman" w:hAnsi="Times New Roman" w:cs="Times New Roman"/>
          <w:sz w:val="28"/>
          <w:szCs w:val="28"/>
        </w:rPr>
        <w:t xml:space="preserve">применен </w:t>
      </w:r>
      <w:r>
        <w:rPr>
          <w:rFonts w:ascii="Times New Roman" w:hAnsi="Times New Roman" w:cs="Times New Roman"/>
          <w:b/>
          <w:sz w:val="28"/>
          <w:szCs w:val="28"/>
        </w:rPr>
        <w:t xml:space="preserve">метод индексации тарифов </w:t>
      </w:r>
      <w:r>
        <w:rPr>
          <w:rFonts w:ascii="Times New Roman" w:hAnsi="Times New Roman" w:cs="Times New Roman"/>
          <w:sz w:val="28"/>
          <w:szCs w:val="28"/>
        </w:rPr>
        <w:t xml:space="preserve">на 2020 год в рамках долгосрочного периода регулирования 2019-2023 годов. </w:t>
      </w:r>
    </w:p>
    <w:p w:rsidR="005727C2" w:rsidRDefault="005727C2" w:rsidP="005727C2">
      <w:pPr>
        <w:pStyle w:val="afa"/>
        <w:ind w:firstLine="709"/>
        <w:jc w:val="both"/>
        <w:rPr>
          <w:rFonts w:ascii="Times New Roman" w:hAnsi="Times New Roman" w:cs="Times New Roman"/>
          <w:sz w:val="28"/>
          <w:szCs w:val="28"/>
        </w:rPr>
      </w:pPr>
      <w:r>
        <w:rPr>
          <w:rFonts w:ascii="Times New Roman" w:hAnsi="Times New Roman" w:cs="Times New Roman"/>
          <w:sz w:val="28"/>
          <w:szCs w:val="28"/>
        </w:rPr>
        <w:t>При корректировке НВВ и тарифов на тепловую энергию АО «СИБЭКО» на 2020 год департамент руководствовался нормативными правовыми актами, указанными в разделе 2.2, а также следующим:</w:t>
      </w:r>
    </w:p>
    <w:p w:rsidR="00A55787" w:rsidRDefault="005727C2" w:rsidP="005727C2">
      <w:pPr>
        <w:pStyle w:val="afa"/>
        <w:ind w:firstLine="709"/>
        <w:jc w:val="both"/>
        <w:rPr>
          <w:rFonts w:ascii="Times New Roman" w:hAnsi="Times New Roman" w:cs="Times New Roman"/>
          <w:sz w:val="28"/>
          <w:szCs w:val="28"/>
        </w:rPr>
      </w:pPr>
      <w:r>
        <w:rPr>
          <w:rFonts w:ascii="Times New Roman" w:hAnsi="Times New Roman" w:cs="Times New Roman"/>
          <w:sz w:val="28"/>
          <w:szCs w:val="28"/>
        </w:rPr>
        <w:t>1</w:t>
      </w:r>
      <w:r w:rsidR="00133CCA">
        <w:rPr>
          <w:rFonts w:ascii="Times New Roman" w:hAnsi="Times New Roman" w:cs="Times New Roman"/>
          <w:sz w:val="28"/>
          <w:szCs w:val="28"/>
        </w:rPr>
        <w:t>)</w:t>
      </w:r>
      <w:r>
        <w:rPr>
          <w:rFonts w:ascii="Times New Roman" w:hAnsi="Times New Roman" w:cs="Times New Roman"/>
          <w:sz w:val="28"/>
          <w:szCs w:val="28"/>
        </w:rPr>
        <w:t>. Прогнозом социально-экономического развития Российской Федерации на 2020 год и на плановый период 2021 и 2022 год, одобренным на заседании Правительства Российской Федерации 19 сентября 2019 года (далее – Прогноз</w:t>
      </w:r>
      <w:r w:rsidR="00A55787">
        <w:rPr>
          <w:rFonts w:ascii="Times New Roman" w:hAnsi="Times New Roman" w:cs="Times New Roman"/>
          <w:sz w:val="28"/>
          <w:szCs w:val="28"/>
        </w:rPr>
        <w:t xml:space="preserve"> СЭР РФ</w:t>
      </w:r>
      <w:r>
        <w:rPr>
          <w:rFonts w:ascii="Times New Roman" w:hAnsi="Times New Roman" w:cs="Times New Roman"/>
          <w:sz w:val="28"/>
          <w:szCs w:val="28"/>
        </w:rPr>
        <w:t xml:space="preserve">). </w:t>
      </w:r>
    </w:p>
    <w:p w:rsidR="005727C2" w:rsidRDefault="005727C2" w:rsidP="005727C2">
      <w:pPr>
        <w:pStyle w:val="afa"/>
        <w:ind w:firstLine="709"/>
        <w:jc w:val="both"/>
        <w:rPr>
          <w:rFonts w:ascii="Times New Roman" w:hAnsi="Times New Roman" w:cs="Times New Roman"/>
          <w:sz w:val="28"/>
          <w:szCs w:val="28"/>
        </w:rPr>
      </w:pPr>
      <w:r>
        <w:rPr>
          <w:rFonts w:ascii="Times New Roman" w:hAnsi="Times New Roman" w:cs="Times New Roman"/>
          <w:sz w:val="28"/>
          <w:szCs w:val="28"/>
        </w:rPr>
        <w:t>Основные параметры Прогноза</w:t>
      </w:r>
      <w:r w:rsidR="00A55787">
        <w:rPr>
          <w:rFonts w:ascii="Times New Roman" w:hAnsi="Times New Roman" w:cs="Times New Roman"/>
          <w:sz w:val="28"/>
          <w:szCs w:val="28"/>
        </w:rPr>
        <w:t xml:space="preserve"> СЭР РФ</w:t>
      </w:r>
      <w:r>
        <w:rPr>
          <w:rFonts w:ascii="Times New Roman" w:hAnsi="Times New Roman" w:cs="Times New Roman"/>
          <w:sz w:val="28"/>
          <w:szCs w:val="28"/>
        </w:rPr>
        <w:t xml:space="preserve">, применяемые </w:t>
      </w:r>
      <w:r w:rsidR="00133CCA">
        <w:rPr>
          <w:rFonts w:ascii="Times New Roman" w:hAnsi="Times New Roman" w:cs="Times New Roman"/>
          <w:sz w:val="28"/>
          <w:szCs w:val="28"/>
        </w:rPr>
        <w:t>Д</w:t>
      </w:r>
      <w:r>
        <w:rPr>
          <w:rFonts w:ascii="Times New Roman" w:hAnsi="Times New Roman" w:cs="Times New Roman"/>
          <w:sz w:val="28"/>
          <w:szCs w:val="28"/>
        </w:rPr>
        <w:t>епартаментом при формировании НВВ, приведены в следующей таблице.</w:t>
      </w:r>
    </w:p>
    <w:p w:rsidR="005727C2" w:rsidRDefault="005727C2" w:rsidP="005727C2">
      <w:pPr>
        <w:pStyle w:val="afa"/>
        <w:ind w:firstLine="709"/>
        <w:jc w:val="both"/>
        <w:rPr>
          <w:rFonts w:ascii="Times New Roman" w:hAnsi="Times New Roman" w:cs="Times New Roman"/>
          <w:sz w:val="16"/>
          <w:szCs w:val="16"/>
        </w:rPr>
      </w:pPr>
    </w:p>
    <w:tbl>
      <w:tblPr>
        <w:tblW w:w="9945" w:type="dxa"/>
        <w:tblInd w:w="93" w:type="dxa"/>
        <w:tblLayout w:type="fixed"/>
        <w:tblLook w:val="04A0" w:firstRow="1" w:lastRow="0" w:firstColumn="1" w:lastColumn="0" w:noHBand="0" w:noVBand="1"/>
      </w:tblPr>
      <w:tblGrid>
        <w:gridCol w:w="1433"/>
        <w:gridCol w:w="992"/>
        <w:gridCol w:w="1135"/>
        <w:gridCol w:w="852"/>
        <w:gridCol w:w="1276"/>
        <w:gridCol w:w="1135"/>
        <w:gridCol w:w="994"/>
        <w:gridCol w:w="1135"/>
        <w:gridCol w:w="993"/>
      </w:tblGrid>
      <w:tr w:rsidR="005727C2" w:rsidTr="005727C2">
        <w:trPr>
          <w:trHeight w:val="569"/>
        </w:trPr>
        <w:tc>
          <w:tcPr>
            <w:tcW w:w="1433" w:type="dxa"/>
            <w:tcBorders>
              <w:top w:val="single" w:sz="4" w:space="0" w:color="auto"/>
              <w:left w:val="single" w:sz="4" w:space="0" w:color="auto"/>
              <w:bottom w:val="single" w:sz="4" w:space="0" w:color="auto"/>
              <w:right w:val="single" w:sz="4" w:space="0" w:color="auto"/>
            </w:tcBorders>
            <w:noWrap/>
            <w:vAlign w:val="center"/>
            <w:hideMark/>
          </w:tcPr>
          <w:p w:rsidR="005727C2" w:rsidRDefault="005727C2" w:rsidP="00133CCA">
            <w:pPr>
              <w:pStyle w:val="afa"/>
              <w:rPr>
                <w:rFonts w:ascii="Times New Roman" w:hAnsi="Times New Roman" w:cs="Times New Roman"/>
              </w:rPr>
            </w:pPr>
            <w:r>
              <w:rPr>
                <w:rFonts w:ascii="Times New Roman" w:hAnsi="Times New Roman" w:cs="Times New Roman"/>
              </w:rPr>
              <w:t xml:space="preserve">Индексы цен по </w:t>
            </w:r>
            <w:r w:rsidR="00133CCA">
              <w:rPr>
                <w:rFonts w:ascii="Times New Roman" w:hAnsi="Times New Roman" w:cs="Times New Roman"/>
              </w:rPr>
              <w:t>П</w:t>
            </w:r>
            <w:r>
              <w:rPr>
                <w:rFonts w:ascii="Times New Roman" w:hAnsi="Times New Roman" w:cs="Times New Roman"/>
              </w:rPr>
              <w:t>рогнозу МЭР РФ</w:t>
            </w:r>
          </w:p>
        </w:tc>
        <w:tc>
          <w:tcPr>
            <w:tcW w:w="992" w:type="dxa"/>
            <w:tcBorders>
              <w:top w:val="single" w:sz="4" w:space="0" w:color="auto"/>
              <w:left w:val="single" w:sz="4" w:space="0" w:color="auto"/>
              <w:bottom w:val="single" w:sz="4" w:space="0" w:color="auto"/>
              <w:right w:val="single" w:sz="4" w:space="0" w:color="auto"/>
            </w:tcBorders>
            <w:noWrap/>
            <w:vAlign w:val="center"/>
            <w:hideMark/>
          </w:tcPr>
          <w:p w:rsidR="005727C2" w:rsidRDefault="005727C2">
            <w:pPr>
              <w:pStyle w:val="afa"/>
              <w:rPr>
                <w:rFonts w:ascii="Times New Roman" w:hAnsi="Times New Roman" w:cs="Times New Roman"/>
              </w:rPr>
            </w:pPr>
            <w:r>
              <w:rPr>
                <w:rFonts w:ascii="Times New Roman" w:hAnsi="Times New Roman" w:cs="Times New Roman"/>
              </w:rPr>
              <w:t>ИПЦ</w:t>
            </w:r>
          </w:p>
        </w:tc>
        <w:tc>
          <w:tcPr>
            <w:tcW w:w="1134" w:type="dxa"/>
            <w:tcBorders>
              <w:top w:val="single" w:sz="4" w:space="0" w:color="auto"/>
              <w:left w:val="single" w:sz="4" w:space="0" w:color="auto"/>
              <w:bottom w:val="single" w:sz="4" w:space="0" w:color="auto"/>
              <w:right w:val="single" w:sz="4" w:space="0" w:color="auto"/>
            </w:tcBorders>
            <w:noWrap/>
            <w:vAlign w:val="center"/>
            <w:hideMark/>
          </w:tcPr>
          <w:p w:rsidR="005727C2" w:rsidRDefault="005727C2">
            <w:pPr>
              <w:pStyle w:val="afa"/>
              <w:rPr>
                <w:rFonts w:ascii="Times New Roman" w:hAnsi="Times New Roman" w:cs="Times New Roman"/>
              </w:rPr>
            </w:pPr>
            <w:r>
              <w:rPr>
                <w:rFonts w:ascii="Times New Roman" w:hAnsi="Times New Roman" w:cs="Times New Roman"/>
              </w:rPr>
              <w:t>Газ               (с 1 июля)</w:t>
            </w:r>
          </w:p>
        </w:tc>
        <w:tc>
          <w:tcPr>
            <w:tcW w:w="851" w:type="dxa"/>
            <w:tcBorders>
              <w:top w:val="single" w:sz="4" w:space="0" w:color="auto"/>
              <w:left w:val="single" w:sz="4" w:space="0" w:color="auto"/>
              <w:bottom w:val="single" w:sz="4" w:space="0" w:color="auto"/>
              <w:right w:val="single" w:sz="4" w:space="0" w:color="auto"/>
            </w:tcBorders>
            <w:vAlign w:val="center"/>
            <w:hideMark/>
          </w:tcPr>
          <w:p w:rsidR="005727C2" w:rsidRDefault="005727C2">
            <w:pPr>
              <w:pStyle w:val="afa"/>
              <w:rPr>
                <w:rFonts w:ascii="Times New Roman" w:hAnsi="Times New Roman" w:cs="Times New Roman"/>
              </w:rPr>
            </w:pPr>
            <w:r>
              <w:rPr>
                <w:rFonts w:ascii="Times New Roman" w:hAnsi="Times New Roman" w:cs="Times New Roman"/>
              </w:rPr>
              <w:t>Уголь</w:t>
            </w:r>
          </w:p>
        </w:tc>
        <w:tc>
          <w:tcPr>
            <w:tcW w:w="1275" w:type="dxa"/>
            <w:tcBorders>
              <w:top w:val="single" w:sz="4" w:space="0" w:color="auto"/>
              <w:left w:val="single" w:sz="4" w:space="0" w:color="auto"/>
              <w:bottom w:val="single" w:sz="4" w:space="0" w:color="auto"/>
              <w:right w:val="single" w:sz="4" w:space="0" w:color="auto"/>
            </w:tcBorders>
            <w:vAlign w:val="center"/>
            <w:hideMark/>
          </w:tcPr>
          <w:p w:rsidR="005727C2" w:rsidRDefault="005727C2">
            <w:pPr>
              <w:pStyle w:val="afa"/>
              <w:rPr>
                <w:rFonts w:ascii="Times New Roman" w:hAnsi="Times New Roman" w:cs="Times New Roman"/>
              </w:rPr>
            </w:pPr>
            <w:r>
              <w:rPr>
                <w:rFonts w:ascii="Times New Roman" w:hAnsi="Times New Roman" w:cs="Times New Roman"/>
              </w:rPr>
              <w:t>Транспор-тировка газа по распределительным сетям (с 1 июля)</w:t>
            </w:r>
          </w:p>
        </w:tc>
        <w:tc>
          <w:tcPr>
            <w:tcW w:w="1134" w:type="dxa"/>
            <w:tcBorders>
              <w:top w:val="single" w:sz="4" w:space="0" w:color="auto"/>
              <w:left w:val="single" w:sz="4" w:space="0" w:color="auto"/>
              <w:bottom w:val="single" w:sz="4" w:space="0" w:color="auto"/>
              <w:right w:val="single" w:sz="4" w:space="0" w:color="auto"/>
            </w:tcBorders>
            <w:vAlign w:val="center"/>
            <w:hideMark/>
          </w:tcPr>
          <w:p w:rsidR="005727C2" w:rsidRDefault="005727C2">
            <w:pPr>
              <w:pStyle w:val="afa"/>
              <w:rPr>
                <w:rFonts w:ascii="Times New Roman" w:hAnsi="Times New Roman" w:cs="Times New Roman"/>
              </w:rPr>
            </w:pPr>
            <w:r>
              <w:rPr>
                <w:rFonts w:ascii="Times New Roman" w:hAnsi="Times New Roman" w:cs="Times New Roman"/>
              </w:rPr>
              <w:t>Железно-дорожные перевозки</w:t>
            </w:r>
          </w:p>
        </w:tc>
        <w:tc>
          <w:tcPr>
            <w:tcW w:w="993" w:type="dxa"/>
            <w:tcBorders>
              <w:top w:val="single" w:sz="4" w:space="0" w:color="auto"/>
              <w:left w:val="single" w:sz="4" w:space="0" w:color="auto"/>
              <w:bottom w:val="single" w:sz="4" w:space="0" w:color="auto"/>
              <w:right w:val="single" w:sz="4" w:space="0" w:color="auto"/>
            </w:tcBorders>
            <w:noWrap/>
            <w:vAlign w:val="center"/>
            <w:hideMark/>
          </w:tcPr>
          <w:p w:rsidR="005727C2" w:rsidRDefault="005727C2">
            <w:pPr>
              <w:pStyle w:val="afa"/>
              <w:rPr>
                <w:rFonts w:ascii="Times New Roman" w:hAnsi="Times New Roman" w:cs="Times New Roman"/>
              </w:rPr>
            </w:pPr>
            <w:r>
              <w:rPr>
                <w:rFonts w:ascii="Times New Roman" w:hAnsi="Times New Roman" w:cs="Times New Roman"/>
              </w:rPr>
              <w:t>Вода,</w:t>
            </w:r>
          </w:p>
          <w:p w:rsidR="005727C2" w:rsidRDefault="005727C2">
            <w:pPr>
              <w:pStyle w:val="afa"/>
              <w:rPr>
                <w:rFonts w:ascii="Times New Roman" w:hAnsi="Times New Roman" w:cs="Times New Roman"/>
              </w:rPr>
            </w:pPr>
            <w:r>
              <w:rPr>
                <w:rFonts w:ascii="Times New Roman" w:hAnsi="Times New Roman" w:cs="Times New Roman"/>
              </w:rPr>
              <w:t xml:space="preserve">стоки </w:t>
            </w:r>
          </w:p>
          <w:p w:rsidR="005727C2" w:rsidRDefault="005727C2">
            <w:pPr>
              <w:pStyle w:val="afa"/>
              <w:rPr>
                <w:rFonts w:ascii="Times New Roman" w:hAnsi="Times New Roman" w:cs="Times New Roman"/>
              </w:rPr>
            </w:pPr>
            <w:r>
              <w:rPr>
                <w:rFonts w:ascii="Times New Roman" w:hAnsi="Times New Roman" w:cs="Times New Roman"/>
              </w:rPr>
              <w:t>(с 1 июля)</w:t>
            </w:r>
          </w:p>
        </w:tc>
        <w:tc>
          <w:tcPr>
            <w:tcW w:w="1134" w:type="dxa"/>
            <w:tcBorders>
              <w:top w:val="single" w:sz="4" w:space="0" w:color="auto"/>
              <w:left w:val="single" w:sz="4" w:space="0" w:color="auto"/>
              <w:bottom w:val="single" w:sz="4" w:space="0" w:color="auto"/>
              <w:right w:val="single" w:sz="4" w:space="0" w:color="auto"/>
            </w:tcBorders>
            <w:noWrap/>
            <w:vAlign w:val="center"/>
            <w:hideMark/>
          </w:tcPr>
          <w:p w:rsidR="005727C2" w:rsidRDefault="005727C2">
            <w:pPr>
              <w:pStyle w:val="afa"/>
              <w:rPr>
                <w:rFonts w:ascii="Times New Roman" w:hAnsi="Times New Roman" w:cs="Times New Roman"/>
              </w:rPr>
            </w:pPr>
            <w:r>
              <w:rPr>
                <w:rFonts w:ascii="Times New Roman" w:hAnsi="Times New Roman" w:cs="Times New Roman"/>
              </w:rPr>
              <w:t>Тепловая энергия       (с 1 июля)</w:t>
            </w:r>
          </w:p>
        </w:tc>
        <w:tc>
          <w:tcPr>
            <w:tcW w:w="992" w:type="dxa"/>
            <w:tcBorders>
              <w:top w:val="single" w:sz="4" w:space="0" w:color="auto"/>
              <w:left w:val="single" w:sz="4" w:space="0" w:color="auto"/>
              <w:bottom w:val="single" w:sz="4" w:space="0" w:color="auto"/>
              <w:right w:val="single" w:sz="4" w:space="0" w:color="auto"/>
            </w:tcBorders>
            <w:noWrap/>
            <w:vAlign w:val="center"/>
            <w:hideMark/>
          </w:tcPr>
          <w:p w:rsidR="005727C2" w:rsidRDefault="005727C2">
            <w:pPr>
              <w:pStyle w:val="afa"/>
              <w:rPr>
                <w:rFonts w:ascii="Times New Roman" w:hAnsi="Times New Roman" w:cs="Times New Roman"/>
              </w:rPr>
            </w:pPr>
            <w:r>
              <w:rPr>
                <w:rFonts w:ascii="Times New Roman" w:hAnsi="Times New Roman" w:cs="Times New Roman"/>
              </w:rPr>
              <w:t>Электро-энергия</w:t>
            </w:r>
          </w:p>
        </w:tc>
      </w:tr>
      <w:tr w:rsidR="005727C2" w:rsidTr="005727C2">
        <w:trPr>
          <w:trHeight w:val="417"/>
        </w:trPr>
        <w:tc>
          <w:tcPr>
            <w:tcW w:w="1433" w:type="dxa"/>
            <w:tcBorders>
              <w:top w:val="single" w:sz="4" w:space="0" w:color="auto"/>
              <w:left w:val="single" w:sz="4" w:space="0" w:color="auto"/>
              <w:bottom w:val="single" w:sz="4" w:space="0" w:color="auto"/>
              <w:right w:val="single" w:sz="4" w:space="0" w:color="auto"/>
            </w:tcBorders>
            <w:noWrap/>
            <w:vAlign w:val="center"/>
            <w:hideMark/>
          </w:tcPr>
          <w:p w:rsidR="005727C2" w:rsidRDefault="005727C2">
            <w:pPr>
              <w:pStyle w:val="afa"/>
              <w:rPr>
                <w:rFonts w:ascii="Times New Roman" w:hAnsi="Times New Roman" w:cs="Times New Roman"/>
              </w:rPr>
            </w:pPr>
            <w:r>
              <w:rPr>
                <w:rFonts w:ascii="Times New Roman" w:hAnsi="Times New Roman" w:cs="Times New Roman"/>
              </w:rPr>
              <w:t>на 2020 год (%)</w:t>
            </w:r>
          </w:p>
        </w:tc>
        <w:tc>
          <w:tcPr>
            <w:tcW w:w="992" w:type="dxa"/>
            <w:tcBorders>
              <w:top w:val="single" w:sz="4" w:space="0" w:color="auto"/>
              <w:left w:val="single" w:sz="4" w:space="0" w:color="auto"/>
              <w:bottom w:val="single" w:sz="4" w:space="0" w:color="auto"/>
              <w:right w:val="single" w:sz="4" w:space="0" w:color="auto"/>
            </w:tcBorders>
            <w:noWrap/>
            <w:vAlign w:val="center"/>
            <w:hideMark/>
          </w:tcPr>
          <w:p w:rsidR="005727C2" w:rsidRDefault="005727C2">
            <w:pPr>
              <w:pStyle w:val="afa"/>
              <w:rPr>
                <w:rFonts w:ascii="Times New Roman" w:hAnsi="Times New Roman" w:cs="Times New Roman"/>
              </w:rPr>
            </w:pPr>
            <w:r>
              <w:rPr>
                <w:rFonts w:ascii="Times New Roman" w:hAnsi="Times New Roman" w:cs="Times New Roman"/>
              </w:rPr>
              <w:t>103,0</w:t>
            </w:r>
          </w:p>
        </w:tc>
        <w:tc>
          <w:tcPr>
            <w:tcW w:w="1134" w:type="dxa"/>
            <w:tcBorders>
              <w:top w:val="single" w:sz="4" w:space="0" w:color="auto"/>
              <w:left w:val="single" w:sz="4" w:space="0" w:color="auto"/>
              <w:bottom w:val="single" w:sz="4" w:space="0" w:color="auto"/>
              <w:right w:val="single" w:sz="4" w:space="0" w:color="auto"/>
            </w:tcBorders>
            <w:noWrap/>
            <w:vAlign w:val="center"/>
            <w:hideMark/>
          </w:tcPr>
          <w:p w:rsidR="005727C2" w:rsidRDefault="005727C2">
            <w:pPr>
              <w:pStyle w:val="afa"/>
              <w:rPr>
                <w:rFonts w:ascii="Times New Roman" w:hAnsi="Times New Roman" w:cs="Times New Roman"/>
              </w:rPr>
            </w:pPr>
            <w:r>
              <w:rPr>
                <w:rFonts w:ascii="Times New Roman" w:hAnsi="Times New Roman" w:cs="Times New Roman"/>
              </w:rPr>
              <w:t>103,0</w:t>
            </w:r>
          </w:p>
        </w:tc>
        <w:tc>
          <w:tcPr>
            <w:tcW w:w="851" w:type="dxa"/>
            <w:tcBorders>
              <w:top w:val="single" w:sz="4" w:space="0" w:color="auto"/>
              <w:left w:val="single" w:sz="4" w:space="0" w:color="auto"/>
              <w:bottom w:val="single" w:sz="4" w:space="0" w:color="auto"/>
              <w:right w:val="single" w:sz="4" w:space="0" w:color="auto"/>
            </w:tcBorders>
            <w:vAlign w:val="center"/>
            <w:hideMark/>
          </w:tcPr>
          <w:p w:rsidR="005727C2" w:rsidRDefault="005727C2">
            <w:pPr>
              <w:pStyle w:val="afa"/>
              <w:rPr>
                <w:rFonts w:ascii="Times New Roman" w:hAnsi="Times New Roman" w:cs="Times New Roman"/>
              </w:rPr>
            </w:pPr>
            <w:r>
              <w:rPr>
                <w:rFonts w:ascii="Times New Roman" w:hAnsi="Times New Roman" w:cs="Times New Roman"/>
              </w:rPr>
              <w:t>104,1</w:t>
            </w:r>
          </w:p>
        </w:tc>
        <w:tc>
          <w:tcPr>
            <w:tcW w:w="1275" w:type="dxa"/>
            <w:tcBorders>
              <w:top w:val="single" w:sz="4" w:space="0" w:color="auto"/>
              <w:left w:val="single" w:sz="4" w:space="0" w:color="auto"/>
              <w:bottom w:val="single" w:sz="4" w:space="0" w:color="auto"/>
              <w:right w:val="single" w:sz="4" w:space="0" w:color="auto"/>
            </w:tcBorders>
            <w:vAlign w:val="center"/>
            <w:hideMark/>
          </w:tcPr>
          <w:p w:rsidR="005727C2" w:rsidRDefault="005727C2">
            <w:pPr>
              <w:pStyle w:val="afa"/>
              <w:rPr>
                <w:rFonts w:ascii="Times New Roman" w:hAnsi="Times New Roman" w:cs="Times New Roman"/>
              </w:rPr>
            </w:pPr>
            <w:r>
              <w:rPr>
                <w:rFonts w:ascii="Times New Roman" w:hAnsi="Times New Roman" w:cs="Times New Roman"/>
              </w:rPr>
              <w:t>103,2</w:t>
            </w:r>
          </w:p>
        </w:tc>
        <w:tc>
          <w:tcPr>
            <w:tcW w:w="1134" w:type="dxa"/>
            <w:tcBorders>
              <w:top w:val="single" w:sz="4" w:space="0" w:color="auto"/>
              <w:left w:val="single" w:sz="4" w:space="0" w:color="auto"/>
              <w:bottom w:val="single" w:sz="4" w:space="0" w:color="auto"/>
              <w:right w:val="single" w:sz="4" w:space="0" w:color="auto"/>
            </w:tcBorders>
            <w:vAlign w:val="center"/>
            <w:hideMark/>
          </w:tcPr>
          <w:p w:rsidR="005727C2" w:rsidRDefault="005727C2">
            <w:pPr>
              <w:pStyle w:val="afa"/>
              <w:rPr>
                <w:rFonts w:ascii="Times New Roman" w:hAnsi="Times New Roman" w:cs="Times New Roman"/>
              </w:rPr>
            </w:pPr>
            <w:r>
              <w:rPr>
                <w:rFonts w:ascii="Times New Roman" w:hAnsi="Times New Roman" w:cs="Times New Roman"/>
              </w:rPr>
              <w:t>103,5</w:t>
            </w:r>
          </w:p>
        </w:tc>
        <w:tc>
          <w:tcPr>
            <w:tcW w:w="993" w:type="dxa"/>
            <w:tcBorders>
              <w:top w:val="single" w:sz="4" w:space="0" w:color="auto"/>
              <w:left w:val="single" w:sz="4" w:space="0" w:color="auto"/>
              <w:bottom w:val="single" w:sz="4" w:space="0" w:color="auto"/>
              <w:right w:val="single" w:sz="4" w:space="0" w:color="auto"/>
            </w:tcBorders>
            <w:noWrap/>
            <w:vAlign w:val="center"/>
            <w:hideMark/>
          </w:tcPr>
          <w:p w:rsidR="005727C2" w:rsidRDefault="005727C2">
            <w:pPr>
              <w:pStyle w:val="afa"/>
              <w:rPr>
                <w:rFonts w:ascii="Times New Roman" w:hAnsi="Times New Roman" w:cs="Times New Roman"/>
              </w:rPr>
            </w:pPr>
            <w:r>
              <w:rPr>
                <w:rFonts w:ascii="Times New Roman" w:hAnsi="Times New Roman" w:cs="Times New Roman"/>
              </w:rPr>
              <w:t>104,9*</w:t>
            </w:r>
          </w:p>
        </w:tc>
        <w:tc>
          <w:tcPr>
            <w:tcW w:w="1134" w:type="dxa"/>
            <w:tcBorders>
              <w:top w:val="single" w:sz="4" w:space="0" w:color="auto"/>
              <w:left w:val="single" w:sz="4" w:space="0" w:color="auto"/>
              <w:bottom w:val="single" w:sz="4" w:space="0" w:color="auto"/>
              <w:right w:val="single" w:sz="4" w:space="0" w:color="auto"/>
            </w:tcBorders>
            <w:noWrap/>
            <w:vAlign w:val="center"/>
            <w:hideMark/>
          </w:tcPr>
          <w:p w:rsidR="005727C2" w:rsidRDefault="005727C2">
            <w:pPr>
              <w:pStyle w:val="afa"/>
              <w:rPr>
                <w:rFonts w:ascii="Times New Roman" w:hAnsi="Times New Roman" w:cs="Times New Roman"/>
              </w:rPr>
            </w:pPr>
            <w:r>
              <w:rPr>
                <w:rFonts w:ascii="Times New Roman" w:hAnsi="Times New Roman" w:cs="Times New Roman"/>
              </w:rPr>
              <w:t>104,9*</w:t>
            </w:r>
          </w:p>
        </w:tc>
        <w:tc>
          <w:tcPr>
            <w:tcW w:w="992" w:type="dxa"/>
            <w:tcBorders>
              <w:top w:val="single" w:sz="4" w:space="0" w:color="auto"/>
              <w:left w:val="single" w:sz="4" w:space="0" w:color="auto"/>
              <w:bottom w:val="single" w:sz="4" w:space="0" w:color="auto"/>
              <w:right w:val="single" w:sz="4" w:space="0" w:color="auto"/>
            </w:tcBorders>
            <w:noWrap/>
            <w:vAlign w:val="center"/>
            <w:hideMark/>
          </w:tcPr>
          <w:p w:rsidR="005727C2" w:rsidRDefault="005727C2">
            <w:pPr>
              <w:pStyle w:val="afa"/>
              <w:rPr>
                <w:rFonts w:ascii="Times New Roman" w:hAnsi="Times New Roman" w:cs="Times New Roman"/>
              </w:rPr>
            </w:pPr>
            <w:r>
              <w:rPr>
                <w:rFonts w:ascii="Times New Roman" w:hAnsi="Times New Roman" w:cs="Times New Roman"/>
              </w:rPr>
              <w:t>104,8</w:t>
            </w:r>
          </w:p>
        </w:tc>
      </w:tr>
    </w:tbl>
    <w:p w:rsidR="005727C2" w:rsidRDefault="005727C2" w:rsidP="005727C2">
      <w:pPr>
        <w:jc w:val="both"/>
        <w:rPr>
          <w:sz w:val="10"/>
          <w:szCs w:val="10"/>
        </w:rPr>
      </w:pPr>
    </w:p>
    <w:p w:rsidR="005727C2" w:rsidRDefault="005727C2" w:rsidP="005727C2">
      <w:pPr>
        <w:spacing w:after="0"/>
        <w:jc w:val="both"/>
        <w:rPr>
          <w:i/>
          <w:sz w:val="20"/>
          <w:szCs w:val="20"/>
        </w:rPr>
      </w:pPr>
      <w:r>
        <w:rPr>
          <w:i/>
          <w:sz w:val="20"/>
          <w:szCs w:val="20"/>
        </w:rPr>
        <w:t xml:space="preserve">* плановые индексы определены с учетом распоряжения Правительства РФ от 29.10.2019 № 2556-р «Об утверждении индексы изменения размера вносимой гражданами платы за коммунальные услуги в среднем по субъектам Российской Федерации на 2020 год» </w:t>
      </w:r>
    </w:p>
    <w:p w:rsidR="005727C2" w:rsidRDefault="005727C2" w:rsidP="005727C2">
      <w:pPr>
        <w:pStyle w:val="afa"/>
        <w:ind w:firstLine="709"/>
        <w:jc w:val="both"/>
        <w:rPr>
          <w:rFonts w:ascii="Times New Roman" w:hAnsi="Times New Roman" w:cs="Times New Roman"/>
          <w:sz w:val="28"/>
          <w:szCs w:val="28"/>
        </w:rPr>
      </w:pPr>
    </w:p>
    <w:p w:rsidR="005727C2" w:rsidRDefault="005727C2" w:rsidP="005727C2">
      <w:pPr>
        <w:pStyle w:val="afa"/>
        <w:ind w:firstLine="709"/>
        <w:jc w:val="both"/>
        <w:rPr>
          <w:rFonts w:ascii="Times New Roman" w:hAnsi="Times New Roman" w:cs="Times New Roman"/>
          <w:sz w:val="28"/>
          <w:szCs w:val="28"/>
        </w:rPr>
      </w:pPr>
      <w:r w:rsidRPr="00133CCA">
        <w:rPr>
          <w:rFonts w:ascii="Times New Roman" w:hAnsi="Times New Roman" w:cs="Times New Roman"/>
          <w:sz w:val="28"/>
          <w:szCs w:val="28"/>
        </w:rPr>
        <w:t>2</w:t>
      </w:r>
      <w:r w:rsidR="00133CCA">
        <w:rPr>
          <w:rFonts w:ascii="Times New Roman" w:hAnsi="Times New Roman" w:cs="Times New Roman"/>
          <w:sz w:val="28"/>
          <w:szCs w:val="28"/>
        </w:rPr>
        <w:t>)</w:t>
      </w:r>
      <w:r>
        <w:rPr>
          <w:rFonts w:ascii="Times New Roman" w:hAnsi="Times New Roman" w:cs="Times New Roman"/>
          <w:sz w:val="28"/>
          <w:szCs w:val="28"/>
        </w:rPr>
        <w:t>. Выпиской из Сводного прогнозного баланса производства и поставок электрической энергии (мощности) в рамках Единой энергетической системы России по Новосибирской области на 2020 год, утвержденного приказом ФАС России от 28.11.2019 № 1567/19-ДСП (далее - Сводный прогнозный баланс на 2020 год).</w:t>
      </w:r>
    </w:p>
    <w:p w:rsidR="005727C2" w:rsidRDefault="005727C2" w:rsidP="005727C2">
      <w:pPr>
        <w:pStyle w:val="afa"/>
        <w:ind w:firstLine="709"/>
        <w:jc w:val="both"/>
        <w:rPr>
          <w:rFonts w:ascii="Times New Roman" w:hAnsi="Times New Roman" w:cs="Times New Roman"/>
          <w:sz w:val="28"/>
          <w:szCs w:val="28"/>
        </w:rPr>
      </w:pPr>
      <w:r>
        <w:rPr>
          <w:rFonts w:ascii="Times New Roman" w:hAnsi="Times New Roman" w:cs="Times New Roman"/>
          <w:sz w:val="28"/>
          <w:szCs w:val="28"/>
        </w:rPr>
        <w:t>3</w:t>
      </w:r>
      <w:r w:rsidR="00133CCA">
        <w:rPr>
          <w:rFonts w:ascii="Times New Roman" w:hAnsi="Times New Roman" w:cs="Times New Roman"/>
          <w:sz w:val="28"/>
          <w:szCs w:val="28"/>
        </w:rPr>
        <w:t>)</w:t>
      </w:r>
      <w:r>
        <w:rPr>
          <w:rFonts w:ascii="Times New Roman" w:hAnsi="Times New Roman" w:cs="Times New Roman"/>
          <w:sz w:val="28"/>
          <w:szCs w:val="28"/>
        </w:rPr>
        <w:t xml:space="preserve">. Приказом ФАС России от 11.10.2019 № 1334/19 «Об установлении предельных минимальных и максимальных уровней тарифов на тепловую энергию (мощность), производимую в режиме комбинированной выработки электрической и тепловой энергии источниками тепловой энергии с установленной генерирующей </w:t>
      </w:r>
      <w:r>
        <w:rPr>
          <w:rFonts w:ascii="Times New Roman" w:hAnsi="Times New Roman" w:cs="Times New Roman"/>
          <w:sz w:val="28"/>
          <w:szCs w:val="28"/>
        </w:rPr>
        <w:lastRenderedPageBreak/>
        <w:t>мощностью производства электрической энергии 25 мегаватт и более, на 2020 год, руб./Гкал».</w:t>
      </w:r>
    </w:p>
    <w:p w:rsidR="005727C2" w:rsidRDefault="005727C2" w:rsidP="005727C2">
      <w:pPr>
        <w:pStyle w:val="afa"/>
        <w:ind w:firstLine="709"/>
        <w:jc w:val="both"/>
        <w:rPr>
          <w:rFonts w:ascii="Times New Roman" w:hAnsi="Times New Roman" w:cs="Times New Roman"/>
          <w:sz w:val="28"/>
          <w:szCs w:val="28"/>
        </w:rPr>
      </w:pPr>
      <w:r>
        <w:rPr>
          <w:rFonts w:ascii="Times New Roman" w:hAnsi="Times New Roman" w:cs="Times New Roman"/>
          <w:sz w:val="28"/>
          <w:szCs w:val="28"/>
        </w:rPr>
        <w:t>4</w:t>
      </w:r>
      <w:r w:rsidR="00133CCA">
        <w:rPr>
          <w:rFonts w:ascii="Times New Roman" w:hAnsi="Times New Roman" w:cs="Times New Roman"/>
          <w:sz w:val="28"/>
          <w:szCs w:val="28"/>
        </w:rPr>
        <w:t>)</w:t>
      </w:r>
      <w:r>
        <w:rPr>
          <w:rFonts w:ascii="Times New Roman" w:hAnsi="Times New Roman" w:cs="Times New Roman"/>
          <w:sz w:val="28"/>
          <w:szCs w:val="28"/>
        </w:rPr>
        <w:t>. Учетной политикой для целей бухгалтерского учета АО «СИБЭКО» на 2019 год, утвержденной приказом от 28.11.2018 № СибЭК/218 представителя АО «СИБЭКО» по доверенности от 22.05.2018 № 303 А.В. Колмаковым.</w:t>
      </w:r>
    </w:p>
    <w:p w:rsidR="005727C2" w:rsidRDefault="005727C2" w:rsidP="005727C2">
      <w:pPr>
        <w:pStyle w:val="afa"/>
        <w:ind w:firstLine="709"/>
        <w:jc w:val="both"/>
        <w:rPr>
          <w:rFonts w:ascii="Times New Roman" w:hAnsi="Times New Roman" w:cs="Times New Roman"/>
          <w:sz w:val="28"/>
          <w:szCs w:val="28"/>
        </w:rPr>
      </w:pPr>
      <w:r>
        <w:rPr>
          <w:rFonts w:ascii="Times New Roman" w:hAnsi="Times New Roman" w:cs="Times New Roman"/>
          <w:sz w:val="28"/>
          <w:szCs w:val="28"/>
        </w:rPr>
        <w:t>5</w:t>
      </w:r>
      <w:r w:rsidR="00133CCA">
        <w:rPr>
          <w:rFonts w:ascii="Times New Roman" w:hAnsi="Times New Roman" w:cs="Times New Roman"/>
          <w:sz w:val="28"/>
          <w:szCs w:val="28"/>
        </w:rPr>
        <w:t>)</w:t>
      </w:r>
      <w:r>
        <w:rPr>
          <w:rFonts w:ascii="Times New Roman" w:hAnsi="Times New Roman" w:cs="Times New Roman"/>
          <w:sz w:val="28"/>
          <w:szCs w:val="28"/>
        </w:rPr>
        <w:t>. Распоряжением Правительства Российской Федерации от 29.10.2019 № 2556-р (об утверждении индексов изменения размера вносимой гражданами платы за коммунальные услуги в среднем по субъектам Российской Федерации на 2020 год).</w:t>
      </w:r>
    </w:p>
    <w:p w:rsidR="005727C2" w:rsidRDefault="005727C2" w:rsidP="005727C2">
      <w:pPr>
        <w:pStyle w:val="afa"/>
        <w:ind w:firstLine="709"/>
        <w:jc w:val="both"/>
        <w:rPr>
          <w:rFonts w:ascii="Times New Roman" w:hAnsi="Times New Roman" w:cs="Times New Roman"/>
          <w:sz w:val="28"/>
          <w:szCs w:val="28"/>
        </w:rPr>
      </w:pPr>
      <w:r>
        <w:rPr>
          <w:rFonts w:ascii="Times New Roman" w:hAnsi="Times New Roman" w:cs="Times New Roman"/>
          <w:sz w:val="28"/>
          <w:szCs w:val="28"/>
        </w:rPr>
        <w:t>6</w:t>
      </w:r>
      <w:r w:rsidR="00133CCA">
        <w:rPr>
          <w:rFonts w:ascii="Times New Roman" w:hAnsi="Times New Roman" w:cs="Times New Roman"/>
          <w:sz w:val="28"/>
          <w:szCs w:val="28"/>
        </w:rPr>
        <w:t>)</w:t>
      </w:r>
      <w:r>
        <w:rPr>
          <w:rFonts w:ascii="Times New Roman" w:hAnsi="Times New Roman" w:cs="Times New Roman"/>
          <w:sz w:val="28"/>
          <w:szCs w:val="28"/>
        </w:rPr>
        <w:t xml:space="preserve">. Решением ФАС России от 31.05.2019 № СП/45894/19 (в редакции Решения ФАС России от 14.06.2019 № СП/50073/19). </w:t>
      </w:r>
    </w:p>
    <w:p w:rsidR="005727C2" w:rsidRDefault="005727C2" w:rsidP="005727C2">
      <w:pPr>
        <w:pStyle w:val="afa"/>
        <w:ind w:firstLine="709"/>
        <w:jc w:val="both"/>
        <w:rPr>
          <w:rFonts w:ascii="Times New Roman" w:hAnsi="Times New Roman" w:cs="Times New Roman"/>
          <w:sz w:val="28"/>
          <w:szCs w:val="28"/>
          <w:lang w:eastAsia="en-US"/>
        </w:rPr>
      </w:pPr>
      <w:r>
        <w:rPr>
          <w:rFonts w:ascii="Times New Roman" w:hAnsi="Times New Roman" w:cs="Times New Roman"/>
          <w:sz w:val="28"/>
          <w:szCs w:val="28"/>
        </w:rPr>
        <w:t>7</w:t>
      </w:r>
      <w:r w:rsidR="00133CCA">
        <w:rPr>
          <w:rFonts w:ascii="Times New Roman" w:hAnsi="Times New Roman" w:cs="Times New Roman"/>
          <w:sz w:val="28"/>
          <w:szCs w:val="28"/>
        </w:rPr>
        <w:t>)</w:t>
      </w:r>
      <w:r>
        <w:rPr>
          <w:rFonts w:ascii="Times New Roman" w:hAnsi="Times New Roman" w:cs="Times New Roman"/>
          <w:sz w:val="28"/>
          <w:szCs w:val="28"/>
        </w:rPr>
        <w:t xml:space="preserve">. </w:t>
      </w:r>
      <w:r>
        <w:rPr>
          <w:rFonts w:ascii="Times New Roman" w:hAnsi="Times New Roman" w:cs="Times New Roman"/>
          <w:sz w:val="28"/>
          <w:szCs w:val="28"/>
          <w:lang w:eastAsia="en-US"/>
        </w:rPr>
        <w:t>Проектом постановления Губернатора Новосибирской области «О предельных (максимальных) индексах изменения размера вносимой гражданами платы за коммунальные услуги в муниципальных образованиях Новосибирской области на 2020 год» (в приложении Обоснование величины установленных предельных (максимальных) индексов изменения размера вносимой гражданами платы за коммунальные услуги в муниципальных образованиях Новосибирской области на 2020 год предусмотрен размер и  темпы изменения тарифов на коммунальные услуги во втором полугодии 2020 года к декабрю 2019 года по</w:t>
      </w:r>
      <w:r w:rsidR="00133CCA">
        <w:rPr>
          <w:rFonts w:ascii="Times New Roman" w:hAnsi="Times New Roman" w:cs="Times New Roman"/>
          <w:sz w:val="28"/>
          <w:szCs w:val="28"/>
          <w:lang w:eastAsia="en-US"/>
        </w:rPr>
        <w:t xml:space="preserve">          </w:t>
      </w:r>
      <w:r>
        <w:rPr>
          <w:rFonts w:ascii="Times New Roman" w:hAnsi="Times New Roman" w:cs="Times New Roman"/>
          <w:sz w:val="28"/>
          <w:szCs w:val="28"/>
          <w:lang w:eastAsia="en-US"/>
        </w:rPr>
        <w:t>г.</w:t>
      </w:r>
      <w:r w:rsidR="00133CCA">
        <w:rPr>
          <w:rFonts w:ascii="Times New Roman" w:hAnsi="Times New Roman" w:cs="Times New Roman"/>
          <w:sz w:val="28"/>
          <w:szCs w:val="28"/>
          <w:lang w:eastAsia="en-US"/>
        </w:rPr>
        <w:t xml:space="preserve"> </w:t>
      </w:r>
      <w:r>
        <w:rPr>
          <w:rFonts w:ascii="Times New Roman" w:hAnsi="Times New Roman" w:cs="Times New Roman"/>
          <w:sz w:val="28"/>
          <w:szCs w:val="28"/>
          <w:lang w:eastAsia="en-US"/>
        </w:rPr>
        <w:t>Новосибирску и г.</w:t>
      </w:r>
      <w:r w:rsidR="00133CCA">
        <w:rPr>
          <w:rFonts w:ascii="Times New Roman" w:hAnsi="Times New Roman" w:cs="Times New Roman"/>
          <w:sz w:val="28"/>
          <w:szCs w:val="28"/>
          <w:lang w:eastAsia="en-US"/>
        </w:rPr>
        <w:t xml:space="preserve"> </w:t>
      </w:r>
      <w:r>
        <w:rPr>
          <w:rFonts w:ascii="Times New Roman" w:hAnsi="Times New Roman" w:cs="Times New Roman"/>
          <w:sz w:val="28"/>
          <w:szCs w:val="28"/>
          <w:lang w:eastAsia="en-US"/>
        </w:rPr>
        <w:t>Куйбышеву по отоплению (6 %).</w:t>
      </w:r>
    </w:p>
    <w:p w:rsidR="005727C2" w:rsidRDefault="00133CCA" w:rsidP="005727C2">
      <w:pPr>
        <w:pStyle w:val="afa"/>
        <w:ind w:firstLine="709"/>
        <w:jc w:val="both"/>
        <w:rPr>
          <w:rFonts w:ascii="Times New Roman" w:hAnsi="Times New Roman" w:cs="Times New Roman"/>
          <w:bCs/>
          <w:sz w:val="28"/>
          <w:szCs w:val="28"/>
        </w:rPr>
      </w:pPr>
      <w:r>
        <w:rPr>
          <w:rFonts w:ascii="Times New Roman" w:hAnsi="Times New Roman" w:cs="Times New Roman"/>
          <w:sz w:val="28"/>
          <w:szCs w:val="28"/>
        </w:rPr>
        <w:t xml:space="preserve">АО «СИБЭКО» </w:t>
      </w:r>
      <w:r w:rsidR="005727C2">
        <w:rPr>
          <w:rFonts w:ascii="Times New Roman" w:hAnsi="Times New Roman" w:cs="Times New Roman"/>
          <w:bCs/>
          <w:sz w:val="28"/>
          <w:szCs w:val="28"/>
        </w:rPr>
        <w:t xml:space="preserve">письмами </w:t>
      </w:r>
      <w:r>
        <w:rPr>
          <w:rFonts w:ascii="Times New Roman" w:hAnsi="Times New Roman" w:cs="Times New Roman"/>
          <w:bCs/>
          <w:sz w:val="28"/>
          <w:szCs w:val="28"/>
        </w:rPr>
        <w:t xml:space="preserve">(от 21.08.2019 № Исх-20-3/8-80566/19-0-0, от 24.09.2019 № Исх-20-3/8-92079/19-0-0, от 17.10.2019 № Исх-20-3/8-101353/19-0-0, от 22.10.2019 № Исх-20-3/8-102972/19-0-0, от 26.11.2019 № Исх-20-3/8-116301/19-0-0,от 29.11.2019 № Исх-20-3/8-117980/19-0-0, от 29.11.2019 № Исх-20-3/8-117985/19-0-0) </w:t>
      </w:r>
      <w:r w:rsidR="005727C2">
        <w:rPr>
          <w:rFonts w:ascii="Times New Roman" w:hAnsi="Times New Roman" w:cs="Times New Roman"/>
          <w:bCs/>
          <w:sz w:val="28"/>
          <w:szCs w:val="28"/>
        </w:rPr>
        <w:t>дополнительно представлен</w:t>
      </w:r>
      <w:r>
        <w:rPr>
          <w:rFonts w:ascii="Times New Roman" w:hAnsi="Times New Roman" w:cs="Times New Roman"/>
          <w:bCs/>
          <w:sz w:val="28"/>
          <w:szCs w:val="28"/>
        </w:rPr>
        <w:t>а</w:t>
      </w:r>
      <w:r w:rsidR="005727C2">
        <w:rPr>
          <w:rFonts w:ascii="Times New Roman" w:hAnsi="Times New Roman" w:cs="Times New Roman"/>
          <w:bCs/>
          <w:sz w:val="28"/>
          <w:szCs w:val="28"/>
        </w:rPr>
        <w:t xml:space="preserve"> информация, которая также учитывалась при определении размера расходов по статьям</w:t>
      </w:r>
      <w:r>
        <w:rPr>
          <w:rFonts w:ascii="Times New Roman" w:hAnsi="Times New Roman" w:cs="Times New Roman"/>
          <w:bCs/>
          <w:sz w:val="28"/>
          <w:szCs w:val="28"/>
        </w:rPr>
        <w:t xml:space="preserve"> затрат</w:t>
      </w:r>
      <w:r w:rsidR="005727C2">
        <w:rPr>
          <w:rFonts w:ascii="Times New Roman" w:hAnsi="Times New Roman" w:cs="Times New Roman"/>
          <w:bCs/>
          <w:sz w:val="28"/>
          <w:szCs w:val="28"/>
        </w:rPr>
        <w:t>.</w:t>
      </w:r>
    </w:p>
    <w:p w:rsidR="005727C2" w:rsidRDefault="005727C2" w:rsidP="005727C2">
      <w:pPr>
        <w:pStyle w:val="afa"/>
        <w:ind w:firstLine="709"/>
        <w:jc w:val="both"/>
        <w:rPr>
          <w:rFonts w:ascii="Times New Roman" w:hAnsi="Times New Roman" w:cs="Times New Roman"/>
          <w:sz w:val="28"/>
          <w:szCs w:val="28"/>
        </w:rPr>
      </w:pPr>
    </w:p>
    <w:p w:rsidR="005727C2" w:rsidRDefault="005727C2" w:rsidP="005727C2">
      <w:pPr>
        <w:pStyle w:val="afa"/>
        <w:ind w:firstLine="709"/>
        <w:jc w:val="both"/>
        <w:rPr>
          <w:rFonts w:ascii="Times New Roman" w:hAnsi="Times New Roman" w:cs="Times New Roman"/>
          <w:b/>
          <w:i/>
          <w:sz w:val="28"/>
          <w:szCs w:val="28"/>
        </w:rPr>
      </w:pPr>
      <w:r>
        <w:rPr>
          <w:rFonts w:ascii="Times New Roman" w:hAnsi="Times New Roman" w:cs="Times New Roman"/>
          <w:b/>
          <w:i/>
          <w:sz w:val="28"/>
          <w:szCs w:val="28"/>
        </w:rPr>
        <w:t>2.2.</w:t>
      </w:r>
      <w:r w:rsidR="00004C25">
        <w:rPr>
          <w:rFonts w:ascii="Times New Roman" w:hAnsi="Times New Roman" w:cs="Times New Roman"/>
          <w:b/>
          <w:i/>
          <w:sz w:val="28"/>
          <w:szCs w:val="28"/>
        </w:rPr>
        <w:t>1.</w:t>
      </w:r>
      <w:r w:rsidR="002D099C">
        <w:rPr>
          <w:rFonts w:ascii="Times New Roman" w:hAnsi="Times New Roman" w:cs="Times New Roman"/>
          <w:b/>
          <w:i/>
          <w:sz w:val="28"/>
          <w:szCs w:val="28"/>
        </w:rPr>
        <w:t>2</w:t>
      </w:r>
      <w:r>
        <w:rPr>
          <w:rFonts w:ascii="Times New Roman" w:hAnsi="Times New Roman" w:cs="Times New Roman"/>
          <w:b/>
          <w:i/>
          <w:sz w:val="28"/>
          <w:szCs w:val="28"/>
        </w:rPr>
        <w:t>. Балансовые показатели по отпуску тепловой энергии потребителям АО «СИБЭКО» на 2020 год</w:t>
      </w:r>
    </w:p>
    <w:p w:rsidR="005727C2" w:rsidRDefault="005727C2" w:rsidP="005727C2">
      <w:pPr>
        <w:pStyle w:val="afa"/>
        <w:ind w:firstLine="709"/>
        <w:jc w:val="both"/>
        <w:rPr>
          <w:rFonts w:ascii="Times New Roman" w:hAnsi="Times New Roman" w:cs="Times New Roman"/>
          <w:sz w:val="28"/>
          <w:szCs w:val="28"/>
        </w:rPr>
      </w:pPr>
      <w:r>
        <w:rPr>
          <w:rFonts w:ascii="Times New Roman" w:hAnsi="Times New Roman" w:cs="Times New Roman"/>
          <w:sz w:val="28"/>
          <w:szCs w:val="28"/>
        </w:rPr>
        <w:t>План</w:t>
      </w:r>
      <w:r w:rsidR="00004C25">
        <w:rPr>
          <w:rFonts w:ascii="Times New Roman" w:hAnsi="Times New Roman" w:cs="Times New Roman"/>
          <w:sz w:val="28"/>
          <w:szCs w:val="28"/>
        </w:rPr>
        <w:t>овая</w:t>
      </w:r>
      <w:r>
        <w:rPr>
          <w:rFonts w:ascii="Times New Roman" w:hAnsi="Times New Roman" w:cs="Times New Roman"/>
          <w:sz w:val="28"/>
          <w:szCs w:val="28"/>
        </w:rPr>
        <w:t xml:space="preserve"> величин</w:t>
      </w:r>
      <w:r w:rsidR="00004C25">
        <w:rPr>
          <w:rFonts w:ascii="Times New Roman" w:hAnsi="Times New Roman" w:cs="Times New Roman"/>
          <w:sz w:val="28"/>
          <w:szCs w:val="28"/>
        </w:rPr>
        <w:t>а</w:t>
      </w:r>
      <w:r>
        <w:rPr>
          <w:rFonts w:ascii="Times New Roman" w:hAnsi="Times New Roman" w:cs="Times New Roman"/>
          <w:sz w:val="28"/>
          <w:szCs w:val="28"/>
        </w:rPr>
        <w:t xml:space="preserve"> полезного отпуска тепловой энергии АО «СИБЭКО» потребителям на 2020 год </w:t>
      </w:r>
      <w:r w:rsidR="00004C25">
        <w:rPr>
          <w:rFonts w:ascii="Times New Roman" w:hAnsi="Times New Roman" w:cs="Times New Roman"/>
          <w:sz w:val="28"/>
          <w:szCs w:val="28"/>
        </w:rPr>
        <w:t>определена</w:t>
      </w:r>
      <w:r>
        <w:rPr>
          <w:rFonts w:ascii="Times New Roman" w:hAnsi="Times New Roman" w:cs="Times New Roman"/>
          <w:sz w:val="28"/>
          <w:szCs w:val="28"/>
        </w:rPr>
        <w:t xml:space="preserve"> </w:t>
      </w:r>
      <w:r w:rsidR="00004C25">
        <w:rPr>
          <w:rFonts w:ascii="Times New Roman" w:hAnsi="Times New Roman" w:cs="Times New Roman"/>
          <w:sz w:val="28"/>
          <w:szCs w:val="28"/>
        </w:rPr>
        <w:t>Д</w:t>
      </w:r>
      <w:r>
        <w:rPr>
          <w:rFonts w:ascii="Times New Roman" w:hAnsi="Times New Roman" w:cs="Times New Roman"/>
          <w:sz w:val="28"/>
          <w:szCs w:val="28"/>
        </w:rPr>
        <w:t xml:space="preserve">епартаментом </w:t>
      </w:r>
      <w:r>
        <w:rPr>
          <w:rFonts w:ascii="Times New Roman" w:hAnsi="Times New Roman" w:cs="Times New Roman"/>
          <w:bCs/>
          <w:sz w:val="28"/>
          <w:szCs w:val="28"/>
        </w:rPr>
        <w:t>в соответствии с пунктом 22 Основ ценообразования № 1075, пунктами 17, 18 Методических указаний № 760-э, на основании Сводного прогнозного баланса на 2020 год</w:t>
      </w:r>
      <w:r>
        <w:rPr>
          <w:rFonts w:ascii="Times New Roman" w:hAnsi="Times New Roman" w:cs="Times New Roman"/>
          <w:sz w:val="28"/>
          <w:szCs w:val="28"/>
        </w:rPr>
        <w:t>.</w:t>
      </w:r>
    </w:p>
    <w:p w:rsidR="005727C2" w:rsidRDefault="005727C2" w:rsidP="005727C2">
      <w:pPr>
        <w:pStyle w:val="afa"/>
        <w:ind w:firstLine="709"/>
        <w:jc w:val="both"/>
        <w:rPr>
          <w:rFonts w:ascii="Times New Roman" w:hAnsi="Times New Roman" w:cs="Times New Roman"/>
          <w:sz w:val="28"/>
          <w:szCs w:val="28"/>
        </w:rPr>
      </w:pPr>
      <w:r>
        <w:rPr>
          <w:rFonts w:ascii="Times New Roman" w:hAnsi="Times New Roman" w:cs="Times New Roman"/>
          <w:sz w:val="28"/>
          <w:szCs w:val="28"/>
        </w:rPr>
        <w:t xml:space="preserve">Утвержденные в установленном порядке актуализированные Схемы теплоснабжения города Новосибирска и города Куйбышева </w:t>
      </w:r>
      <w:r w:rsidR="00004C25">
        <w:rPr>
          <w:rFonts w:ascii="Times New Roman" w:hAnsi="Times New Roman" w:cs="Times New Roman"/>
          <w:sz w:val="28"/>
          <w:szCs w:val="28"/>
        </w:rPr>
        <w:t xml:space="preserve">на 2020 год </w:t>
      </w:r>
      <w:r>
        <w:rPr>
          <w:rFonts w:ascii="Times New Roman" w:hAnsi="Times New Roman" w:cs="Times New Roman"/>
          <w:sz w:val="28"/>
          <w:szCs w:val="28"/>
        </w:rPr>
        <w:t>отсутствуют.</w:t>
      </w:r>
    </w:p>
    <w:p w:rsidR="005727C2" w:rsidRDefault="005727C2" w:rsidP="005727C2">
      <w:pPr>
        <w:pStyle w:val="afa"/>
        <w:ind w:firstLine="709"/>
        <w:jc w:val="both"/>
        <w:rPr>
          <w:rFonts w:ascii="Times New Roman" w:hAnsi="Times New Roman" w:cs="Times New Roman"/>
          <w:sz w:val="28"/>
          <w:szCs w:val="28"/>
        </w:rPr>
      </w:pPr>
      <w:r>
        <w:rPr>
          <w:rFonts w:ascii="Times New Roman" w:hAnsi="Times New Roman" w:cs="Times New Roman"/>
          <w:sz w:val="28"/>
          <w:szCs w:val="28"/>
        </w:rPr>
        <w:t>Отпуск тепловой энергии с коллекторов тепловых электростанций на 2020 год сформирован в объеме 12 796,391 тыс.Гкал, с увеличением</w:t>
      </w:r>
      <w:r>
        <w:rPr>
          <w:rFonts w:ascii="Times New Roman" w:hAnsi="Times New Roman" w:cs="Times New Roman"/>
          <w:color w:val="E36C0A"/>
          <w:sz w:val="28"/>
          <w:szCs w:val="28"/>
        </w:rPr>
        <w:t xml:space="preserve"> </w:t>
      </w:r>
      <w:r>
        <w:rPr>
          <w:rFonts w:ascii="Times New Roman" w:hAnsi="Times New Roman" w:cs="Times New Roman"/>
          <w:sz w:val="28"/>
          <w:szCs w:val="28"/>
        </w:rPr>
        <w:t>относительно планового уровня 2019 года на 59,988 тыс.Гкал (0,47%), в соответствии с требованиями пунктов 16, 17 Методических указаний № 760-Э, пункта 22 Основ ценообразования № 1075, на основании Сводного прогнозного баланса на 2020 год, а также анализа фактического отпуска с коллекторов ТЭЦ за 2018 год и его динамики за 3 последних</w:t>
      </w:r>
      <w:r w:rsidR="00004C25">
        <w:rPr>
          <w:rFonts w:ascii="Times New Roman" w:hAnsi="Times New Roman" w:cs="Times New Roman"/>
          <w:sz w:val="28"/>
          <w:szCs w:val="28"/>
        </w:rPr>
        <w:t xml:space="preserve"> </w:t>
      </w:r>
      <w:r>
        <w:rPr>
          <w:rFonts w:ascii="Times New Roman" w:hAnsi="Times New Roman" w:cs="Times New Roman"/>
          <w:sz w:val="28"/>
          <w:szCs w:val="28"/>
        </w:rPr>
        <w:t>отчетных периода.</w:t>
      </w:r>
    </w:p>
    <w:p w:rsidR="005727C2" w:rsidRDefault="005727C2" w:rsidP="005727C2">
      <w:pPr>
        <w:pStyle w:val="afa"/>
        <w:ind w:firstLine="709"/>
        <w:jc w:val="both"/>
        <w:rPr>
          <w:rFonts w:ascii="Times New Roman" w:hAnsi="Times New Roman" w:cs="Times New Roman"/>
          <w:sz w:val="28"/>
          <w:szCs w:val="28"/>
        </w:rPr>
      </w:pPr>
      <w:r>
        <w:rPr>
          <w:rFonts w:ascii="Times New Roman" w:hAnsi="Times New Roman" w:cs="Times New Roman"/>
          <w:sz w:val="28"/>
          <w:szCs w:val="28"/>
        </w:rPr>
        <w:t xml:space="preserve">Отпуск тепловой энергии с коллекторов локальных котельных, эксплуатируемых АО «СИБЭКО», на 2020 год сформирован в объеме 1 487,759 тыс.Гкал. с </w:t>
      </w:r>
      <w:r w:rsidR="00004C25">
        <w:rPr>
          <w:rFonts w:ascii="Times New Roman" w:hAnsi="Times New Roman" w:cs="Times New Roman"/>
          <w:sz w:val="28"/>
          <w:szCs w:val="28"/>
        </w:rPr>
        <w:t>увеличением</w:t>
      </w:r>
      <w:r>
        <w:rPr>
          <w:rFonts w:ascii="Times New Roman" w:hAnsi="Times New Roman" w:cs="Times New Roman"/>
          <w:sz w:val="28"/>
          <w:szCs w:val="28"/>
        </w:rPr>
        <w:t xml:space="preserve"> относительно планового уровня 2019 года на 699,509 тыс.Гкал (88,74 %).</w:t>
      </w:r>
    </w:p>
    <w:p w:rsidR="005727C2" w:rsidRDefault="005727C2" w:rsidP="005727C2">
      <w:pPr>
        <w:pStyle w:val="afa"/>
        <w:ind w:firstLine="709"/>
        <w:jc w:val="both"/>
        <w:rPr>
          <w:rFonts w:ascii="Times New Roman" w:hAnsi="Times New Roman" w:cs="Times New Roman"/>
          <w:sz w:val="28"/>
          <w:szCs w:val="28"/>
        </w:rPr>
      </w:pPr>
      <w:r>
        <w:rPr>
          <w:rFonts w:ascii="Times New Roman" w:hAnsi="Times New Roman" w:cs="Times New Roman"/>
          <w:sz w:val="28"/>
          <w:szCs w:val="28"/>
        </w:rPr>
        <w:lastRenderedPageBreak/>
        <w:t>Объем отпуска тепловой энергии c коллекторов локальных источников АО «СИБЭКО» сформирован в соответствии с требованиями, пункта 22 Основ ценообразования № 1075, на уровне фактического отпуска тепловой энергии за 2018 год (без учета объемов отпуска тепловой энергии по Криводановской котельной, в связи продажей указанного объекта и прекращением его эксплуатации с 01.01.2019)</w:t>
      </w:r>
      <w:r w:rsidR="00004C25">
        <w:rPr>
          <w:rFonts w:ascii="Times New Roman" w:hAnsi="Times New Roman" w:cs="Times New Roman"/>
          <w:sz w:val="28"/>
          <w:szCs w:val="28"/>
        </w:rPr>
        <w:t xml:space="preserve">, а также с учетом результатов анализа </w:t>
      </w:r>
      <w:r>
        <w:rPr>
          <w:rFonts w:ascii="Times New Roman" w:hAnsi="Times New Roman" w:cs="Times New Roman"/>
          <w:sz w:val="28"/>
          <w:szCs w:val="28"/>
        </w:rPr>
        <w:t>объем</w:t>
      </w:r>
      <w:r w:rsidR="00004C25">
        <w:rPr>
          <w:rFonts w:ascii="Times New Roman" w:hAnsi="Times New Roman" w:cs="Times New Roman"/>
          <w:sz w:val="28"/>
          <w:szCs w:val="28"/>
        </w:rPr>
        <w:t>ов</w:t>
      </w:r>
      <w:r>
        <w:rPr>
          <w:rFonts w:ascii="Times New Roman" w:hAnsi="Times New Roman" w:cs="Times New Roman"/>
          <w:sz w:val="28"/>
          <w:szCs w:val="28"/>
        </w:rPr>
        <w:t xml:space="preserve"> отпуска тепловой энергии с коллекторов локальных источников (в сопоставимых условиях) за 3 последних отчетных периода. </w:t>
      </w:r>
    </w:p>
    <w:p w:rsidR="005727C2" w:rsidRDefault="005727C2" w:rsidP="005727C2">
      <w:pPr>
        <w:pStyle w:val="afa"/>
        <w:ind w:firstLine="709"/>
        <w:jc w:val="both"/>
        <w:rPr>
          <w:rFonts w:ascii="Times New Roman" w:hAnsi="Times New Roman" w:cs="Times New Roman"/>
          <w:sz w:val="28"/>
          <w:szCs w:val="28"/>
        </w:rPr>
      </w:pPr>
      <w:r>
        <w:rPr>
          <w:rFonts w:ascii="Times New Roman" w:hAnsi="Times New Roman" w:cs="Times New Roman"/>
          <w:sz w:val="28"/>
          <w:szCs w:val="28"/>
        </w:rPr>
        <w:t xml:space="preserve">Объёмы покупки тепловой энергии, производимой ведомственными котельными г. Новосибирска сформированы в размере 562,569 тыс.Гкал со снижением относительно плана 2019 года на 16,041 тыс.Гкал (на 2,77%). Объемы покупки тепловой энергии, производимой ведомственными котельными г. Новосибирска на 2020 год, </w:t>
      </w:r>
      <w:r w:rsidR="00004C25">
        <w:rPr>
          <w:rFonts w:ascii="Times New Roman" w:hAnsi="Times New Roman" w:cs="Times New Roman"/>
          <w:sz w:val="28"/>
          <w:szCs w:val="28"/>
        </w:rPr>
        <w:t xml:space="preserve">определены </w:t>
      </w:r>
      <w:r>
        <w:rPr>
          <w:rFonts w:ascii="Times New Roman" w:hAnsi="Times New Roman" w:cs="Times New Roman"/>
          <w:sz w:val="28"/>
          <w:szCs w:val="28"/>
        </w:rPr>
        <w:t xml:space="preserve"> на основании фактических данных, по итогам 2018 года, за исключением объемов поставки тепловой энергии по следующим теплоснабжающим организациям: ФГУП «УЭВ» (расторгнут договор поставки тепловой энергии с 01.01.2019), ЗАО «Экран-Энергия» (по информации имеющейся в </w:t>
      </w:r>
      <w:r w:rsidR="00004C25">
        <w:rPr>
          <w:rFonts w:ascii="Times New Roman" w:hAnsi="Times New Roman" w:cs="Times New Roman"/>
          <w:sz w:val="28"/>
          <w:szCs w:val="28"/>
        </w:rPr>
        <w:t>Д</w:t>
      </w:r>
      <w:r>
        <w:rPr>
          <w:rFonts w:ascii="Times New Roman" w:hAnsi="Times New Roman" w:cs="Times New Roman"/>
          <w:sz w:val="28"/>
          <w:szCs w:val="28"/>
        </w:rPr>
        <w:t xml:space="preserve">епартаменте, в связи с продажей котельной  АО «СИБЭКО» в конце 2019 года), ОАО «НМК» (осуществлено переключение потребителей на АО «СИБЭКО» в 2018 году), а также на основании Соглашений о внесении изменений в договоры поставки тепловой энергии в горячей воде и теплоносителя, предоставленных теплоснабжающими организациями г. Новосибирска о намерении АО «СИБЭКО» продлить на 2020 год сроки действия договоров поставки с теплоснабжающими организациями. </w:t>
      </w:r>
    </w:p>
    <w:p w:rsidR="005727C2" w:rsidRDefault="005727C2" w:rsidP="005727C2">
      <w:pPr>
        <w:pStyle w:val="afa"/>
        <w:ind w:firstLine="709"/>
        <w:jc w:val="both"/>
        <w:rPr>
          <w:rFonts w:ascii="Times New Roman" w:hAnsi="Times New Roman" w:cs="Times New Roman"/>
          <w:sz w:val="28"/>
          <w:szCs w:val="28"/>
        </w:rPr>
      </w:pPr>
      <w:r>
        <w:rPr>
          <w:rFonts w:ascii="Times New Roman" w:hAnsi="Times New Roman" w:cs="Times New Roman"/>
          <w:sz w:val="28"/>
          <w:szCs w:val="28"/>
        </w:rPr>
        <w:t>Величина тепловой энергии, потребляемой АО «СИБЭКО» на хозяйственные нужды, учтена на 2020 год в размере 20,008 тыс.Гкал по предложению АО «СИБЭКО» на основании фактических объемов потребления на указанные цели за 2018 год (письмо АО «СИБЭКО» от 17.10.2019 № Исх-20-3/8-101353/19-0-0).</w:t>
      </w:r>
    </w:p>
    <w:p w:rsidR="005727C2" w:rsidRDefault="005727C2" w:rsidP="005727C2">
      <w:pPr>
        <w:pStyle w:val="afa"/>
        <w:ind w:firstLine="709"/>
        <w:jc w:val="both"/>
        <w:rPr>
          <w:rFonts w:ascii="Times New Roman" w:hAnsi="Times New Roman" w:cs="Times New Roman"/>
          <w:sz w:val="28"/>
          <w:szCs w:val="28"/>
        </w:rPr>
      </w:pPr>
      <w:r>
        <w:rPr>
          <w:rFonts w:ascii="Times New Roman" w:hAnsi="Times New Roman" w:cs="Times New Roman"/>
          <w:sz w:val="28"/>
          <w:szCs w:val="28"/>
        </w:rPr>
        <w:t xml:space="preserve">Величина расхода тепловой энергии на технологические цели при ее передаче по магистральным и внутриквартальным сетям АО «СИБЭКО» принята </w:t>
      </w:r>
      <w:r w:rsidR="004F1F8A">
        <w:rPr>
          <w:rFonts w:ascii="Times New Roman" w:hAnsi="Times New Roman" w:cs="Times New Roman"/>
          <w:sz w:val="28"/>
          <w:szCs w:val="28"/>
        </w:rPr>
        <w:t>Д</w:t>
      </w:r>
      <w:r>
        <w:rPr>
          <w:rFonts w:ascii="Times New Roman" w:hAnsi="Times New Roman" w:cs="Times New Roman"/>
          <w:sz w:val="28"/>
          <w:szCs w:val="28"/>
        </w:rPr>
        <w:t>епартаментом на очередной 2020 год долгосрочного периода регулирования на уровне 2 881,475 тыс.Гкал, в том числе:</w:t>
      </w:r>
    </w:p>
    <w:p w:rsidR="005727C2" w:rsidRDefault="005727C2" w:rsidP="00763A8B">
      <w:pPr>
        <w:pStyle w:val="afa"/>
        <w:numPr>
          <w:ilvl w:val="0"/>
          <w:numId w:val="3"/>
        </w:numPr>
        <w:ind w:left="0" w:firstLine="851"/>
        <w:jc w:val="both"/>
        <w:rPr>
          <w:rFonts w:ascii="Times New Roman" w:hAnsi="Times New Roman" w:cs="Times New Roman"/>
          <w:sz w:val="28"/>
          <w:szCs w:val="28"/>
        </w:rPr>
      </w:pPr>
      <w:r>
        <w:rPr>
          <w:rFonts w:ascii="Times New Roman" w:hAnsi="Times New Roman" w:cs="Times New Roman"/>
          <w:sz w:val="28"/>
          <w:szCs w:val="28"/>
        </w:rPr>
        <w:t xml:space="preserve">2 856,3 тыс.Гкал - потери тепловой энергии в тепловых сетях, эксплуатируемых АО «СИБЭКО», расположенных в городе Новосибирске, городе Куйбышеве. </w:t>
      </w:r>
      <w:r w:rsidR="004F1F8A">
        <w:rPr>
          <w:rFonts w:ascii="Times New Roman" w:hAnsi="Times New Roman" w:cs="Times New Roman"/>
          <w:sz w:val="28"/>
          <w:szCs w:val="28"/>
        </w:rPr>
        <w:t>Величина</w:t>
      </w:r>
      <w:r>
        <w:rPr>
          <w:rFonts w:ascii="Times New Roman" w:hAnsi="Times New Roman" w:cs="Times New Roman"/>
          <w:sz w:val="28"/>
          <w:szCs w:val="28"/>
        </w:rPr>
        <w:t xml:space="preserve"> потерь тепловой энергии АО «СИБЭКО» является долгосрочным параметром регулирования, утвержденн</w:t>
      </w:r>
      <w:r w:rsidR="004F1F8A">
        <w:rPr>
          <w:rFonts w:ascii="Times New Roman" w:hAnsi="Times New Roman" w:cs="Times New Roman"/>
          <w:sz w:val="28"/>
          <w:szCs w:val="28"/>
        </w:rPr>
        <w:t>ая</w:t>
      </w:r>
      <w:r>
        <w:rPr>
          <w:rFonts w:ascii="Times New Roman" w:hAnsi="Times New Roman" w:cs="Times New Roman"/>
          <w:sz w:val="28"/>
          <w:szCs w:val="28"/>
        </w:rPr>
        <w:t xml:space="preserve"> приказом </w:t>
      </w:r>
      <w:r w:rsidR="004F1F8A">
        <w:rPr>
          <w:rFonts w:ascii="Times New Roman" w:hAnsi="Times New Roman" w:cs="Times New Roman"/>
          <w:sz w:val="28"/>
          <w:szCs w:val="28"/>
        </w:rPr>
        <w:t>Д</w:t>
      </w:r>
      <w:r>
        <w:rPr>
          <w:rFonts w:ascii="Times New Roman" w:hAnsi="Times New Roman" w:cs="Times New Roman"/>
          <w:sz w:val="28"/>
          <w:szCs w:val="28"/>
        </w:rPr>
        <w:t xml:space="preserve">епартамента </w:t>
      </w:r>
      <w:r w:rsidR="004F1F8A">
        <w:rPr>
          <w:rFonts w:ascii="Times New Roman" w:hAnsi="Times New Roman" w:cs="Times New Roman"/>
          <w:sz w:val="28"/>
          <w:szCs w:val="28"/>
        </w:rPr>
        <w:t xml:space="preserve"> </w:t>
      </w:r>
      <w:r>
        <w:rPr>
          <w:rFonts w:ascii="Times New Roman" w:hAnsi="Times New Roman" w:cs="Times New Roman"/>
          <w:sz w:val="28"/>
          <w:szCs w:val="28"/>
        </w:rPr>
        <w:t xml:space="preserve">№ 701-ТЭ, </w:t>
      </w:r>
      <w:r w:rsidR="004F1F8A">
        <w:rPr>
          <w:rFonts w:ascii="Times New Roman" w:hAnsi="Times New Roman" w:cs="Times New Roman"/>
          <w:sz w:val="28"/>
          <w:szCs w:val="28"/>
        </w:rPr>
        <w:t>на</w:t>
      </w:r>
      <w:r>
        <w:rPr>
          <w:rFonts w:ascii="Times New Roman" w:hAnsi="Times New Roman" w:cs="Times New Roman"/>
          <w:sz w:val="28"/>
          <w:szCs w:val="28"/>
        </w:rPr>
        <w:t xml:space="preserve"> долгосрочн</w:t>
      </w:r>
      <w:r w:rsidR="004F1F8A">
        <w:rPr>
          <w:rFonts w:ascii="Times New Roman" w:hAnsi="Times New Roman" w:cs="Times New Roman"/>
          <w:sz w:val="28"/>
          <w:szCs w:val="28"/>
        </w:rPr>
        <w:t>ый</w:t>
      </w:r>
      <w:r>
        <w:rPr>
          <w:rFonts w:ascii="Times New Roman" w:hAnsi="Times New Roman" w:cs="Times New Roman"/>
          <w:sz w:val="28"/>
          <w:szCs w:val="28"/>
        </w:rPr>
        <w:t xml:space="preserve"> период регулирования, в соответствии с пунктом 33 Методических указаний № 760-э;</w:t>
      </w:r>
    </w:p>
    <w:p w:rsidR="005727C2" w:rsidRDefault="005727C2" w:rsidP="00763A8B">
      <w:pPr>
        <w:pStyle w:val="afa"/>
        <w:numPr>
          <w:ilvl w:val="0"/>
          <w:numId w:val="3"/>
        </w:numPr>
        <w:ind w:left="0" w:firstLine="851"/>
        <w:jc w:val="both"/>
        <w:rPr>
          <w:rFonts w:ascii="Times New Roman" w:hAnsi="Times New Roman" w:cs="Times New Roman"/>
          <w:bCs/>
          <w:color w:val="FF0000"/>
          <w:sz w:val="28"/>
          <w:szCs w:val="28"/>
        </w:rPr>
      </w:pPr>
      <w:r>
        <w:rPr>
          <w:rFonts w:ascii="Times New Roman" w:hAnsi="Times New Roman" w:cs="Times New Roman"/>
          <w:sz w:val="28"/>
          <w:szCs w:val="28"/>
        </w:rPr>
        <w:t xml:space="preserve">25,175 тыс.Гкал - суммарные потери тепловой энергии в тепловых сетях, эксплуатируемых прочими теплосетевыми организациями города Новосибирска, оказывающими АО «СИБЭКО» услуги по передаче тепловой энергии. </w:t>
      </w:r>
      <w:r w:rsidR="004F1F8A">
        <w:rPr>
          <w:rFonts w:ascii="Times New Roman" w:hAnsi="Times New Roman" w:cs="Times New Roman"/>
          <w:sz w:val="28"/>
          <w:szCs w:val="28"/>
        </w:rPr>
        <w:t>Величина</w:t>
      </w:r>
      <w:r>
        <w:rPr>
          <w:rFonts w:ascii="Times New Roman" w:hAnsi="Times New Roman" w:cs="Times New Roman"/>
          <w:sz w:val="28"/>
          <w:szCs w:val="28"/>
        </w:rPr>
        <w:t xml:space="preserve"> указанных потерь тепловой энергии определен</w:t>
      </w:r>
      <w:r w:rsidR="004F1F8A">
        <w:rPr>
          <w:rFonts w:ascii="Times New Roman" w:hAnsi="Times New Roman" w:cs="Times New Roman"/>
          <w:sz w:val="28"/>
          <w:szCs w:val="28"/>
        </w:rPr>
        <w:t>а</w:t>
      </w:r>
      <w:r>
        <w:rPr>
          <w:rFonts w:ascii="Times New Roman" w:hAnsi="Times New Roman" w:cs="Times New Roman"/>
          <w:sz w:val="28"/>
          <w:szCs w:val="28"/>
        </w:rPr>
        <w:t xml:space="preserve"> суммарно с учетом долгосрочных параметров регулирования, утвержденных приказами </w:t>
      </w:r>
      <w:r w:rsidR="004F1F8A">
        <w:rPr>
          <w:rFonts w:ascii="Times New Roman" w:hAnsi="Times New Roman" w:cs="Times New Roman"/>
          <w:sz w:val="28"/>
          <w:szCs w:val="28"/>
        </w:rPr>
        <w:t>Д</w:t>
      </w:r>
      <w:r>
        <w:rPr>
          <w:rFonts w:ascii="Times New Roman" w:hAnsi="Times New Roman" w:cs="Times New Roman"/>
          <w:sz w:val="28"/>
          <w:szCs w:val="28"/>
        </w:rPr>
        <w:t>епартамента в отношении каждой ТСО.</w:t>
      </w:r>
    </w:p>
    <w:p w:rsidR="005727C2" w:rsidRDefault="005727C2" w:rsidP="005727C2">
      <w:pPr>
        <w:pStyle w:val="afa"/>
        <w:ind w:firstLine="709"/>
        <w:jc w:val="both"/>
        <w:rPr>
          <w:rFonts w:ascii="Times New Roman" w:hAnsi="Times New Roman" w:cs="Times New Roman"/>
          <w:sz w:val="28"/>
          <w:szCs w:val="28"/>
        </w:rPr>
      </w:pPr>
      <w:r>
        <w:rPr>
          <w:rFonts w:ascii="Times New Roman" w:hAnsi="Times New Roman" w:cs="Times New Roman"/>
          <w:sz w:val="28"/>
          <w:szCs w:val="28"/>
        </w:rPr>
        <w:t>Полезный отпуск тепловой энергии конечным потребителям АО</w:t>
      </w:r>
      <w:r>
        <w:t> </w:t>
      </w:r>
      <w:r>
        <w:rPr>
          <w:rFonts w:ascii="Times New Roman" w:hAnsi="Times New Roman" w:cs="Times New Roman"/>
          <w:sz w:val="28"/>
          <w:szCs w:val="28"/>
        </w:rPr>
        <w:t xml:space="preserve">«СИБЭКО» (без учета реализации потерь тепловой энергии прочим ТСО) на 2020 год </w:t>
      </w:r>
      <w:r w:rsidR="00D730C3">
        <w:rPr>
          <w:rFonts w:ascii="Times New Roman" w:hAnsi="Times New Roman" w:cs="Times New Roman"/>
          <w:sz w:val="28"/>
          <w:szCs w:val="28"/>
        </w:rPr>
        <w:t xml:space="preserve">принят </w:t>
      </w:r>
      <w:r w:rsidR="00D730C3">
        <w:rPr>
          <w:rFonts w:ascii="Times New Roman" w:hAnsi="Times New Roman" w:cs="Times New Roman"/>
          <w:sz w:val="28"/>
          <w:szCs w:val="28"/>
        </w:rPr>
        <w:lastRenderedPageBreak/>
        <w:t xml:space="preserve">Департаментом </w:t>
      </w:r>
      <w:r>
        <w:rPr>
          <w:rFonts w:ascii="Times New Roman" w:hAnsi="Times New Roman" w:cs="Times New Roman"/>
          <w:sz w:val="28"/>
          <w:szCs w:val="28"/>
        </w:rPr>
        <w:t xml:space="preserve">в размере 11 945,235 тыс.Гкал с ростом относительно плановой величины 2019 года на 723,602 тыс.Гкал (6,45%). </w:t>
      </w:r>
    </w:p>
    <w:p w:rsidR="005727C2" w:rsidRDefault="005727C2" w:rsidP="005727C2">
      <w:pPr>
        <w:ind w:firstLine="720"/>
        <w:jc w:val="both"/>
      </w:pPr>
      <w:r>
        <w:rPr>
          <w:color w:val="FF0000"/>
        </w:rPr>
        <w:tab/>
      </w:r>
      <w:r>
        <w:rPr>
          <w:color w:val="FF0000"/>
        </w:rPr>
        <w:tab/>
      </w:r>
      <w:r>
        <w:rPr>
          <w:color w:val="FF0000"/>
        </w:rPr>
        <w:tab/>
      </w:r>
      <w:r>
        <w:rPr>
          <w:color w:val="FF0000"/>
        </w:rPr>
        <w:tab/>
      </w:r>
      <w:r>
        <w:rPr>
          <w:color w:val="FF0000"/>
        </w:rPr>
        <w:tab/>
      </w:r>
      <w:r>
        <w:rPr>
          <w:color w:val="FF0000"/>
        </w:rPr>
        <w:tab/>
      </w:r>
      <w:r>
        <w:rPr>
          <w:color w:val="FF0000"/>
        </w:rPr>
        <w:tab/>
      </w:r>
      <w:r>
        <w:rPr>
          <w:color w:val="FF0000"/>
        </w:rPr>
        <w:tab/>
      </w:r>
      <w:r>
        <w:rPr>
          <w:color w:val="FF0000"/>
        </w:rPr>
        <w:tab/>
      </w:r>
      <w:r>
        <w:rPr>
          <w:color w:val="FF0000"/>
        </w:rPr>
        <w:tab/>
      </w:r>
      <w:r>
        <w:t xml:space="preserve">        </w:t>
      </w:r>
      <w:r w:rsidR="00D730C3">
        <w:t xml:space="preserve">              </w:t>
      </w:r>
      <w:r>
        <w:t xml:space="preserve">  тыс.Гкал</w:t>
      </w:r>
    </w:p>
    <w:tbl>
      <w:tblPr>
        <w:tblW w:w="10206"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969"/>
        <w:gridCol w:w="1233"/>
        <w:gridCol w:w="1264"/>
        <w:gridCol w:w="1212"/>
        <w:gridCol w:w="1370"/>
        <w:gridCol w:w="1158"/>
      </w:tblGrid>
      <w:tr w:rsidR="005727C2" w:rsidTr="00D730C3">
        <w:trPr>
          <w:trHeight w:val="393"/>
          <w:tblHeader/>
        </w:trPr>
        <w:tc>
          <w:tcPr>
            <w:tcW w:w="3969" w:type="dxa"/>
            <w:tcBorders>
              <w:top w:val="single" w:sz="4" w:space="0" w:color="auto"/>
              <w:left w:val="single" w:sz="4" w:space="0" w:color="auto"/>
              <w:bottom w:val="single" w:sz="4" w:space="0" w:color="auto"/>
              <w:right w:val="single" w:sz="4" w:space="0" w:color="auto"/>
            </w:tcBorders>
            <w:noWrap/>
            <w:vAlign w:val="bottom"/>
            <w:hideMark/>
          </w:tcPr>
          <w:p w:rsidR="005727C2" w:rsidRDefault="005727C2">
            <w:pPr>
              <w:jc w:val="center"/>
              <w:rPr>
                <w:b/>
                <w:lang w:eastAsia="en-US"/>
              </w:rPr>
            </w:pPr>
            <w:r>
              <w:rPr>
                <w:b/>
                <w:sz w:val="22"/>
                <w:szCs w:val="22"/>
                <w:lang w:eastAsia="en-US"/>
              </w:rPr>
              <w:t>Показатели</w:t>
            </w:r>
          </w:p>
        </w:tc>
        <w:tc>
          <w:tcPr>
            <w:tcW w:w="1233" w:type="dxa"/>
            <w:tcBorders>
              <w:top w:val="single" w:sz="4" w:space="0" w:color="auto"/>
              <w:left w:val="single" w:sz="4" w:space="0" w:color="auto"/>
              <w:bottom w:val="single" w:sz="4" w:space="0" w:color="auto"/>
              <w:right w:val="single" w:sz="4" w:space="0" w:color="auto"/>
            </w:tcBorders>
            <w:vAlign w:val="center"/>
            <w:hideMark/>
          </w:tcPr>
          <w:p w:rsidR="005727C2" w:rsidRDefault="005727C2">
            <w:pPr>
              <w:jc w:val="center"/>
              <w:rPr>
                <w:b/>
                <w:lang w:eastAsia="en-US"/>
              </w:rPr>
            </w:pPr>
            <w:r>
              <w:rPr>
                <w:b/>
                <w:sz w:val="22"/>
                <w:szCs w:val="22"/>
                <w:lang w:eastAsia="en-US"/>
              </w:rPr>
              <w:t>план 2018</w:t>
            </w:r>
          </w:p>
        </w:tc>
        <w:tc>
          <w:tcPr>
            <w:tcW w:w="1264" w:type="dxa"/>
            <w:tcBorders>
              <w:top w:val="single" w:sz="4" w:space="0" w:color="auto"/>
              <w:left w:val="single" w:sz="4" w:space="0" w:color="auto"/>
              <w:bottom w:val="single" w:sz="4" w:space="0" w:color="auto"/>
              <w:right w:val="single" w:sz="4" w:space="0" w:color="auto"/>
            </w:tcBorders>
            <w:vAlign w:val="center"/>
            <w:hideMark/>
          </w:tcPr>
          <w:p w:rsidR="005727C2" w:rsidRDefault="005727C2">
            <w:pPr>
              <w:jc w:val="center"/>
              <w:rPr>
                <w:b/>
                <w:lang w:eastAsia="en-US"/>
              </w:rPr>
            </w:pPr>
            <w:r>
              <w:rPr>
                <w:b/>
                <w:sz w:val="22"/>
                <w:szCs w:val="22"/>
                <w:lang w:eastAsia="en-US"/>
              </w:rPr>
              <w:t>план 2019</w:t>
            </w:r>
          </w:p>
        </w:tc>
        <w:tc>
          <w:tcPr>
            <w:tcW w:w="1212" w:type="dxa"/>
            <w:tcBorders>
              <w:top w:val="single" w:sz="4" w:space="0" w:color="auto"/>
              <w:left w:val="single" w:sz="4" w:space="0" w:color="auto"/>
              <w:bottom w:val="single" w:sz="4" w:space="0" w:color="auto"/>
              <w:right w:val="single" w:sz="4" w:space="0" w:color="auto"/>
            </w:tcBorders>
            <w:vAlign w:val="center"/>
            <w:hideMark/>
          </w:tcPr>
          <w:p w:rsidR="005727C2" w:rsidRDefault="005727C2">
            <w:pPr>
              <w:jc w:val="center"/>
              <w:rPr>
                <w:b/>
                <w:lang w:val="en-US" w:eastAsia="en-US"/>
              </w:rPr>
            </w:pPr>
            <w:r>
              <w:rPr>
                <w:b/>
                <w:sz w:val="22"/>
                <w:szCs w:val="22"/>
                <w:lang w:eastAsia="en-US"/>
              </w:rPr>
              <w:t>план 20</w:t>
            </w:r>
            <w:r>
              <w:rPr>
                <w:b/>
                <w:sz w:val="22"/>
                <w:szCs w:val="22"/>
                <w:lang w:val="en-US" w:eastAsia="en-US"/>
              </w:rPr>
              <w:t>20</w:t>
            </w:r>
          </w:p>
        </w:tc>
        <w:tc>
          <w:tcPr>
            <w:tcW w:w="1370" w:type="dxa"/>
            <w:tcBorders>
              <w:top w:val="single" w:sz="4" w:space="0" w:color="auto"/>
              <w:left w:val="single" w:sz="4" w:space="0" w:color="auto"/>
              <w:bottom w:val="single" w:sz="4" w:space="0" w:color="auto"/>
              <w:right w:val="single" w:sz="4" w:space="0" w:color="auto"/>
            </w:tcBorders>
            <w:noWrap/>
            <w:vAlign w:val="center"/>
            <w:hideMark/>
          </w:tcPr>
          <w:p w:rsidR="005727C2" w:rsidRDefault="005727C2">
            <w:pPr>
              <w:jc w:val="center"/>
              <w:rPr>
                <w:b/>
                <w:lang w:eastAsia="en-US"/>
              </w:rPr>
            </w:pPr>
            <w:r>
              <w:rPr>
                <w:b/>
                <w:sz w:val="22"/>
                <w:szCs w:val="22"/>
                <w:lang w:eastAsia="en-US"/>
              </w:rPr>
              <w:t>отклонение</w:t>
            </w:r>
          </w:p>
          <w:p w:rsidR="005727C2" w:rsidRDefault="005727C2">
            <w:pPr>
              <w:jc w:val="center"/>
              <w:rPr>
                <w:b/>
                <w:lang w:val="en-US" w:eastAsia="en-US"/>
              </w:rPr>
            </w:pPr>
            <w:r>
              <w:rPr>
                <w:b/>
                <w:sz w:val="22"/>
                <w:szCs w:val="22"/>
                <w:lang w:eastAsia="en-US"/>
              </w:rPr>
              <w:t>20</w:t>
            </w:r>
            <w:r>
              <w:rPr>
                <w:b/>
                <w:sz w:val="22"/>
                <w:szCs w:val="22"/>
                <w:lang w:val="en-US" w:eastAsia="en-US"/>
              </w:rPr>
              <w:t>20</w:t>
            </w:r>
            <w:r>
              <w:rPr>
                <w:b/>
                <w:sz w:val="22"/>
                <w:szCs w:val="22"/>
                <w:lang w:eastAsia="en-US"/>
              </w:rPr>
              <w:t>-201</w:t>
            </w:r>
            <w:r>
              <w:rPr>
                <w:b/>
                <w:sz w:val="22"/>
                <w:szCs w:val="22"/>
                <w:lang w:val="en-US" w:eastAsia="en-US"/>
              </w:rPr>
              <w:t>9</w:t>
            </w:r>
          </w:p>
        </w:tc>
        <w:tc>
          <w:tcPr>
            <w:tcW w:w="1158" w:type="dxa"/>
            <w:tcBorders>
              <w:top w:val="single" w:sz="4" w:space="0" w:color="auto"/>
              <w:left w:val="single" w:sz="4" w:space="0" w:color="auto"/>
              <w:bottom w:val="single" w:sz="4" w:space="0" w:color="auto"/>
              <w:right w:val="single" w:sz="4" w:space="0" w:color="auto"/>
            </w:tcBorders>
            <w:noWrap/>
            <w:vAlign w:val="center"/>
            <w:hideMark/>
          </w:tcPr>
          <w:p w:rsidR="005727C2" w:rsidRDefault="005727C2">
            <w:pPr>
              <w:jc w:val="center"/>
              <w:rPr>
                <w:b/>
                <w:lang w:eastAsia="en-US"/>
              </w:rPr>
            </w:pPr>
            <w:r>
              <w:rPr>
                <w:b/>
                <w:sz w:val="22"/>
                <w:szCs w:val="22"/>
                <w:lang w:eastAsia="en-US"/>
              </w:rPr>
              <w:t>в %</w:t>
            </w:r>
          </w:p>
          <w:p w:rsidR="005727C2" w:rsidRDefault="005727C2">
            <w:pPr>
              <w:jc w:val="center"/>
              <w:rPr>
                <w:b/>
                <w:lang w:val="en-US" w:eastAsia="en-US"/>
              </w:rPr>
            </w:pPr>
            <w:r>
              <w:rPr>
                <w:b/>
                <w:sz w:val="22"/>
                <w:szCs w:val="22"/>
                <w:lang w:eastAsia="en-US"/>
              </w:rPr>
              <w:t>20</w:t>
            </w:r>
            <w:r>
              <w:rPr>
                <w:b/>
                <w:sz w:val="22"/>
                <w:szCs w:val="22"/>
                <w:lang w:val="en-US" w:eastAsia="en-US"/>
              </w:rPr>
              <w:t>20</w:t>
            </w:r>
            <w:r>
              <w:rPr>
                <w:b/>
                <w:sz w:val="22"/>
                <w:szCs w:val="22"/>
                <w:lang w:eastAsia="en-US"/>
              </w:rPr>
              <w:t>/201</w:t>
            </w:r>
            <w:r>
              <w:rPr>
                <w:b/>
                <w:sz w:val="22"/>
                <w:szCs w:val="22"/>
                <w:lang w:val="en-US" w:eastAsia="en-US"/>
              </w:rPr>
              <w:t>9</w:t>
            </w:r>
          </w:p>
        </w:tc>
      </w:tr>
      <w:tr w:rsidR="005727C2" w:rsidTr="00D730C3">
        <w:trPr>
          <w:trHeight w:val="1096"/>
        </w:trPr>
        <w:tc>
          <w:tcPr>
            <w:tcW w:w="3969" w:type="dxa"/>
            <w:tcBorders>
              <w:top w:val="single" w:sz="4" w:space="0" w:color="auto"/>
              <w:left w:val="single" w:sz="4" w:space="0" w:color="auto"/>
              <w:bottom w:val="single" w:sz="4" w:space="0" w:color="auto"/>
              <w:right w:val="single" w:sz="4" w:space="0" w:color="auto"/>
            </w:tcBorders>
            <w:vAlign w:val="bottom"/>
            <w:hideMark/>
          </w:tcPr>
          <w:p w:rsidR="005727C2" w:rsidRDefault="005727C2">
            <w:pPr>
              <w:pStyle w:val="afa"/>
              <w:rPr>
                <w:rFonts w:ascii="Times New Roman" w:hAnsi="Times New Roman" w:cs="Times New Roman"/>
              </w:rPr>
            </w:pPr>
            <w:r>
              <w:rPr>
                <w:rFonts w:ascii="Times New Roman" w:hAnsi="Times New Roman" w:cs="Times New Roman"/>
              </w:rPr>
              <w:t xml:space="preserve">Полезный отпуск тепловой энергии потребителям НСО </w:t>
            </w:r>
          </w:p>
          <w:p w:rsidR="005727C2" w:rsidRDefault="005727C2">
            <w:pPr>
              <w:pStyle w:val="afa"/>
              <w:rPr>
                <w:rFonts w:ascii="Times New Roman" w:hAnsi="Times New Roman" w:cs="Times New Roman"/>
              </w:rPr>
            </w:pPr>
            <w:r>
              <w:rPr>
                <w:rFonts w:ascii="Times New Roman" w:hAnsi="Times New Roman" w:cs="Times New Roman"/>
              </w:rPr>
              <w:t>АО «СИБЭКО»</w:t>
            </w:r>
          </w:p>
          <w:p w:rsidR="005727C2" w:rsidRDefault="005727C2">
            <w:pPr>
              <w:pStyle w:val="afa"/>
              <w:rPr>
                <w:rFonts w:ascii="Times New Roman" w:hAnsi="Times New Roman" w:cs="Times New Roman"/>
              </w:rPr>
            </w:pPr>
            <w:r>
              <w:rPr>
                <w:rFonts w:ascii="Times New Roman" w:hAnsi="Times New Roman" w:cs="Times New Roman"/>
              </w:rPr>
              <w:t xml:space="preserve"> (без потерь т/э)</w:t>
            </w:r>
          </w:p>
        </w:tc>
        <w:tc>
          <w:tcPr>
            <w:tcW w:w="1233" w:type="dxa"/>
            <w:tcBorders>
              <w:top w:val="single" w:sz="4" w:space="0" w:color="auto"/>
              <w:left w:val="single" w:sz="4" w:space="0" w:color="auto"/>
              <w:bottom w:val="single" w:sz="4" w:space="0" w:color="auto"/>
              <w:right w:val="single" w:sz="4" w:space="0" w:color="auto"/>
            </w:tcBorders>
            <w:vAlign w:val="bottom"/>
            <w:hideMark/>
          </w:tcPr>
          <w:p w:rsidR="005727C2" w:rsidRDefault="005727C2">
            <w:pPr>
              <w:jc w:val="center"/>
              <w:rPr>
                <w:b/>
                <w:bCs/>
                <w:lang w:eastAsia="en-US"/>
              </w:rPr>
            </w:pPr>
            <w:r>
              <w:rPr>
                <w:b/>
                <w:bCs/>
                <w:sz w:val="22"/>
                <w:szCs w:val="22"/>
                <w:lang w:eastAsia="en-US"/>
              </w:rPr>
              <w:t>11 349,177</w:t>
            </w:r>
          </w:p>
        </w:tc>
        <w:tc>
          <w:tcPr>
            <w:tcW w:w="1264" w:type="dxa"/>
            <w:tcBorders>
              <w:top w:val="single" w:sz="4" w:space="0" w:color="auto"/>
              <w:left w:val="single" w:sz="4" w:space="0" w:color="auto"/>
              <w:bottom w:val="single" w:sz="4" w:space="0" w:color="auto"/>
              <w:right w:val="single" w:sz="4" w:space="0" w:color="auto"/>
            </w:tcBorders>
            <w:vAlign w:val="bottom"/>
            <w:hideMark/>
          </w:tcPr>
          <w:p w:rsidR="005727C2" w:rsidRDefault="005727C2">
            <w:pPr>
              <w:jc w:val="center"/>
              <w:rPr>
                <w:b/>
                <w:bCs/>
                <w:lang w:eastAsia="en-US"/>
              </w:rPr>
            </w:pPr>
            <w:r>
              <w:rPr>
                <w:b/>
                <w:bCs/>
                <w:sz w:val="22"/>
                <w:szCs w:val="22"/>
                <w:lang w:eastAsia="en-US"/>
              </w:rPr>
              <w:t>11 221,633</w:t>
            </w:r>
          </w:p>
        </w:tc>
        <w:tc>
          <w:tcPr>
            <w:tcW w:w="1212" w:type="dxa"/>
            <w:tcBorders>
              <w:top w:val="single" w:sz="4" w:space="0" w:color="auto"/>
              <w:left w:val="single" w:sz="4" w:space="0" w:color="auto"/>
              <w:bottom w:val="single" w:sz="4" w:space="0" w:color="auto"/>
              <w:right w:val="single" w:sz="4" w:space="0" w:color="auto"/>
            </w:tcBorders>
            <w:vAlign w:val="bottom"/>
            <w:hideMark/>
          </w:tcPr>
          <w:p w:rsidR="005727C2" w:rsidRDefault="005727C2">
            <w:pPr>
              <w:jc w:val="center"/>
              <w:rPr>
                <w:b/>
                <w:bCs/>
                <w:lang w:val="en-US" w:eastAsia="en-US"/>
              </w:rPr>
            </w:pPr>
            <w:r>
              <w:rPr>
                <w:b/>
                <w:bCs/>
                <w:sz w:val="22"/>
                <w:szCs w:val="22"/>
                <w:lang w:eastAsia="en-US"/>
              </w:rPr>
              <w:t>11 </w:t>
            </w:r>
            <w:r>
              <w:rPr>
                <w:b/>
                <w:bCs/>
                <w:sz w:val="22"/>
                <w:szCs w:val="22"/>
                <w:lang w:val="en-US" w:eastAsia="en-US"/>
              </w:rPr>
              <w:t>945</w:t>
            </w:r>
            <w:r>
              <w:rPr>
                <w:b/>
                <w:bCs/>
                <w:sz w:val="22"/>
                <w:szCs w:val="22"/>
                <w:lang w:eastAsia="en-US"/>
              </w:rPr>
              <w:t>,</w:t>
            </w:r>
            <w:r>
              <w:rPr>
                <w:b/>
                <w:bCs/>
                <w:sz w:val="22"/>
                <w:szCs w:val="22"/>
                <w:lang w:val="en-US" w:eastAsia="en-US"/>
              </w:rPr>
              <w:t>235</w:t>
            </w:r>
          </w:p>
        </w:tc>
        <w:tc>
          <w:tcPr>
            <w:tcW w:w="1370" w:type="dxa"/>
            <w:tcBorders>
              <w:top w:val="single" w:sz="4" w:space="0" w:color="auto"/>
              <w:left w:val="single" w:sz="4" w:space="0" w:color="auto"/>
              <w:bottom w:val="single" w:sz="4" w:space="0" w:color="auto"/>
              <w:right w:val="single" w:sz="4" w:space="0" w:color="auto"/>
            </w:tcBorders>
            <w:noWrap/>
            <w:vAlign w:val="bottom"/>
            <w:hideMark/>
          </w:tcPr>
          <w:p w:rsidR="005727C2" w:rsidRDefault="005727C2">
            <w:pPr>
              <w:jc w:val="center"/>
              <w:rPr>
                <w:b/>
                <w:bCs/>
                <w:lang w:eastAsia="en-US"/>
              </w:rPr>
            </w:pPr>
            <w:r>
              <w:rPr>
                <w:b/>
                <w:bCs/>
                <w:sz w:val="22"/>
                <w:szCs w:val="22"/>
                <w:lang w:eastAsia="en-US"/>
              </w:rPr>
              <w:t>723,602</w:t>
            </w:r>
          </w:p>
        </w:tc>
        <w:tc>
          <w:tcPr>
            <w:tcW w:w="1158" w:type="dxa"/>
            <w:tcBorders>
              <w:top w:val="single" w:sz="4" w:space="0" w:color="auto"/>
              <w:left w:val="single" w:sz="4" w:space="0" w:color="auto"/>
              <w:bottom w:val="single" w:sz="4" w:space="0" w:color="auto"/>
              <w:right w:val="single" w:sz="4" w:space="0" w:color="auto"/>
            </w:tcBorders>
            <w:noWrap/>
            <w:vAlign w:val="bottom"/>
            <w:hideMark/>
          </w:tcPr>
          <w:p w:rsidR="005727C2" w:rsidRDefault="005727C2">
            <w:pPr>
              <w:jc w:val="center"/>
              <w:rPr>
                <w:b/>
                <w:lang w:eastAsia="en-US"/>
              </w:rPr>
            </w:pPr>
            <w:r>
              <w:rPr>
                <w:b/>
                <w:sz w:val="22"/>
                <w:szCs w:val="22"/>
                <w:lang w:eastAsia="en-US"/>
              </w:rPr>
              <w:t>106,45</w:t>
            </w:r>
          </w:p>
        </w:tc>
      </w:tr>
      <w:tr w:rsidR="005727C2" w:rsidTr="00D730C3">
        <w:trPr>
          <w:trHeight w:val="510"/>
        </w:trPr>
        <w:tc>
          <w:tcPr>
            <w:tcW w:w="3969" w:type="dxa"/>
            <w:tcBorders>
              <w:top w:val="single" w:sz="4" w:space="0" w:color="auto"/>
              <w:left w:val="single" w:sz="4" w:space="0" w:color="auto"/>
              <w:bottom w:val="single" w:sz="4" w:space="0" w:color="auto"/>
              <w:right w:val="single" w:sz="4" w:space="0" w:color="auto"/>
            </w:tcBorders>
            <w:vAlign w:val="bottom"/>
            <w:hideMark/>
          </w:tcPr>
          <w:p w:rsidR="005727C2" w:rsidRDefault="005727C2">
            <w:pPr>
              <w:pStyle w:val="afa"/>
              <w:rPr>
                <w:rFonts w:ascii="Times New Roman" w:hAnsi="Times New Roman" w:cs="Times New Roman"/>
              </w:rPr>
            </w:pPr>
            <w:r>
              <w:rPr>
                <w:rFonts w:ascii="Times New Roman" w:hAnsi="Times New Roman" w:cs="Times New Roman"/>
              </w:rPr>
              <w:t>Отпуск тепловой энергии с коллекторов АО «СИБЭКО» всего, в том числе</w:t>
            </w:r>
          </w:p>
        </w:tc>
        <w:tc>
          <w:tcPr>
            <w:tcW w:w="1233" w:type="dxa"/>
            <w:tcBorders>
              <w:top w:val="single" w:sz="4" w:space="0" w:color="auto"/>
              <w:left w:val="single" w:sz="4" w:space="0" w:color="auto"/>
              <w:bottom w:val="single" w:sz="4" w:space="0" w:color="auto"/>
              <w:right w:val="single" w:sz="4" w:space="0" w:color="auto"/>
            </w:tcBorders>
            <w:vAlign w:val="bottom"/>
            <w:hideMark/>
          </w:tcPr>
          <w:p w:rsidR="005727C2" w:rsidRDefault="005727C2">
            <w:pPr>
              <w:jc w:val="center"/>
              <w:rPr>
                <w:b/>
                <w:bCs/>
                <w:lang w:eastAsia="en-US"/>
              </w:rPr>
            </w:pPr>
            <w:r>
              <w:rPr>
                <w:b/>
                <w:bCs/>
                <w:sz w:val="22"/>
                <w:szCs w:val="22"/>
                <w:lang w:eastAsia="en-US"/>
              </w:rPr>
              <w:t>13 500,200</w:t>
            </w:r>
          </w:p>
        </w:tc>
        <w:tc>
          <w:tcPr>
            <w:tcW w:w="1264" w:type="dxa"/>
            <w:tcBorders>
              <w:top w:val="single" w:sz="4" w:space="0" w:color="auto"/>
              <w:left w:val="single" w:sz="4" w:space="0" w:color="auto"/>
              <w:bottom w:val="single" w:sz="4" w:space="0" w:color="auto"/>
              <w:right w:val="single" w:sz="4" w:space="0" w:color="auto"/>
            </w:tcBorders>
            <w:vAlign w:val="bottom"/>
            <w:hideMark/>
          </w:tcPr>
          <w:p w:rsidR="005727C2" w:rsidRDefault="005727C2">
            <w:pPr>
              <w:jc w:val="center"/>
              <w:rPr>
                <w:b/>
                <w:bCs/>
                <w:lang w:eastAsia="en-US"/>
              </w:rPr>
            </w:pPr>
            <w:r>
              <w:rPr>
                <w:b/>
                <w:bCs/>
                <w:sz w:val="22"/>
                <w:szCs w:val="22"/>
                <w:lang w:eastAsia="en-US"/>
              </w:rPr>
              <w:t>13 524,653</w:t>
            </w:r>
          </w:p>
        </w:tc>
        <w:tc>
          <w:tcPr>
            <w:tcW w:w="1212" w:type="dxa"/>
            <w:tcBorders>
              <w:top w:val="single" w:sz="4" w:space="0" w:color="auto"/>
              <w:left w:val="single" w:sz="4" w:space="0" w:color="auto"/>
              <w:bottom w:val="single" w:sz="4" w:space="0" w:color="auto"/>
              <w:right w:val="single" w:sz="4" w:space="0" w:color="auto"/>
            </w:tcBorders>
            <w:vAlign w:val="bottom"/>
            <w:hideMark/>
          </w:tcPr>
          <w:p w:rsidR="005727C2" w:rsidRDefault="005727C2">
            <w:pPr>
              <w:jc w:val="center"/>
              <w:rPr>
                <w:b/>
                <w:bCs/>
                <w:lang w:eastAsia="en-US"/>
              </w:rPr>
            </w:pPr>
            <w:r>
              <w:rPr>
                <w:b/>
                <w:bCs/>
                <w:sz w:val="22"/>
                <w:szCs w:val="22"/>
                <w:lang w:eastAsia="en-US"/>
              </w:rPr>
              <w:t>14 284,15</w:t>
            </w:r>
          </w:p>
        </w:tc>
        <w:tc>
          <w:tcPr>
            <w:tcW w:w="1370" w:type="dxa"/>
            <w:tcBorders>
              <w:top w:val="single" w:sz="4" w:space="0" w:color="auto"/>
              <w:left w:val="single" w:sz="4" w:space="0" w:color="auto"/>
              <w:bottom w:val="single" w:sz="4" w:space="0" w:color="auto"/>
              <w:right w:val="single" w:sz="4" w:space="0" w:color="auto"/>
            </w:tcBorders>
            <w:noWrap/>
            <w:vAlign w:val="bottom"/>
            <w:hideMark/>
          </w:tcPr>
          <w:p w:rsidR="005727C2" w:rsidRDefault="005727C2">
            <w:pPr>
              <w:jc w:val="center"/>
              <w:rPr>
                <w:b/>
                <w:bCs/>
                <w:lang w:eastAsia="en-US"/>
              </w:rPr>
            </w:pPr>
            <w:r>
              <w:rPr>
                <w:b/>
                <w:bCs/>
                <w:sz w:val="22"/>
                <w:szCs w:val="22"/>
                <w:lang w:eastAsia="en-US"/>
              </w:rPr>
              <w:t>759,497</w:t>
            </w:r>
          </w:p>
        </w:tc>
        <w:tc>
          <w:tcPr>
            <w:tcW w:w="1158" w:type="dxa"/>
            <w:tcBorders>
              <w:top w:val="single" w:sz="4" w:space="0" w:color="auto"/>
              <w:left w:val="single" w:sz="4" w:space="0" w:color="auto"/>
              <w:bottom w:val="single" w:sz="4" w:space="0" w:color="auto"/>
              <w:right w:val="single" w:sz="4" w:space="0" w:color="auto"/>
            </w:tcBorders>
            <w:noWrap/>
            <w:vAlign w:val="bottom"/>
            <w:hideMark/>
          </w:tcPr>
          <w:p w:rsidR="005727C2" w:rsidRDefault="005727C2">
            <w:pPr>
              <w:jc w:val="center"/>
              <w:rPr>
                <w:b/>
                <w:bCs/>
                <w:lang w:eastAsia="en-US"/>
              </w:rPr>
            </w:pPr>
            <w:r>
              <w:rPr>
                <w:b/>
                <w:bCs/>
                <w:sz w:val="22"/>
                <w:szCs w:val="22"/>
                <w:lang w:eastAsia="en-US"/>
              </w:rPr>
              <w:t>105,62</w:t>
            </w:r>
          </w:p>
        </w:tc>
      </w:tr>
      <w:tr w:rsidR="005727C2" w:rsidTr="00D730C3">
        <w:trPr>
          <w:trHeight w:val="255"/>
        </w:trPr>
        <w:tc>
          <w:tcPr>
            <w:tcW w:w="3969" w:type="dxa"/>
            <w:tcBorders>
              <w:top w:val="single" w:sz="4" w:space="0" w:color="auto"/>
              <w:left w:val="single" w:sz="4" w:space="0" w:color="auto"/>
              <w:bottom w:val="single" w:sz="4" w:space="0" w:color="auto"/>
              <w:right w:val="single" w:sz="4" w:space="0" w:color="auto"/>
            </w:tcBorders>
            <w:noWrap/>
            <w:vAlign w:val="bottom"/>
            <w:hideMark/>
          </w:tcPr>
          <w:p w:rsidR="005727C2" w:rsidRDefault="005727C2" w:rsidP="00D730C3">
            <w:pPr>
              <w:pStyle w:val="afa"/>
              <w:rPr>
                <w:rFonts w:ascii="Times New Roman" w:hAnsi="Times New Roman" w:cs="Times New Roman"/>
              </w:rPr>
            </w:pPr>
            <w:r>
              <w:rPr>
                <w:rFonts w:ascii="Times New Roman" w:hAnsi="Times New Roman" w:cs="Times New Roman"/>
              </w:rPr>
              <w:t xml:space="preserve"> </w:t>
            </w:r>
            <w:r w:rsidR="00D730C3">
              <w:rPr>
                <w:rFonts w:ascii="Times New Roman" w:hAnsi="Times New Roman" w:cs="Times New Roman"/>
              </w:rPr>
              <w:t>ТЭС (ТЭЦ)</w:t>
            </w:r>
          </w:p>
        </w:tc>
        <w:tc>
          <w:tcPr>
            <w:tcW w:w="1233" w:type="dxa"/>
            <w:tcBorders>
              <w:top w:val="single" w:sz="4" w:space="0" w:color="auto"/>
              <w:left w:val="single" w:sz="4" w:space="0" w:color="auto"/>
              <w:bottom w:val="single" w:sz="4" w:space="0" w:color="auto"/>
              <w:right w:val="single" w:sz="4" w:space="0" w:color="auto"/>
            </w:tcBorders>
            <w:vAlign w:val="bottom"/>
            <w:hideMark/>
          </w:tcPr>
          <w:p w:rsidR="005727C2" w:rsidRDefault="005727C2">
            <w:pPr>
              <w:jc w:val="center"/>
              <w:rPr>
                <w:lang w:eastAsia="en-US"/>
              </w:rPr>
            </w:pPr>
            <w:r>
              <w:rPr>
                <w:sz w:val="22"/>
                <w:szCs w:val="22"/>
                <w:lang w:eastAsia="en-US"/>
              </w:rPr>
              <w:t>11 981,644</w:t>
            </w:r>
          </w:p>
        </w:tc>
        <w:tc>
          <w:tcPr>
            <w:tcW w:w="1264" w:type="dxa"/>
            <w:tcBorders>
              <w:top w:val="single" w:sz="4" w:space="0" w:color="auto"/>
              <w:left w:val="single" w:sz="4" w:space="0" w:color="auto"/>
              <w:bottom w:val="single" w:sz="4" w:space="0" w:color="auto"/>
              <w:right w:val="single" w:sz="4" w:space="0" w:color="auto"/>
            </w:tcBorders>
            <w:vAlign w:val="bottom"/>
            <w:hideMark/>
          </w:tcPr>
          <w:p w:rsidR="005727C2" w:rsidRDefault="005727C2">
            <w:pPr>
              <w:jc w:val="center"/>
              <w:rPr>
                <w:lang w:eastAsia="en-US"/>
              </w:rPr>
            </w:pPr>
            <w:r>
              <w:rPr>
                <w:sz w:val="22"/>
                <w:szCs w:val="22"/>
                <w:lang w:eastAsia="en-US"/>
              </w:rPr>
              <w:t>12 736,403</w:t>
            </w:r>
          </w:p>
        </w:tc>
        <w:tc>
          <w:tcPr>
            <w:tcW w:w="1212" w:type="dxa"/>
            <w:tcBorders>
              <w:top w:val="single" w:sz="4" w:space="0" w:color="auto"/>
              <w:left w:val="single" w:sz="4" w:space="0" w:color="auto"/>
              <w:bottom w:val="single" w:sz="4" w:space="0" w:color="auto"/>
              <w:right w:val="single" w:sz="4" w:space="0" w:color="auto"/>
            </w:tcBorders>
            <w:vAlign w:val="bottom"/>
            <w:hideMark/>
          </w:tcPr>
          <w:p w:rsidR="005727C2" w:rsidRDefault="005727C2">
            <w:pPr>
              <w:jc w:val="center"/>
              <w:rPr>
                <w:lang w:val="en-US" w:eastAsia="en-US"/>
              </w:rPr>
            </w:pPr>
            <w:r>
              <w:rPr>
                <w:sz w:val="22"/>
                <w:szCs w:val="22"/>
                <w:lang w:val="en-US" w:eastAsia="en-US"/>
              </w:rPr>
              <w:t>12 796</w:t>
            </w:r>
            <w:r>
              <w:rPr>
                <w:sz w:val="22"/>
                <w:szCs w:val="22"/>
                <w:lang w:eastAsia="en-US"/>
              </w:rPr>
              <w:t>,</w:t>
            </w:r>
            <w:r>
              <w:rPr>
                <w:sz w:val="22"/>
                <w:szCs w:val="22"/>
                <w:lang w:val="en-US" w:eastAsia="en-US"/>
              </w:rPr>
              <w:t>391</w:t>
            </w:r>
          </w:p>
        </w:tc>
        <w:tc>
          <w:tcPr>
            <w:tcW w:w="1370" w:type="dxa"/>
            <w:tcBorders>
              <w:top w:val="single" w:sz="4" w:space="0" w:color="auto"/>
              <w:left w:val="single" w:sz="4" w:space="0" w:color="auto"/>
              <w:bottom w:val="single" w:sz="4" w:space="0" w:color="auto"/>
              <w:right w:val="single" w:sz="4" w:space="0" w:color="auto"/>
            </w:tcBorders>
            <w:noWrap/>
            <w:vAlign w:val="bottom"/>
            <w:hideMark/>
          </w:tcPr>
          <w:p w:rsidR="005727C2" w:rsidRDefault="005727C2">
            <w:pPr>
              <w:jc w:val="center"/>
              <w:rPr>
                <w:bCs/>
                <w:lang w:eastAsia="en-US"/>
              </w:rPr>
            </w:pPr>
            <w:r>
              <w:rPr>
                <w:bCs/>
                <w:sz w:val="22"/>
                <w:szCs w:val="22"/>
                <w:lang w:eastAsia="en-US"/>
              </w:rPr>
              <w:t>59,988</w:t>
            </w:r>
          </w:p>
        </w:tc>
        <w:tc>
          <w:tcPr>
            <w:tcW w:w="1158" w:type="dxa"/>
            <w:tcBorders>
              <w:top w:val="single" w:sz="4" w:space="0" w:color="auto"/>
              <w:left w:val="single" w:sz="4" w:space="0" w:color="auto"/>
              <w:bottom w:val="single" w:sz="4" w:space="0" w:color="auto"/>
              <w:right w:val="single" w:sz="4" w:space="0" w:color="auto"/>
            </w:tcBorders>
            <w:noWrap/>
            <w:vAlign w:val="bottom"/>
            <w:hideMark/>
          </w:tcPr>
          <w:p w:rsidR="005727C2" w:rsidRDefault="005727C2">
            <w:pPr>
              <w:jc w:val="center"/>
              <w:rPr>
                <w:bCs/>
                <w:lang w:eastAsia="en-US"/>
              </w:rPr>
            </w:pPr>
            <w:r>
              <w:rPr>
                <w:bCs/>
                <w:sz w:val="22"/>
                <w:szCs w:val="22"/>
                <w:lang w:eastAsia="en-US"/>
              </w:rPr>
              <w:t>100,47</w:t>
            </w:r>
          </w:p>
        </w:tc>
      </w:tr>
      <w:tr w:rsidR="005727C2" w:rsidTr="00D730C3">
        <w:trPr>
          <w:trHeight w:val="255"/>
        </w:trPr>
        <w:tc>
          <w:tcPr>
            <w:tcW w:w="3969" w:type="dxa"/>
            <w:tcBorders>
              <w:top w:val="single" w:sz="4" w:space="0" w:color="auto"/>
              <w:left w:val="single" w:sz="4" w:space="0" w:color="auto"/>
              <w:bottom w:val="single" w:sz="4" w:space="0" w:color="auto"/>
              <w:right w:val="single" w:sz="4" w:space="0" w:color="auto"/>
            </w:tcBorders>
            <w:noWrap/>
            <w:vAlign w:val="bottom"/>
            <w:hideMark/>
          </w:tcPr>
          <w:p w:rsidR="005727C2" w:rsidRDefault="005727C2">
            <w:pPr>
              <w:pStyle w:val="afa"/>
              <w:rPr>
                <w:rFonts w:ascii="Times New Roman" w:hAnsi="Times New Roman" w:cs="Times New Roman"/>
              </w:rPr>
            </w:pPr>
            <w:r>
              <w:rPr>
                <w:rFonts w:ascii="Times New Roman" w:hAnsi="Times New Roman" w:cs="Times New Roman"/>
              </w:rPr>
              <w:t xml:space="preserve"> Локальные котельные </w:t>
            </w:r>
          </w:p>
        </w:tc>
        <w:tc>
          <w:tcPr>
            <w:tcW w:w="1233" w:type="dxa"/>
            <w:tcBorders>
              <w:top w:val="single" w:sz="4" w:space="0" w:color="auto"/>
              <w:left w:val="single" w:sz="4" w:space="0" w:color="auto"/>
              <w:bottom w:val="single" w:sz="4" w:space="0" w:color="auto"/>
              <w:right w:val="single" w:sz="4" w:space="0" w:color="auto"/>
            </w:tcBorders>
            <w:vAlign w:val="bottom"/>
            <w:hideMark/>
          </w:tcPr>
          <w:p w:rsidR="005727C2" w:rsidRDefault="005727C2">
            <w:pPr>
              <w:jc w:val="center"/>
              <w:rPr>
                <w:lang w:eastAsia="en-US"/>
              </w:rPr>
            </w:pPr>
            <w:r>
              <w:rPr>
                <w:sz w:val="22"/>
                <w:szCs w:val="22"/>
                <w:lang w:eastAsia="en-US"/>
              </w:rPr>
              <w:t>1 518,556</w:t>
            </w:r>
          </w:p>
        </w:tc>
        <w:tc>
          <w:tcPr>
            <w:tcW w:w="1264" w:type="dxa"/>
            <w:tcBorders>
              <w:top w:val="single" w:sz="4" w:space="0" w:color="auto"/>
              <w:left w:val="single" w:sz="4" w:space="0" w:color="auto"/>
              <w:bottom w:val="single" w:sz="4" w:space="0" w:color="auto"/>
              <w:right w:val="single" w:sz="4" w:space="0" w:color="auto"/>
            </w:tcBorders>
            <w:vAlign w:val="bottom"/>
            <w:hideMark/>
          </w:tcPr>
          <w:p w:rsidR="005727C2" w:rsidRDefault="005727C2">
            <w:pPr>
              <w:jc w:val="center"/>
              <w:rPr>
                <w:lang w:eastAsia="en-US"/>
              </w:rPr>
            </w:pPr>
            <w:r>
              <w:rPr>
                <w:sz w:val="22"/>
                <w:szCs w:val="22"/>
                <w:lang w:eastAsia="en-US"/>
              </w:rPr>
              <w:t>788,250</w:t>
            </w:r>
          </w:p>
        </w:tc>
        <w:tc>
          <w:tcPr>
            <w:tcW w:w="1212" w:type="dxa"/>
            <w:tcBorders>
              <w:top w:val="single" w:sz="4" w:space="0" w:color="auto"/>
              <w:left w:val="single" w:sz="4" w:space="0" w:color="auto"/>
              <w:bottom w:val="single" w:sz="4" w:space="0" w:color="auto"/>
              <w:right w:val="single" w:sz="4" w:space="0" w:color="auto"/>
            </w:tcBorders>
            <w:vAlign w:val="bottom"/>
            <w:hideMark/>
          </w:tcPr>
          <w:p w:rsidR="005727C2" w:rsidRDefault="005727C2">
            <w:pPr>
              <w:jc w:val="center"/>
              <w:rPr>
                <w:lang w:eastAsia="en-US"/>
              </w:rPr>
            </w:pPr>
            <w:r>
              <w:rPr>
                <w:sz w:val="22"/>
                <w:szCs w:val="22"/>
                <w:lang w:eastAsia="en-US"/>
              </w:rPr>
              <w:t>1 487,759</w:t>
            </w:r>
          </w:p>
        </w:tc>
        <w:tc>
          <w:tcPr>
            <w:tcW w:w="1370" w:type="dxa"/>
            <w:tcBorders>
              <w:top w:val="single" w:sz="4" w:space="0" w:color="auto"/>
              <w:left w:val="single" w:sz="4" w:space="0" w:color="auto"/>
              <w:bottom w:val="single" w:sz="4" w:space="0" w:color="auto"/>
              <w:right w:val="single" w:sz="4" w:space="0" w:color="auto"/>
            </w:tcBorders>
            <w:noWrap/>
            <w:vAlign w:val="bottom"/>
            <w:hideMark/>
          </w:tcPr>
          <w:p w:rsidR="005727C2" w:rsidRDefault="005727C2">
            <w:pPr>
              <w:jc w:val="center"/>
              <w:rPr>
                <w:bCs/>
                <w:lang w:eastAsia="en-US"/>
              </w:rPr>
            </w:pPr>
            <w:r>
              <w:rPr>
                <w:bCs/>
                <w:sz w:val="22"/>
                <w:szCs w:val="22"/>
                <w:lang w:eastAsia="en-US"/>
              </w:rPr>
              <w:t>699,509</w:t>
            </w:r>
          </w:p>
        </w:tc>
        <w:tc>
          <w:tcPr>
            <w:tcW w:w="1158" w:type="dxa"/>
            <w:tcBorders>
              <w:top w:val="single" w:sz="4" w:space="0" w:color="auto"/>
              <w:left w:val="single" w:sz="4" w:space="0" w:color="auto"/>
              <w:bottom w:val="single" w:sz="4" w:space="0" w:color="auto"/>
              <w:right w:val="single" w:sz="4" w:space="0" w:color="auto"/>
            </w:tcBorders>
            <w:noWrap/>
            <w:vAlign w:val="bottom"/>
            <w:hideMark/>
          </w:tcPr>
          <w:p w:rsidR="005727C2" w:rsidRDefault="005727C2">
            <w:pPr>
              <w:jc w:val="center"/>
              <w:rPr>
                <w:bCs/>
                <w:lang w:eastAsia="en-US"/>
              </w:rPr>
            </w:pPr>
            <w:r>
              <w:rPr>
                <w:bCs/>
                <w:sz w:val="22"/>
                <w:szCs w:val="22"/>
                <w:lang w:eastAsia="en-US"/>
              </w:rPr>
              <w:t>188,74</w:t>
            </w:r>
          </w:p>
        </w:tc>
      </w:tr>
      <w:tr w:rsidR="005727C2" w:rsidTr="00D730C3">
        <w:trPr>
          <w:trHeight w:val="98"/>
        </w:trPr>
        <w:tc>
          <w:tcPr>
            <w:tcW w:w="3969" w:type="dxa"/>
            <w:tcBorders>
              <w:top w:val="single" w:sz="4" w:space="0" w:color="auto"/>
              <w:left w:val="single" w:sz="4" w:space="0" w:color="auto"/>
              <w:bottom w:val="single" w:sz="4" w:space="0" w:color="auto"/>
              <w:right w:val="single" w:sz="4" w:space="0" w:color="auto"/>
            </w:tcBorders>
            <w:noWrap/>
            <w:vAlign w:val="bottom"/>
            <w:hideMark/>
          </w:tcPr>
          <w:p w:rsidR="005727C2" w:rsidRDefault="005727C2">
            <w:pPr>
              <w:pStyle w:val="afa"/>
              <w:rPr>
                <w:rFonts w:ascii="Times New Roman" w:hAnsi="Times New Roman" w:cs="Times New Roman"/>
              </w:rPr>
            </w:pPr>
            <w:r>
              <w:rPr>
                <w:rFonts w:ascii="Times New Roman" w:hAnsi="Times New Roman" w:cs="Times New Roman"/>
              </w:rPr>
              <w:t>Объем покупки т/э у ведомственных котельных г.Новосибирска</w:t>
            </w:r>
          </w:p>
        </w:tc>
        <w:tc>
          <w:tcPr>
            <w:tcW w:w="1233" w:type="dxa"/>
            <w:tcBorders>
              <w:top w:val="single" w:sz="4" w:space="0" w:color="auto"/>
              <w:left w:val="single" w:sz="4" w:space="0" w:color="auto"/>
              <w:bottom w:val="single" w:sz="4" w:space="0" w:color="auto"/>
              <w:right w:val="single" w:sz="4" w:space="0" w:color="auto"/>
            </w:tcBorders>
            <w:vAlign w:val="bottom"/>
            <w:hideMark/>
          </w:tcPr>
          <w:p w:rsidR="005727C2" w:rsidRDefault="005727C2">
            <w:pPr>
              <w:jc w:val="center"/>
              <w:rPr>
                <w:lang w:eastAsia="en-US"/>
              </w:rPr>
            </w:pPr>
            <w:r>
              <w:rPr>
                <w:sz w:val="22"/>
                <w:szCs w:val="22"/>
                <w:lang w:eastAsia="en-US"/>
              </w:rPr>
              <w:t>634,407</w:t>
            </w:r>
          </w:p>
        </w:tc>
        <w:tc>
          <w:tcPr>
            <w:tcW w:w="1264" w:type="dxa"/>
            <w:tcBorders>
              <w:top w:val="single" w:sz="4" w:space="0" w:color="auto"/>
              <w:left w:val="single" w:sz="4" w:space="0" w:color="auto"/>
              <w:bottom w:val="single" w:sz="4" w:space="0" w:color="auto"/>
              <w:right w:val="single" w:sz="4" w:space="0" w:color="auto"/>
            </w:tcBorders>
            <w:vAlign w:val="bottom"/>
            <w:hideMark/>
          </w:tcPr>
          <w:p w:rsidR="005727C2" w:rsidRDefault="005727C2">
            <w:pPr>
              <w:jc w:val="center"/>
              <w:rPr>
                <w:lang w:eastAsia="en-US"/>
              </w:rPr>
            </w:pPr>
            <w:r>
              <w:rPr>
                <w:sz w:val="22"/>
                <w:szCs w:val="22"/>
                <w:lang w:eastAsia="en-US"/>
              </w:rPr>
              <w:t>578,610</w:t>
            </w:r>
          </w:p>
        </w:tc>
        <w:tc>
          <w:tcPr>
            <w:tcW w:w="1212" w:type="dxa"/>
            <w:tcBorders>
              <w:top w:val="single" w:sz="4" w:space="0" w:color="auto"/>
              <w:left w:val="single" w:sz="4" w:space="0" w:color="auto"/>
              <w:bottom w:val="single" w:sz="4" w:space="0" w:color="auto"/>
              <w:right w:val="single" w:sz="4" w:space="0" w:color="auto"/>
            </w:tcBorders>
            <w:vAlign w:val="bottom"/>
            <w:hideMark/>
          </w:tcPr>
          <w:p w:rsidR="005727C2" w:rsidRDefault="005727C2">
            <w:pPr>
              <w:jc w:val="center"/>
              <w:rPr>
                <w:lang w:eastAsia="en-US"/>
              </w:rPr>
            </w:pPr>
            <w:r>
              <w:rPr>
                <w:sz w:val="22"/>
                <w:szCs w:val="22"/>
                <w:lang w:eastAsia="en-US"/>
              </w:rPr>
              <w:t>562,569</w:t>
            </w:r>
          </w:p>
        </w:tc>
        <w:tc>
          <w:tcPr>
            <w:tcW w:w="1370" w:type="dxa"/>
            <w:tcBorders>
              <w:top w:val="single" w:sz="4" w:space="0" w:color="auto"/>
              <w:left w:val="single" w:sz="4" w:space="0" w:color="auto"/>
              <w:bottom w:val="single" w:sz="4" w:space="0" w:color="auto"/>
              <w:right w:val="single" w:sz="4" w:space="0" w:color="auto"/>
            </w:tcBorders>
            <w:noWrap/>
            <w:vAlign w:val="bottom"/>
            <w:hideMark/>
          </w:tcPr>
          <w:p w:rsidR="005727C2" w:rsidRDefault="005727C2">
            <w:pPr>
              <w:jc w:val="center"/>
              <w:rPr>
                <w:bCs/>
                <w:lang w:eastAsia="en-US"/>
              </w:rPr>
            </w:pPr>
            <w:r>
              <w:rPr>
                <w:bCs/>
                <w:sz w:val="22"/>
                <w:szCs w:val="22"/>
                <w:lang w:eastAsia="en-US"/>
              </w:rPr>
              <w:t>-16,041</w:t>
            </w:r>
          </w:p>
        </w:tc>
        <w:tc>
          <w:tcPr>
            <w:tcW w:w="1158" w:type="dxa"/>
            <w:tcBorders>
              <w:top w:val="single" w:sz="4" w:space="0" w:color="auto"/>
              <w:left w:val="single" w:sz="4" w:space="0" w:color="auto"/>
              <w:bottom w:val="single" w:sz="4" w:space="0" w:color="auto"/>
              <w:right w:val="single" w:sz="4" w:space="0" w:color="auto"/>
            </w:tcBorders>
            <w:noWrap/>
            <w:vAlign w:val="bottom"/>
            <w:hideMark/>
          </w:tcPr>
          <w:p w:rsidR="005727C2" w:rsidRDefault="005727C2">
            <w:pPr>
              <w:jc w:val="center"/>
              <w:rPr>
                <w:bCs/>
                <w:lang w:eastAsia="en-US"/>
              </w:rPr>
            </w:pPr>
            <w:r>
              <w:rPr>
                <w:bCs/>
                <w:sz w:val="22"/>
                <w:szCs w:val="22"/>
                <w:lang w:eastAsia="en-US"/>
              </w:rPr>
              <w:t>97,23</w:t>
            </w:r>
          </w:p>
        </w:tc>
      </w:tr>
      <w:tr w:rsidR="005727C2" w:rsidTr="00D730C3">
        <w:trPr>
          <w:trHeight w:val="328"/>
        </w:trPr>
        <w:tc>
          <w:tcPr>
            <w:tcW w:w="3969" w:type="dxa"/>
            <w:tcBorders>
              <w:top w:val="single" w:sz="4" w:space="0" w:color="auto"/>
              <w:left w:val="single" w:sz="4" w:space="0" w:color="auto"/>
              <w:bottom w:val="single" w:sz="4" w:space="0" w:color="auto"/>
              <w:right w:val="single" w:sz="4" w:space="0" w:color="auto"/>
            </w:tcBorders>
            <w:vAlign w:val="bottom"/>
            <w:hideMark/>
          </w:tcPr>
          <w:p w:rsidR="005727C2" w:rsidRDefault="005727C2">
            <w:pPr>
              <w:pStyle w:val="afa"/>
              <w:rPr>
                <w:rFonts w:ascii="Times New Roman" w:hAnsi="Times New Roman" w:cs="Times New Roman"/>
              </w:rPr>
            </w:pPr>
            <w:r>
              <w:rPr>
                <w:rFonts w:ascii="Times New Roman" w:hAnsi="Times New Roman" w:cs="Times New Roman"/>
              </w:rPr>
              <w:t xml:space="preserve">Хозяйственные нужды </w:t>
            </w:r>
          </w:p>
          <w:p w:rsidR="005727C2" w:rsidRDefault="005727C2">
            <w:pPr>
              <w:pStyle w:val="afa"/>
              <w:rPr>
                <w:rFonts w:ascii="Times New Roman" w:hAnsi="Times New Roman" w:cs="Times New Roman"/>
              </w:rPr>
            </w:pPr>
            <w:r>
              <w:rPr>
                <w:rFonts w:ascii="Times New Roman" w:hAnsi="Times New Roman" w:cs="Times New Roman"/>
              </w:rPr>
              <w:t>АО «СИБЭКО»</w:t>
            </w:r>
          </w:p>
        </w:tc>
        <w:tc>
          <w:tcPr>
            <w:tcW w:w="1233" w:type="dxa"/>
            <w:tcBorders>
              <w:top w:val="single" w:sz="4" w:space="0" w:color="auto"/>
              <w:left w:val="single" w:sz="4" w:space="0" w:color="auto"/>
              <w:bottom w:val="single" w:sz="4" w:space="0" w:color="auto"/>
              <w:right w:val="single" w:sz="4" w:space="0" w:color="auto"/>
            </w:tcBorders>
            <w:vAlign w:val="bottom"/>
            <w:hideMark/>
          </w:tcPr>
          <w:p w:rsidR="005727C2" w:rsidRDefault="005727C2">
            <w:pPr>
              <w:jc w:val="center"/>
              <w:rPr>
                <w:lang w:eastAsia="en-US"/>
              </w:rPr>
            </w:pPr>
            <w:r>
              <w:rPr>
                <w:sz w:val="22"/>
                <w:szCs w:val="22"/>
                <w:lang w:eastAsia="en-US"/>
              </w:rPr>
              <w:t>25,215</w:t>
            </w:r>
          </w:p>
        </w:tc>
        <w:tc>
          <w:tcPr>
            <w:tcW w:w="1264" w:type="dxa"/>
            <w:tcBorders>
              <w:top w:val="single" w:sz="4" w:space="0" w:color="auto"/>
              <w:left w:val="single" w:sz="4" w:space="0" w:color="auto"/>
              <w:bottom w:val="single" w:sz="4" w:space="0" w:color="auto"/>
              <w:right w:val="single" w:sz="4" w:space="0" w:color="auto"/>
            </w:tcBorders>
            <w:vAlign w:val="bottom"/>
            <w:hideMark/>
          </w:tcPr>
          <w:p w:rsidR="005727C2" w:rsidRDefault="005727C2">
            <w:pPr>
              <w:jc w:val="center"/>
              <w:rPr>
                <w:lang w:eastAsia="en-US"/>
              </w:rPr>
            </w:pPr>
            <w:r>
              <w:rPr>
                <w:sz w:val="22"/>
                <w:szCs w:val="22"/>
                <w:lang w:eastAsia="en-US"/>
              </w:rPr>
              <w:t>0,0</w:t>
            </w:r>
          </w:p>
        </w:tc>
        <w:tc>
          <w:tcPr>
            <w:tcW w:w="1212" w:type="dxa"/>
            <w:tcBorders>
              <w:top w:val="single" w:sz="4" w:space="0" w:color="auto"/>
              <w:left w:val="single" w:sz="4" w:space="0" w:color="auto"/>
              <w:bottom w:val="single" w:sz="4" w:space="0" w:color="auto"/>
              <w:right w:val="single" w:sz="4" w:space="0" w:color="auto"/>
            </w:tcBorders>
            <w:vAlign w:val="bottom"/>
            <w:hideMark/>
          </w:tcPr>
          <w:p w:rsidR="005727C2" w:rsidRDefault="005727C2">
            <w:pPr>
              <w:jc w:val="center"/>
              <w:rPr>
                <w:lang w:eastAsia="en-US"/>
              </w:rPr>
            </w:pPr>
            <w:r>
              <w:rPr>
                <w:sz w:val="22"/>
                <w:szCs w:val="22"/>
                <w:lang w:eastAsia="en-US"/>
              </w:rPr>
              <w:t>20,008</w:t>
            </w:r>
          </w:p>
        </w:tc>
        <w:tc>
          <w:tcPr>
            <w:tcW w:w="1370" w:type="dxa"/>
            <w:tcBorders>
              <w:top w:val="single" w:sz="4" w:space="0" w:color="auto"/>
              <w:left w:val="single" w:sz="4" w:space="0" w:color="auto"/>
              <w:bottom w:val="single" w:sz="4" w:space="0" w:color="auto"/>
              <w:right w:val="single" w:sz="4" w:space="0" w:color="auto"/>
            </w:tcBorders>
            <w:noWrap/>
            <w:vAlign w:val="bottom"/>
            <w:hideMark/>
          </w:tcPr>
          <w:p w:rsidR="005727C2" w:rsidRDefault="005727C2">
            <w:pPr>
              <w:jc w:val="center"/>
              <w:rPr>
                <w:bCs/>
                <w:lang w:eastAsia="en-US"/>
              </w:rPr>
            </w:pPr>
            <w:r>
              <w:rPr>
                <w:bCs/>
                <w:sz w:val="22"/>
                <w:szCs w:val="22"/>
                <w:lang w:eastAsia="en-US"/>
              </w:rPr>
              <w:t>20,008</w:t>
            </w:r>
          </w:p>
        </w:tc>
        <w:tc>
          <w:tcPr>
            <w:tcW w:w="1158" w:type="dxa"/>
            <w:tcBorders>
              <w:top w:val="single" w:sz="4" w:space="0" w:color="auto"/>
              <w:left w:val="single" w:sz="4" w:space="0" w:color="auto"/>
              <w:bottom w:val="single" w:sz="4" w:space="0" w:color="auto"/>
              <w:right w:val="single" w:sz="4" w:space="0" w:color="auto"/>
            </w:tcBorders>
            <w:noWrap/>
            <w:vAlign w:val="bottom"/>
          </w:tcPr>
          <w:p w:rsidR="005727C2" w:rsidRDefault="005727C2">
            <w:pPr>
              <w:jc w:val="center"/>
              <w:rPr>
                <w:bCs/>
                <w:lang w:eastAsia="en-US"/>
              </w:rPr>
            </w:pPr>
          </w:p>
        </w:tc>
      </w:tr>
      <w:tr w:rsidR="005727C2" w:rsidTr="00D730C3">
        <w:trPr>
          <w:trHeight w:val="510"/>
        </w:trPr>
        <w:tc>
          <w:tcPr>
            <w:tcW w:w="3969" w:type="dxa"/>
            <w:tcBorders>
              <w:top w:val="single" w:sz="4" w:space="0" w:color="auto"/>
              <w:left w:val="single" w:sz="4" w:space="0" w:color="auto"/>
              <w:bottom w:val="single" w:sz="4" w:space="0" w:color="auto"/>
              <w:right w:val="single" w:sz="4" w:space="0" w:color="auto"/>
            </w:tcBorders>
            <w:vAlign w:val="bottom"/>
            <w:hideMark/>
          </w:tcPr>
          <w:p w:rsidR="005727C2" w:rsidRDefault="005727C2">
            <w:pPr>
              <w:pStyle w:val="afa"/>
              <w:rPr>
                <w:rFonts w:ascii="Times New Roman" w:hAnsi="Times New Roman" w:cs="Times New Roman"/>
                <w:highlight w:val="yellow"/>
              </w:rPr>
            </w:pPr>
            <w:r>
              <w:rPr>
                <w:rFonts w:ascii="Times New Roman" w:hAnsi="Times New Roman" w:cs="Times New Roman"/>
              </w:rPr>
              <w:t>Технологический расход (потери) тепловой энергии в сетях АО «СИБЭКО» и прочих ТСО</w:t>
            </w:r>
          </w:p>
        </w:tc>
        <w:tc>
          <w:tcPr>
            <w:tcW w:w="1233" w:type="dxa"/>
            <w:tcBorders>
              <w:top w:val="single" w:sz="4" w:space="0" w:color="auto"/>
              <w:left w:val="single" w:sz="4" w:space="0" w:color="auto"/>
              <w:bottom w:val="single" w:sz="4" w:space="0" w:color="auto"/>
              <w:right w:val="single" w:sz="4" w:space="0" w:color="auto"/>
            </w:tcBorders>
            <w:vAlign w:val="bottom"/>
            <w:hideMark/>
          </w:tcPr>
          <w:p w:rsidR="005727C2" w:rsidRDefault="005727C2">
            <w:pPr>
              <w:jc w:val="center"/>
              <w:rPr>
                <w:lang w:eastAsia="en-US"/>
              </w:rPr>
            </w:pPr>
            <w:r>
              <w:rPr>
                <w:sz w:val="22"/>
                <w:szCs w:val="22"/>
                <w:lang w:eastAsia="en-US"/>
              </w:rPr>
              <w:t>2 760,215</w:t>
            </w:r>
          </w:p>
        </w:tc>
        <w:tc>
          <w:tcPr>
            <w:tcW w:w="1264" w:type="dxa"/>
            <w:tcBorders>
              <w:top w:val="single" w:sz="4" w:space="0" w:color="auto"/>
              <w:left w:val="single" w:sz="4" w:space="0" w:color="auto"/>
              <w:bottom w:val="single" w:sz="4" w:space="0" w:color="auto"/>
              <w:right w:val="single" w:sz="4" w:space="0" w:color="auto"/>
            </w:tcBorders>
            <w:vAlign w:val="bottom"/>
            <w:hideMark/>
          </w:tcPr>
          <w:p w:rsidR="005727C2" w:rsidRDefault="005727C2">
            <w:pPr>
              <w:jc w:val="center"/>
              <w:rPr>
                <w:lang w:eastAsia="en-US"/>
              </w:rPr>
            </w:pPr>
            <w:r>
              <w:rPr>
                <w:sz w:val="22"/>
                <w:szCs w:val="22"/>
                <w:lang w:eastAsia="en-US"/>
              </w:rPr>
              <w:t>2 881,630</w:t>
            </w:r>
          </w:p>
        </w:tc>
        <w:tc>
          <w:tcPr>
            <w:tcW w:w="1212" w:type="dxa"/>
            <w:tcBorders>
              <w:top w:val="single" w:sz="4" w:space="0" w:color="auto"/>
              <w:left w:val="single" w:sz="4" w:space="0" w:color="auto"/>
              <w:bottom w:val="single" w:sz="4" w:space="0" w:color="auto"/>
              <w:right w:val="single" w:sz="4" w:space="0" w:color="auto"/>
            </w:tcBorders>
            <w:vAlign w:val="bottom"/>
            <w:hideMark/>
          </w:tcPr>
          <w:p w:rsidR="005727C2" w:rsidRDefault="005727C2">
            <w:pPr>
              <w:jc w:val="center"/>
              <w:rPr>
                <w:lang w:eastAsia="en-US"/>
              </w:rPr>
            </w:pPr>
            <w:r>
              <w:rPr>
                <w:sz w:val="22"/>
                <w:szCs w:val="22"/>
                <w:lang w:eastAsia="en-US"/>
              </w:rPr>
              <w:t>2 881,475</w:t>
            </w:r>
          </w:p>
        </w:tc>
        <w:tc>
          <w:tcPr>
            <w:tcW w:w="1370" w:type="dxa"/>
            <w:tcBorders>
              <w:top w:val="single" w:sz="4" w:space="0" w:color="auto"/>
              <w:left w:val="single" w:sz="4" w:space="0" w:color="auto"/>
              <w:bottom w:val="single" w:sz="4" w:space="0" w:color="auto"/>
              <w:right w:val="single" w:sz="4" w:space="0" w:color="auto"/>
            </w:tcBorders>
            <w:noWrap/>
            <w:vAlign w:val="bottom"/>
            <w:hideMark/>
          </w:tcPr>
          <w:p w:rsidR="005727C2" w:rsidRDefault="005727C2">
            <w:pPr>
              <w:jc w:val="center"/>
              <w:rPr>
                <w:bCs/>
                <w:lang w:eastAsia="en-US"/>
              </w:rPr>
            </w:pPr>
            <w:r>
              <w:rPr>
                <w:bCs/>
                <w:sz w:val="22"/>
                <w:szCs w:val="22"/>
                <w:lang w:eastAsia="en-US"/>
              </w:rPr>
              <w:t>-0,155</w:t>
            </w:r>
          </w:p>
        </w:tc>
        <w:tc>
          <w:tcPr>
            <w:tcW w:w="1158" w:type="dxa"/>
            <w:tcBorders>
              <w:top w:val="single" w:sz="4" w:space="0" w:color="auto"/>
              <w:left w:val="single" w:sz="4" w:space="0" w:color="auto"/>
              <w:bottom w:val="single" w:sz="4" w:space="0" w:color="auto"/>
              <w:right w:val="single" w:sz="4" w:space="0" w:color="auto"/>
            </w:tcBorders>
            <w:noWrap/>
            <w:vAlign w:val="bottom"/>
            <w:hideMark/>
          </w:tcPr>
          <w:p w:rsidR="005727C2" w:rsidRDefault="005727C2">
            <w:pPr>
              <w:jc w:val="center"/>
              <w:rPr>
                <w:bCs/>
                <w:lang w:eastAsia="en-US"/>
              </w:rPr>
            </w:pPr>
            <w:r>
              <w:rPr>
                <w:bCs/>
                <w:sz w:val="22"/>
                <w:szCs w:val="22"/>
                <w:lang w:eastAsia="en-US"/>
              </w:rPr>
              <w:t>99,99</w:t>
            </w:r>
          </w:p>
        </w:tc>
      </w:tr>
    </w:tbl>
    <w:p w:rsidR="005727C2" w:rsidRDefault="005727C2" w:rsidP="005727C2">
      <w:pPr>
        <w:shd w:val="clear" w:color="auto" w:fill="FFFFFF"/>
        <w:autoSpaceDE w:val="0"/>
        <w:autoSpaceDN w:val="0"/>
        <w:adjustRightInd w:val="0"/>
        <w:spacing w:after="0"/>
        <w:ind w:firstLine="709"/>
        <w:jc w:val="both"/>
        <w:rPr>
          <w:sz w:val="16"/>
          <w:szCs w:val="16"/>
          <w:highlight w:val="yellow"/>
        </w:rPr>
      </w:pPr>
    </w:p>
    <w:p w:rsidR="005727C2" w:rsidRDefault="005727C2" w:rsidP="005727C2">
      <w:pPr>
        <w:pStyle w:val="afa"/>
        <w:ind w:firstLine="709"/>
        <w:jc w:val="both"/>
        <w:rPr>
          <w:rFonts w:ascii="Times New Roman" w:hAnsi="Times New Roman" w:cs="Times New Roman"/>
          <w:sz w:val="28"/>
          <w:szCs w:val="28"/>
        </w:rPr>
      </w:pPr>
      <w:r>
        <w:rPr>
          <w:rFonts w:ascii="Times New Roman" w:hAnsi="Times New Roman" w:cs="Times New Roman"/>
          <w:sz w:val="28"/>
          <w:szCs w:val="28"/>
        </w:rPr>
        <w:t>Структура потребления тепловой энергии потребителями АО «СИБЭКО» в зависимости от видов теплоносителя и термодинамических параметров пара представлена ниже (в тыс.Гкал).</w:t>
      </w:r>
    </w:p>
    <w:p w:rsidR="005727C2" w:rsidRDefault="005727C2" w:rsidP="005727C2">
      <w:pPr>
        <w:tabs>
          <w:tab w:val="num" w:pos="900"/>
        </w:tabs>
        <w:ind w:firstLine="720"/>
        <w:jc w:val="both"/>
      </w:pPr>
      <w:r>
        <w:rPr>
          <w:color w:val="FF0000"/>
          <w:sz w:val="28"/>
          <w:szCs w:val="28"/>
        </w:rPr>
        <w:tab/>
      </w:r>
      <w:r>
        <w:rPr>
          <w:color w:val="FF0000"/>
          <w:sz w:val="28"/>
          <w:szCs w:val="28"/>
        </w:rPr>
        <w:tab/>
      </w:r>
      <w:r>
        <w:rPr>
          <w:color w:val="FF0000"/>
          <w:sz w:val="28"/>
          <w:szCs w:val="28"/>
        </w:rPr>
        <w:tab/>
      </w:r>
      <w:r>
        <w:rPr>
          <w:color w:val="FF0000"/>
          <w:sz w:val="28"/>
          <w:szCs w:val="28"/>
        </w:rPr>
        <w:tab/>
      </w:r>
      <w:r>
        <w:rPr>
          <w:color w:val="FF0000"/>
          <w:sz w:val="28"/>
          <w:szCs w:val="28"/>
        </w:rPr>
        <w:tab/>
      </w:r>
      <w:r>
        <w:rPr>
          <w:color w:val="FF0000"/>
          <w:sz w:val="28"/>
          <w:szCs w:val="28"/>
        </w:rPr>
        <w:tab/>
      </w:r>
      <w:r>
        <w:rPr>
          <w:color w:val="FF0000"/>
          <w:sz w:val="28"/>
          <w:szCs w:val="28"/>
        </w:rPr>
        <w:tab/>
      </w:r>
      <w:r>
        <w:rPr>
          <w:color w:val="FF0000"/>
          <w:sz w:val="28"/>
          <w:szCs w:val="28"/>
        </w:rPr>
        <w:tab/>
      </w:r>
      <w:r>
        <w:rPr>
          <w:color w:val="FF0000"/>
          <w:sz w:val="28"/>
          <w:szCs w:val="28"/>
        </w:rPr>
        <w:tab/>
      </w:r>
      <w:r>
        <w:rPr>
          <w:color w:val="FF0000"/>
          <w:sz w:val="28"/>
          <w:szCs w:val="28"/>
        </w:rPr>
        <w:tab/>
      </w:r>
      <w:r>
        <w:rPr>
          <w:color w:val="FF0000"/>
          <w:sz w:val="28"/>
          <w:szCs w:val="28"/>
        </w:rPr>
        <w:tab/>
      </w:r>
      <w:r>
        <w:rPr>
          <w:sz w:val="28"/>
          <w:szCs w:val="28"/>
        </w:rPr>
        <w:t xml:space="preserve">   </w:t>
      </w:r>
      <w:r w:rsidR="00D730C3">
        <w:rPr>
          <w:sz w:val="28"/>
          <w:szCs w:val="28"/>
        </w:rPr>
        <w:t xml:space="preserve">            </w:t>
      </w:r>
      <w:r>
        <w:rPr>
          <w:sz w:val="28"/>
          <w:szCs w:val="28"/>
        </w:rPr>
        <w:t xml:space="preserve">    </w:t>
      </w:r>
      <w:r>
        <w:t>тыс.Гкал</w:t>
      </w:r>
    </w:p>
    <w:tbl>
      <w:tblPr>
        <w:tblW w:w="10230" w:type="dxa"/>
        <w:tblInd w:w="108" w:type="dxa"/>
        <w:tblLook w:val="04A0" w:firstRow="1" w:lastRow="0" w:firstColumn="1" w:lastColumn="0" w:noHBand="0" w:noVBand="1"/>
      </w:tblPr>
      <w:tblGrid>
        <w:gridCol w:w="3828"/>
        <w:gridCol w:w="1276"/>
        <w:gridCol w:w="1275"/>
        <w:gridCol w:w="1323"/>
        <w:gridCol w:w="1370"/>
        <w:gridCol w:w="1158"/>
      </w:tblGrid>
      <w:tr w:rsidR="005727C2" w:rsidTr="00D730C3">
        <w:trPr>
          <w:trHeight w:val="370"/>
        </w:trPr>
        <w:tc>
          <w:tcPr>
            <w:tcW w:w="3828" w:type="dxa"/>
            <w:tcBorders>
              <w:top w:val="single" w:sz="4" w:space="0" w:color="auto"/>
              <w:left w:val="single" w:sz="4" w:space="0" w:color="auto"/>
              <w:bottom w:val="single" w:sz="4" w:space="0" w:color="auto"/>
              <w:right w:val="single" w:sz="4" w:space="0" w:color="auto"/>
            </w:tcBorders>
            <w:noWrap/>
            <w:vAlign w:val="bottom"/>
            <w:hideMark/>
          </w:tcPr>
          <w:p w:rsidR="005727C2" w:rsidRDefault="005727C2">
            <w:pPr>
              <w:jc w:val="center"/>
              <w:rPr>
                <w:b/>
                <w:lang w:eastAsia="en-US"/>
              </w:rPr>
            </w:pPr>
            <w:r>
              <w:rPr>
                <w:b/>
                <w:sz w:val="22"/>
                <w:szCs w:val="22"/>
                <w:lang w:eastAsia="en-US"/>
              </w:rPr>
              <w:t>Потребители</w:t>
            </w:r>
          </w:p>
        </w:tc>
        <w:tc>
          <w:tcPr>
            <w:tcW w:w="1276" w:type="dxa"/>
            <w:tcBorders>
              <w:top w:val="single" w:sz="4" w:space="0" w:color="auto"/>
              <w:left w:val="single" w:sz="4" w:space="0" w:color="auto"/>
              <w:bottom w:val="single" w:sz="4" w:space="0" w:color="auto"/>
              <w:right w:val="single" w:sz="4" w:space="0" w:color="auto"/>
            </w:tcBorders>
            <w:noWrap/>
            <w:vAlign w:val="bottom"/>
            <w:hideMark/>
          </w:tcPr>
          <w:p w:rsidR="005727C2" w:rsidRDefault="005727C2">
            <w:pPr>
              <w:jc w:val="center"/>
              <w:rPr>
                <w:b/>
                <w:lang w:eastAsia="en-US"/>
              </w:rPr>
            </w:pPr>
            <w:r>
              <w:rPr>
                <w:b/>
                <w:sz w:val="22"/>
                <w:szCs w:val="22"/>
                <w:lang w:eastAsia="en-US"/>
              </w:rPr>
              <w:t>План 2018</w:t>
            </w:r>
          </w:p>
        </w:tc>
        <w:tc>
          <w:tcPr>
            <w:tcW w:w="1275" w:type="dxa"/>
            <w:tcBorders>
              <w:top w:val="single" w:sz="4" w:space="0" w:color="auto"/>
              <w:left w:val="single" w:sz="4" w:space="0" w:color="auto"/>
              <w:bottom w:val="single" w:sz="4" w:space="0" w:color="auto"/>
              <w:right w:val="single" w:sz="4" w:space="0" w:color="auto"/>
            </w:tcBorders>
            <w:vAlign w:val="bottom"/>
            <w:hideMark/>
          </w:tcPr>
          <w:p w:rsidR="005727C2" w:rsidRDefault="005727C2">
            <w:pPr>
              <w:jc w:val="center"/>
              <w:rPr>
                <w:b/>
                <w:lang w:val="en-US" w:eastAsia="en-US"/>
              </w:rPr>
            </w:pPr>
            <w:r>
              <w:rPr>
                <w:b/>
                <w:sz w:val="22"/>
                <w:szCs w:val="22"/>
                <w:lang w:eastAsia="en-US"/>
              </w:rPr>
              <w:t>План 201</w:t>
            </w:r>
            <w:r>
              <w:rPr>
                <w:b/>
                <w:sz w:val="22"/>
                <w:szCs w:val="22"/>
                <w:lang w:val="en-US" w:eastAsia="en-US"/>
              </w:rPr>
              <w:t>9</w:t>
            </w:r>
          </w:p>
        </w:tc>
        <w:tc>
          <w:tcPr>
            <w:tcW w:w="1323" w:type="dxa"/>
            <w:tcBorders>
              <w:top w:val="single" w:sz="4" w:space="0" w:color="auto"/>
              <w:left w:val="single" w:sz="4" w:space="0" w:color="auto"/>
              <w:bottom w:val="single" w:sz="4" w:space="0" w:color="auto"/>
              <w:right w:val="single" w:sz="4" w:space="0" w:color="auto"/>
            </w:tcBorders>
            <w:noWrap/>
            <w:vAlign w:val="bottom"/>
            <w:hideMark/>
          </w:tcPr>
          <w:p w:rsidR="005727C2" w:rsidRDefault="005727C2">
            <w:pPr>
              <w:jc w:val="center"/>
              <w:rPr>
                <w:b/>
                <w:lang w:val="en-US" w:eastAsia="en-US"/>
              </w:rPr>
            </w:pPr>
            <w:r>
              <w:rPr>
                <w:b/>
                <w:sz w:val="22"/>
                <w:szCs w:val="22"/>
                <w:lang w:eastAsia="en-US"/>
              </w:rPr>
              <w:t>План 2020</w:t>
            </w:r>
          </w:p>
        </w:tc>
        <w:tc>
          <w:tcPr>
            <w:tcW w:w="1370" w:type="dxa"/>
            <w:tcBorders>
              <w:top w:val="single" w:sz="4" w:space="0" w:color="auto"/>
              <w:left w:val="single" w:sz="4" w:space="0" w:color="auto"/>
              <w:bottom w:val="single" w:sz="4" w:space="0" w:color="auto"/>
              <w:right w:val="single" w:sz="4" w:space="0" w:color="auto"/>
            </w:tcBorders>
            <w:hideMark/>
          </w:tcPr>
          <w:p w:rsidR="005727C2" w:rsidRDefault="005727C2">
            <w:pPr>
              <w:jc w:val="center"/>
              <w:rPr>
                <w:b/>
                <w:lang w:val="en-US" w:eastAsia="en-US"/>
              </w:rPr>
            </w:pPr>
            <w:r>
              <w:rPr>
                <w:b/>
                <w:sz w:val="22"/>
                <w:szCs w:val="22"/>
                <w:lang w:eastAsia="en-US"/>
              </w:rPr>
              <w:t>отклонение 2020-2019</w:t>
            </w:r>
          </w:p>
        </w:tc>
        <w:tc>
          <w:tcPr>
            <w:tcW w:w="1158" w:type="dxa"/>
            <w:tcBorders>
              <w:top w:val="single" w:sz="4" w:space="0" w:color="auto"/>
              <w:left w:val="single" w:sz="4" w:space="0" w:color="auto"/>
              <w:bottom w:val="single" w:sz="4" w:space="0" w:color="auto"/>
              <w:right w:val="single" w:sz="4" w:space="0" w:color="auto"/>
            </w:tcBorders>
            <w:noWrap/>
            <w:vAlign w:val="bottom"/>
            <w:hideMark/>
          </w:tcPr>
          <w:p w:rsidR="005727C2" w:rsidRDefault="005727C2">
            <w:pPr>
              <w:jc w:val="center"/>
              <w:rPr>
                <w:b/>
                <w:lang w:val="en-US" w:eastAsia="en-US"/>
              </w:rPr>
            </w:pPr>
            <w:r>
              <w:rPr>
                <w:b/>
                <w:sz w:val="22"/>
                <w:szCs w:val="22"/>
                <w:lang w:eastAsia="en-US"/>
              </w:rPr>
              <w:t>в % 2020/2019</w:t>
            </w:r>
          </w:p>
        </w:tc>
      </w:tr>
      <w:tr w:rsidR="005727C2" w:rsidTr="00D730C3">
        <w:trPr>
          <w:trHeight w:val="248"/>
        </w:trPr>
        <w:tc>
          <w:tcPr>
            <w:tcW w:w="3828" w:type="dxa"/>
            <w:tcBorders>
              <w:top w:val="single" w:sz="4" w:space="0" w:color="auto"/>
              <w:left w:val="single" w:sz="4" w:space="0" w:color="auto"/>
              <w:bottom w:val="single" w:sz="4" w:space="0" w:color="auto"/>
              <w:right w:val="single" w:sz="4" w:space="0" w:color="auto"/>
            </w:tcBorders>
            <w:noWrap/>
            <w:vAlign w:val="bottom"/>
            <w:hideMark/>
          </w:tcPr>
          <w:p w:rsidR="005727C2" w:rsidRDefault="005727C2">
            <w:pPr>
              <w:rPr>
                <w:lang w:eastAsia="en-US"/>
              </w:rPr>
            </w:pPr>
            <w:r>
              <w:rPr>
                <w:sz w:val="22"/>
                <w:szCs w:val="22"/>
                <w:lang w:eastAsia="en-US"/>
              </w:rPr>
              <w:t xml:space="preserve">Всего отпущено потребителям, в т.ч. </w:t>
            </w:r>
          </w:p>
        </w:tc>
        <w:tc>
          <w:tcPr>
            <w:tcW w:w="1276" w:type="dxa"/>
            <w:tcBorders>
              <w:top w:val="nil"/>
              <w:left w:val="nil"/>
              <w:bottom w:val="single" w:sz="4" w:space="0" w:color="auto"/>
              <w:right w:val="single" w:sz="4" w:space="0" w:color="auto"/>
            </w:tcBorders>
            <w:noWrap/>
            <w:vAlign w:val="bottom"/>
            <w:hideMark/>
          </w:tcPr>
          <w:p w:rsidR="005727C2" w:rsidRDefault="005727C2">
            <w:pPr>
              <w:jc w:val="center"/>
              <w:rPr>
                <w:lang w:eastAsia="en-US"/>
              </w:rPr>
            </w:pPr>
            <w:r>
              <w:rPr>
                <w:sz w:val="22"/>
                <w:szCs w:val="22"/>
                <w:lang w:eastAsia="en-US"/>
              </w:rPr>
              <w:t>11 349,18</w:t>
            </w:r>
          </w:p>
        </w:tc>
        <w:tc>
          <w:tcPr>
            <w:tcW w:w="1275" w:type="dxa"/>
            <w:tcBorders>
              <w:top w:val="single" w:sz="4" w:space="0" w:color="auto"/>
              <w:left w:val="nil"/>
              <w:bottom w:val="single" w:sz="4" w:space="0" w:color="auto"/>
              <w:right w:val="single" w:sz="4" w:space="0" w:color="auto"/>
            </w:tcBorders>
            <w:vAlign w:val="bottom"/>
            <w:hideMark/>
          </w:tcPr>
          <w:p w:rsidR="005727C2" w:rsidRDefault="005727C2">
            <w:pPr>
              <w:jc w:val="center"/>
              <w:rPr>
                <w:lang w:eastAsia="en-US"/>
              </w:rPr>
            </w:pPr>
            <w:r>
              <w:rPr>
                <w:bCs/>
                <w:sz w:val="22"/>
                <w:szCs w:val="22"/>
                <w:lang w:eastAsia="en-US"/>
              </w:rPr>
              <w:t>11 221,633</w:t>
            </w:r>
          </w:p>
        </w:tc>
        <w:tc>
          <w:tcPr>
            <w:tcW w:w="1323" w:type="dxa"/>
            <w:tcBorders>
              <w:top w:val="single" w:sz="4" w:space="0" w:color="auto"/>
              <w:left w:val="single" w:sz="4" w:space="0" w:color="auto"/>
              <w:bottom w:val="single" w:sz="4" w:space="0" w:color="auto"/>
              <w:right w:val="single" w:sz="4" w:space="0" w:color="auto"/>
            </w:tcBorders>
            <w:noWrap/>
            <w:vAlign w:val="bottom"/>
            <w:hideMark/>
          </w:tcPr>
          <w:p w:rsidR="005727C2" w:rsidRDefault="005727C2">
            <w:pPr>
              <w:jc w:val="center"/>
              <w:rPr>
                <w:lang w:eastAsia="en-US"/>
              </w:rPr>
            </w:pPr>
            <w:r>
              <w:rPr>
                <w:bCs/>
                <w:sz w:val="22"/>
                <w:szCs w:val="22"/>
                <w:lang w:eastAsia="en-US"/>
              </w:rPr>
              <w:t>11 945,235</w:t>
            </w:r>
          </w:p>
        </w:tc>
        <w:tc>
          <w:tcPr>
            <w:tcW w:w="1370" w:type="dxa"/>
            <w:tcBorders>
              <w:top w:val="single" w:sz="4" w:space="0" w:color="auto"/>
              <w:left w:val="single" w:sz="4" w:space="0" w:color="auto"/>
              <w:bottom w:val="single" w:sz="4" w:space="0" w:color="auto"/>
              <w:right w:val="single" w:sz="4" w:space="0" w:color="auto"/>
            </w:tcBorders>
            <w:vAlign w:val="bottom"/>
            <w:hideMark/>
          </w:tcPr>
          <w:p w:rsidR="005727C2" w:rsidRDefault="005727C2">
            <w:pPr>
              <w:jc w:val="center"/>
              <w:rPr>
                <w:lang w:eastAsia="en-US"/>
              </w:rPr>
            </w:pPr>
            <w:r>
              <w:rPr>
                <w:sz w:val="22"/>
                <w:szCs w:val="22"/>
                <w:lang w:eastAsia="en-US"/>
              </w:rPr>
              <w:t>723,602</w:t>
            </w:r>
          </w:p>
        </w:tc>
        <w:tc>
          <w:tcPr>
            <w:tcW w:w="1158" w:type="dxa"/>
            <w:tcBorders>
              <w:top w:val="single" w:sz="4" w:space="0" w:color="auto"/>
              <w:left w:val="single" w:sz="4" w:space="0" w:color="auto"/>
              <w:bottom w:val="single" w:sz="4" w:space="0" w:color="auto"/>
              <w:right w:val="single" w:sz="4" w:space="0" w:color="auto"/>
            </w:tcBorders>
            <w:noWrap/>
            <w:vAlign w:val="bottom"/>
            <w:hideMark/>
          </w:tcPr>
          <w:p w:rsidR="005727C2" w:rsidRDefault="005727C2">
            <w:pPr>
              <w:jc w:val="center"/>
              <w:rPr>
                <w:highlight w:val="yellow"/>
                <w:lang w:eastAsia="en-US"/>
              </w:rPr>
            </w:pPr>
            <w:r>
              <w:rPr>
                <w:sz w:val="22"/>
                <w:szCs w:val="22"/>
                <w:lang w:eastAsia="en-US"/>
              </w:rPr>
              <w:t>106,45</w:t>
            </w:r>
          </w:p>
        </w:tc>
      </w:tr>
      <w:tr w:rsidR="005727C2" w:rsidTr="00D730C3">
        <w:trPr>
          <w:trHeight w:val="296"/>
        </w:trPr>
        <w:tc>
          <w:tcPr>
            <w:tcW w:w="3828" w:type="dxa"/>
            <w:tcBorders>
              <w:top w:val="single" w:sz="4" w:space="0" w:color="auto"/>
              <w:left w:val="single" w:sz="4" w:space="0" w:color="auto"/>
              <w:bottom w:val="single" w:sz="4" w:space="0" w:color="auto"/>
              <w:right w:val="single" w:sz="4" w:space="0" w:color="auto"/>
            </w:tcBorders>
            <w:noWrap/>
            <w:hideMark/>
          </w:tcPr>
          <w:p w:rsidR="005727C2" w:rsidRDefault="005727C2" w:rsidP="00D730C3">
            <w:pPr>
              <w:rPr>
                <w:lang w:eastAsia="en-US"/>
              </w:rPr>
            </w:pPr>
            <w:r>
              <w:rPr>
                <w:sz w:val="22"/>
                <w:szCs w:val="22"/>
                <w:lang w:eastAsia="en-US"/>
              </w:rPr>
              <w:t>Горячая вода</w:t>
            </w:r>
            <w:r w:rsidR="00D730C3">
              <w:rPr>
                <w:sz w:val="22"/>
                <w:szCs w:val="22"/>
                <w:lang w:eastAsia="en-US"/>
              </w:rPr>
              <w:t xml:space="preserve"> (с коллекторов)</w:t>
            </w:r>
          </w:p>
        </w:tc>
        <w:tc>
          <w:tcPr>
            <w:tcW w:w="1276" w:type="dxa"/>
            <w:tcBorders>
              <w:top w:val="nil"/>
              <w:left w:val="nil"/>
              <w:bottom w:val="single" w:sz="4" w:space="0" w:color="auto"/>
              <w:right w:val="single" w:sz="4" w:space="0" w:color="auto"/>
            </w:tcBorders>
            <w:noWrap/>
            <w:hideMark/>
          </w:tcPr>
          <w:p w:rsidR="005727C2" w:rsidRDefault="00D730C3" w:rsidP="00D730C3">
            <w:pPr>
              <w:jc w:val="center"/>
              <w:rPr>
                <w:lang w:eastAsia="en-US"/>
              </w:rPr>
            </w:pPr>
            <w:r>
              <w:rPr>
                <w:sz w:val="22"/>
                <w:szCs w:val="22"/>
                <w:lang w:eastAsia="en-US"/>
              </w:rPr>
              <w:t>252,48</w:t>
            </w:r>
          </w:p>
        </w:tc>
        <w:tc>
          <w:tcPr>
            <w:tcW w:w="1275" w:type="dxa"/>
            <w:tcBorders>
              <w:top w:val="single" w:sz="4" w:space="0" w:color="auto"/>
              <w:left w:val="nil"/>
              <w:bottom w:val="single" w:sz="4" w:space="0" w:color="auto"/>
              <w:right w:val="single" w:sz="4" w:space="0" w:color="auto"/>
            </w:tcBorders>
            <w:hideMark/>
          </w:tcPr>
          <w:p w:rsidR="005727C2" w:rsidRDefault="005727C2" w:rsidP="00D730C3">
            <w:pPr>
              <w:jc w:val="center"/>
              <w:rPr>
                <w:lang w:eastAsia="en-US"/>
              </w:rPr>
            </w:pPr>
            <w:r>
              <w:rPr>
                <w:sz w:val="22"/>
                <w:szCs w:val="22"/>
                <w:lang w:val="en-US" w:eastAsia="en-US"/>
              </w:rPr>
              <w:t>232</w:t>
            </w:r>
            <w:r>
              <w:rPr>
                <w:sz w:val="22"/>
                <w:szCs w:val="22"/>
                <w:lang w:eastAsia="en-US"/>
              </w:rPr>
              <w:t>,909</w:t>
            </w:r>
          </w:p>
        </w:tc>
        <w:tc>
          <w:tcPr>
            <w:tcW w:w="1323" w:type="dxa"/>
            <w:tcBorders>
              <w:top w:val="single" w:sz="4" w:space="0" w:color="auto"/>
              <w:left w:val="single" w:sz="4" w:space="0" w:color="auto"/>
              <w:bottom w:val="single" w:sz="4" w:space="0" w:color="auto"/>
              <w:right w:val="single" w:sz="4" w:space="0" w:color="auto"/>
            </w:tcBorders>
            <w:noWrap/>
            <w:hideMark/>
          </w:tcPr>
          <w:p w:rsidR="005727C2" w:rsidRDefault="005727C2" w:rsidP="00D730C3">
            <w:pPr>
              <w:jc w:val="center"/>
              <w:rPr>
                <w:lang w:eastAsia="en-US"/>
              </w:rPr>
            </w:pPr>
            <w:r>
              <w:rPr>
                <w:sz w:val="22"/>
                <w:szCs w:val="22"/>
                <w:lang w:eastAsia="en-US"/>
              </w:rPr>
              <w:t>236,775</w:t>
            </w:r>
          </w:p>
        </w:tc>
        <w:tc>
          <w:tcPr>
            <w:tcW w:w="1370" w:type="dxa"/>
            <w:tcBorders>
              <w:top w:val="single" w:sz="4" w:space="0" w:color="auto"/>
              <w:left w:val="single" w:sz="4" w:space="0" w:color="auto"/>
              <w:bottom w:val="single" w:sz="4" w:space="0" w:color="auto"/>
              <w:right w:val="single" w:sz="4" w:space="0" w:color="auto"/>
            </w:tcBorders>
            <w:hideMark/>
          </w:tcPr>
          <w:p w:rsidR="005727C2" w:rsidRDefault="005727C2" w:rsidP="00D730C3">
            <w:pPr>
              <w:jc w:val="center"/>
              <w:rPr>
                <w:lang w:eastAsia="en-US"/>
              </w:rPr>
            </w:pPr>
            <w:r>
              <w:rPr>
                <w:sz w:val="22"/>
                <w:szCs w:val="22"/>
                <w:lang w:eastAsia="en-US"/>
              </w:rPr>
              <w:t>3,866</w:t>
            </w:r>
          </w:p>
        </w:tc>
        <w:tc>
          <w:tcPr>
            <w:tcW w:w="1158" w:type="dxa"/>
            <w:tcBorders>
              <w:top w:val="single" w:sz="4" w:space="0" w:color="auto"/>
              <w:left w:val="single" w:sz="4" w:space="0" w:color="auto"/>
              <w:bottom w:val="single" w:sz="4" w:space="0" w:color="auto"/>
              <w:right w:val="single" w:sz="4" w:space="0" w:color="auto"/>
            </w:tcBorders>
            <w:noWrap/>
            <w:hideMark/>
          </w:tcPr>
          <w:p w:rsidR="005727C2" w:rsidRDefault="005727C2" w:rsidP="00D730C3">
            <w:pPr>
              <w:jc w:val="center"/>
              <w:rPr>
                <w:highlight w:val="yellow"/>
                <w:lang w:eastAsia="en-US"/>
              </w:rPr>
            </w:pPr>
            <w:r>
              <w:rPr>
                <w:sz w:val="22"/>
                <w:szCs w:val="22"/>
                <w:lang w:eastAsia="en-US"/>
              </w:rPr>
              <w:t>101,66</w:t>
            </w:r>
          </w:p>
        </w:tc>
      </w:tr>
      <w:tr w:rsidR="005727C2" w:rsidTr="00D730C3">
        <w:trPr>
          <w:trHeight w:val="146"/>
        </w:trPr>
        <w:tc>
          <w:tcPr>
            <w:tcW w:w="3828" w:type="dxa"/>
            <w:tcBorders>
              <w:top w:val="single" w:sz="4" w:space="0" w:color="auto"/>
              <w:left w:val="single" w:sz="4" w:space="0" w:color="auto"/>
              <w:bottom w:val="single" w:sz="4" w:space="0" w:color="auto"/>
              <w:right w:val="single" w:sz="4" w:space="0" w:color="auto"/>
            </w:tcBorders>
            <w:noWrap/>
            <w:vAlign w:val="bottom"/>
            <w:hideMark/>
          </w:tcPr>
          <w:p w:rsidR="005727C2" w:rsidRDefault="005727C2">
            <w:pPr>
              <w:rPr>
                <w:lang w:eastAsia="en-US"/>
              </w:rPr>
            </w:pPr>
            <w:r>
              <w:rPr>
                <w:sz w:val="22"/>
                <w:szCs w:val="22"/>
                <w:lang w:eastAsia="en-US"/>
              </w:rPr>
              <w:t xml:space="preserve"> Горячая вода (из сети)</w:t>
            </w:r>
          </w:p>
        </w:tc>
        <w:tc>
          <w:tcPr>
            <w:tcW w:w="1276" w:type="dxa"/>
            <w:tcBorders>
              <w:top w:val="single" w:sz="4" w:space="0" w:color="auto"/>
              <w:left w:val="nil"/>
              <w:bottom w:val="single" w:sz="4" w:space="0" w:color="auto"/>
              <w:right w:val="single" w:sz="4" w:space="0" w:color="auto"/>
            </w:tcBorders>
            <w:noWrap/>
            <w:vAlign w:val="bottom"/>
            <w:hideMark/>
          </w:tcPr>
          <w:p w:rsidR="005727C2" w:rsidRDefault="005727C2" w:rsidP="00E06C7A">
            <w:pPr>
              <w:jc w:val="center"/>
              <w:rPr>
                <w:lang w:eastAsia="en-US"/>
              </w:rPr>
            </w:pPr>
            <w:r>
              <w:rPr>
                <w:sz w:val="22"/>
                <w:szCs w:val="22"/>
                <w:lang w:eastAsia="en-US"/>
              </w:rPr>
              <w:t>10 934,58</w:t>
            </w:r>
          </w:p>
        </w:tc>
        <w:tc>
          <w:tcPr>
            <w:tcW w:w="1275" w:type="dxa"/>
            <w:tcBorders>
              <w:top w:val="single" w:sz="4" w:space="0" w:color="auto"/>
              <w:left w:val="nil"/>
              <w:bottom w:val="single" w:sz="4" w:space="0" w:color="auto"/>
              <w:right w:val="single" w:sz="4" w:space="0" w:color="auto"/>
            </w:tcBorders>
            <w:vAlign w:val="bottom"/>
            <w:hideMark/>
          </w:tcPr>
          <w:p w:rsidR="005727C2" w:rsidRDefault="005727C2" w:rsidP="00E06C7A">
            <w:pPr>
              <w:jc w:val="center"/>
              <w:rPr>
                <w:lang w:eastAsia="en-US"/>
              </w:rPr>
            </w:pPr>
            <w:r>
              <w:rPr>
                <w:sz w:val="22"/>
                <w:szCs w:val="22"/>
                <w:lang w:eastAsia="en-US"/>
              </w:rPr>
              <w:t>10 829,908</w:t>
            </w:r>
          </w:p>
        </w:tc>
        <w:tc>
          <w:tcPr>
            <w:tcW w:w="1323" w:type="dxa"/>
            <w:tcBorders>
              <w:top w:val="single" w:sz="4" w:space="0" w:color="auto"/>
              <w:left w:val="single" w:sz="4" w:space="0" w:color="auto"/>
              <w:bottom w:val="single" w:sz="4" w:space="0" w:color="auto"/>
              <w:right w:val="single" w:sz="4" w:space="0" w:color="auto"/>
            </w:tcBorders>
            <w:noWrap/>
            <w:vAlign w:val="bottom"/>
            <w:hideMark/>
          </w:tcPr>
          <w:p w:rsidR="005727C2" w:rsidRDefault="005727C2" w:rsidP="00E06C7A">
            <w:pPr>
              <w:jc w:val="center"/>
              <w:rPr>
                <w:lang w:eastAsia="en-US"/>
              </w:rPr>
            </w:pPr>
            <w:r>
              <w:rPr>
                <w:sz w:val="22"/>
                <w:szCs w:val="22"/>
                <w:lang w:eastAsia="en-US"/>
              </w:rPr>
              <w:t>11 542,949</w:t>
            </w:r>
          </w:p>
        </w:tc>
        <w:tc>
          <w:tcPr>
            <w:tcW w:w="1370" w:type="dxa"/>
            <w:tcBorders>
              <w:top w:val="single" w:sz="4" w:space="0" w:color="auto"/>
              <w:left w:val="single" w:sz="4" w:space="0" w:color="auto"/>
              <w:bottom w:val="single" w:sz="4" w:space="0" w:color="auto"/>
              <w:right w:val="single" w:sz="4" w:space="0" w:color="auto"/>
            </w:tcBorders>
            <w:vAlign w:val="bottom"/>
            <w:hideMark/>
          </w:tcPr>
          <w:p w:rsidR="005727C2" w:rsidRDefault="005727C2" w:rsidP="00E06C7A">
            <w:pPr>
              <w:jc w:val="center"/>
              <w:rPr>
                <w:lang w:eastAsia="en-US"/>
              </w:rPr>
            </w:pPr>
            <w:r>
              <w:rPr>
                <w:sz w:val="22"/>
                <w:szCs w:val="22"/>
                <w:lang w:eastAsia="en-US"/>
              </w:rPr>
              <w:t>713,041</w:t>
            </w:r>
          </w:p>
        </w:tc>
        <w:tc>
          <w:tcPr>
            <w:tcW w:w="1158" w:type="dxa"/>
            <w:tcBorders>
              <w:top w:val="single" w:sz="4" w:space="0" w:color="auto"/>
              <w:left w:val="single" w:sz="4" w:space="0" w:color="auto"/>
              <w:bottom w:val="single" w:sz="4" w:space="0" w:color="auto"/>
              <w:right w:val="single" w:sz="4" w:space="0" w:color="auto"/>
            </w:tcBorders>
            <w:noWrap/>
            <w:vAlign w:val="bottom"/>
            <w:hideMark/>
          </w:tcPr>
          <w:p w:rsidR="005727C2" w:rsidRDefault="005727C2" w:rsidP="00E06C7A">
            <w:pPr>
              <w:jc w:val="center"/>
              <w:rPr>
                <w:highlight w:val="yellow"/>
                <w:lang w:eastAsia="en-US"/>
              </w:rPr>
            </w:pPr>
            <w:r>
              <w:rPr>
                <w:sz w:val="22"/>
                <w:szCs w:val="22"/>
                <w:lang w:eastAsia="en-US"/>
              </w:rPr>
              <w:t>106,58</w:t>
            </w:r>
          </w:p>
        </w:tc>
      </w:tr>
      <w:tr w:rsidR="005727C2" w:rsidTr="00D730C3">
        <w:trPr>
          <w:trHeight w:val="144"/>
        </w:trPr>
        <w:tc>
          <w:tcPr>
            <w:tcW w:w="3828" w:type="dxa"/>
            <w:tcBorders>
              <w:top w:val="single" w:sz="4" w:space="0" w:color="auto"/>
              <w:left w:val="single" w:sz="4" w:space="0" w:color="auto"/>
              <w:bottom w:val="single" w:sz="4" w:space="0" w:color="auto"/>
              <w:right w:val="single" w:sz="4" w:space="0" w:color="auto"/>
            </w:tcBorders>
            <w:noWrap/>
            <w:vAlign w:val="bottom"/>
            <w:hideMark/>
          </w:tcPr>
          <w:p w:rsidR="005727C2" w:rsidRDefault="005727C2">
            <w:pPr>
              <w:rPr>
                <w:lang w:eastAsia="en-US"/>
              </w:rPr>
            </w:pPr>
            <w:r>
              <w:rPr>
                <w:sz w:val="22"/>
                <w:szCs w:val="22"/>
                <w:lang w:eastAsia="en-US"/>
              </w:rPr>
              <w:t xml:space="preserve"> Отборный пар (с коллекторов):</w:t>
            </w:r>
          </w:p>
        </w:tc>
        <w:tc>
          <w:tcPr>
            <w:tcW w:w="1276" w:type="dxa"/>
            <w:tcBorders>
              <w:top w:val="nil"/>
              <w:left w:val="nil"/>
              <w:bottom w:val="single" w:sz="4" w:space="0" w:color="auto"/>
              <w:right w:val="single" w:sz="4" w:space="0" w:color="auto"/>
            </w:tcBorders>
            <w:noWrap/>
            <w:vAlign w:val="bottom"/>
            <w:hideMark/>
          </w:tcPr>
          <w:p w:rsidR="005727C2" w:rsidRDefault="005727C2">
            <w:pPr>
              <w:jc w:val="center"/>
              <w:rPr>
                <w:lang w:eastAsia="en-US"/>
              </w:rPr>
            </w:pPr>
            <w:r>
              <w:rPr>
                <w:sz w:val="22"/>
                <w:szCs w:val="22"/>
                <w:lang w:eastAsia="en-US"/>
              </w:rPr>
              <w:t>136,05</w:t>
            </w:r>
          </w:p>
        </w:tc>
        <w:tc>
          <w:tcPr>
            <w:tcW w:w="1275" w:type="dxa"/>
            <w:tcBorders>
              <w:top w:val="single" w:sz="4" w:space="0" w:color="auto"/>
              <w:left w:val="nil"/>
              <w:bottom w:val="single" w:sz="4" w:space="0" w:color="auto"/>
              <w:right w:val="single" w:sz="4" w:space="0" w:color="auto"/>
            </w:tcBorders>
            <w:vAlign w:val="bottom"/>
            <w:hideMark/>
          </w:tcPr>
          <w:p w:rsidR="005727C2" w:rsidRDefault="005727C2">
            <w:pPr>
              <w:jc w:val="center"/>
              <w:rPr>
                <w:lang w:eastAsia="en-US"/>
              </w:rPr>
            </w:pPr>
            <w:r>
              <w:rPr>
                <w:sz w:val="22"/>
                <w:szCs w:val="22"/>
                <w:lang w:eastAsia="en-US"/>
              </w:rPr>
              <w:t>132,702</w:t>
            </w:r>
          </w:p>
        </w:tc>
        <w:tc>
          <w:tcPr>
            <w:tcW w:w="1323" w:type="dxa"/>
            <w:tcBorders>
              <w:top w:val="single" w:sz="4" w:space="0" w:color="auto"/>
              <w:left w:val="single" w:sz="4" w:space="0" w:color="auto"/>
              <w:bottom w:val="single" w:sz="4" w:space="0" w:color="auto"/>
              <w:right w:val="single" w:sz="4" w:space="0" w:color="auto"/>
            </w:tcBorders>
            <w:noWrap/>
            <w:vAlign w:val="bottom"/>
            <w:hideMark/>
          </w:tcPr>
          <w:p w:rsidR="005727C2" w:rsidRDefault="005727C2">
            <w:pPr>
              <w:jc w:val="center"/>
              <w:rPr>
                <w:lang w:eastAsia="en-US"/>
              </w:rPr>
            </w:pPr>
            <w:r>
              <w:rPr>
                <w:sz w:val="22"/>
                <w:szCs w:val="22"/>
                <w:lang w:eastAsia="en-US"/>
              </w:rPr>
              <w:t>144,304</w:t>
            </w:r>
          </w:p>
        </w:tc>
        <w:tc>
          <w:tcPr>
            <w:tcW w:w="1370" w:type="dxa"/>
            <w:tcBorders>
              <w:top w:val="single" w:sz="4" w:space="0" w:color="auto"/>
              <w:left w:val="single" w:sz="4" w:space="0" w:color="auto"/>
              <w:bottom w:val="single" w:sz="4" w:space="0" w:color="auto"/>
              <w:right w:val="single" w:sz="4" w:space="0" w:color="auto"/>
            </w:tcBorders>
            <w:vAlign w:val="bottom"/>
            <w:hideMark/>
          </w:tcPr>
          <w:p w:rsidR="005727C2" w:rsidRDefault="005727C2">
            <w:pPr>
              <w:jc w:val="center"/>
              <w:rPr>
                <w:lang w:eastAsia="en-US"/>
              </w:rPr>
            </w:pPr>
            <w:r>
              <w:rPr>
                <w:sz w:val="22"/>
                <w:szCs w:val="22"/>
                <w:lang w:eastAsia="en-US"/>
              </w:rPr>
              <w:t>11,602</w:t>
            </w:r>
          </w:p>
        </w:tc>
        <w:tc>
          <w:tcPr>
            <w:tcW w:w="1158" w:type="dxa"/>
            <w:tcBorders>
              <w:top w:val="single" w:sz="4" w:space="0" w:color="auto"/>
              <w:left w:val="single" w:sz="4" w:space="0" w:color="auto"/>
              <w:bottom w:val="single" w:sz="4" w:space="0" w:color="auto"/>
              <w:right w:val="single" w:sz="4" w:space="0" w:color="auto"/>
            </w:tcBorders>
            <w:noWrap/>
            <w:vAlign w:val="bottom"/>
            <w:hideMark/>
          </w:tcPr>
          <w:p w:rsidR="005727C2" w:rsidRDefault="005727C2">
            <w:pPr>
              <w:jc w:val="center"/>
              <w:rPr>
                <w:highlight w:val="yellow"/>
                <w:lang w:eastAsia="en-US"/>
              </w:rPr>
            </w:pPr>
            <w:r>
              <w:rPr>
                <w:sz w:val="22"/>
                <w:szCs w:val="22"/>
                <w:lang w:eastAsia="en-US"/>
              </w:rPr>
              <w:t>108,74</w:t>
            </w:r>
          </w:p>
        </w:tc>
      </w:tr>
      <w:tr w:rsidR="005727C2" w:rsidTr="00D730C3">
        <w:trPr>
          <w:trHeight w:val="127"/>
        </w:trPr>
        <w:tc>
          <w:tcPr>
            <w:tcW w:w="3828" w:type="dxa"/>
            <w:tcBorders>
              <w:top w:val="single" w:sz="4" w:space="0" w:color="auto"/>
              <w:left w:val="single" w:sz="4" w:space="0" w:color="auto"/>
              <w:bottom w:val="single" w:sz="4" w:space="0" w:color="auto"/>
              <w:right w:val="single" w:sz="4" w:space="0" w:color="auto"/>
            </w:tcBorders>
            <w:noWrap/>
            <w:vAlign w:val="bottom"/>
            <w:hideMark/>
          </w:tcPr>
          <w:p w:rsidR="005727C2" w:rsidRDefault="005727C2">
            <w:pPr>
              <w:rPr>
                <w:lang w:eastAsia="en-US"/>
              </w:rPr>
            </w:pPr>
            <w:r>
              <w:rPr>
                <w:sz w:val="22"/>
                <w:szCs w:val="22"/>
                <w:lang w:eastAsia="en-US"/>
              </w:rPr>
              <w:t>- от 2,5 до 7,0 кг/кв.см</w:t>
            </w:r>
          </w:p>
        </w:tc>
        <w:tc>
          <w:tcPr>
            <w:tcW w:w="1276" w:type="dxa"/>
            <w:tcBorders>
              <w:top w:val="single" w:sz="4" w:space="0" w:color="auto"/>
              <w:left w:val="single" w:sz="4" w:space="0" w:color="auto"/>
              <w:bottom w:val="single" w:sz="4" w:space="0" w:color="auto"/>
              <w:right w:val="single" w:sz="4" w:space="0" w:color="auto"/>
            </w:tcBorders>
            <w:noWrap/>
            <w:vAlign w:val="bottom"/>
            <w:hideMark/>
          </w:tcPr>
          <w:p w:rsidR="005727C2" w:rsidRDefault="005727C2">
            <w:pPr>
              <w:jc w:val="center"/>
              <w:rPr>
                <w:lang w:eastAsia="en-US"/>
              </w:rPr>
            </w:pPr>
            <w:r>
              <w:rPr>
                <w:sz w:val="22"/>
                <w:szCs w:val="22"/>
                <w:lang w:eastAsia="en-US"/>
              </w:rPr>
              <w:t>38,34</w:t>
            </w:r>
          </w:p>
        </w:tc>
        <w:tc>
          <w:tcPr>
            <w:tcW w:w="1275" w:type="dxa"/>
            <w:tcBorders>
              <w:top w:val="single" w:sz="4" w:space="0" w:color="auto"/>
              <w:left w:val="single" w:sz="4" w:space="0" w:color="auto"/>
              <w:bottom w:val="single" w:sz="4" w:space="0" w:color="auto"/>
              <w:right w:val="single" w:sz="4" w:space="0" w:color="auto"/>
            </w:tcBorders>
            <w:vAlign w:val="bottom"/>
            <w:hideMark/>
          </w:tcPr>
          <w:p w:rsidR="005727C2" w:rsidRDefault="005727C2">
            <w:pPr>
              <w:jc w:val="center"/>
              <w:rPr>
                <w:lang w:eastAsia="en-US"/>
              </w:rPr>
            </w:pPr>
            <w:r>
              <w:rPr>
                <w:sz w:val="22"/>
                <w:szCs w:val="22"/>
                <w:lang w:eastAsia="en-US"/>
              </w:rPr>
              <w:t>31,981</w:t>
            </w:r>
          </w:p>
        </w:tc>
        <w:tc>
          <w:tcPr>
            <w:tcW w:w="1323" w:type="dxa"/>
            <w:tcBorders>
              <w:top w:val="single" w:sz="4" w:space="0" w:color="auto"/>
              <w:left w:val="single" w:sz="4" w:space="0" w:color="auto"/>
              <w:bottom w:val="single" w:sz="4" w:space="0" w:color="auto"/>
              <w:right w:val="single" w:sz="4" w:space="0" w:color="auto"/>
            </w:tcBorders>
            <w:noWrap/>
            <w:vAlign w:val="bottom"/>
            <w:hideMark/>
          </w:tcPr>
          <w:p w:rsidR="005727C2" w:rsidRDefault="005727C2">
            <w:pPr>
              <w:jc w:val="center"/>
              <w:rPr>
                <w:lang w:eastAsia="en-US"/>
              </w:rPr>
            </w:pPr>
            <w:r>
              <w:rPr>
                <w:sz w:val="22"/>
                <w:szCs w:val="22"/>
                <w:lang w:eastAsia="en-US"/>
              </w:rPr>
              <w:t>37,257</w:t>
            </w:r>
          </w:p>
        </w:tc>
        <w:tc>
          <w:tcPr>
            <w:tcW w:w="1370" w:type="dxa"/>
            <w:tcBorders>
              <w:top w:val="single" w:sz="4" w:space="0" w:color="auto"/>
              <w:left w:val="single" w:sz="4" w:space="0" w:color="auto"/>
              <w:bottom w:val="single" w:sz="4" w:space="0" w:color="auto"/>
              <w:right w:val="single" w:sz="4" w:space="0" w:color="auto"/>
            </w:tcBorders>
            <w:vAlign w:val="bottom"/>
            <w:hideMark/>
          </w:tcPr>
          <w:p w:rsidR="005727C2" w:rsidRDefault="005727C2">
            <w:pPr>
              <w:jc w:val="center"/>
              <w:rPr>
                <w:lang w:eastAsia="en-US"/>
              </w:rPr>
            </w:pPr>
            <w:r>
              <w:rPr>
                <w:sz w:val="22"/>
                <w:szCs w:val="22"/>
                <w:lang w:eastAsia="en-US"/>
              </w:rPr>
              <w:t>5,276</w:t>
            </w:r>
          </w:p>
        </w:tc>
        <w:tc>
          <w:tcPr>
            <w:tcW w:w="1158" w:type="dxa"/>
            <w:tcBorders>
              <w:top w:val="single" w:sz="4" w:space="0" w:color="auto"/>
              <w:left w:val="single" w:sz="4" w:space="0" w:color="auto"/>
              <w:bottom w:val="single" w:sz="4" w:space="0" w:color="auto"/>
              <w:right w:val="single" w:sz="4" w:space="0" w:color="auto"/>
            </w:tcBorders>
            <w:noWrap/>
            <w:vAlign w:val="bottom"/>
            <w:hideMark/>
          </w:tcPr>
          <w:p w:rsidR="005727C2" w:rsidRDefault="005727C2">
            <w:pPr>
              <w:jc w:val="center"/>
              <w:rPr>
                <w:highlight w:val="yellow"/>
                <w:lang w:eastAsia="en-US"/>
              </w:rPr>
            </w:pPr>
            <w:r>
              <w:rPr>
                <w:sz w:val="22"/>
                <w:szCs w:val="22"/>
                <w:lang w:eastAsia="en-US"/>
              </w:rPr>
              <w:t>116,50</w:t>
            </w:r>
          </w:p>
        </w:tc>
      </w:tr>
      <w:tr w:rsidR="005727C2" w:rsidTr="00D730C3">
        <w:trPr>
          <w:trHeight w:val="96"/>
        </w:trPr>
        <w:tc>
          <w:tcPr>
            <w:tcW w:w="3828" w:type="dxa"/>
            <w:tcBorders>
              <w:top w:val="single" w:sz="4" w:space="0" w:color="auto"/>
              <w:left w:val="single" w:sz="4" w:space="0" w:color="auto"/>
              <w:bottom w:val="single" w:sz="4" w:space="0" w:color="auto"/>
              <w:right w:val="single" w:sz="4" w:space="0" w:color="auto"/>
            </w:tcBorders>
            <w:noWrap/>
            <w:vAlign w:val="bottom"/>
            <w:hideMark/>
          </w:tcPr>
          <w:p w:rsidR="005727C2" w:rsidRDefault="005727C2">
            <w:pPr>
              <w:rPr>
                <w:lang w:eastAsia="en-US"/>
              </w:rPr>
            </w:pPr>
            <w:r>
              <w:rPr>
                <w:sz w:val="22"/>
                <w:szCs w:val="22"/>
                <w:lang w:eastAsia="en-US"/>
              </w:rPr>
              <w:t>- от 7,0 до 13,0 кг/кв.см</w:t>
            </w:r>
          </w:p>
        </w:tc>
        <w:tc>
          <w:tcPr>
            <w:tcW w:w="1276" w:type="dxa"/>
            <w:tcBorders>
              <w:top w:val="single" w:sz="4" w:space="0" w:color="auto"/>
              <w:left w:val="nil"/>
              <w:bottom w:val="single" w:sz="4" w:space="0" w:color="auto"/>
              <w:right w:val="single" w:sz="4" w:space="0" w:color="auto"/>
            </w:tcBorders>
            <w:noWrap/>
            <w:vAlign w:val="bottom"/>
            <w:hideMark/>
          </w:tcPr>
          <w:p w:rsidR="005727C2" w:rsidRDefault="005727C2">
            <w:pPr>
              <w:jc w:val="center"/>
              <w:rPr>
                <w:lang w:eastAsia="en-US"/>
              </w:rPr>
            </w:pPr>
            <w:r>
              <w:rPr>
                <w:sz w:val="22"/>
                <w:szCs w:val="22"/>
                <w:lang w:eastAsia="en-US"/>
              </w:rPr>
              <w:t>97,71</w:t>
            </w:r>
          </w:p>
        </w:tc>
        <w:tc>
          <w:tcPr>
            <w:tcW w:w="1275" w:type="dxa"/>
            <w:tcBorders>
              <w:top w:val="single" w:sz="4" w:space="0" w:color="auto"/>
              <w:left w:val="nil"/>
              <w:bottom w:val="single" w:sz="4" w:space="0" w:color="auto"/>
              <w:right w:val="single" w:sz="4" w:space="0" w:color="auto"/>
            </w:tcBorders>
            <w:vAlign w:val="bottom"/>
            <w:hideMark/>
          </w:tcPr>
          <w:p w:rsidR="005727C2" w:rsidRDefault="005727C2">
            <w:pPr>
              <w:jc w:val="center"/>
              <w:rPr>
                <w:lang w:eastAsia="en-US"/>
              </w:rPr>
            </w:pPr>
            <w:r>
              <w:rPr>
                <w:sz w:val="22"/>
                <w:szCs w:val="22"/>
                <w:lang w:eastAsia="en-US"/>
              </w:rPr>
              <w:t>100,721</w:t>
            </w:r>
          </w:p>
        </w:tc>
        <w:tc>
          <w:tcPr>
            <w:tcW w:w="1323" w:type="dxa"/>
            <w:tcBorders>
              <w:top w:val="single" w:sz="4" w:space="0" w:color="auto"/>
              <w:left w:val="single" w:sz="4" w:space="0" w:color="auto"/>
              <w:bottom w:val="single" w:sz="4" w:space="0" w:color="auto"/>
              <w:right w:val="single" w:sz="4" w:space="0" w:color="auto"/>
            </w:tcBorders>
            <w:noWrap/>
            <w:vAlign w:val="bottom"/>
            <w:hideMark/>
          </w:tcPr>
          <w:p w:rsidR="005727C2" w:rsidRDefault="005727C2">
            <w:pPr>
              <w:jc w:val="center"/>
              <w:rPr>
                <w:lang w:eastAsia="en-US"/>
              </w:rPr>
            </w:pPr>
            <w:r>
              <w:rPr>
                <w:sz w:val="22"/>
                <w:szCs w:val="22"/>
                <w:lang w:eastAsia="en-US"/>
              </w:rPr>
              <w:t>107,047</w:t>
            </w:r>
          </w:p>
        </w:tc>
        <w:tc>
          <w:tcPr>
            <w:tcW w:w="1370" w:type="dxa"/>
            <w:tcBorders>
              <w:top w:val="single" w:sz="4" w:space="0" w:color="auto"/>
              <w:left w:val="single" w:sz="4" w:space="0" w:color="auto"/>
              <w:bottom w:val="single" w:sz="4" w:space="0" w:color="auto"/>
              <w:right w:val="single" w:sz="4" w:space="0" w:color="auto"/>
            </w:tcBorders>
            <w:vAlign w:val="bottom"/>
            <w:hideMark/>
          </w:tcPr>
          <w:p w:rsidR="005727C2" w:rsidRDefault="005727C2">
            <w:pPr>
              <w:jc w:val="center"/>
              <w:rPr>
                <w:lang w:eastAsia="en-US"/>
              </w:rPr>
            </w:pPr>
            <w:r>
              <w:rPr>
                <w:sz w:val="22"/>
                <w:szCs w:val="22"/>
                <w:lang w:eastAsia="en-US"/>
              </w:rPr>
              <w:t>6,326</w:t>
            </w:r>
          </w:p>
        </w:tc>
        <w:tc>
          <w:tcPr>
            <w:tcW w:w="1158" w:type="dxa"/>
            <w:tcBorders>
              <w:top w:val="single" w:sz="4" w:space="0" w:color="auto"/>
              <w:left w:val="single" w:sz="4" w:space="0" w:color="auto"/>
              <w:bottom w:val="single" w:sz="4" w:space="0" w:color="auto"/>
              <w:right w:val="single" w:sz="4" w:space="0" w:color="auto"/>
            </w:tcBorders>
            <w:noWrap/>
            <w:vAlign w:val="bottom"/>
            <w:hideMark/>
          </w:tcPr>
          <w:p w:rsidR="005727C2" w:rsidRDefault="005727C2">
            <w:pPr>
              <w:jc w:val="center"/>
              <w:rPr>
                <w:highlight w:val="yellow"/>
                <w:lang w:eastAsia="en-US"/>
              </w:rPr>
            </w:pPr>
            <w:r>
              <w:rPr>
                <w:sz w:val="22"/>
                <w:szCs w:val="22"/>
                <w:lang w:eastAsia="en-US"/>
              </w:rPr>
              <w:t>106,28</w:t>
            </w:r>
          </w:p>
        </w:tc>
      </w:tr>
      <w:tr w:rsidR="005727C2" w:rsidTr="00D730C3">
        <w:trPr>
          <w:trHeight w:val="96"/>
        </w:trPr>
        <w:tc>
          <w:tcPr>
            <w:tcW w:w="3828" w:type="dxa"/>
            <w:tcBorders>
              <w:top w:val="single" w:sz="4" w:space="0" w:color="auto"/>
              <w:left w:val="single" w:sz="4" w:space="0" w:color="auto"/>
              <w:bottom w:val="single" w:sz="4" w:space="0" w:color="auto"/>
              <w:right w:val="single" w:sz="4" w:space="0" w:color="auto"/>
            </w:tcBorders>
            <w:noWrap/>
            <w:vAlign w:val="bottom"/>
            <w:hideMark/>
          </w:tcPr>
          <w:p w:rsidR="005727C2" w:rsidRDefault="005727C2">
            <w:pPr>
              <w:rPr>
                <w:lang w:eastAsia="en-US"/>
              </w:rPr>
            </w:pPr>
            <w:r>
              <w:rPr>
                <w:sz w:val="22"/>
                <w:szCs w:val="22"/>
                <w:lang w:eastAsia="en-US"/>
              </w:rPr>
              <w:t xml:space="preserve"> Острый и редуцированный</w:t>
            </w:r>
          </w:p>
        </w:tc>
        <w:tc>
          <w:tcPr>
            <w:tcW w:w="1276" w:type="dxa"/>
            <w:tcBorders>
              <w:top w:val="nil"/>
              <w:left w:val="nil"/>
              <w:bottom w:val="single" w:sz="4" w:space="0" w:color="auto"/>
              <w:right w:val="single" w:sz="4" w:space="0" w:color="auto"/>
            </w:tcBorders>
            <w:noWrap/>
            <w:vAlign w:val="bottom"/>
            <w:hideMark/>
          </w:tcPr>
          <w:p w:rsidR="005727C2" w:rsidRDefault="005727C2">
            <w:pPr>
              <w:jc w:val="center"/>
              <w:rPr>
                <w:lang w:eastAsia="en-US"/>
              </w:rPr>
            </w:pPr>
            <w:r>
              <w:rPr>
                <w:sz w:val="22"/>
                <w:szCs w:val="22"/>
                <w:lang w:eastAsia="en-US"/>
              </w:rPr>
              <w:t>26,08</w:t>
            </w:r>
          </w:p>
        </w:tc>
        <w:tc>
          <w:tcPr>
            <w:tcW w:w="1275" w:type="dxa"/>
            <w:tcBorders>
              <w:top w:val="single" w:sz="4" w:space="0" w:color="auto"/>
              <w:left w:val="nil"/>
              <w:bottom w:val="single" w:sz="4" w:space="0" w:color="auto"/>
              <w:right w:val="single" w:sz="4" w:space="0" w:color="auto"/>
            </w:tcBorders>
            <w:vAlign w:val="bottom"/>
            <w:hideMark/>
          </w:tcPr>
          <w:p w:rsidR="005727C2" w:rsidRDefault="005727C2">
            <w:pPr>
              <w:jc w:val="center"/>
              <w:rPr>
                <w:lang w:eastAsia="en-US"/>
              </w:rPr>
            </w:pPr>
            <w:r>
              <w:rPr>
                <w:sz w:val="22"/>
                <w:szCs w:val="22"/>
                <w:lang w:eastAsia="en-US"/>
              </w:rPr>
              <w:t>26,114</w:t>
            </w:r>
          </w:p>
        </w:tc>
        <w:tc>
          <w:tcPr>
            <w:tcW w:w="1323" w:type="dxa"/>
            <w:tcBorders>
              <w:top w:val="single" w:sz="4" w:space="0" w:color="auto"/>
              <w:left w:val="single" w:sz="4" w:space="0" w:color="auto"/>
              <w:bottom w:val="single" w:sz="4" w:space="0" w:color="auto"/>
              <w:right w:val="single" w:sz="4" w:space="0" w:color="auto"/>
            </w:tcBorders>
            <w:noWrap/>
            <w:vAlign w:val="bottom"/>
            <w:hideMark/>
          </w:tcPr>
          <w:p w:rsidR="005727C2" w:rsidRDefault="005727C2">
            <w:pPr>
              <w:jc w:val="center"/>
              <w:rPr>
                <w:lang w:eastAsia="en-US"/>
              </w:rPr>
            </w:pPr>
            <w:r>
              <w:rPr>
                <w:sz w:val="22"/>
                <w:szCs w:val="22"/>
                <w:lang w:eastAsia="en-US"/>
              </w:rPr>
              <w:t>21,207</w:t>
            </w:r>
          </w:p>
        </w:tc>
        <w:tc>
          <w:tcPr>
            <w:tcW w:w="1370" w:type="dxa"/>
            <w:tcBorders>
              <w:top w:val="single" w:sz="4" w:space="0" w:color="auto"/>
              <w:left w:val="single" w:sz="4" w:space="0" w:color="auto"/>
              <w:bottom w:val="single" w:sz="4" w:space="0" w:color="auto"/>
              <w:right w:val="single" w:sz="4" w:space="0" w:color="auto"/>
            </w:tcBorders>
            <w:vAlign w:val="bottom"/>
            <w:hideMark/>
          </w:tcPr>
          <w:p w:rsidR="005727C2" w:rsidRDefault="005727C2">
            <w:pPr>
              <w:jc w:val="center"/>
              <w:rPr>
                <w:lang w:eastAsia="en-US"/>
              </w:rPr>
            </w:pPr>
            <w:r>
              <w:rPr>
                <w:sz w:val="22"/>
                <w:szCs w:val="22"/>
                <w:lang w:eastAsia="en-US"/>
              </w:rPr>
              <w:t>-4,907</w:t>
            </w:r>
          </w:p>
        </w:tc>
        <w:tc>
          <w:tcPr>
            <w:tcW w:w="1158" w:type="dxa"/>
            <w:tcBorders>
              <w:top w:val="single" w:sz="4" w:space="0" w:color="auto"/>
              <w:left w:val="single" w:sz="4" w:space="0" w:color="auto"/>
              <w:bottom w:val="single" w:sz="4" w:space="0" w:color="auto"/>
              <w:right w:val="single" w:sz="4" w:space="0" w:color="auto"/>
            </w:tcBorders>
            <w:noWrap/>
            <w:vAlign w:val="bottom"/>
            <w:hideMark/>
          </w:tcPr>
          <w:p w:rsidR="005727C2" w:rsidRDefault="005727C2">
            <w:pPr>
              <w:jc w:val="center"/>
              <w:rPr>
                <w:highlight w:val="yellow"/>
                <w:lang w:eastAsia="en-US"/>
              </w:rPr>
            </w:pPr>
            <w:r>
              <w:rPr>
                <w:sz w:val="22"/>
                <w:szCs w:val="22"/>
                <w:lang w:eastAsia="en-US"/>
              </w:rPr>
              <w:t>81,21</w:t>
            </w:r>
          </w:p>
        </w:tc>
      </w:tr>
    </w:tbl>
    <w:p w:rsidR="005727C2" w:rsidRDefault="005727C2" w:rsidP="005727C2">
      <w:pPr>
        <w:ind w:firstLine="709"/>
        <w:jc w:val="both"/>
        <w:rPr>
          <w:sz w:val="12"/>
          <w:szCs w:val="12"/>
          <w:highlight w:val="yellow"/>
          <w:lang w:val="en-US"/>
        </w:rPr>
      </w:pPr>
    </w:p>
    <w:p w:rsidR="005727C2" w:rsidRDefault="005727C2" w:rsidP="005727C2">
      <w:pPr>
        <w:pStyle w:val="afa"/>
        <w:ind w:firstLine="709"/>
        <w:jc w:val="both"/>
        <w:rPr>
          <w:rFonts w:ascii="Times New Roman" w:hAnsi="Times New Roman" w:cs="Times New Roman"/>
          <w:b/>
          <w:i/>
          <w:sz w:val="28"/>
          <w:szCs w:val="28"/>
        </w:rPr>
      </w:pPr>
      <w:r>
        <w:rPr>
          <w:rFonts w:ascii="Times New Roman" w:hAnsi="Times New Roman" w:cs="Times New Roman"/>
          <w:b/>
          <w:i/>
          <w:sz w:val="28"/>
          <w:szCs w:val="28"/>
        </w:rPr>
        <w:t>2.2.1.</w:t>
      </w:r>
      <w:r w:rsidR="00D730C3">
        <w:rPr>
          <w:rFonts w:ascii="Times New Roman" w:hAnsi="Times New Roman" w:cs="Times New Roman"/>
          <w:b/>
          <w:i/>
          <w:sz w:val="28"/>
          <w:szCs w:val="28"/>
        </w:rPr>
        <w:t>3</w:t>
      </w:r>
      <w:r>
        <w:rPr>
          <w:rFonts w:ascii="Times New Roman" w:hAnsi="Times New Roman" w:cs="Times New Roman"/>
          <w:b/>
          <w:i/>
          <w:sz w:val="28"/>
          <w:szCs w:val="28"/>
        </w:rPr>
        <w:t>. НВВ и тарифы на тепловую энергию, отпускаемую АО «СИБЭКО» потребителям на 2020 год</w:t>
      </w:r>
    </w:p>
    <w:p w:rsidR="005727C2" w:rsidRDefault="005727C2" w:rsidP="005727C2">
      <w:pPr>
        <w:pStyle w:val="afa"/>
        <w:ind w:firstLine="709"/>
        <w:jc w:val="both"/>
        <w:rPr>
          <w:rFonts w:ascii="Times New Roman" w:hAnsi="Times New Roman" w:cs="Times New Roman"/>
          <w:sz w:val="28"/>
          <w:szCs w:val="28"/>
        </w:rPr>
      </w:pPr>
      <w:r>
        <w:rPr>
          <w:rFonts w:ascii="Times New Roman" w:hAnsi="Times New Roman" w:cs="Times New Roman"/>
          <w:sz w:val="28"/>
          <w:szCs w:val="28"/>
        </w:rPr>
        <w:t xml:space="preserve">В соответствии с законодательством </w:t>
      </w:r>
      <w:r w:rsidR="00D730C3">
        <w:rPr>
          <w:rFonts w:ascii="Times New Roman" w:hAnsi="Times New Roman" w:cs="Times New Roman"/>
          <w:sz w:val="28"/>
          <w:szCs w:val="28"/>
        </w:rPr>
        <w:t xml:space="preserve">Российской Федерации </w:t>
      </w:r>
      <w:r>
        <w:rPr>
          <w:rFonts w:ascii="Times New Roman" w:hAnsi="Times New Roman" w:cs="Times New Roman"/>
          <w:sz w:val="28"/>
          <w:szCs w:val="28"/>
        </w:rPr>
        <w:t xml:space="preserve">в сфере государственного регулирования </w:t>
      </w:r>
      <w:r w:rsidR="00D730C3">
        <w:rPr>
          <w:rFonts w:ascii="Times New Roman" w:hAnsi="Times New Roman" w:cs="Times New Roman"/>
          <w:sz w:val="28"/>
          <w:szCs w:val="28"/>
        </w:rPr>
        <w:t>цен (</w:t>
      </w:r>
      <w:r>
        <w:rPr>
          <w:rFonts w:ascii="Times New Roman" w:hAnsi="Times New Roman" w:cs="Times New Roman"/>
          <w:sz w:val="28"/>
          <w:szCs w:val="28"/>
        </w:rPr>
        <w:t>тарифов</w:t>
      </w:r>
      <w:r w:rsidR="00D730C3">
        <w:rPr>
          <w:rFonts w:ascii="Times New Roman" w:hAnsi="Times New Roman" w:cs="Times New Roman"/>
          <w:sz w:val="28"/>
          <w:szCs w:val="28"/>
        </w:rPr>
        <w:t>) на тепловую энергию</w:t>
      </w:r>
      <w:r>
        <w:rPr>
          <w:rFonts w:ascii="Times New Roman" w:hAnsi="Times New Roman" w:cs="Times New Roman"/>
          <w:sz w:val="28"/>
          <w:szCs w:val="28"/>
        </w:rPr>
        <w:t>, Прогнозом</w:t>
      </w:r>
      <w:r w:rsidR="00D730C3">
        <w:rPr>
          <w:rFonts w:ascii="Times New Roman" w:hAnsi="Times New Roman" w:cs="Times New Roman"/>
          <w:sz w:val="28"/>
          <w:szCs w:val="28"/>
        </w:rPr>
        <w:t xml:space="preserve"> СЭР РФ</w:t>
      </w:r>
      <w:r>
        <w:rPr>
          <w:rFonts w:ascii="Times New Roman" w:hAnsi="Times New Roman" w:cs="Times New Roman"/>
          <w:sz w:val="28"/>
          <w:szCs w:val="28"/>
        </w:rPr>
        <w:t xml:space="preserve">, а также приказом ФАС России от 11.10.2019 № 1334/19 «Об установлении предельных минимальных и максимальных уровней тарифов на тепловую энергию (мощность), производимую в режиме комбинированной выработки электрической и тепловой энергии источниками тепловой энергии с установленной генерирующей мощностью производства электрической энергии 25 мегаватт и более, на 2020 год, </w:t>
      </w:r>
      <w:r>
        <w:rPr>
          <w:rFonts w:ascii="Times New Roman" w:hAnsi="Times New Roman" w:cs="Times New Roman"/>
          <w:sz w:val="28"/>
          <w:szCs w:val="28"/>
        </w:rPr>
        <w:lastRenderedPageBreak/>
        <w:t xml:space="preserve">руб./Гкал», </w:t>
      </w:r>
      <w:r w:rsidR="004F1F8A">
        <w:rPr>
          <w:rFonts w:ascii="Times New Roman" w:hAnsi="Times New Roman" w:cs="Times New Roman"/>
          <w:sz w:val="28"/>
          <w:szCs w:val="28"/>
        </w:rPr>
        <w:t xml:space="preserve">Департаментом </w:t>
      </w:r>
      <w:r>
        <w:rPr>
          <w:rFonts w:ascii="Times New Roman" w:hAnsi="Times New Roman" w:cs="Times New Roman"/>
          <w:sz w:val="28"/>
          <w:szCs w:val="28"/>
        </w:rPr>
        <w:t xml:space="preserve"> принят приказ от 18.12.2019 № 703-ТЭ «</w:t>
      </w:r>
      <w:r>
        <w:rPr>
          <w:rFonts w:ascii="Times New Roman" w:hAnsi="Times New Roman" w:cs="Times New Roman"/>
          <w:bCs/>
          <w:sz w:val="28"/>
          <w:szCs w:val="28"/>
        </w:rPr>
        <w:t xml:space="preserve">О корректировке на 2020 год тарифов на тепловую энергию (мощность), поставляемую Акционерным обществом «Сибирская энергетическая компания» потребителям на территории Новосибирской области, установленных на долгосрочный период </w:t>
      </w:r>
      <w:r>
        <w:rPr>
          <w:rFonts w:ascii="Times New Roman" w:hAnsi="Times New Roman" w:cs="Times New Roman"/>
          <w:sz w:val="28"/>
          <w:szCs w:val="28"/>
        </w:rPr>
        <w:t>регулирования» (тарифы установлены с календарной разбивкой и вводятся в действие с 01.01.2020).</w:t>
      </w:r>
    </w:p>
    <w:p w:rsidR="005727C2" w:rsidRDefault="005727C2" w:rsidP="005727C2">
      <w:pPr>
        <w:pStyle w:val="afa"/>
        <w:ind w:firstLine="709"/>
        <w:jc w:val="both"/>
        <w:rPr>
          <w:rFonts w:ascii="Times New Roman" w:hAnsi="Times New Roman" w:cs="Times New Roman"/>
          <w:noProof/>
          <w:sz w:val="28"/>
          <w:szCs w:val="28"/>
          <w:highlight w:val="yellow"/>
        </w:rPr>
      </w:pPr>
      <w:r>
        <w:rPr>
          <w:rFonts w:ascii="Times New Roman" w:hAnsi="Times New Roman" w:cs="Times New Roman"/>
          <w:sz w:val="28"/>
          <w:szCs w:val="28"/>
        </w:rPr>
        <w:t>Ниже приведена динамика среднегодовых, средневзвешенных тарифов на тепловую энергию, поставляемую потребителям Новосибирской области АО «СИБЭКО» (до 01.01.2011 ОАО «СибирьЭнерго», до 01.07.2011 ОАО «Новосибирскэнерго») за период 2010-2020 годов и на производство тепловой энергии АО «СИБЭКО» за период 2010-2020 годов.</w:t>
      </w:r>
      <w:r>
        <w:rPr>
          <w:rFonts w:ascii="Times New Roman" w:hAnsi="Times New Roman" w:cs="Times New Roman"/>
          <w:noProof/>
          <w:sz w:val="28"/>
          <w:szCs w:val="28"/>
        </w:rPr>
        <w:t xml:space="preserve"> </w:t>
      </w:r>
    </w:p>
    <w:p w:rsidR="005727C2" w:rsidRDefault="005727C2" w:rsidP="005727C2">
      <w:pPr>
        <w:pStyle w:val="afa"/>
        <w:ind w:firstLine="709"/>
        <w:jc w:val="both"/>
        <w:rPr>
          <w:rFonts w:ascii="Times New Roman" w:hAnsi="Times New Roman" w:cs="Times New Roman"/>
          <w:sz w:val="28"/>
          <w:szCs w:val="28"/>
        </w:rPr>
      </w:pPr>
      <w:r>
        <w:rPr>
          <w:rFonts w:ascii="Times New Roman" w:hAnsi="Times New Roman" w:cs="Times New Roman"/>
          <w:sz w:val="28"/>
          <w:szCs w:val="28"/>
        </w:rPr>
        <w:t xml:space="preserve">Рост средневзвешенных тарифов (по полугодиям), установленных </w:t>
      </w:r>
      <w:r w:rsidR="004F1F8A">
        <w:rPr>
          <w:rFonts w:ascii="Times New Roman" w:hAnsi="Times New Roman" w:cs="Times New Roman"/>
          <w:sz w:val="28"/>
          <w:szCs w:val="28"/>
        </w:rPr>
        <w:t>Д</w:t>
      </w:r>
      <w:r>
        <w:rPr>
          <w:rFonts w:ascii="Times New Roman" w:hAnsi="Times New Roman" w:cs="Times New Roman"/>
          <w:sz w:val="28"/>
          <w:szCs w:val="28"/>
        </w:rPr>
        <w:t>епартаментом на тепловую энергию АО «СИБЭКО» с 1 января 2020 года по 30 июня 2020 года составил 100,0%; с 1 июля 2020 года по 31 декабря 2020 года составил 106,0%.</w:t>
      </w:r>
    </w:p>
    <w:p w:rsidR="005727C2" w:rsidRDefault="005727C2" w:rsidP="005727C2">
      <w:pPr>
        <w:pStyle w:val="afa"/>
        <w:ind w:firstLine="709"/>
        <w:jc w:val="both"/>
        <w:rPr>
          <w:rFonts w:ascii="Times New Roman" w:hAnsi="Times New Roman" w:cs="Times New Roman"/>
          <w:sz w:val="28"/>
          <w:szCs w:val="28"/>
        </w:rPr>
      </w:pPr>
      <w:r>
        <w:rPr>
          <w:rFonts w:ascii="Times New Roman" w:hAnsi="Times New Roman" w:cs="Times New Roman"/>
          <w:sz w:val="28"/>
          <w:szCs w:val="28"/>
        </w:rPr>
        <w:t>Тариф на тепловую энергию в горячей воде для потребителей</w:t>
      </w:r>
      <w:r>
        <w:rPr>
          <w:rFonts w:ascii="Times New Roman" w:hAnsi="Times New Roman" w:cs="Times New Roman"/>
          <w:sz w:val="28"/>
          <w:szCs w:val="28"/>
        </w:rPr>
        <w:br/>
        <w:t>АО «СИБЭКО», оплачивающих производство и передачу тепловой энергии, на 2020 год составил:</w:t>
      </w:r>
    </w:p>
    <w:p w:rsidR="005727C2" w:rsidRDefault="005727C2" w:rsidP="005727C2">
      <w:pPr>
        <w:pStyle w:val="afa"/>
        <w:ind w:firstLine="709"/>
        <w:jc w:val="both"/>
        <w:rPr>
          <w:rFonts w:ascii="Times New Roman" w:hAnsi="Times New Roman" w:cs="Times New Roman"/>
          <w:sz w:val="28"/>
          <w:szCs w:val="28"/>
        </w:rPr>
      </w:pPr>
      <w:r>
        <w:rPr>
          <w:rFonts w:ascii="Times New Roman" w:hAnsi="Times New Roman" w:cs="Times New Roman"/>
          <w:sz w:val="28"/>
          <w:szCs w:val="28"/>
        </w:rPr>
        <w:t>с 01.01.2020 по 30.06.2020  - 1 153,95 руб./Гкал (без учёта НДС) на уровне тарифа 2 полугодия 2019 года;</w:t>
      </w:r>
    </w:p>
    <w:p w:rsidR="002D099C" w:rsidRDefault="005727C2" w:rsidP="005727C2">
      <w:pPr>
        <w:pStyle w:val="afa"/>
        <w:ind w:firstLine="709"/>
        <w:jc w:val="both"/>
        <w:rPr>
          <w:rFonts w:ascii="Times New Roman" w:hAnsi="Times New Roman" w:cs="Times New Roman"/>
          <w:noProof/>
          <w:color w:val="FF0000"/>
          <w:sz w:val="28"/>
          <w:szCs w:val="28"/>
          <w:highlight w:val="yellow"/>
        </w:rPr>
      </w:pPr>
      <w:r>
        <w:rPr>
          <w:rFonts w:ascii="Times New Roman" w:hAnsi="Times New Roman" w:cs="Times New Roman"/>
          <w:sz w:val="28"/>
          <w:szCs w:val="28"/>
        </w:rPr>
        <w:t>с 01.07.2020 по 31.12.2020 – 1 223,18 руб./Гкал (без учета НДС) с ростом относительно уровня 1 полугодия 2020 года на 6,0 % (с</w:t>
      </w:r>
      <w:r>
        <w:rPr>
          <w:rFonts w:ascii="Times New Roman" w:eastAsia="Times New Roman" w:hAnsi="Times New Roman" w:cs="Times New Roman"/>
          <w:color w:val="000000"/>
          <w:sz w:val="28"/>
          <w:szCs w:val="28"/>
        </w:rPr>
        <w:t xml:space="preserve">огласно </w:t>
      </w:r>
      <w:r>
        <w:rPr>
          <w:rFonts w:ascii="Times New Roman" w:hAnsi="Times New Roman" w:cs="Times New Roman"/>
          <w:sz w:val="28"/>
          <w:szCs w:val="28"/>
        </w:rPr>
        <w:t xml:space="preserve">приказу </w:t>
      </w:r>
      <w:r w:rsidR="005D278C">
        <w:rPr>
          <w:rFonts w:ascii="Times New Roman" w:hAnsi="Times New Roman" w:cs="Times New Roman"/>
          <w:sz w:val="28"/>
          <w:szCs w:val="28"/>
        </w:rPr>
        <w:t>Д</w:t>
      </w:r>
      <w:r>
        <w:rPr>
          <w:rFonts w:ascii="Times New Roman" w:hAnsi="Times New Roman" w:cs="Times New Roman"/>
          <w:sz w:val="28"/>
          <w:szCs w:val="28"/>
        </w:rPr>
        <w:t xml:space="preserve">епартамента от 28.06.2019 № 181-ТЭ в соответствии с Решением ФАС России </w:t>
      </w:r>
      <w:r>
        <w:rPr>
          <w:rFonts w:ascii="Times New Roman" w:eastAsia="Times New Roman" w:hAnsi="Times New Roman" w:cs="Times New Roman"/>
          <w:color w:val="000000"/>
          <w:sz w:val="28"/>
          <w:szCs w:val="28"/>
        </w:rPr>
        <w:t>от 31.05.2019 № СП/45894/19 (в редакции решения ФАС России от 14.06.2018 № СП/50073/19))</w:t>
      </w:r>
      <w:r>
        <w:rPr>
          <w:rFonts w:ascii="Times New Roman" w:hAnsi="Times New Roman" w:cs="Times New Roman"/>
          <w:sz w:val="28"/>
          <w:szCs w:val="28"/>
        </w:rPr>
        <w:t xml:space="preserve">. </w:t>
      </w:r>
    </w:p>
    <w:p w:rsidR="005727C2" w:rsidRDefault="002D099C" w:rsidP="005727C2">
      <w:pPr>
        <w:jc w:val="center"/>
        <w:rPr>
          <w:color w:val="FF0000"/>
          <w:sz w:val="16"/>
          <w:szCs w:val="16"/>
        </w:rPr>
      </w:pPr>
      <w:r>
        <w:rPr>
          <w:sz w:val="28"/>
          <w:szCs w:val="28"/>
        </w:rPr>
        <w:t xml:space="preserve">АО «СИБЭКО» </w:t>
      </w:r>
      <w:r w:rsidR="005727C2">
        <w:rPr>
          <w:noProof/>
          <w:color w:val="FF0000"/>
          <w:sz w:val="16"/>
          <w:szCs w:val="16"/>
        </w:rPr>
        <w:drawing>
          <wp:inline distT="0" distB="0" distL="0" distR="0" wp14:anchorId="17703760" wp14:editId="470910FA">
            <wp:extent cx="5947258" cy="3511296"/>
            <wp:effectExtent l="0" t="0" r="0" b="0"/>
            <wp:docPr id="70" name="Диаграмма 70"/>
            <wp:cNvGraphicFramePr/>
            <a:graphic xmlns:a="http://schemas.openxmlformats.org/drawingml/2006/main">
              <a:graphicData uri="http://schemas.openxmlformats.org/drawingml/2006/chart">
                <c:chart xmlns:c="http://schemas.openxmlformats.org/drawingml/2006/chart" xmlns:r="http://schemas.openxmlformats.org/officeDocument/2006/relationships" r:id="rId40"/>
              </a:graphicData>
            </a:graphic>
          </wp:inline>
        </w:drawing>
      </w:r>
    </w:p>
    <w:p w:rsidR="00D234B5" w:rsidRDefault="00D234B5" w:rsidP="00D234B5">
      <w:pPr>
        <w:jc w:val="center"/>
      </w:pPr>
      <w:r>
        <w:t>Рис 2.2.1.</w:t>
      </w:r>
    </w:p>
    <w:p w:rsidR="002D099C" w:rsidRPr="002D099C" w:rsidRDefault="002D099C" w:rsidP="002D099C">
      <w:pPr>
        <w:jc w:val="right"/>
      </w:pPr>
      <w:r w:rsidRPr="002D099C">
        <w:t>Таблица №2.2.1</w:t>
      </w:r>
    </w:p>
    <w:p w:rsidR="005727C2" w:rsidRDefault="005727C2" w:rsidP="005727C2">
      <w:pPr>
        <w:jc w:val="center"/>
        <w:rPr>
          <w:b/>
        </w:rPr>
      </w:pPr>
      <w:r>
        <w:rPr>
          <w:b/>
        </w:rPr>
        <w:lastRenderedPageBreak/>
        <w:t xml:space="preserve">Структура НВВ АО «СИБЭКО» и тарифов на тепловую энергию в 2019-2020 годах </w:t>
      </w:r>
    </w:p>
    <w:tbl>
      <w:tblPr>
        <w:tblW w:w="9923"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2693"/>
        <w:gridCol w:w="1417"/>
        <w:gridCol w:w="1133"/>
        <w:gridCol w:w="1417"/>
        <w:gridCol w:w="1133"/>
        <w:gridCol w:w="850"/>
        <w:gridCol w:w="1280"/>
      </w:tblGrid>
      <w:tr w:rsidR="005727C2" w:rsidTr="005D278C">
        <w:trPr>
          <w:trHeight w:val="270"/>
        </w:trPr>
        <w:tc>
          <w:tcPr>
            <w:tcW w:w="2693" w:type="dxa"/>
            <w:vMerge w:val="restart"/>
            <w:tcBorders>
              <w:top w:val="single" w:sz="4" w:space="0" w:color="auto"/>
              <w:left w:val="single" w:sz="4" w:space="0" w:color="auto"/>
              <w:bottom w:val="single" w:sz="4" w:space="0" w:color="auto"/>
              <w:right w:val="single" w:sz="4" w:space="0" w:color="auto"/>
            </w:tcBorders>
            <w:noWrap/>
            <w:vAlign w:val="center"/>
            <w:hideMark/>
          </w:tcPr>
          <w:p w:rsidR="005727C2" w:rsidRDefault="005727C2" w:rsidP="00364535">
            <w:pPr>
              <w:spacing w:after="0" w:line="240" w:lineRule="auto"/>
              <w:jc w:val="center"/>
              <w:rPr>
                <w:b/>
                <w:bCs/>
                <w:sz w:val="20"/>
                <w:szCs w:val="20"/>
                <w:lang w:eastAsia="en-US"/>
              </w:rPr>
            </w:pPr>
            <w:r>
              <w:rPr>
                <w:b/>
                <w:bCs/>
                <w:sz w:val="20"/>
                <w:szCs w:val="20"/>
                <w:lang w:eastAsia="en-US"/>
              </w:rPr>
              <w:t>Наименование показателя</w:t>
            </w:r>
          </w:p>
        </w:tc>
        <w:tc>
          <w:tcPr>
            <w:tcW w:w="2550" w:type="dxa"/>
            <w:gridSpan w:val="2"/>
            <w:tcBorders>
              <w:top w:val="single" w:sz="4" w:space="0" w:color="auto"/>
              <w:left w:val="single" w:sz="4" w:space="0" w:color="auto"/>
              <w:bottom w:val="single" w:sz="4" w:space="0" w:color="auto"/>
              <w:right w:val="single" w:sz="4" w:space="0" w:color="auto"/>
            </w:tcBorders>
            <w:vAlign w:val="bottom"/>
            <w:hideMark/>
          </w:tcPr>
          <w:p w:rsidR="005727C2" w:rsidRDefault="005727C2" w:rsidP="00364535">
            <w:pPr>
              <w:spacing w:after="0" w:line="240" w:lineRule="auto"/>
              <w:jc w:val="center"/>
              <w:rPr>
                <w:b/>
                <w:bCs/>
                <w:sz w:val="20"/>
                <w:szCs w:val="20"/>
                <w:lang w:eastAsia="en-US"/>
              </w:rPr>
            </w:pPr>
            <w:r>
              <w:rPr>
                <w:b/>
                <w:bCs/>
                <w:sz w:val="20"/>
                <w:szCs w:val="20"/>
                <w:lang w:eastAsia="en-US"/>
              </w:rPr>
              <w:t>план 2019 г.</w:t>
            </w:r>
          </w:p>
        </w:tc>
        <w:tc>
          <w:tcPr>
            <w:tcW w:w="4680" w:type="dxa"/>
            <w:gridSpan w:val="4"/>
            <w:tcBorders>
              <w:top w:val="single" w:sz="4" w:space="0" w:color="auto"/>
              <w:left w:val="single" w:sz="4" w:space="0" w:color="auto"/>
              <w:bottom w:val="single" w:sz="4" w:space="0" w:color="auto"/>
              <w:right w:val="single" w:sz="4" w:space="0" w:color="auto"/>
            </w:tcBorders>
            <w:vAlign w:val="bottom"/>
            <w:hideMark/>
          </w:tcPr>
          <w:p w:rsidR="005727C2" w:rsidRDefault="005727C2" w:rsidP="00364535">
            <w:pPr>
              <w:spacing w:after="0" w:line="240" w:lineRule="auto"/>
              <w:jc w:val="center"/>
              <w:rPr>
                <w:b/>
                <w:bCs/>
                <w:sz w:val="20"/>
                <w:szCs w:val="20"/>
                <w:lang w:eastAsia="en-US"/>
              </w:rPr>
            </w:pPr>
            <w:r>
              <w:rPr>
                <w:b/>
                <w:bCs/>
                <w:sz w:val="20"/>
                <w:szCs w:val="20"/>
                <w:lang w:eastAsia="en-US"/>
              </w:rPr>
              <w:t>план 2020 г.</w:t>
            </w:r>
          </w:p>
        </w:tc>
      </w:tr>
      <w:tr w:rsidR="005727C2" w:rsidTr="005D278C">
        <w:trPr>
          <w:trHeight w:val="886"/>
        </w:trPr>
        <w:tc>
          <w:tcPr>
            <w:tcW w:w="2693" w:type="dxa"/>
            <w:vMerge/>
            <w:tcBorders>
              <w:top w:val="single" w:sz="4" w:space="0" w:color="auto"/>
              <w:left w:val="single" w:sz="4" w:space="0" w:color="auto"/>
              <w:bottom w:val="single" w:sz="4" w:space="0" w:color="auto"/>
              <w:right w:val="single" w:sz="4" w:space="0" w:color="auto"/>
            </w:tcBorders>
            <w:vAlign w:val="center"/>
            <w:hideMark/>
          </w:tcPr>
          <w:p w:rsidR="005727C2" w:rsidRDefault="005727C2" w:rsidP="00364535">
            <w:pPr>
              <w:spacing w:after="0" w:line="240" w:lineRule="auto"/>
              <w:rPr>
                <w:b/>
                <w:bCs/>
                <w:sz w:val="20"/>
                <w:szCs w:val="20"/>
                <w:lang w:eastAsia="en-US"/>
              </w:rPr>
            </w:pPr>
          </w:p>
        </w:tc>
        <w:tc>
          <w:tcPr>
            <w:tcW w:w="1417" w:type="dxa"/>
            <w:tcBorders>
              <w:top w:val="single" w:sz="4" w:space="0" w:color="auto"/>
              <w:left w:val="single" w:sz="4" w:space="0" w:color="auto"/>
              <w:bottom w:val="single" w:sz="4" w:space="0" w:color="auto"/>
              <w:right w:val="single" w:sz="4" w:space="0" w:color="auto"/>
            </w:tcBorders>
            <w:vAlign w:val="center"/>
            <w:hideMark/>
          </w:tcPr>
          <w:p w:rsidR="005727C2" w:rsidRDefault="005727C2" w:rsidP="00364535">
            <w:pPr>
              <w:spacing w:after="0" w:line="240" w:lineRule="auto"/>
              <w:jc w:val="center"/>
              <w:rPr>
                <w:b/>
                <w:bCs/>
                <w:sz w:val="20"/>
                <w:szCs w:val="20"/>
                <w:lang w:eastAsia="en-US"/>
              </w:rPr>
            </w:pPr>
            <w:r>
              <w:rPr>
                <w:b/>
                <w:bCs/>
                <w:sz w:val="20"/>
                <w:szCs w:val="20"/>
                <w:lang w:eastAsia="en-US"/>
              </w:rPr>
              <w:t>НВВ</w:t>
            </w:r>
          </w:p>
          <w:p w:rsidR="005727C2" w:rsidRDefault="005727C2" w:rsidP="00364535">
            <w:pPr>
              <w:spacing w:after="0" w:line="240" w:lineRule="auto"/>
              <w:jc w:val="center"/>
              <w:rPr>
                <w:b/>
                <w:bCs/>
                <w:sz w:val="20"/>
                <w:szCs w:val="20"/>
                <w:lang w:eastAsia="en-US"/>
              </w:rPr>
            </w:pPr>
            <w:r>
              <w:rPr>
                <w:b/>
                <w:sz w:val="20"/>
                <w:szCs w:val="20"/>
                <w:lang w:eastAsia="en-US"/>
              </w:rPr>
              <w:t>тыс.руб.</w:t>
            </w:r>
          </w:p>
        </w:tc>
        <w:tc>
          <w:tcPr>
            <w:tcW w:w="1133" w:type="dxa"/>
            <w:tcBorders>
              <w:top w:val="single" w:sz="4" w:space="0" w:color="auto"/>
              <w:left w:val="single" w:sz="4" w:space="0" w:color="auto"/>
              <w:bottom w:val="single" w:sz="4" w:space="0" w:color="auto"/>
              <w:right w:val="single" w:sz="4" w:space="0" w:color="auto"/>
            </w:tcBorders>
            <w:vAlign w:val="center"/>
            <w:hideMark/>
          </w:tcPr>
          <w:p w:rsidR="005727C2" w:rsidRDefault="005727C2" w:rsidP="00364535">
            <w:pPr>
              <w:spacing w:after="0" w:line="240" w:lineRule="auto"/>
              <w:jc w:val="center"/>
              <w:rPr>
                <w:b/>
                <w:bCs/>
                <w:sz w:val="20"/>
                <w:szCs w:val="20"/>
                <w:lang w:eastAsia="en-US"/>
              </w:rPr>
            </w:pPr>
            <w:r>
              <w:rPr>
                <w:b/>
                <w:bCs/>
                <w:sz w:val="20"/>
                <w:szCs w:val="20"/>
                <w:lang w:eastAsia="en-US"/>
              </w:rPr>
              <w:t>Средне-взвешен-ный, средне-годовой тариф</w:t>
            </w:r>
          </w:p>
          <w:p w:rsidR="005727C2" w:rsidRDefault="005727C2" w:rsidP="00364535">
            <w:pPr>
              <w:spacing w:after="0" w:line="240" w:lineRule="auto"/>
              <w:jc w:val="center"/>
              <w:rPr>
                <w:b/>
                <w:bCs/>
                <w:sz w:val="20"/>
                <w:szCs w:val="20"/>
                <w:lang w:eastAsia="en-US"/>
              </w:rPr>
            </w:pPr>
            <w:r>
              <w:rPr>
                <w:b/>
                <w:bCs/>
                <w:sz w:val="20"/>
                <w:szCs w:val="20"/>
                <w:lang w:eastAsia="en-US"/>
              </w:rPr>
              <w:t>руб/Гкал</w:t>
            </w:r>
          </w:p>
        </w:tc>
        <w:tc>
          <w:tcPr>
            <w:tcW w:w="1417" w:type="dxa"/>
            <w:tcBorders>
              <w:top w:val="single" w:sz="4" w:space="0" w:color="auto"/>
              <w:left w:val="single" w:sz="4" w:space="0" w:color="auto"/>
              <w:bottom w:val="single" w:sz="4" w:space="0" w:color="auto"/>
              <w:right w:val="single" w:sz="4" w:space="0" w:color="auto"/>
            </w:tcBorders>
            <w:vAlign w:val="center"/>
            <w:hideMark/>
          </w:tcPr>
          <w:p w:rsidR="005727C2" w:rsidRDefault="005727C2" w:rsidP="00364535">
            <w:pPr>
              <w:spacing w:after="0" w:line="240" w:lineRule="auto"/>
              <w:jc w:val="center"/>
              <w:rPr>
                <w:b/>
                <w:bCs/>
                <w:sz w:val="20"/>
                <w:szCs w:val="20"/>
                <w:lang w:eastAsia="en-US"/>
              </w:rPr>
            </w:pPr>
            <w:r>
              <w:rPr>
                <w:b/>
                <w:bCs/>
                <w:sz w:val="20"/>
                <w:szCs w:val="20"/>
                <w:lang w:eastAsia="en-US"/>
              </w:rPr>
              <w:t>НВВ</w:t>
            </w:r>
          </w:p>
          <w:p w:rsidR="005727C2" w:rsidRDefault="005727C2" w:rsidP="00364535">
            <w:pPr>
              <w:spacing w:after="0" w:line="240" w:lineRule="auto"/>
              <w:jc w:val="center"/>
              <w:rPr>
                <w:b/>
                <w:bCs/>
                <w:sz w:val="20"/>
                <w:szCs w:val="20"/>
                <w:lang w:eastAsia="en-US"/>
              </w:rPr>
            </w:pPr>
            <w:r>
              <w:rPr>
                <w:b/>
                <w:sz w:val="20"/>
                <w:szCs w:val="20"/>
                <w:lang w:eastAsia="en-US"/>
              </w:rPr>
              <w:t>тыс.руб.</w:t>
            </w:r>
          </w:p>
        </w:tc>
        <w:tc>
          <w:tcPr>
            <w:tcW w:w="1133" w:type="dxa"/>
            <w:tcBorders>
              <w:top w:val="single" w:sz="4" w:space="0" w:color="auto"/>
              <w:left w:val="single" w:sz="4" w:space="0" w:color="auto"/>
              <w:bottom w:val="single" w:sz="4" w:space="0" w:color="auto"/>
              <w:right w:val="single" w:sz="4" w:space="0" w:color="auto"/>
            </w:tcBorders>
            <w:vAlign w:val="center"/>
            <w:hideMark/>
          </w:tcPr>
          <w:p w:rsidR="005727C2" w:rsidRDefault="005727C2" w:rsidP="00364535">
            <w:pPr>
              <w:spacing w:after="0" w:line="240" w:lineRule="auto"/>
              <w:jc w:val="center"/>
              <w:rPr>
                <w:b/>
                <w:bCs/>
                <w:sz w:val="20"/>
                <w:szCs w:val="20"/>
                <w:lang w:eastAsia="en-US"/>
              </w:rPr>
            </w:pPr>
            <w:r>
              <w:rPr>
                <w:b/>
                <w:bCs/>
                <w:sz w:val="20"/>
                <w:szCs w:val="20"/>
                <w:lang w:eastAsia="en-US"/>
              </w:rPr>
              <w:t>Средне-взвешен-ный, средне-годовой тариф</w:t>
            </w:r>
          </w:p>
          <w:p w:rsidR="005727C2" w:rsidRDefault="005727C2" w:rsidP="00364535">
            <w:pPr>
              <w:spacing w:after="0" w:line="240" w:lineRule="auto"/>
              <w:jc w:val="center"/>
              <w:rPr>
                <w:b/>
                <w:bCs/>
                <w:sz w:val="20"/>
                <w:szCs w:val="20"/>
                <w:lang w:eastAsia="en-US"/>
              </w:rPr>
            </w:pPr>
            <w:r>
              <w:rPr>
                <w:b/>
                <w:bCs/>
                <w:sz w:val="20"/>
                <w:szCs w:val="20"/>
                <w:lang w:eastAsia="en-US"/>
              </w:rPr>
              <w:t>руб/Гкал</w:t>
            </w:r>
          </w:p>
        </w:tc>
        <w:tc>
          <w:tcPr>
            <w:tcW w:w="850" w:type="dxa"/>
            <w:tcBorders>
              <w:top w:val="single" w:sz="4" w:space="0" w:color="auto"/>
              <w:left w:val="single" w:sz="4" w:space="0" w:color="auto"/>
              <w:bottom w:val="single" w:sz="4" w:space="0" w:color="auto"/>
              <w:right w:val="single" w:sz="4" w:space="0" w:color="auto"/>
            </w:tcBorders>
            <w:hideMark/>
          </w:tcPr>
          <w:p w:rsidR="005727C2" w:rsidRDefault="005727C2" w:rsidP="00364535">
            <w:pPr>
              <w:spacing w:after="0" w:line="240" w:lineRule="auto"/>
              <w:jc w:val="center"/>
              <w:rPr>
                <w:b/>
                <w:sz w:val="18"/>
                <w:szCs w:val="18"/>
                <w:lang w:eastAsia="en-US"/>
              </w:rPr>
            </w:pPr>
            <w:r>
              <w:rPr>
                <w:b/>
                <w:bCs/>
                <w:sz w:val="18"/>
                <w:szCs w:val="18"/>
                <w:lang w:eastAsia="en-US"/>
              </w:rPr>
              <w:t>рост НВВ,%</w:t>
            </w:r>
          </w:p>
        </w:tc>
        <w:tc>
          <w:tcPr>
            <w:tcW w:w="1280" w:type="dxa"/>
            <w:tcBorders>
              <w:top w:val="single" w:sz="4" w:space="0" w:color="auto"/>
              <w:left w:val="single" w:sz="4" w:space="0" w:color="auto"/>
              <w:bottom w:val="single" w:sz="4" w:space="0" w:color="auto"/>
              <w:right w:val="single" w:sz="4" w:space="0" w:color="auto"/>
            </w:tcBorders>
            <w:hideMark/>
          </w:tcPr>
          <w:p w:rsidR="005727C2" w:rsidRDefault="005727C2" w:rsidP="00364535">
            <w:pPr>
              <w:spacing w:after="0" w:line="240" w:lineRule="auto"/>
              <w:jc w:val="center"/>
              <w:rPr>
                <w:b/>
                <w:bCs/>
                <w:sz w:val="18"/>
                <w:szCs w:val="18"/>
                <w:lang w:eastAsia="en-US"/>
              </w:rPr>
            </w:pPr>
            <w:r>
              <w:rPr>
                <w:b/>
                <w:bCs/>
                <w:sz w:val="18"/>
                <w:szCs w:val="18"/>
                <w:lang w:eastAsia="en-US"/>
              </w:rPr>
              <w:t>Рост среднегодо-вых, средневзве-шенных тарифов 2020/ 2019,%</w:t>
            </w:r>
          </w:p>
        </w:tc>
      </w:tr>
      <w:tr w:rsidR="005727C2" w:rsidTr="005D278C">
        <w:trPr>
          <w:trHeight w:val="735"/>
        </w:trPr>
        <w:tc>
          <w:tcPr>
            <w:tcW w:w="2693" w:type="dxa"/>
            <w:tcBorders>
              <w:top w:val="single" w:sz="4" w:space="0" w:color="auto"/>
              <w:left w:val="single" w:sz="4" w:space="0" w:color="auto"/>
              <w:bottom w:val="single" w:sz="4" w:space="0" w:color="auto"/>
              <w:right w:val="single" w:sz="4" w:space="0" w:color="auto"/>
            </w:tcBorders>
            <w:hideMark/>
          </w:tcPr>
          <w:p w:rsidR="005727C2" w:rsidRDefault="005727C2" w:rsidP="00364535">
            <w:pPr>
              <w:spacing w:after="0" w:line="240" w:lineRule="auto"/>
              <w:ind w:firstLineChars="100" w:firstLine="201"/>
              <w:jc w:val="center"/>
              <w:rPr>
                <w:b/>
                <w:bCs/>
                <w:sz w:val="20"/>
                <w:szCs w:val="20"/>
                <w:lang w:eastAsia="en-US"/>
              </w:rPr>
            </w:pPr>
            <w:r>
              <w:rPr>
                <w:b/>
                <w:bCs/>
                <w:sz w:val="20"/>
                <w:szCs w:val="20"/>
                <w:lang w:eastAsia="en-US"/>
              </w:rPr>
              <w:t>НВВ АО «СИБЭКО» по т/э для потребителей (без потерь), в т.ч</w:t>
            </w:r>
            <w:r w:rsidR="005D278C">
              <w:rPr>
                <w:b/>
                <w:bCs/>
                <w:sz w:val="20"/>
                <w:szCs w:val="20"/>
                <w:lang w:eastAsia="en-US"/>
              </w:rPr>
              <w:t>.</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5727C2" w:rsidRDefault="005727C2" w:rsidP="00364535">
            <w:pPr>
              <w:spacing w:after="0" w:line="240" w:lineRule="auto"/>
              <w:jc w:val="center"/>
              <w:rPr>
                <w:sz w:val="20"/>
                <w:szCs w:val="20"/>
                <w:lang w:val="en-US" w:eastAsia="en-US"/>
              </w:rPr>
            </w:pPr>
            <w:r>
              <w:rPr>
                <w:sz w:val="20"/>
                <w:szCs w:val="20"/>
                <w:lang w:eastAsia="en-US"/>
              </w:rPr>
              <w:t>12</w:t>
            </w:r>
            <w:r>
              <w:rPr>
                <w:sz w:val="20"/>
                <w:szCs w:val="20"/>
                <w:lang w:val="en-US" w:eastAsia="en-US"/>
              </w:rPr>
              <w:t> </w:t>
            </w:r>
            <w:r>
              <w:rPr>
                <w:sz w:val="20"/>
                <w:szCs w:val="20"/>
                <w:lang w:eastAsia="en-US"/>
              </w:rPr>
              <w:t>250</w:t>
            </w:r>
            <w:r>
              <w:rPr>
                <w:sz w:val="20"/>
                <w:szCs w:val="20"/>
                <w:lang w:val="en-US" w:eastAsia="en-US"/>
              </w:rPr>
              <w:t xml:space="preserve"> </w:t>
            </w:r>
            <w:r>
              <w:rPr>
                <w:sz w:val="20"/>
                <w:szCs w:val="20"/>
                <w:lang w:eastAsia="en-US"/>
              </w:rPr>
              <w:t>475,2</w:t>
            </w:r>
            <w:r>
              <w:rPr>
                <w:sz w:val="20"/>
                <w:szCs w:val="20"/>
                <w:lang w:val="en-US" w:eastAsia="en-US"/>
              </w:rPr>
              <w:t>9</w:t>
            </w:r>
          </w:p>
        </w:tc>
        <w:tc>
          <w:tcPr>
            <w:tcW w:w="1133" w:type="dxa"/>
            <w:tcBorders>
              <w:top w:val="single" w:sz="4" w:space="0" w:color="auto"/>
              <w:left w:val="single" w:sz="4" w:space="0" w:color="auto"/>
              <w:bottom w:val="single" w:sz="4" w:space="0" w:color="auto"/>
              <w:right w:val="single" w:sz="4" w:space="0" w:color="auto"/>
            </w:tcBorders>
            <w:noWrap/>
            <w:vAlign w:val="center"/>
            <w:hideMark/>
          </w:tcPr>
          <w:p w:rsidR="005727C2" w:rsidRDefault="005727C2" w:rsidP="00364535">
            <w:pPr>
              <w:spacing w:after="0" w:line="240" w:lineRule="auto"/>
              <w:jc w:val="center"/>
              <w:rPr>
                <w:sz w:val="20"/>
                <w:szCs w:val="20"/>
                <w:lang w:val="en-US" w:eastAsia="en-US"/>
              </w:rPr>
            </w:pPr>
            <w:r>
              <w:rPr>
                <w:sz w:val="20"/>
                <w:szCs w:val="20"/>
                <w:lang w:eastAsia="en-US"/>
              </w:rPr>
              <w:t>1 0</w:t>
            </w:r>
            <w:r>
              <w:rPr>
                <w:sz w:val="20"/>
                <w:szCs w:val="20"/>
                <w:lang w:val="en-US" w:eastAsia="en-US"/>
              </w:rPr>
              <w:t>91</w:t>
            </w:r>
            <w:r>
              <w:rPr>
                <w:sz w:val="20"/>
                <w:szCs w:val="20"/>
                <w:lang w:eastAsia="en-US"/>
              </w:rPr>
              <w:t>,6</w:t>
            </w:r>
            <w:r>
              <w:rPr>
                <w:sz w:val="20"/>
                <w:szCs w:val="20"/>
                <w:lang w:val="en-US" w:eastAsia="en-US"/>
              </w:rPr>
              <w:t>8</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5727C2" w:rsidRDefault="005727C2" w:rsidP="00364535">
            <w:pPr>
              <w:spacing w:after="0" w:line="240" w:lineRule="auto"/>
              <w:jc w:val="center"/>
              <w:rPr>
                <w:sz w:val="20"/>
                <w:szCs w:val="20"/>
                <w:lang w:eastAsia="en-US"/>
              </w:rPr>
            </w:pPr>
            <w:r>
              <w:rPr>
                <w:sz w:val="20"/>
                <w:szCs w:val="20"/>
                <w:lang w:val="en-US" w:eastAsia="en-US"/>
              </w:rPr>
              <w:t>13</w:t>
            </w:r>
            <w:r>
              <w:rPr>
                <w:sz w:val="20"/>
                <w:szCs w:val="20"/>
                <w:lang w:eastAsia="en-US"/>
              </w:rPr>
              <w:t> </w:t>
            </w:r>
            <w:r>
              <w:rPr>
                <w:sz w:val="20"/>
                <w:szCs w:val="20"/>
                <w:lang w:val="en-US" w:eastAsia="en-US"/>
              </w:rPr>
              <w:t>915 963</w:t>
            </w:r>
            <w:r>
              <w:rPr>
                <w:sz w:val="20"/>
                <w:szCs w:val="20"/>
                <w:lang w:eastAsia="en-US"/>
              </w:rPr>
              <w:t>,75</w:t>
            </w:r>
          </w:p>
        </w:tc>
        <w:tc>
          <w:tcPr>
            <w:tcW w:w="1133" w:type="dxa"/>
            <w:tcBorders>
              <w:top w:val="single" w:sz="4" w:space="0" w:color="auto"/>
              <w:left w:val="single" w:sz="4" w:space="0" w:color="auto"/>
              <w:bottom w:val="single" w:sz="4" w:space="0" w:color="auto"/>
              <w:right w:val="single" w:sz="4" w:space="0" w:color="auto"/>
            </w:tcBorders>
            <w:noWrap/>
            <w:vAlign w:val="center"/>
            <w:hideMark/>
          </w:tcPr>
          <w:p w:rsidR="005727C2" w:rsidRDefault="005727C2" w:rsidP="00364535">
            <w:pPr>
              <w:spacing w:after="0" w:line="240" w:lineRule="auto"/>
              <w:jc w:val="center"/>
              <w:rPr>
                <w:sz w:val="20"/>
                <w:szCs w:val="20"/>
                <w:lang w:eastAsia="en-US"/>
              </w:rPr>
            </w:pPr>
            <w:r>
              <w:rPr>
                <w:sz w:val="20"/>
                <w:szCs w:val="20"/>
                <w:lang w:eastAsia="en-US"/>
              </w:rPr>
              <w:t>1 164,98</w:t>
            </w:r>
          </w:p>
        </w:tc>
        <w:tc>
          <w:tcPr>
            <w:tcW w:w="850" w:type="dxa"/>
            <w:tcBorders>
              <w:top w:val="single" w:sz="4" w:space="0" w:color="auto"/>
              <w:left w:val="single" w:sz="4" w:space="0" w:color="auto"/>
              <w:bottom w:val="single" w:sz="4" w:space="0" w:color="auto"/>
              <w:right w:val="single" w:sz="4" w:space="0" w:color="auto"/>
            </w:tcBorders>
            <w:noWrap/>
            <w:vAlign w:val="center"/>
            <w:hideMark/>
          </w:tcPr>
          <w:p w:rsidR="005727C2" w:rsidRDefault="005727C2" w:rsidP="00364535">
            <w:pPr>
              <w:spacing w:after="0" w:line="240" w:lineRule="auto"/>
              <w:jc w:val="center"/>
              <w:rPr>
                <w:sz w:val="20"/>
                <w:szCs w:val="20"/>
                <w:lang w:eastAsia="en-US"/>
              </w:rPr>
            </w:pPr>
            <w:r>
              <w:rPr>
                <w:sz w:val="20"/>
                <w:szCs w:val="20"/>
                <w:lang w:eastAsia="en-US"/>
              </w:rPr>
              <w:t>13,6%</w:t>
            </w:r>
          </w:p>
        </w:tc>
        <w:tc>
          <w:tcPr>
            <w:tcW w:w="1280" w:type="dxa"/>
            <w:tcBorders>
              <w:top w:val="single" w:sz="4" w:space="0" w:color="auto"/>
              <w:left w:val="single" w:sz="4" w:space="0" w:color="auto"/>
              <w:bottom w:val="single" w:sz="4" w:space="0" w:color="auto"/>
              <w:right w:val="single" w:sz="4" w:space="0" w:color="auto"/>
            </w:tcBorders>
            <w:noWrap/>
            <w:vAlign w:val="center"/>
            <w:hideMark/>
          </w:tcPr>
          <w:p w:rsidR="005727C2" w:rsidRDefault="005727C2" w:rsidP="00364535">
            <w:pPr>
              <w:spacing w:after="0" w:line="240" w:lineRule="auto"/>
              <w:jc w:val="center"/>
              <w:rPr>
                <w:sz w:val="20"/>
                <w:szCs w:val="20"/>
                <w:lang w:eastAsia="en-US"/>
              </w:rPr>
            </w:pPr>
            <w:r>
              <w:rPr>
                <w:sz w:val="20"/>
                <w:szCs w:val="20"/>
                <w:lang w:eastAsia="en-US"/>
              </w:rPr>
              <w:t>6,7%</w:t>
            </w:r>
          </w:p>
        </w:tc>
      </w:tr>
      <w:tr w:rsidR="005727C2" w:rsidTr="005D278C">
        <w:trPr>
          <w:trHeight w:val="270"/>
        </w:trPr>
        <w:tc>
          <w:tcPr>
            <w:tcW w:w="2693" w:type="dxa"/>
            <w:tcBorders>
              <w:top w:val="single" w:sz="4" w:space="0" w:color="auto"/>
              <w:left w:val="single" w:sz="4" w:space="0" w:color="auto"/>
              <w:bottom w:val="single" w:sz="4" w:space="0" w:color="auto"/>
              <w:right w:val="single" w:sz="4" w:space="0" w:color="auto"/>
            </w:tcBorders>
            <w:hideMark/>
          </w:tcPr>
          <w:p w:rsidR="005727C2" w:rsidRDefault="005727C2" w:rsidP="00364535">
            <w:pPr>
              <w:spacing w:after="0" w:line="240" w:lineRule="auto"/>
              <w:ind w:firstLineChars="100" w:firstLine="200"/>
              <w:jc w:val="center"/>
              <w:rPr>
                <w:sz w:val="20"/>
                <w:szCs w:val="20"/>
                <w:lang w:eastAsia="en-US"/>
              </w:rPr>
            </w:pPr>
            <w:r>
              <w:rPr>
                <w:sz w:val="20"/>
                <w:szCs w:val="20"/>
                <w:lang w:eastAsia="en-US"/>
              </w:rPr>
              <w:t>Расходы на производство и покупку т/э, в том числе:</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5727C2" w:rsidRDefault="005727C2" w:rsidP="00364535">
            <w:pPr>
              <w:spacing w:after="0" w:line="240" w:lineRule="auto"/>
              <w:jc w:val="center"/>
              <w:rPr>
                <w:sz w:val="20"/>
                <w:szCs w:val="20"/>
                <w:lang w:eastAsia="en-US"/>
              </w:rPr>
            </w:pPr>
            <w:r>
              <w:rPr>
                <w:sz w:val="20"/>
                <w:szCs w:val="20"/>
                <w:lang w:eastAsia="en-US"/>
              </w:rPr>
              <w:t>8 016 537,50</w:t>
            </w:r>
          </w:p>
        </w:tc>
        <w:tc>
          <w:tcPr>
            <w:tcW w:w="1133" w:type="dxa"/>
            <w:tcBorders>
              <w:top w:val="single" w:sz="4" w:space="0" w:color="auto"/>
              <w:left w:val="single" w:sz="4" w:space="0" w:color="auto"/>
              <w:bottom w:val="single" w:sz="4" w:space="0" w:color="auto"/>
              <w:right w:val="single" w:sz="4" w:space="0" w:color="auto"/>
            </w:tcBorders>
            <w:noWrap/>
            <w:vAlign w:val="center"/>
            <w:hideMark/>
          </w:tcPr>
          <w:p w:rsidR="005727C2" w:rsidRDefault="005727C2" w:rsidP="00364535">
            <w:pPr>
              <w:spacing w:after="0" w:line="240" w:lineRule="auto"/>
              <w:jc w:val="center"/>
              <w:rPr>
                <w:sz w:val="20"/>
                <w:szCs w:val="20"/>
                <w:lang w:eastAsia="en-US"/>
              </w:rPr>
            </w:pPr>
            <w:r>
              <w:rPr>
                <w:sz w:val="20"/>
                <w:szCs w:val="20"/>
                <w:lang w:eastAsia="en-US"/>
              </w:rPr>
              <w:t>568,42</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5727C2" w:rsidRDefault="005727C2" w:rsidP="00364535">
            <w:pPr>
              <w:spacing w:after="0" w:line="240" w:lineRule="auto"/>
              <w:jc w:val="center"/>
              <w:rPr>
                <w:sz w:val="20"/>
                <w:szCs w:val="20"/>
                <w:lang w:eastAsia="en-US"/>
              </w:rPr>
            </w:pPr>
            <w:r>
              <w:rPr>
                <w:sz w:val="20"/>
                <w:szCs w:val="20"/>
                <w:lang w:eastAsia="en-US"/>
              </w:rPr>
              <w:t>9 114 290,50</w:t>
            </w:r>
          </w:p>
        </w:tc>
        <w:tc>
          <w:tcPr>
            <w:tcW w:w="1133" w:type="dxa"/>
            <w:tcBorders>
              <w:top w:val="single" w:sz="4" w:space="0" w:color="auto"/>
              <w:left w:val="single" w:sz="4" w:space="0" w:color="auto"/>
              <w:bottom w:val="single" w:sz="4" w:space="0" w:color="auto"/>
              <w:right w:val="single" w:sz="4" w:space="0" w:color="auto"/>
            </w:tcBorders>
            <w:noWrap/>
            <w:vAlign w:val="center"/>
            <w:hideMark/>
          </w:tcPr>
          <w:p w:rsidR="005727C2" w:rsidRDefault="005727C2" w:rsidP="00364535">
            <w:pPr>
              <w:spacing w:after="0" w:line="240" w:lineRule="auto"/>
              <w:jc w:val="center"/>
              <w:rPr>
                <w:sz w:val="20"/>
                <w:szCs w:val="20"/>
                <w:lang w:eastAsia="en-US"/>
              </w:rPr>
            </w:pPr>
            <w:r>
              <w:rPr>
                <w:sz w:val="20"/>
                <w:szCs w:val="20"/>
                <w:lang w:eastAsia="en-US"/>
              </w:rPr>
              <w:t>614,72</w:t>
            </w:r>
          </w:p>
        </w:tc>
        <w:tc>
          <w:tcPr>
            <w:tcW w:w="850" w:type="dxa"/>
            <w:tcBorders>
              <w:top w:val="single" w:sz="4" w:space="0" w:color="auto"/>
              <w:left w:val="single" w:sz="4" w:space="0" w:color="auto"/>
              <w:bottom w:val="single" w:sz="4" w:space="0" w:color="auto"/>
              <w:right w:val="single" w:sz="4" w:space="0" w:color="auto"/>
            </w:tcBorders>
            <w:noWrap/>
            <w:vAlign w:val="center"/>
            <w:hideMark/>
          </w:tcPr>
          <w:p w:rsidR="005727C2" w:rsidRDefault="005727C2" w:rsidP="00364535">
            <w:pPr>
              <w:spacing w:after="0" w:line="240" w:lineRule="auto"/>
              <w:jc w:val="center"/>
              <w:rPr>
                <w:sz w:val="20"/>
                <w:szCs w:val="20"/>
                <w:lang w:eastAsia="en-US"/>
              </w:rPr>
            </w:pPr>
            <w:r>
              <w:rPr>
                <w:sz w:val="20"/>
                <w:szCs w:val="20"/>
                <w:lang w:eastAsia="en-US"/>
              </w:rPr>
              <w:t>13,7%</w:t>
            </w:r>
          </w:p>
        </w:tc>
        <w:tc>
          <w:tcPr>
            <w:tcW w:w="1280" w:type="dxa"/>
            <w:tcBorders>
              <w:top w:val="single" w:sz="4" w:space="0" w:color="auto"/>
              <w:left w:val="single" w:sz="4" w:space="0" w:color="auto"/>
              <w:bottom w:val="single" w:sz="4" w:space="0" w:color="auto"/>
              <w:right w:val="single" w:sz="4" w:space="0" w:color="auto"/>
            </w:tcBorders>
            <w:noWrap/>
            <w:vAlign w:val="center"/>
            <w:hideMark/>
          </w:tcPr>
          <w:p w:rsidR="005727C2" w:rsidRDefault="005727C2" w:rsidP="00364535">
            <w:pPr>
              <w:spacing w:after="0" w:line="240" w:lineRule="auto"/>
              <w:jc w:val="center"/>
              <w:rPr>
                <w:sz w:val="20"/>
                <w:szCs w:val="20"/>
                <w:lang w:eastAsia="en-US"/>
              </w:rPr>
            </w:pPr>
            <w:r>
              <w:rPr>
                <w:sz w:val="20"/>
                <w:szCs w:val="20"/>
                <w:lang w:eastAsia="en-US"/>
              </w:rPr>
              <w:t>8,1%</w:t>
            </w:r>
          </w:p>
        </w:tc>
      </w:tr>
      <w:tr w:rsidR="005727C2" w:rsidTr="005D278C">
        <w:trPr>
          <w:trHeight w:val="270"/>
        </w:trPr>
        <w:tc>
          <w:tcPr>
            <w:tcW w:w="2693" w:type="dxa"/>
            <w:tcBorders>
              <w:top w:val="single" w:sz="4" w:space="0" w:color="auto"/>
              <w:left w:val="single" w:sz="4" w:space="0" w:color="auto"/>
              <w:bottom w:val="single" w:sz="4" w:space="0" w:color="auto"/>
              <w:right w:val="single" w:sz="4" w:space="0" w:color="auto"/>
            </w:tcBorders>
            <w:hideMark/>
          </w:tcPr>
          <w:p w:rsidR="005727C2" w:rsidRDefault="005727C2" w:rsidP="00364535">
            <w:pPr>
              <w:spacing w:after="0" w:line="240" w:lineRule="auto"/>
              <w:ind w:firstLineChars="100" w:firstLine="200"/>
              <w:jc w:val="center"/>
              <w:rPr>
                <w:sz w:val="20"/>
                <w:szCs w:val="20"/>
                <w:lang w:eastAsia="en-US"/>
              </w:rPr>
            </w:pPr>
            <w:r>
              <w:rPr>
                <w:sz w:val="20"/>
                <w:szCs w:val="20"/>
                <w:lang w:eastAsia="en-US"/>
              </w:rPr>
              <w:t>производство т/э АО «СИБЭКО», в т.ч.</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5727C2" w:rsidRDefault="005727C2" w:rsidP="00364535">
            <w:pPr>
              <w:spacing w:after="0" w:line="240" w:lineRule="auto"/>
              <w:jc w:val="center"/>
              <w:rPr>
                <w:sz w:val="20"/>
                <w:szCs w:val="20"/>
                <w:lang w:eastAsia="en-US"/>
              </w:rPr>
            </w:pPr>
            <w:r>
              <w:rPr>
                <w:sz w:val="20"/>
                <w:szCs w:val="20"/>
                <w:lang w:eastAsia="en-US"/>
              </w:rPr>
              <w:t>7 289 714,24</w:t>
            </w:r>
          </w:p>
        </w:tc>
        <w:tc>
          <w:tcPr>
            <w:tcW w:w="1133" w:type="dxa"/>
            <w:tcBorders>
              <w:top w:val="single" w:sz="4" w:space="0" w:color="auto"/>
              <w:left w:val="single" w:sz="4" w:space="0" w:color="auto"/>
              <w:bottom w:val="single" w:sz="4" w:space="0" w:color="auto"/>
              <w:right w:val="single" w:sz="4" w:space="0" w:color="auto"/>
            </w:tcBorders>
            <w:noWrap/>
            <w:vAlign w:val="center"/>
            <w:hideMark/>
          </w:tcPr>
          <w:p w:rsidR="005727C2" w:rsidRDefault="005727C2" w:rsidP="00364535">
            <w:pPr>
              <w:spacing w:after="0" w:line="240" w:lineRule="auto"/>
              <w:jc w:val="center"/>
              <w:rPr>
                <w:sz w:val="20"/>
                <w:szCs w:val="20"/>
                <w:lang w:eastAsia="en-US"/>
              </w:rPr>
            </w:pPr>
            <w:r>
              <w:rPr>
                <w:sz w:val="20"/>
                <w:szCs w:val="20"/>
                <w:lang w:eastAsia="en-US"/>
              </w:rPr>
              <w:t>538,99</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5727C2" w:rsidRDefault="005727C2" w:rsidP="00364535">
            <w:pPr>
              <w:spacing w:after="0" w:line="240" w:lineRule="auto"/>
              <w:jc w:val="center"/>
              <w:rPr>
                <w:sz w:val="20"/>
                <w:szCs w:val="20"/>
                <w:lang w:eastAsia="en-US"/>
              </w:rPr>
            </w:pPr>
            <w:r>
              <w:rPr>
                <w:sz w:val="20"/>
                <w:szCs w:val="20"/>
                <w:lang w:eastAsia="en-US"/>
              </w:rPr>
              <w:t>8 410 542,83</w:t>
            </w:r>
          </w:p>
        </w:tc>
        <w:tc>
          <w:tcPr>
            <w:tcW w:w="1133" w:type="dxa"/>
            <w:tcBorders>
              <w:top w:val="single" w:sz="4" w:space="0" w:color="auto"/>
              <w:left w:val="single" w:sz="4" w:space="0" w:color="auto"/>
              <w:bottom w:val="single" w:sz="4" w:space="0" w:color="auto"/>
              <w:right w:val="single" w:sz="4" w:space="0" w:color="auto"/>
            </w:tcBorders>
            <w:noWrap/>
            <w:vAlign w:val="center"/>
            <w:hideMark/>
          </w:tcPr>
          <w:p w:rsidR="005727C2" w:rsidRDefault="005727C2" w:rsidP="00364535">
            <w:pPr>
              <w:spacing w:after="0" w:line="240" w:lineRule="auto"/>
              <w:jc w:val="center"/>
              <w:rPr>
                <w:sz w:val="20"/>
                <w:szCs w:val="20"/>
                <w:lang w:eastAsia="en-US"/>
              </w:rPr>
            </w:pPr>
            <w:r>
              <w:rPr>
                <w:sz w:val="20"/>
                <w:szCs w:val="20"/>
                <w:lang w:eastAsia="en-US"/>
              </w:rPr>
              <w:t>588,80</w:t>
            </w:r>
          </w:p>
        </w:tc>
        <w:tc>
          <w:tcPr>
            <w:tcW w:w="850" w:type="dxa"/>
            <w:tcBorders>
              <w:top w:val="single" w:sz="4" w:space="0" w:color="auto"/>
              <w:left w:val="single" w:sz="4" w:space="0" w:color="auto"/>
              <w:bottom w:val="single" w:sz="4" w:space="0" w:color="auto"/>
              <w:right w:val="single" w:sz="4" w:space="0" w:color="auto"/>
            </w:tcBorders>
            <w:noWrap/>
            <w:vAlign w:val="center"/>
            <w:hideMark/>
          </w:tcPr>
          <w:p w:rsidR="005727C2" w:rsidRDefault="005727C2" w:rsidP="00364535">
            <w:pPr>
              <w:spacing w:after="0" w:line="240" w:lineRule="auto"/>
              <w:jc w:val="center"/>
              <w:rPr>
                <w:sz w:val="20"/>
                <w:szCs w:val="20"/>
                <w:lang w:eastAsia="en-US"/>
              </w:rPr>
            </w:pPr>
            <w:r>
              <w:rPr>
                <w:sz w:val="20"/>
                <w:szCs w:val="20"/>
                <w:lang w:eastAsia="en-US"/>
              </w:rPr>
              <w:t>15,4%</w:t>
            </w:r>
          </w:p>
        </w:tc>
        <w:tc>
          <w:tcPr>
            <w:tcW w:w="1280" w:type="dxa"/>
            <w:tcBorders>
              <w:top w:val="single" w:sz="4" w:space="0" w:color="auto"/>
              <w:left w:val="single" w:sz="4" w:space="0" w:color="auto"/>
              <w:bottom w:val="single" w:sz="4" w:space="0" w:color="auto"/>
              <w:right w:val="single" w:sz="4" w:space="0" w:color="auto"/>
            </w:tcBorders>
            <w:noWrap/>
            <w:vAlign w:val="center"/>
            <w:hideMark/>
          </w:tcPr>
          <w:p w:rsidR="005727C2" w:rsidRDefault="005727C2" w:rsidP="00364535">
            <w:pPr>
              <w:spacing w:after="0" w:line="240" w:lineRule="auto"/>
              <w:jc w:val="center"/>
              <w:rPr>
                <w:sz w:val="20"/>
                <w:szCs w:val="20"/>
                <w:lang w:eastAsia="en-US"/>
              </w:rPr>
            </w:pPr>
            <w:r>
              <w:rPr>
                <w:sz w:val="20"/>
                <w:szCs w:val="20"/>
                <w:lang w:eastAsia="en-US"/>
              </w:rPr>
              <w:t>9,2%</w:t>
            </w:r>
          </w:p>
        </w:tc>
      </w:tr>
      <w:tr w:rsidR="005727C2" w:rsidTr="005D278C">
        <w:trPr>
          <w:trHeight w:val="270"/>
        </w:trPr>
        <w:tc>
          <w:tcPr>
            <w:tcW w:w="2693" w:type="dxa"/>
            <w:tcBorders>
              <w:top w:val="single" w:sz="4" w:space="0" w:color="auto"/>
              <w:left w:val="single" w:sz="4" w:space="0" w:color="auto"/>
              <w:bottom w:val="single" w:sz="4" w:space="0" w:color="auto"/>
              <w:right w:val="single" w:sz="4" w:space="0" w:color="auto"/>
            </w:tcBorders>
            <w:noWrap/>
            <w:hideMark/>
          </w:tcPr>
          <w:p w:rsidR="005727C2" w:rsidRDefault="005727C2" w:rsidP="00364535">
            <w:pPr>
              <w:spacing w:after="0" w:line="240" w:lineRule="auto"/>
              <w:ind w:firstLineChars="100" w:firstLine="200"/>
              <w:jc w:val="center"/>
              <w:rPr>
                <w:sz w:val="20"/>
                <w:szCs w:val="20"/>
                <w:lang w:eastAsia="en-US"/>
              </w:rPr>
            </w:pPr>
            <w:r>
              <w:rPr>
                <w:sz w:val="20"/>
                <w:szCs w:val="20"/>
                <w:lang w:eastAsia="en-US"/>
              </w:rPr>
              <w:t>ТЭС</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5727C2" w:rsidRDefault="005727C2" w:rsidP="00364535">
            <w:pPr>
              <w:spacing w:after="0" w:line="240" w:lineRule="auto"/>
              <w:jc w:val="center"/>
              <w:rPr>
                <w:sz w:val="20"/>
                <w:szCs w:val="20"/>
                <w:lang w:eastAsia="en-US"/>
              </w:rPr>
            </w:pPr>
            <w:r>
              <w:rPr>
                <w:sz w:val="20"/>
                <w:szCs w:val="20"/>
                <w:lang w:eastAsia="en-US"/>
              </w:rPr>
              <w:t>6 072 172,84</w:t>
            </w:r>
          </w:p>
        </w:tc>
        <w:tc>
          <w:tcPr>
            <w:tcW w:w="1133" w:type="dxa"/>
            <w:tcBorders>
              <w:top w:val="single" w:sz="4" w:space="0" w:color="auto"/>
              <w:left w:val="single" w:sz="4" w:space="0" w:color="auto"/>
              <w:bottom w:val="single" w:sz="4" w:space="0" w:color="auto"/>
              <w:right w:val="single" w:sz="4" w:space="0" w:color="auto"/>
            </w:tcBorders>
            <w:noWrap/>
            <w:vAlign w:val="center"/>
            <w:hideMark/>
          </w:tcPr>
          <w:p w:rsidR="005727C2" w:rsidRDefault="005727C2" w:rsidP="00364535">
            <w:pPr>
              <w:spacing w:after="0" w:line="240" w:lineRule="auto"/>
              <w:jc w:val="center"/>
              <w:rPr>
                <w:sz w:val="20"/>
                <w:szCs w:val="20"/>
                <w:lang w:eastAsia="en-US"/>
              </w:rPr>
            </w:pPr>
            <w:r>
              <w:rPr>
                <w:sz w:val="20"/>
                <w:szCs w:val="20"/>
                <w:lang w:eastAsia="en-US"/>
              </w:rPr>
              <w:t>476,76</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5727C2" w:rsidRDefault="005727C2" w:rsidP="00364535">
            <w:pPr>
              <w:spacing w:after="0" w:line="240" w:lineRule="auto"/>
              <w:jc w:val="center"/>
              <w:rPr>
                <w:sz w:val="20"/>
                <w:szCs w:val="20"/>
                <w:lang w:eastAsia="en-US"/>
              </w:rPr>
            </w:pPr>
            <w:r>
              <w:rPr>
                <w:sz w:val="20"/>
                <w:szCs w:val="20"/>
                <w:lang w:eastAsia="en-US"/>
              </w:rPr>
              <w:t>6 373 701,88</w:t>
            </w:r>
          </w:p>
        </w:tc>
        <w:tc>
          <w:tcPr>
            <w:tcW w:w="1133" w:type="dxa"/>
            <w:tcBorders>
              <w:top w:val="single" w:sz="4" w:space="0" w:color="auto"/>
              <w:left w:val="single" w:sz="4" w:space="0" w:color="auto"/>
              <w:bottom w:val="single" w:sz="4" w:space="0" w:color="auto"/>
              <w:right w:val="single" w:sz="4" w:space="0" w:color="auto"/>
            </w:tcBorders>
            <w:noWrap/>
            <w:vAlign w:val="center"/>
            <w:hideMark/>
          </w:tcPr>
          <w:p w:rsidR="005727C2" w:rsidRDefault="005727C2" w:rsidP="00364535">
            <w:pPr>
              <w:spacing w:after="0" w:line="240" w:lineRule="auto"/>
              <w:jc w:val="center"/>
              <w:rPr>
                <w:sz w:val="20"/>
                <w:szCs w:val="20"/>
                <w:lang w:eastAsia="en-US"/>
              </w:rPr>
            </w:pPr>
            <w:r>
              <w:rPr>
                <w:sz w:val="20"/>
                <w:szCs w:val="20"/>
                <w:lang w:eastAsia="en-US"/>
              </w:rPr>
              <w:t>498,09</w:t>
            </w:r>
          </w:p>
        </w:tc>
        <w:tc>
          <w:tcPr>
            <w:tcW w:w="850" w:type="dxa"/>
            <w:tcBorders>
              <w:top w:val="single" w:sz="4" w:space="0" w:color="auto"/>
              <w:left w:val="single" w:sz="4" w:space="0" w:color="auto"/>
              <w:bottom w:val="single" w:sz="4" w:space="0" w:color="auto"/>
              <w:right w:val="single" w:sz="4" w:space="0" w:color="auto"/>
            </w:tcBorders>
            <w:noWrap/>
            <w:vAlign w:val="center"/>
            <w:hideMark/>
          </w:tcPr>
          <w:p w:rsidR="005727C2" w:rsidRDefault="005727C2" w:rsidP="00364535">
            <w:pPr>
              <w:spacing w:after="0" w:line="240" w:lineRule="auto"/>
              <w:jc w:val="center"/>
              <w:rPr>
                <w:sz w:val="20"/>
                <w:szCs w:val="20"/>
                <w:lang w:eastAsia="en-US"/>
              </w:rPr>
            </w:pPr>
            <w:r>
              <w:rPr>
                <w:sz w:val="20"/>
                <w:szCs w:val="20"/>
                <w:lang w:eastAsia="en-US"/>
              </w:rPr>
              <w:t>5,0%</w:t>
            </w:r>
          </w:p>
        </w:tc>
        <w:tc>
          <w:tcPr>
            <w:tcW w:w="1280" w:type="dxa"/>
            <w:tcBorders>
              <w:top w:val="single" w:sz="4" w:space="0" w:color="auto"/>
              <w:left w:val="single" w:sz="4" w:space="0" w:color="auto"/>
              <w:bottom w:val="single" w:sz="4" w:space="0" w:color="auto"/>
              <w:right w:val="single" w:sz="4" w:space="0" w:color="auto"/>
            </w:tcBorders>
            <w:noWrap/>
            <w:vAlign w:val="center"/>
            <w:hideMark/>
          </w:tcPr>
          <w:p w:rsidR="005727C2" w:rsidRDefault="005727C2" w:rsidP="00364535">
            <w:pPr>
              <w:spacing w:after="0" w:line="240" w:lineRule="auto"/>
              <w:jc w:val="center"/>
              <w:rPr>
                <w:sz w:val="20"/>
                <w:szCs w:val="20"/>
                <w:lang w:eastAsia="en-US"/>
              </w:rPr>
            </w:pPr>
            <w:r>
              <w:rPr>
                <w:sz w:val="20"/>
                <w:szCs w:val="20"/>
                <w:lang w:eastAsia="en-US"/>
              </w:rPr>
              <w:t>4,5%</w:t>
            </w:r>
          </w:p>
        </w:tc>
      </w:tr>
      <w:tr w:rsidR="005727C2" w:rsidTr="005D278C">
        <w:trPr>
          <w:trHeight w:val="270"/>
        </w:trPr>
        <w:tc>
          <w:tcPr>
            <w:tcW w:w="2693" w:type="dxa"/>
            <w:tcBorders>
              <w:top w:val="single" w:sz="4" w:space="0" w:color="auto"/>
              <w:left w:val="single" w:sz="4" w:space="0" w:color="auto"/>
              <w:bottom w:val="single" w:sz="4" w:space="0" w:color="auto"/>
              <w:right w:val="single" w:sz="4" w:space="0" w:color="auto"/>
            </w:tcBorders>
            <w:noWrap/>
            <w:hideMark/>
          </w:tcPr>
          <w:p w:rsidR="005727C2" w:rsidRDefault="005727C2" w:rsidP="00364535">
            <w:pPr>
              <w:spacing w:after="0" w:line="240" w:lineRule="auto"/>
              <w:ind w:firstLineChars="100" w:firstLine="200"/>
              <w:jc w:val="center"/>
              <w:rPr>
                <w:sz w:val="20"/>
                <w:szCs w:val="20"/>
                <w:lang w:eastAsia="en-US"/>
              </w:rPr>
            </w:pPr>
            <w:r>
              <w:rPr>
                <w:sz w:val="20"/>
                <w:szCs w:val="20"/>
                <w:lang w:eastAsia="en-US"/>
              </w:rPr>
              <w:t>локальные котельные</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5727C2" w:rsidRDefault="005727C2" w:rsidP="00364535">
            <w:pPr>
              <w:spacing w:after="0" w:line="240" w:lineRule="auto"/>
              <w:jc w:val="center"/>
              <w:rPr>
                <w:sz w:val="20"/>
                <w:szCs w:val="20"/>
                <w:lang w:eastAsia="en-US"/>
              </w:rPr>
            </w:pPr>
            <w:r>
              <w:rPr>
                <w:sz w:val="20"/>
                <w:szCs w:val="20"/>
                <w:lang w:eastAsia="en-US"/>
              </w:rPr>
              <w:t>1 217 541,40</w:t>
            </w:r>
          </w:p>
        </w:tc>
        <w:tc>
          <w:tcPr>
            <w:tcW w:w="1133" w:type="dxa"/>
            <w:tcBorders>
              <w:top w:val="single" w:sz="4" w:space="0" w:color="auto"/>
              <w:left w:val="single" w:sz="4" w:space="0" w:color="auto"/>
              <w:bottom w:val="single" w:sz="4" w:space="0" w:color="auto"/>
              <w:right w:val="single" w:sz="4" w:space="0" w:color="auto"/>
            </w:tcBorders>
            <w:noWrap/>
            <w:vAlign w:val="center"/>
            <w:hideMark/>
          </w:tcPr>
          <w:p w:rsidR="005727C2" w:rsidRDefault="005727C2" w:rsidP="00364535">
            <w:pPr>
              <w:spacing w:after="0" w:line="240" w:lineRule="auto"/>
              <w:jc w:val="center"/>
              <w:rPr>
                <w:sz w:val="20"/>
                <w:szCs w:val="20"/>
                <w:lang w:eastAsia="en-US"/>
              </w:rPr>
            </w:pPr>
            <w:r>
              <w:rPr>
                <w:sz w:val="20"/>
                <w:szCs w:val="20"/>
                <w:lang w:eastAsia="en-US"/>
              </w:rPr>
              <w:t>1 544,61</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5727C2" w:rsidRDefault="005727C2" w:rsidP="00364535">
            <w:pPr>
              <w:spacing w:after="0" w:line="240" w:lineRule="auto"/>
              <w:jc w:val="center"/>
              <w:rPr>
                <w:sz w:val="20"/>
                <w:szCs w:val="20"/>
                <w:lang w:eastAsia="en-US"/>
              </w:rPr>
            </w:pPr>
            <w:r>
              <w:rPr>
                <w:sz w:val="20"/>
                <w:szCs w:val="20"/>
                <w:lang w:eastAsia="en-US"/>
              </w:rPr>
              <w:t>2 036 840,95</w:t>
            </w:r>
          </w:p>
        </w:tc>
        <w:tc>
          <w:tcPr>
            <w:tcW w:w="1133" w:type="dxa"/>
            <w:tcBorders>
              <w:top w:val="single" w:sz="4" w:space="0" w:color="auto"/>
              <w:left w:val="single" w:sz="4" w:space="0" w:color="auto"/>
              <w:bottom w:val="single" w:sz="4" w:space="0" w:color="auto"/>
              <w:right w:val="single" w:sz="4" w:space="0" w:color="auto"/>
            </w:tcBorders>
            <w:noWrap/>
            <w:vAlign w:val="center"/>
            <w:hideMark/>
          </w:tcPr>
          <w:p w:rsidR="005727C2" w:rsidRDefault="005727C2" w:rsidP="00364535">
            <w:pPr>
              <w:spacing w:after="0" w:line="240" w:lineRule="auto"/>
              <w:jc w:val="center"/>
              <w:rPr>
                <w:sz w:val="20"/>
                <w:szCs w:val="20"/>
                <w:lang w:eastAsia="en-US"/>
              </w:rPr>
            </w:pPr>
            <w:r>
              <w:rPr>
                <w:sz w:val="20"/>
                <w:szCs w:val="20"/>
                <w:lang w:eastAsia="en-US"/>
              </w:rPr>
              <w:t>1369,07</w:t>
            </w:r>
          </w:p>
        </w:tc>
        <w:tc>
          <w:tcPr>
            <w:tcW w:w="850" w:type="dxa"/>
            <w:tcBorders>
              <w:top w:val="single" w:sz="4" w:space="0" w:color="auto"/>
              <w:left w:val="single" w:sz="4" w:space="0" w:color="auto"/>
              <w:bottom w:val="single" w:sz="4" w:space="0" w:color="auto"/>
              <w:right w:val="single" w:sz="4" w:space="0" w:color="auto"/>
            </w:tcBorders>
            <w:noWrap/>
            <w:vAlign w:val="center"/>
            <w:hideMark/>
          </w:tcPr>
          <w:p w:rsidR="005727C2" w:rsidRDefault="005727C2" w:rsidP="00364535">
            <w:pPr>
              <w:spacing w:after="0" w:line="240" w:lineRule="auto"/>
              <w:jc w:val="center"/>
              <w:rPr>
                <w:sz w:val="20"/>
                <w:szCs w:val="20"/>
                <w:lang w:eastAsia="en-US"/>
              </w:rPr>
            </w:pPr>
            <w:r>
              <w:rPr>
                <w:sz w:val="20"/>
                <w:szCs w:val="20"/>
                <w:lang w:eastAsia="en-US"/>
              </w:rPr>
              <w:t>67,3%</w:t>
            </w:r>
          </w:p>
        </w:tc>
        <w:tc>
          <w:tcPr>
            <w:tcW w:w="1280" w:type="dxa"/>
            <w:tcBorders>
              <w:top w:val="single" w:sz="4" w:space="0" w:color="auto"/>
              <w:left w:val="single" w:sz="4" w:space="0" w:color="auto"/>
              <w:bottom w:val="single" w:sz="4" w:space="0" w:color="auto"/>
              <w:right w:val="single" w:sz="4" w:space="0" w:color="auto"/>
            </w:tcBorders>
            <w:noWrap/>
            <w:vAlign w:val="center"/>
            <w:hideMark/>
          </w:tcPr>
          <w:p w:rsidR="005727C2" w:rsidRDefault="005727C2" w:rsidP="00364535">
            <w:pPr>
              <w:spacing w:after="0" w:line="240" w:lineRule="auto"/>
              <w:jc w:val="center"/>
              <w:rPr>
                <w:sz w:val="20"/>
                <w:szCs w:val="20"/>
                <w:lang w:eastAsia="en-US"/>
              </w:rPr>
            </w:pPr>
            <w:r>
              <w:rPr>
                <w:sz w:val="20"/>
                <w:szCs w:val="20"/>
                <w:lang w:eastAsia="en-US"/>
              </w:rPr>
              <w:t>-11,4%</w:t>
            </w:r>
          </w:p>
        </w:tc>
      </w:tr>
      <w:tr w:rsidR="005727C2" w:rsidTr="005D278C">
        <w:trPr>
          <w:trHeight w:val="270"/>
        </w:trPr>
        <w:tc>
          <w:tcPr>
            <w:tcW w:w="2693" w:type="dxa"/>
            <w:tcBorders>
              <w:top w:val="single" w:sz="4" w:space="0" w:color="auto"/>
              <w:left w:val="single" w:sz="4" w:space="0" w:color="auto"/>
              <w:bottom w:val="single" w:sz="4" w:space="0" w:color="auto"/>
              <w:right w:val="single" w:sz="4" w:space="0" w:color="auto"/>
            </w:tcBorders>
            <w:noWrap/>
            <w:hideMark/>
          </w:tcPr>
          <w:p w:rsidR="005727C2" w:rsidRDefault="005727C2" w:rsidP="00364535">
            <w:pPr>
              <w:spacing w:after="0" w:line="240" w:lineRule="auto"/>
              <w:jc w:val="center"/>
              <w:rPr>
                <w:sz w:val="20"/>
                <w:szCs w:val="20"/>
                <w:lang w:eastAsia="en-US"/>
              </w:rPr>
            </w:pPr>
            <w:r>
              <w:rPr>
                <w:sz w:val="20"/>
                <w:szCs w:val="20"/>
                <w:lang w:eastAsia="en-US"/>
              </w:rPr>
              <w:t>покупка т/э от ведомственных котельных</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5727C2" w:rsidRDefault="005727C2" w:rsidP="00364535">
            <w:pPr>
              <w:spacing w:after="0" w:line="240" w:lineRule="auto"/>
              <w:jc w:val="center"/>
              <w:rPr>
                <w:sz w:val="20"/>
                <w:szCs w:val="20"/>
                <w:lang w:eastAsia="en-US"/>
              </w:rPr>
            </w:pPr>
            <w:r>
              <w:rPr>
                <w:sz w:val="20"/>
                <w:szCs w:val="20"/>
                <w:lang w:eastAsia="en-US"/>
              </w:rPr>
              <w:t>726 823,26</w:t>
            </w:r>
          </w:p>
        </w:tc>
        <w:tc>
          <w:tcPr>
            <w:tcW w:w="1133" w:type="dxa"/>
            <w:tcBorders>
              <w:top w:val="single" w:sz="4" w:space="0" w:color="auto"/>
              <w:left w:val="single" w:sz="4" w:space="0" w:color="auto"/>
              <w:bottom w:val="single" w:sz="4" w:space="0" w:color="auto"/>
              <w:right w:val="single" w:sz="4" w:space="0" w:color="auto"/>
            </w:tcBorders>
            <w:noWrap/>
            <w:vAlign w:val="center"/>
            <w:hideMark/>
          </w:tcPr>
          <w:p w:rsidR="005727C2" w:rsidRDefault="005727C2" w:rsidP="00364535">
            <w:pPr>
              <w:spacing w:after="0" w:line="240" w:lineRule="auto"/>
              <w:jc w:val="center"/>
              <w:rPr>
                <w:sz w:val="20"/>
                <w:szCs w:val="20"/>
                <w:lang w:eastAsia="en-US"/>
              </w:rPr>
            </w:pPr>
            <w:r>
              <w:rPr>
                <w:sz w:val="20"/>
                <w:szCs w:val="20"/>
                <w:lang w:eastAsia="en-US"/>
              </w:rPr>
              <w:t>1 256,15</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5727C2" w:rsidRDefault="005727C2" w:rsidP="00364535">
            <w:pPr>
              <w:spacing w:after="0" w:line="240" w:lineRule="auto"/>
              <w:jc w:val="center"/>
              <w:rPr>
                <w:sz w:val="20"/>
                <w:szCs w:val="20"/>
                <w:lang w:eastAsia="en-US"/>
              </w:rPr>
            </w:pPr>
            <w:r>
              <w:rPr>
                <w:sz w:val="20"/>
                <w:szCs w:val="20"/>
                <w:lang w:eastAsia="en-US"/>
              </w:rPr>
              <w:t>703 747,67</w:t>
            </w:r>
          </w:p>
        </w:tc>
        <w:tc>
          <w:tcPr>
            <w:tcW w:w="1133" w:type="dxa"/>
            <w:tcBorders>
              <w:top w:val="single" w:sz="4" w:space="0" w:color="auto"/>
              <w:left w:val="single" w:sz="4" w:space="0" w:color="auto"/>
              <w:bottom w:val="single" w:sz="4" w:space="0" w:color="auto"/>
              <w:right w:val="single" w:sz="4" w:space="0" w:color="auto"/>
            </w:tcBorders>
            <w:noWrap/>
            <w:vAlign w:val="center"/>
            <w:hideMark/>
          </w:tcPr>
          <w:p w:rsidR="005727C2" w:rsidRDefault="005727C2" w:rsidP="00364535">
            <w:pPr>
              <w:spacing w:after="0" w:line="240" w:lineRule="auto"/>
              <w:jc w:val="center"/>
              <w:rPr>
                <w:sz w:val="20"/>
                <w:szCs w:val="20"/>
                <w:lang w:eastAsia="en-US"/>
              </w:rPr>
            </w:pPr>
            <w:r>
              <w:rPr>
                <w:sz w:val="20"/>
                <w:szCs w:val="20"/>
                <w:lang w:eastAsia="en-US"/>
              </w:rPr>
              <w:t>1250,95</w:t>
            </w:r>
          </w:p>
        </w:tc>
        <w:tc>
          <w:tcPr>
            <w:tcW w:w="850" w:type="dxa"/>
            <w:tcBorders>
              <w:top w:val="single" w:sz="4" w:space="0" w:color="auto"/>
              <w:left w:val="single" w:sz="4" w:space="0" w:color="auto"/>
              <w:bottom w:val="single" w:sz="4" w:space="0" w:color="auto"/>
              <w:right w:val="single" w:sz="4" w:space="0" w:color="auto"/>
            </w:tcBorders>
            <w:noWrap/>
            <w:vAlign w:val="center"/>
            <w:hideMark/>
          </w:tcPr>
          <w:p w:rsidR="005727C2" w:rsidRDefault="005727C2" w:rsidP="00364535">
            <w:pPr>
              <w:spacing w:after="0" w:line="240" w:lineRule="auto"/>
              <w:jc w:val="center"/>
              <w:rPr>
                <w:sz w:val="20"/>
                <w:szCs w:val="20"/>
                <w:lang w:eastAsia="en-US"/>
              </w:rPr>
            </w:pPr>
            <w:r>
              <w:rPr>
                <w:sz w:val="20"/>
                <w:szCs w:val="20"/>
                <w:lang w:eastAsia="en-US"/>
              </w:rPr>
              <w:t>-3,2%</w:t>
            </w:r>
          </w:p>
        </w:tc>
        <w:tc>
          <w:tcPr>
            <w:tcW w:w="1280" w:type="dxa"/>
            <w:tcBorders>
              <w:top w:val="single" w:sz="4" w:space="0" w:color="auto"/>
              <w:left w:val="single" w:sz="4" w:space="0" w:color="auto"/>
              <w:bottom w:val="single" w:sz="4" w:space="0" w:color="auto"/>
              <w:right w:val="single" w:sz="4" w:space="0" w:color="auto"/>
            </w:tcBorders>
            <w:noWrap/>
            <w:vAlign w:val="center"/>
            <w:hideMark/>
          </w:tcPr>
          <w:p w:rsidR="005727C2" w:rsidRDefault="005727C2" w:rsidP="00364535">
            <w:pPr>
              <w:spacing w:after="0" w:line="240" w:lineRule="auto"/>
              <w:jc w:val="center"/>
              <w:rPr>
                <w:sz w:val="20"/>
                <w:szCs w:val="20"/>
                <w:lang w:eastAsia="en-US"/>
              </w:rPr>
            </w:pPr>
            <w:r>
              <w:rPr>
                <w:sz w:val="20"/>
                <w:szCs w:val="20"/>
                <w:lang w:eastAsia="en-US"/>
              </w:rPr>
              <w:t>-0,4%</w:t>
            </w:r>
          </w:p>
        </w:tc>
      </w:tr>
      <w:tr w:rsidR="005727C2" w:rsidTr="005D278C">
        <w:trPr>
          <w:trHeight w:val="270"/>
        </w:trPr>
        <w:tc>
          <w:tcPr>
            <w:tcW w:w="2693" w:type="dxa"/>
            <w:tcBorders>
              <w:top w:val="single" w:sz="4" w:space="0" w:color="auto"/>
              <w:left w:val="single" w:sz="4" w:space="0" w:color="auto"/>
              <w:bottom w:val="single" w:sz="4" w:space="0" w:color="auto"/>
              <w:right w:val="single" w:sz="4" w:space="0" w:color="auto"/>
            </w:tcBorders>
            <w:hideMark/>
          </w:tcPr>
          <w:p w:rsidR="005727C2" w:rsidRDefault="005727C2" w:rsidP="00364535">
            <w:pPr>
              <w:spacing w:after="0" w:line="240" w:lineRule="auto"/>
              <w:jc w:val="center"/>
              <w:rPr>
                <w:sz w:val="20"/>
                <w:szCs w:val="20"/>
                <w:lang w:eastAsia="en-US"/>
              </w:rPr>
            </w:pPr>
            <w:r>
              <w:rPr>
                <w:sz w:val="20"/>
                <w:szCs w:val="20"/>
                <w:lang w:eastAsia="en-US"/>
              </w:rPr>
              <w:t>Филиал «Тепловые сети»  АО «СИБЭКО»</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5727C2" w:rsidRDefault="005727C2" w:rsidP="00364535">
            <w:pPr>
              <w:spacing w:after="0" w:line="240" w:lineRule="auto"/>
              <w:jc w:val="center"/>
              <w:rPr>
                <w:sz w:val="20"/>
                <w:szCs w:val="20"/>
                <w:lang w:eastAsia="en-US"/>
              </w:rPr>
            </w:pPr>
            <w:r>
              <w:rPr>
                <w:sz w:val="20"/>
                <w:szCs w:val="20"/>
                <w:lang w:eastAsia="en-US"/>
              </w:rPr>
              <w:t>3</w:t>
            </w:r>
            <w:r>
              <w:rPr>
                <w:sz w:val="20"/>
                <w:szCs w:val="20"/>
                <w:lang w:val="en-US" w:eastAsia="en-US"/>
              </w:rPr>
              <w:t> </w:t>
            </w:r>
            <w:r>
              <w:rPr>
                <w:sz w:val="20"/>
                <w:szCs w:val="20"/>
                <w:lang w:eastAsia="en-US"/>
              </w:rPr>
              <w:t>702</w:t>
            </w:r>
            <w:r>
              <w:rPr>
                <w:sz w:val="20"/>
                <w:szCs w:val="20"/>
                <w:lang w:val="en-US" w:eastAsia="en-US"/>
              </w:rPr>
              <w:t xml:space="preserve"> </w:t>
            </w:r>
            <w:r>
              <w:rPr>
                <w:sz w:val="20"/>
                <w:szCs w:val="20"/>
                <w:lang w:eastAsia="en-US"/>
              </w:rPr>
              <w:t>688,05</w:t>
            </w:r>
          </w:p>
        </w:tc>
        <w:tc>
          <w:tcPr>
            <w:tcW w:w="1133" w:type="dxa"/>
            <w:tcBorders>
              <w:top w:val="single" w:sz="4" w:space="0" w:color="auto"/>
              <w:left w:val="single" w:sz="4" w:space="0" w:color="auto"/>
              <w:bottom w:val="single" w:sz="4" w:space="0" w:color="auto"/>
              <w:right w:val="single" w:sz="4" w:space="0" w:color="auto"/>
            </w:tcBorders>
            <w:noWrap/>
            <w:vAlign w:val="center"/>
            <w:hideMark/>
          </w:tcPr>
          <w:p w:rsidR="005727C2" w:rsidRDefault="005727C2" w:rsidP="00364535">
            <w:pPr>
              <w:spacing w:after="0" w:line="240" w:lineRule="auto"/>
              <w:jc w:val="center"/>
              <w:rPr>
                <w:sz w:val="20"/>
                <w:szCs w:val="20"/>
                <w:lang w:eastAsia="en-US"/>
              </w:rPr>
            </w:pPr>
            <w:r>
              <w:rPr>
                <w:sz w:val="20"/>
                <w:szCs w:val="20"/>
                <w:lang w:eastAsia="en-US"/>
              </w:rPr>
              <w:t>341,89</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5727C2" w:rsidRDefault="005727C2" w:rsidP="00364535">
            <w:pPr>
              <w:spacing w:after="0" w:line="240" w:lineRule="auto"/>
              <w:jc w:val="center"/>
              <w:rPr>
                <w:sz w:val="20"/>
                <w:szCs w:val="20"/>
                <w:lang w:eastAsia="en-US"/>
              </w:rPr>
            </w:pPr>
            <w:r>
              <w:rPr>
                <w:sz w:val="20"/>
                <w:szCs w:val="20"/>
                <w:lang w:eastAsia="en-US"/>
              </w:rPr>
              <w:t>4 265 524,28</w:t>
            </w:r>
          </w:p>
        </w:tc>
        <w:tc>
          <w:tcPr>
            <w:tcW w:w="1133" w:type="dxa"/>
            <w:tcBorders>
              <w:top w:val="single" w:sz="4" w:space="0" w:color="auto"/>
              <w:left w:val="single" w:sz="4" w:space="0" w:color="auto"/>
              <w:bottom w:val="single" w:sz="4" w:space="0" w:color="auto"/>
              <w:right w:val="single" w:sz="4" w:space="0" w:color="auto"/>
            </w:tcBorders>
            <w:noWrap/>
            <w:vAlign w:val="center"/>
            <w:hideMark/>
          </w:tcPr>
          <w:p w:rsidR="005727C2" w:rsidRDefault="005727C2" w:rsidP="00364535">
            <w:pPr>
              <w:spacing w:after="0" w:line="240" w:lineRule="auto"/>
              <w:jc w:val="center"/>
              <w:rPr>
                <w:sz w:val="20"/>
                <w:szCs w:val="20"/>
                <w:lang w:eastAsia="en-US"/>
              </w:rPr>
            </w:pPr>
            <w:r>
              <w:rPr>
                <w:sz w:val="20"/>
                <w:szCs w:val="20"/>
                <w:lang w:eastAsia="en-US"/>
              </w:rPr>
              <w:t>369,54</w:t>
            </w:r>
          </w:p>
        </w:tc>
        <w:tc>
          <w:tcPr>
            <w:tcW w:w="850" w:type="dxa"/>
            <w:tcBorders>
              <w:top w:val="single" w:sz="4" w:space="0" w:color="auto"/>
              <w:left w:val="single" w:sz="4" w:space="0" w:color="auto"/>
              <w:bottom w:val="single" w:sz="4" w:space="0" w:color="auto"/>
              <w:right w:val="single" w:sz="4" w:space="0" w:color="auto"/>
            </w:tcBorders>
            <w:noWrap/>
            <w:vAlign w:val="center"/>
            <w:hideMark/>
          </w:tcPr>
          <w:p w:rsidR="005727C2" w:rsidRDefault="005727C2" w:rsidP="00364535">
            <w:pPr>
              <w:spacing w:after="0" w:line="240" w:lineRule="auto"/>
              <w:jc w:val="center"/>
              <w:rPr>
                <w:sz w:val="20"/>
                <w:szCs w:val="20"/>
                <w:lang w:eastAsia="en-US"/>
              </w:rPr>
            </w:pPr>
            <w:r>
              <w:rPr>
                <w:sz w:val="20"/>
                <w:szCs w:val="20"/>
                <w:lang w:eastAsia="en-US"/>
              </w:rPr>
              <w:t>15,2%</w:t>
            </w:r>
          </w:p>
        </w:tc>
        <w:tc>
          <w:tcPr>
            <w:tcW w:w="1280" w:type="dxa"/>
            <w:tcBorders>
              <w:top w:val="single" w:sz="4" w:space="0" w:color="auto"/>
              <w:left w:val="single" w:sz="4" w:space="0" w:color="auto"/>
              <w:bottom w:val="single" w:sz="4" w:space="0" w:color="auto"/>
              <w:right w:val="single" w:sz="4" w:space="0" w:color="auto"/>
            </w:tcBorders>
            <w:noWrap/>
            <w:vAlign w:val="center"/>
            <w:hideMark/>
          </w:tcPr>
          <w:p w:rsidR="005727C2" w:rsidRDefault="005727C2" w:rsidP="00364535">
            <w:pPr>
              <w:spacing w:after="0" w:line="240" w:lineRule="auto"/>
              <w:jc w:val="center"/>
              <w:rPr>
                <w:sz w:val="20"/>
                <w:szCs w:val="20"/>
                <w:lang w:eastAsia="en-US"/>
              </w:rPr>
            </w:pPr>
            <w:r>
              <w:rPr>
                <w:sz w:val="20"/>
                <w:szCs w:val="20"/>
                <w:lang w:eastAsia="en-US"/>
              </w:rPr>
              <w:t>8,1%</w:t>
            </w:r>
          </w:p>
        </w:tc>
      </w:tr>
      <w:tr w:rsidR="005727C2" w:rsidTr="005D278C">
        <w:trPr>
          <w:trHeight w:val="270"/>
        </w:trPr>
        <w:tc>
          <w:tcPr>
            <w:tcW w:w="2693" w:type="dxa"/>
            <w:tcBorders>
              <w:top w:val="single" w:sz="4" w:space="0" w:color="auto"/>
              <w:left w:val="single" w:sz="4" w:space="0" w:color="auto"/>
              <w:bottom w:val="single" w:sz="4" w:space="0" w:color="auto"/>
              <w:right w:val="single" w:sz="4" w:space="0" w:color="auto"/>
            </w:tcBorders>
            <w:hideMark/>
          </w:tcPr>
          <w:p w:rsidR="005727C2" w:rsidRDefault="005727C2" w:rsidP="00364535">
            <w:pPr>
              <w:spacing w:after="0" w:line="240" w:lineRule="auto"/>
              <w:jc w:val="center"/>
              <w:rPr>
                <w:sz w:val="20"/>
                <w:szCs w:val="20"/>
                <w:lang w:eastAsia="en-US"/>
              </w:rPr>
            </w:pPr>
            <w:r>
              <w:rPr>
                <w:sz w:val="20"/>
                <w:szCs w:val="20"/>
                <w:lang w:eastAsia="en-US"/>
              </w:rPr>
              <w:t>Расходы по содержанию тепловых сетей прочих ТСО</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5727C2" w:rsidRDefault="005727C2" w:rsidP="00364535">
            <w:pPr>
              <w:spacing w:after="0" w:line="240" w:lineRule="auto"/>
              <w:jc w:val="center"/>
              <w:rPr>
                <w:sz w:val="20"/>
                <w:szCs w:val="20"/>
                <w:lang w:eastAsia="en-US"/>
              </w:rPr>
            </w:pPr>
            <w:r>
              <w:rPr>
                <w:sz w:val="20"/>
                <w:szCs w:val="20"/>
                <w:lang w:eastAsia="en-US"/>
              </w:rPr>
              <w:t>106 144,23</w:t>
            </w:r>
          </w:p>
        </w:tc>
        <w:tc>
          <w:tcPr>
            <w:tcW w:w="1133" w:type="dxa"/>
            <w:tcBorders>
              <w:top w:val="single" w:sz="4" w:space="0" w:color="auto"/>
              <w:left w:val="single" w:sz="4" w:space="0" w:color="auto"/>
              <w:bottom w:val="single" w:sz="4" w:space="0" w:color="auto"/>
              <w:right w:val="single" w:sz="4" w:space="0" w:color="auto"/>
            </w:tcBorders>
            <w:noWrap/>
            <w:vAlign w:val="center"/>
            <w:hideMark/>
          </w:tcPr>
          <w:p w:rsidR="005727C2" w:rsidRDefault="005727C2" w:rsidP="00364535">
            <w:pPr>
              <w:spacing w:after="0" w:line="240" w:lineRule="auto"/>
              <w:jc w:val="center"/>
              <w:rPr>
                <w:sz w:val="20"/>
                <w:szCs w:val="20"/>
                <w:lang w:eastAsia="en-US"/>
              </w:rPr>
            </w:pPr>
            <w:r>
              <w:rPr>
                <w:sz w:val="20"/>
                <w:szCs w:val="20"/>
                <w:lang w:eastAsia="en-US"/>
              </w:rPr>
              <w:t>200,42</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5727C2" w:rsidRDefault="005727C2" w:rsidP="00364535">
            <w:pPr>
              <w:spacing w:after="0" w:line="240" w:lineRule="auto"/>
              <w:jc w:val="center"/>
              <w:rPr>
                <w:sz w:val="20"/>
                <w:szCs w:val="20"/>
                <w:lang w:eastAsia="en-US"/>
              </w:rPr>
            </w:pPr>
            <w:r>
              <w:rPr>
                <w:sz w:val="20"/>
                <w:szCs w:val="20"/>
                <w:lang w:eastAsia="en-US"/>
              </w:rPr>
              <w:t>107 688,46</w:t>
            </w:r>
          </w:p>
        </w:tc>
        <w:tc>
          <w:tcPr>
            <w:tcW w:w="1133" w:type="dxa"/>
            <w:tcBorders>
              <w:top w:val="single" w:sz="4" w:space="0" w:color="auto"/>
              <w:left w:val="single" w:sz="4" w:space="0" w:color="auto"/>
              <w:bottom w:val="single" w:sz="4" w:space="0" w:color="auto"/>
              <w:right w:val="single" w:sz="4" w:space="0" w:color="auto"/>
            </w:tcBorders>
            <w:noWrap/>
            <w:vAlign w:val="center"/>
            <w:hideMark/>
          </w:tcPr>
          <w:p w:rsidR="005727C2" w:rsidRDefault="005727C2" w:rsidP="00364535">
            <w:pPr>
              <w:spacing w:after="0" w:line="240" w:lineRule="auto"/>
              <w:jc w:val="center"/>
              <w:rPr>
                <w:sz w:val="20"/>
                <w:szCs w:val="20"/>
                <w:lang w:eastAsia="en-US"/>
              </w:rPr>
            </w:pPr>
            <w:r>
              <w:rPr>
                <w:sz w:val="20"/>
                <w:szCs w:val="20"/>
                <w:lang w:eastAsia="en-US"/>
              </w:rPr>
              <w:t>167,08</w:t>
            </w:r>
          </w:p>
        </w:tc>
        <w:tc>
          <w:tcPr>
            <w:tcW w:w="850" w:type="dxa"/>
            <w:tcBorders>
              <w:top w:val="single" w:sz="4" w:space="0" w:color="auto"/>
              <w:left w:val="single" w:sz="4" w:space="0" w:color="auto"/>
              <w:bottom w:val="single" w:sz="4" w:space="0" w:color="auto"/>
              <w:right w:val="single" w:sz="4" w:space="0" w:color="auto"/>
            </w:tcBorders>
            <w:noWrap/>
            <w:vAlign w:val="center"/>
            <w:hideMark/>
          </w:tcPr>
          <w:p w:rsidR="005727C2" w:rsidRDefault="005727C2" w:rsidP="00364535">
            <w:pPr>
              <w:spacing w:after="0" w:line="240" w:lineRule="auto"/>
              <w:jc w:val="center"/>
              <w:rPr>
                <w:sz w:val="20"/>
                <w:szCs w:val="20"/>
                <w:lang w:eastAsia="en-US"/>
              </w:rPr>
            </w:pPr>
            <w:r>
              <w:rPr>
                <w:sz w:val="20"/>
                <w:szCs w:val="20"/>
                <w:lang w:eastAsia="en-US"/>
              </w:rPr>
              <w:t>1,5%</w:t>
            </w:r>
          </w:p>
        </w:tc>
        <w:tc>
          <w:tcPr>
            <w:tcW w:w="1280" w:type="dxa"/>
            <w:tcBorders>
              <w:top w:val="single" w:sz="4" w:space="0" w:color="auto"/>
              <w:left w:val="single" w:sz="4" w:space="0" w:color="auto"/>
              <w:bottom w:val="single" w:sz="4" w:space="0" w:color="auto"/>
              <w:right w:val="single" w:sz="4" w:space="0" w:color="auto"/>
            </w:tcBorders>
            <w:noWrap/>
            <w:vAlign w:val="center"/>
            <w:hideMark/>
          </w:tcPr>
          <w:p w:rsidR="005727C2" w:rsidRDefault="005727C2" w:rsidP="00364535">
            <w:pPr>
              <w:spacing w:after="0" w:line="240" w:lineRule="auto"/>
              <w:jc w:val="center"/>
              <w:rPr>
                <w:sz w:val="20"/>
                <w:szCs w:val="20"/>
                <w:lang w:eastAsia="en-US"/>
              </w:rPr>
            </w:pPr>
            <w:r>
              <w:rPr>
                <w:sz w:val="20"/>
                <w:szCs w:val="20"/>
                <w:lang w:eastAsia="en-US"/>
              </w:rPr>
              <w:t>-16,6%</w:t>
            </w:r>
          </w:p>
        </w:tc>
      </w:tr>
      <w:tr w:rsidR="005727C2" w:rsidTr="005D278C">
        <w:trPr>
          <w:trHeight w:val="270"/>
        </w:trPr>
        <w:tc>
          <w:tcPr>
            <w:tcW w:w="2693" w:type="dxa"/>
            <w:tcBorders>
              <w:top w:val="single" w:sz="4" w:space="0" w:color="auto"/>
              <w:left w:val="single" w:sz="4" w:space="0" w:color="auto"/>
              <w:bottom w:val="single" w:sz="4" w:space="0" w:color="auto"/>
              <w:right w:val="single" w:sz="4" w:space="0" w:color="auto"/>
            </w:tcBorders>
            <w:vAlign w:val="bottom"/>
            <w:hideMark/>
          </w:tcPr>
          <w:p w:rsidR="005727C2" w:rsidRDefault="005727C2" w:rsidP="00364535">
            <w:pPr>
              <w:spacing w:after="0" w:line="240" w:lineRule="auto"/>
              <w:rPr>
                <w:sz w:val="20"/>
                <w:szCs w:val="20"/>
                <w:lang w:eastAsia="en-US"/>
              </w:rPr>
            </w:pPr>
            <w:r>
              <w:rPr>
                <w:sz w:val="20"/>
                <w:szCs w:val="20"/>
                <w:lang w:eastAsia="en-US"/>
              </w:rPr>
              <w:t>Расходы на оплату услуг по тепло-сбытовой деятельности</w:t>
            </w:r>
            <w:r>
              <w:rPr>
                <w:sz w:val="20"/>
                <w:szCs w:val="20"/>
                <w:lang w:eastAsia="en-US"/>
              </w:rPr>
              <w:br/>
              <w:t>ООО «Сибирская теплосбытовая компания»</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5727C2" w:rsidRDefault="005727C2" w:rsidP="00364535">
            <w:pPr>
              <w:spacing w:after="0" w:line="240" w:lineRule="auto"/>
              <w:jc w:val="center"/>
              <w:rPr>
                <w:sz w:val="20"/>
                <w:szCs w:val="20"/>
                <w:lang w:eastAsia="en-US"/>
              </w:rPr>
            </w:pPr>
            <w:r>
              <w:rPr>
                <w:sz w:val="20"/>
                <w:szCs w:val="20"/>
                <w:lang w:eastAsia="en-US"/>
              </w:rPr>
              <w:t>384 261,43</w:t>
            </w:r>
          </w:p>
        </w:tc>
        <w:tc>
          <w:tcPr>
            <w:tcW w:w="1133" w:type="dxa"/>
            <w:tcBorders>
              <w:top w:val="single" w:sz="4" w:space="0" w:color="auto"/>
              <w:left w:val="single" w:sz="4" w:space="0" w:color="auto"/>
              <w:bottom w:val="single" w:sz="4" w:space="0" w:color="auto"/>
              <w:right w:val="single" w:sz="4" w:space="0" w:color="auto"/>
            </w:tcBorders>
            <w:noWrap/>
            <w:vAlign w:val="center"/>
            <w:hideMark/>
          </w:tcPr>
          <w:p w:rsidR="005727C2" w:rsidRDefault="005727C2" w:rsidP="00364535">
            <w:pPr>
              <w:spacing w:after="0" w:line="240" w:lineRule="auto"/>
              <w:jc w:val="center"/>
              <w:rPr>
                <w:sz w:val="20"/>
                <w:szCs w:val="20"/>
                <w:lang w:eastAsia="en-US"/>
              </w:rPr>
            </w:pPr>
            <w:r>
              <w:rPr>
                <w:sz w:val="20"/>
                <w:szCs w:val="20"/>
                <w:lang w:eastAsia="en-US"/>
              </w:rPr>
              <w:t>35,48</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5727C2" w:rsidRDefault="005727C2" w:rsidP="00364535">
            <w:pPr>
              <w:spacing w:after="0" w:line="240" w:lineRule="auto"/>
              <w:jc w:val="center"/>
              <w:rPr>
                <w:sz w:val="20"/>
                <w:szCs w:val="20"/>
                <w:lang w:eastAsia="en-US"/>
              </w:rPr>
            </w:pPr>
            <w:r>
              <w:rPr>
                <w:sz w:val="20"/>
                <w:szCs w:val="20"/>
                <w:lang w:eastAsia="en-US"/>
              </w:rPr>
              <w:t>391 831,38</w:t>
            </w:r>
          </w:p>
        </w:tc>
        <w:tc>
          <w:tcPr>
            <w:tcW w:w="1133" w:type="dxa"/>
            <w:tcBorders>
              <w:top w:val="single" w:sz="4" w:space="0" w:color="auto"/>
              <w:left w:val="single" w:sz="4" w:space="0" w:color="auto"/>
              <w:bottom w:val="single" w:sz="4" w:space="0" w:color="auto"/>
              <w:right w:val="single" w:sz="4" w:space="0" w:color="auto"/>
            </w:tcBorders>
            <w:noWrap/>
            <w:vAlign w:val="center"/>
            <w:hideMark/>
          </w:tcPr>
          <w:p w:rsidR="005727C2" w:rsidRDefault="005727C2" w:rsidP="00364535">
            <w:pPr>
              <w:spacing w:after="0" w:line="240" w:lineRule="auto"/>
              <w:jc w:val="center"/>
              <w:rPr>
                <w:sz w:val="20"/>
                <w:szCs w:val="20"/>
                <w:lang w:eastAsia="en-US"/>
              </w:rPr>
            </w:pPr>
            <w:r>
              <w:rPr>
                <w:sz w:val="20"/>
                <w:szCs w:val="20"/>
                <w:lang w:eastAsia="en-US"/>
              </w:rPr>
              <w:t>33,95</w:t>
            </w:r>
          </w:p>
        </w:tc>
        <w:tc>
          <w:tcPr>
            <w:tcW w:w="850" w:type="dxa"/>
            <w:tcBorders>
              <w:top w:val="single" w:sz="4" w:space="0" w:color="auto"/>
              <w:left w:val="single" w:sz="4" w:space="0" w:color="auto"/>
              <w:bottom w:val="single" w:sz="4" w:space="0" w:color="auto"/>
              <w:right w:val="single" w:sz="4" w:space="0" w:color="auto"/>
            </w:tcBorders>
            <w:noWrap/>
            <w:vAlign w:val="center"/>
            <w:hideMark/>
          </w:tcPr>
          <w:p w:rsidR="005727C2" w:rsidRDefault="005727C2" w:rsidP="00364535">
            <w:pPr>
              <w:spacing w:after="0" w:line="240" w:lineRule="auto"/>
              <w:jc w:val="center"/>
              <w:rPr>
                <w:sz w:val="20"/>
                <w:szCs w:val="20"/>
                <w:lang w:eastAsia="en-US"/>
              </w:rPr>
            </w:pPr>
            <w:r>
              <w:rPr>
                <w:sz w:val="20"/>
                <w:szCs w:val="20"/>
                <w:lang w:eastAsia="en-US"/>
              </w:rPr>
              <w:t>2,0%</w:t>
            </w:r>
          </w:p>
        </w:tc>
        <w:tc>
          <w:tcPr>
            <w:tcW w:w="1280" w:type="dxa"/>
            <w:tcBorders>
              <w:top w:val="single" w:sz="4" w:space="0" w:color="auto"/>
              <w:left w:val="single" w:sz="4" w:space="0" w:color="auto"/>
              <w:bottom w:val="single" w:sz="4" w:space="0" w:color="auto"/>
              <w:right w:val="single" w:sz="4" w:space="0" w:color="auto"/>
            </w:tcBorders>
            <w:noWrap/>
            <w:vAlign w:val="center"/>
            <w:hideMark/>
          </w:tcPr>
          <w:p w:rsidR="005727C2" w:rsidRDefault="005727C2" w:rsidP="00364535">
            <w:pPr>
              <w:spacing w:after="0" w:line="240" w:lineRule="auto"/>
              <w:jc w:val="center"/>
              <w:rPr>
                <w:sz w:val="20"/>
                <w:szCs w:val="20"/>
                <w:lang w:eastAsia="en-US"/>
              </w:rPr>
            </w:pPr>
            <w:r>
              <w:rPr>
                <w:sz w:val="20"/>
                <w:szCs w:val="20"/>
                <w:lang w:eastAsia="en-US"/>
              </w:rPr>
              <w:t>-4,3%</w:t>
            </w:r>
          </w:p>
        </w:tc>
      </w:tr>
      <w:tr w:rsidR="005727C2" w:rsidTr="005D278C">
        <w:trPr>
          <w:trHeight w:val="270"/>
        </w:trPr>
        <w:tc>
          <w:tcPr>
            <w:tcW w:w="2693" w:type="dxa"/>
            <w:tcBorders>
              <w:top w:val="single" w:sz="4" w:space="0" w:color="auto"/>
              <w:left w:val="single" w:sz="4" w:space="0" w:color="auto"/>
              <w:bottom w:val="single" w:sz="4" w:space="0" w:color="auto"/>
              <w:right w:val="single" w:sz="4" w:space="0" w:color="auto"/>
            </w:tcBorders>
            <w:vAlign w:val="center"/>
            <w:hideMark/>
          </w:tcPr>
          <w:p w:rsidR="005727C2" w:rsidRDefault="005727C2" w:rsidP="00364535">
            <w:pPr>
              <w:spacing w:after="0" w:line="240" w:lineRule="auto"/>
              <w:rPr>
                <w:sz w:val="20"/>
                <w:szCs w:val="20"/>
                <w:lang w:eastAsia="en-US"/>
              </w:rPr>
            </w:pPr>
            <w:r>
              <w:rPr>
                <w:sz w:val="20"/>
                <w:szCs w:val="20"/>
                <w:lang w:eastAsia="en-US"/>
              </w:rPr>
              <w:t>Расход по сомнительным долгам</w:t>
            </w:r>
          </w:p>
        </w:tc>
        <w:tc>
          <w:tcPr>
            <w:tcW w:w="1417" w:type="dxa"/>
            <w:tcBorders>
              <w:top w:val="single" w:sz="4" w:space="0" w:color="auto"/>
              <w:left w:val="single" w:sz="4" w:space="0" w:color="auto"/>
              <w:bottom w:val="single" w:sz="4" w:space="0" w:color="auto"/>
              <w:right w:val="single" w:sz="4" w:space="0" w:color="auto"/>
            </w:tcBorders>
            <w:noWrap/>
            <w:vAlign w:val="bottom"/>
            <w:hideMark/>
          </w:tcPr>
          <w:p w:rsidR="005727C2" w:rsidRDefault="005727C2" w:rsidP="00364535">
            <w:pPr>
              <w:spacing w:after="0" w:line="240" w:lineRule="auto"/>
              <w:jc w:val="center"/>
              <w:rPr>
                <w:sz w:val="20"/>
                <w:szCs w:val="20"/>
                <w:lang w:eastAsia="en-US"/>
              </w:rPr>
            </w:pPr>
            <w:r>
              <w:rPr>
                <w:sz w:val="20"/>
                <w:szCs w:val="20"/>
                <w:lang w:eastAsia="en-US"/>
              </w:rPr>
              <w:t xml:space="preserve">40 844,08   </w:t>
            </w:r>
          </w:p>
        </w:tc>
        <w:tc>
          <w:tcPr>
            <w:tcW w:w="1133" w:type="dxa"/>
            <w:tcBorders>
              <w:top w:val="single" w:sz="4" w:space="0" w:color="auto"/>
              <w:left w:val="single" w:sz="4" w:space="0" w:color="auto"/>
              <w:bottom w:val="single" w:sz="4" w:space="0" w:color="auto"/>
              <w:right w:val="single" w:sz="4" w:space="0" w:color="auto"/>
            </w:tcBorders>
            <w:noWrap/>
            <w:vAlign w:val="bottom"/>
            <w:hideMark/>
          </w:tcPr>
          <w:p w:rsidR="005727C2" w:rsidRDefault="005727C2" w:rsidP="00364535">
            <w:pPr>
              <w:spacing w:after="0" w:line="240" w:lineRule="auto"/>
              <w:jc w:val="center"/>
              <w:rPr>
                <w:sz w:val="20"/>
                <w:szCs w:val="20"/>
                <w:lang w:eastAsia="en-US"/>
              </w:rPr>
            </w:pPr>
            <w:r>
              <w:rPr>
                <w:sz w:val="20"/>
                <w:szCs w:val="20"/>
                <w:lang w:eastAsia="en-US"/>
              </w:rPr>
              <w:t xml:space="preserve">3,77   </w:t>
            </w:r>
          </w:p>
        </w:tc>
        <w:tc>
          <w:tcPr>
            <w:tcW w:w="1417" w:type="dxa"/>
            <w:tcBorders>
              <w:top w:val="single" w:sz="4" w:space="0" w:color="auto"/>
              <w:left w:val="single" w:sz="4" w:space="0" w:color="auto"/>
              <w:bottom w:val="single" w:sz="4" w:space="0" w:color="auto"/>
              <w:right w:val="single" w:sz="4" w:space="0" w:color="auto"/>
            </w:tcBorders>
            <w:noWrap/>
            <w:vAlign w:val="bottom"/>
            <w:hideMark/>
          </w:tcPr>
          <w:p w:rsidR="005727C2" w:rsidRDefault="005727C2" w:rsidP="00364535">
            <w:pPr>
              <w:spacing w:after="0" w:line="240" w:lineRule="auto"/>
              <w:jc w:val="center"/>
              <w:rPr>
                <w:sz w:val="20"/>
                <w:szCs w:val="20"/>
                <w:lang w:eastAsia="en-US"/>
              </w:rPr>
            </w:pPr>
            <w:r>
              <w:rPr>
                <w:sz w:val="20"/>
                <w:szCs w:val="20"/>
                <w:lang w:eastAsia="en-US"/>
              </w:rPr>
              <w:t>36 629,13</w:t>
            </w:r>
          </w:p>
        </w:tc>
        <w:tc>
          <w:tcPr>
            <w:tcW w:w="1133" w:type="dxa"/>
            <w:tcBorders>
              <w:top w:val="single" w:sz="4" w:space="0" w:color="auto"/>
              <w:left w:val="single" w:sz="4" w:space="0" w:color="auto"/>
              <w:bottom w:val="single" w:sz="4" w:space="0" w:color="auto"/>
              <w:right w:val="single" w:sz="4" w:space="0" w:color="auto"/>
            </w:tcBorders>
            <w:noWrap/>
            <w:vAlign w:val="bottom"/>
            <w:hideMark/>
          </w:tcPr>
          <w:p w:rsidR="005727C2" w:rsidRDefault="005727C2" w:rsidP="00364535">
            <w:pPr>
              <w:spacing w:after="0" w:line="240" w:lineRule="auto"/>
              <w:jc w:val="center"/>
              <w:rPr>
                <w:sz w:val="20"/>
                <w:szCs w:val="20"/>
                <w:lang w:eastAsia="en-US"/>
              </w:rPr>
            </w:pPr>
            <w:r>
              <w:rPr>
                <w:sz w:val="20"/>
                <w:szCs w:val="20"/>
                <w:lang w:eastAsia="en-US"/>
              </w:rPr>
              <w:t xml:space="preserve">3,17   </w:t>
            </w:r>
          </w:p>
        </w:tc>
        <w:tc>
          <w:tcPr>
            <w:tcW w:w="850" w:type="dxa"/>
            <w:tcBorders>
              <w:top w:val="single" w:sz="4" w:space="0" w:color="auto"/>
              <w:left w:val="single" w:sz="4" w:space="0" w:color="auto"/>
              <w:bottom w:val="single" w:sz="4" w:space="0" w:color="auto"/>
              <w:right w:val="single" w:sz="4" w:space="0" w:color="auto"/>
            </w:tcBorders>
            <w:noWrap/>
            <w:vAlign w:val="center"/>
            <w:hideMark/>
          </w:tcPr>
          <w:p w:rsidR="005727C2" w:rsidRDefault="005727C2" w:rsidP="00364535">
            <w:pPr>
              <w:spacing w:after="0" w:line="240" w:lineRule="auto"/>
              <w:jc w:val="center"/>
              <w:rPr>
                <w:sz w:val="20"/>
                <w:szCs w:val="20"/>
                <w:lang w:eastAsia="en-US"/>
              </w:rPr>
            </w:pPr>
            <w:r>
              <w:rPr>
                <w:sz w:val="20"/>
                <w:szCs w:val="20"/>
                <w:lang w:eastAsia="en-US"/>
              </w:rPr>
              <w:t>-10,3%</w:t>
            </w:r>
          </w:p>
        </w:tc>
        <w:tc>
          <w:tcPr>
            <w:tcW w:w="1280" w:type="dxa"/>
            <w:tcBorders>
              <w:top w:val="single" w:sz="4" w:space="0" w:color="auto"/>
              <w:left w:val="single" w:sz="4" w:space="0" w:color="auto"/>
              <w:bottom w:val="single" w:sz="4" w:space="0" w:color="auto"/>
              <w:right w:val="single" w:sz="4" w:space="0" w:color="auto"/>
            </w:tcBorders>
            <w:noWrap/>
            <w:vAlign w:val="center"/>
            <w:hideMark/>
          </w:tcPr>
          <w:p w:rsidR="005727C2" w:rsidRDefault="005727C2" w:rsidP="00364535">
            <w:pPr>
              <w:spacing w:after="0" w:line="240" w:lineRule="auto"/>
              <w:jc w:val="center"/>
              <w:rPr>
                <w:sz w:val="20"/>
                <w:szCs w:val="20"/>
                <w:lang w:eastAsia="en-US"/>
              </w:rPr>
            </w:pPr>
            <w:r>
              <w:rPr>
                <w:sz w:val="20"/>
                <w:szCs w:val="20"/>
                <w:lang w:eastAsia="en-US"/>
              </w:rPr>
              <w:t>-15,9%</w:t>
            </w:r>
          </w:p>
        </w:tc>
      </w:tr>
    </w:tbl>
    <w:p w:rsidR="005727C2" w:rsidRDefault="005727C2" w:rsidP="005727C2">
      <w:pPr>
        <w:pStyle w:val="afa"/>
        <w:jc w:val="both"/>
        <w:rPr>
          <w:rFonts w:ascii="Times New Roman" w:hAnsi="Times New Roman" w:cs="Times New Roman"/>
          <w:sz w:val="16"/>
          <w:szCs w:val="16"/>
        </w:rPr>
      </w:pPr>
      <w:r>
        <w:rPr>
          <w:rFonts w:ascii="Times New Roman" w:hAnsi="Times New Roman" w:cs="Times New Roman"/>
          <w:noProof/>
          <w:sz w:val="16"/>
          <w:szCs w:val="16"/>
          <w:lang w:eastAsia="ru-RU"/>
        </w:rPr>
        <w:drawing>
          <wp:inline distT="0" distB="0" distL="0" distR="0" wp14:anchorId="41DD1C04" wp14:editId="5A888D15">
            <wp:extent cx="6305702" cy="4264761"/>
            <wp:effectExtent l="0" t="0" r="0" b="2540"/>
            <wp:docPr id="39" name="Диаграмма 39"/>
            <wp:cNvGraphicFramePr/>
            <a:graphic xmlns:a="http://schemas.openxmlformats.org/drawingml/2006/main">
              <a:graphicData uri="http://schemas.openxmlformats.org/drawingml/2006/chart">
                <c:chart xmlns:c="http://schemas.openxmlformats.org/drawingml/2006/chart" xmlns:r="http://schemas.openxmlformats.org/officeDocument/2006/relationships" r:id="rId41"/>
              </a:graphicData>
            </a:graphic>
          </wp:inline>
        </w:drawing>
      </w:r>
    </w:p>
    <w:p w:rsidR="005727C2" w:rsidRDefault="00D234B5" w:rsidP="00D234B5">
      <w:pPr>
        <w:pStyle w:val="afa"/>
        <w:ind w:firstLine="709"/>
        <w:jc w:val="center"/>
        <w:rPr>
          <w:rFonts w:ascii="Times New Roman" w:hAnsi="Times New Roman" w:cs="Times New Roman"/>
          <w:sz w:val="24"/>
          <w:szCs w:val="24"/>
        </w:rPr>
      </w:pPr>
      <w:r w:rsidRPr="00D234B5">
        <w:rPr>
          <w:rFonts w:ascii="Times New Roman" w:hAnsi="Times New Roman" w:cs="Times New Roman"/>
          <w:sz w:val="24"/>
          <w:szCs w:val="24"/>
        </w:rPr>
        <w:t>Рис 2.2.2</w:t>
      </w:r>
      <w:r>
        <w:rPr>
          <w:rFonts w:ascii="Times New Roman" w:hAnsi="Times New Roman" w:cs="Times New Roman"/>
          <w:sz w:val="24"/>
          <w:szCs w:val="24"/>
        </w:rPr>
        <w:t>.</w:t>
      </w:r>
    </w:p>
    <w:p w:rsidR="00D234B5" w:rsidRPr="00D234B5" w:rsidRDefault="00D234B5" w:rsidP="00D234B5">
      <w:pPr>
        <w:pStyle w:val="afa"/>
        <w:ind w:firstLine="709"/>
        <w:jc w:val="center"/>
        <w:rPr>
          <w:rFonts w:ascii="Times New Roman" w:hAnsi="Times New Roman" w:cs="Times New Roman"/>
          <w:sz w:val="24"/>
          <w:szCs w:val="24"/>
        </w:rPr>
      </w:pPr>
    </w:p>
    <w:p w:rsidR="005727C2" w:rsidRDefault="005727C2" w:rsidP="005727C2">
      <w:pPr>
        <w:pStyle w:val="afa"/>
        <w:ind w:firstLine="709"/>
        <w:jc w:val="both"/>
        <w:rPr>
          <w:rFonts w:ascii="Times New Roman" w:hAnsi="Times New Roman" w:cs="Times New Roman"/>
          <w:sz w:val="28"/>
          <w:szCs w:val="28"/>
        </w:rPr>
      </w:pPr>
      <w:r>
        <w:rPr>
          <w:rFonts w:ascii="Times New Roman" w:hAnsi="Times New Roman" w:cs="Times New Roman"/>
          <w:sz w:val="28"/>
          <w:szCs w:val="28"/>
        </w:rPr>
        <w:lastRenderedPageBreak/>
        <w:t>По состоянию на 01.05.2018 в АО «СИБЭКО» проведена реорганизация, в результате которой филиал «Теплосбыт» АО «СИБЭКО» выведен из структуры в отдельное юридическое лицо – ООО «Сибирская теплосбытовая компания», при этом обществом заключен договор с указанной выше теплосбытовой организацией на оказание услуг по теплосбытовой деятельности, в связи с чем, начиная с 2019 года, расходы АО «СИБЭКО» на оплату данных услуг выделяются в отдельную статью</w:t>
      </w:r>
      <w:r w:rsidR="005D278C">
        <w:rPr>
          <w:rFonts w:ascii="Times New Roman" w:hAnsi="Times New Roman" w:cs="Times New Roman"/>
          <w:sz w:val="28"/>
          <w:szCs w:val="28"/>
        </w:rPr>
        <w:t xml:space="preserve"> затрат</w:t>
      </w:r>
      <w:r>
        <w:rPr>
          <w:rFonts w:ascii="Times New Roman" w:hAnsi="Times New Roman" w:cs="Times New Roman"/>
          <w:sz w:val="28"/>
          <w:szCs w:val="28"/>
        </w:rPr>
        <w:t xml:space="preserve">. Кроме того, расходы по сомнительным долгам, начиная с 2019 года, так же выделяются отдельную статью </w:t>
      </w:r>
      <w:r w:rsidR="005D278C">
        <w:rPr>
          <w:rFonts w:ascii="Times New Roman" w:hAnsi="Times New Roman" w:cs="Times New Roman"/>
          <w:sz w:val="28"/>
          <w:szCs w:val="28"/>
        </w:rPr>
        <w:t>затрат</w:t>
      </w:r>
      <w:r>
        <w:rPr>
          <w:rFonts w:ascii="Times New Roman" w:hAnsi="Times New Roman" w:cs="Times New Roman"/>
          <w:sz w:val="28"/>
          <w:szCs w:val="28"/>
        </w:rPr>
        <w:t>.</w:t>
      </w:r>
    </w:p>
    <w:p w:rsidR="005727C2" w:rsidRDefault="005727C2" w:rsidP="005727C2">
      <w:pPr>
        <w:pStyle w:val="afa"/>
        <w:ind w:firstLine="709"/>
        <w:jc w:val="both"/>
        <w:rPr>
          <w:rFonts w:ascii="Times New Roman" w:hAnsi="Times New Roman" w:cs="Times New Roman"/>
          <w:sz w:val="28"/>
          <w:szCs w:val="28"/>
          <w:highlight w:val="yellow"/>
        </w:rPr>
      </w:pPr>
      <w:r>
        <w:rPr>
          <w:rFonts w:ascii="Times New Roman" w:hAnsi="Times New Roman" w:cs="Times New Roman"/>
          <w:sz w:val="28"/>
          <w:szCs w:val="28"/>
        </w:rPr>
        <w:t xml:space="preserve">Выделение составляющих по расходам на теплосбытовую деятельность и расходам по сомнительным долгам обусловлено требованиями </w:t>
      </w:r>
      <w:r>
        <w:rPr>
          <w:rFonts w:ascii="Times New Roman" w:hAnsi="Times New Roman" w:cs="Times New Roman"/>
          <w:bCs/>
          <w:iCs/>
          <w:sz w:val="28"/>
          <w:szCs w:val="28"/>
          <w:lang w:eastAsia="en-US"/>
        </w:rPr>
        <w:t>п. 139 Методических указаний № 760-э.</w:t>
      </w:r>
    </w:p>
    <w:p w:rsidR="005727C2" w:rsidRDefault="005727C2" w:rsidP="005727C2">
      <w:pPr>
        <w:pStyle w:val="afa"/>
        <w:ind w:firstLine="709"/>
        <w:jc w:val="both"/>
        <w:rPr>
          <w:rFonts w:ascii="Times New Roman" w:hAnsi="Times New Roman" w:cs="Times New Roman"/>
          <w:sz w:val="28"/>
          <w:szCs w:val="28"/>
        </w:rPr>
      </w:pPr>
      <w:r>
        <w:rPr>
          <w:rFonts w:ascii="Times New Roman" w:hAnsi="Times New Roman" w:cs="Times New Roman"/>
          <w:sz w:val="28"/>
          <w:szCs w:val="28"/>
        </w:rPr>
        <w:t xml:space="preserve">Ниже приведена структура необходимой валовой выручки на тепловую энергию, отпускаемую АО «СИБЭКО» потребителям НСО, в 2019-2020 годах. </w:t>
      </w:r>
    </w:p>
    <w:p w:rsidR="005727C2" w:rsidRDefault="005727C2" w:rsidP="005727C2">
      <w:pPr>
        <w:pStyle w:val="afa"/>
        <w:ind w:firstLine="709"/>
        <w:jc w:val="both"/>
        <w:rPr>
          <w:rFonts w:ascii="Times New Roman" w:hAnsi="Times New Roman" w:cs="Times New Roman"/>
          <w:sz w:val="28"/>
          <w:szCs w:val="28"/>
        </w:rPr>
      </w:pPr>
    </w:p>
    <w:p w:rsidR="005727C2" w:rsidRDefault="005727C2" w:rsidP="00364535">
      <w:pPr>
        <w:jc w:val="center"/>
        <w:rPr>
          <w:color w:val="FF0000"/>
          <w:sz w:val="28"/>
          <w:szCs w:val="28"/>
        </w:rPr>
      </w:pPr>
      <w:r>
        <w:rPr>
          <w:noProof/>
          <w:color w:val="FF0000"/>
          <w:sz w:val="28"/>
          <w:szCs w:val="28"/>
        </w:rPr>
        <w:drawing>
          <wp:inline distT="0" distB="0" distL="0" distR="0" wp14:anchorId="43995158" wp14:editId="6BD27A54">
            <wp:extent cx="4828032" cy="3072384"/>
            <wp:effectExtent l="0" t="0" r="0" b="0"/>
            <wp:docPr id="71" name="Диаграмма 71"/>
            <wp:cNvGraphicFramePr/>
            <a:graphic xmlns:a="http://schemas.openxmlformats.org/drawingml/2006/main">
              <a:graphicData uri="http://schemas.openxmlformats.org/drawingml/2006/chart">
                <c:chart xmlns:c="http://schemas.openxmlformats.org/drawingml/2006/chart" xmlns:r="http://schemas.openxmlformats.org/officeDocument/2006/relationships" r:id="rId42"/>
              </a:graphicData>
            </a:graphic>
          </wp:inline>
        </w:drawing>
      </w:r>
    </w:p>
    <w:p w:rsidR="005727C2" w:rsidRDefault="005727C2" w:rsidP="00364535">
      <w:pPr>
        <w:jc w:val="center"/>
        <w:rPr>
          <w:color w:val="FF0000"/>
          <w:sz w:val="28"/>
          <w:szCs w:val="28"/>
          <w:highlight w:val="yellow"/>
        </w:rPr>
      </w:pPr>
      <w:r>
        <w:rPr>
          <w:noProof/>
          <w:color w:val="FF0000"/>
          <w:sz w:val="28"/>
          <w:szCs w:val="28"/>
        </w:rPr>
        <w:drawing>
          <wp:inline distT="0" distB="0" distL="0" distR="0" wp14:anchorId="04ABCECC" wp14:editId="4E291956">
            <wp:extent cx="5025542" cy="2977286"/>
            <wp:effectExtent l="0" t="0" r="3810" b="0"/>
            <wp:docPr id="72" name="Диаграмма 72"/>
            <wp:cNvGraphicFramePr/>
            <a:graphic xmlns:a="http://schemas.openxmlformats.org/drawingml/2006/main">
              <a:graphicData uri="http://schemas.openxmlformats.org/drawingml/2006/chart">
                <c:chart xmlns:c="http://schemas.openxmlformats.org/drawingml/2006/chart" xmlns:r="http://schemas.openxmlformats.org/officeDocument/2006/relationships" r:id="rId43"/>
              </a:graphicData>
            </a:graphic>
          </wp:inline>
        </w:drawing>
      </w:r>
    </w:p>
    <w:p w:rsidR="005727C2" w:rsidRPr="00D234B5" w:rsidRDefault="00D234B5" w:rsidP="00D234B5">
      <w:pPr>
        <w:ind w:firstLine="720"/>
        <w:jc w:val="center"/>
      </w:pPr>
      <w:r w:rsidRPr="00D234B5">
        <w:t>Рис 2.2.3.</w:t>
      </w:r>
    </w:p>
    <w:p w:rsidR="005727C2" w:rsidRDefault="005727C2" w:rsidP="005727C2">
      <w:pPr>
        <w:pStyle w:val="afa"/>
        <w:ind w:firstLine="709"/>
        <w:jc w:val="both"/>
        <w:rPr>
          <w:rFonts w:ascii="Times New Roman" w:hAnsi="Times New Roman" w:cs="Times New Roman"/>
          <w:sz w:val="28"/>
          <w:szCs w:val="28"/>
        </w:rPr>
      </w:pPr>
      <w:r>
        <w:rPr>
          <w:rFonts w:ascii="Times New Roman" w:hAnsi="Times New Roman" w:cs="Times New Roman"/>
          <w:sz w:val="28"/>
          <w:szCs w:val="28"/>
        </w:rPr>
        <w:lastRenderedPageBreak/>
        <w:t>Структура необходимой валовой выручки АО «СИБЭКО» по производству тепловой энергии в целом по ТЭС и локальным источникам по основным статьям расходов за период 2019-2020 годов представлена ниже.</w:t>
      </w:r>
    </w:p>
    <w:p w:rsidR="005727C2" w:rsidRDefault="005727C2" w:rsidP="005727C2">
      <w:pPr>
        <w:pStyle w:val="afa"/>
        <w:ind w:firstLine="709"/>
        <w:jc w:val="both"/>
        <w:rPr>
          <w:rFonts w:ascii="Times New Roman" w:hAnsi="Times New Roman" w:cs="Times New Roman"/>
          <w:sz w:val="28"/>
          <w:szCs w:val="28"/>
        </w:rPr>
      </w:pPr>
    </w:p>
    <w:p w:rsidR="005727C2" w:rsidRDefault="005727C2" w:rsidP="005727C2">
      <w:pPr>
        <w:pStyle w:val="22"/>
        <w:spacing w:after="0" w:line="240" w:lineRule="auto"/>
        <w:jc w:val="both"/>
        <w:rPr>
          <w:bCs/>
          <w:color w:val="FF0000"/>
          <w:sz w:val="28"/>
          <w:szCs w:val="28"/>
          <w:highlight w:val="yellow"/>
          <w:lang w:val="en-US"/>
        </w:rPr>
      </w:pPr>
      <w:r>
        <w:rPr>
          <w:noProof/>
          <w:color w:val="FF0000"/>
          <w:sz w:val="28"/>
          <w:szCs w:val="28"/>
        </w:rPr>
        <w:drawing>
          <wp:inline distT="0" distB="0" distL="0" distR="0" wp14:anchorId="19BDDF0C" wp14:editId="24228AEE">
            <wp:extent cx="6283960" cy="3679825"/>
            <wp:effectExtent l="0" t="0" r="0" b="0"/>
            <wp:docPr id="38" name="Диаграмма 38"/>
            <wp:cNvGraphicFramePr/>
            <a:graphic xmlns:a="http://schemas.openxmlformats.org/drawingml/2006/main">
              <a:graphicData uri="http://schemas.openxmlformats.org/drawingml/2006/chart">
                <c:chart xmlns:c="http://schemas.openxmlformats.org/drawingml/2006/chart" xmlns:r="http://schemas.openxmlformats.org/officeDocument/2006/relationships" r:id="rId44"/>
              </a:graphicData>
            </a:graphic>
          </wp:inline>
        </w:drawing>
      </w:r>
    </w:p>
    <w:p w:rsidR="005727C2" w:rsidRDefault="005727C2" w:rsidP="005727C2">
      <w:pPr>
        <w:pStyle w:val="22"/>
        <w:spacing w:after="0" w:line="240" w:lineRule="auto"/>
        <w:jc w:val="both"/>
        <w:rPr>
          <w:bCs/>
          <w:color w:val="FF0000"/>
          <w:sz w:val="28"/>
          <w:szCs w:val="28"/>
          <w:highlight w:val="yellow"/>
        </w:rPr>
      </w:pPr>
      <w:r>
        <w:rPr>
          <w:noProof/>
          <w:color w:val="FF0000"/>
          <w:sz w:val="28"/>
          <w:szCs w:val="28"/>
        </w:rPr>
        <w:drawing>
          <wp:inline distT="0" distB="0" distL="0" distR="0" wp14:anchorId="5C388F72" wp14:editId="00E3F118">
            <wp:extent cx="5932805" cy="3913505"/>
            <wp:effectExtent l="0" t="0" r="0" b="0"/>
            <wp:docPr id="74" name="Диаграмма 74"/>
            <wp:cNvGraphicFramePr/>
            <a:graphic xmlns:a="http://schemas.openxmlformats.org/drawingml/2006/main">
              <a:graphicData uri="http://schemas.openxmlformats.org/drawingml/2006/chart">
                <c:chart xmlns:c="http://schemas.openxmlformats.org/drawingml/2006/chart" xmlns:r="http://schemas.openxmlformats.org/officeDocument/2006/relationships" r:id="rId45"/>
              </a:graphicData>
            </a:graphic>
          </wp:inline>
        </w:drawing>
      </w:r>
    </w:p>
    <w:p w:rsidR="005727C2" w:rsidRPr="00D234B5" w:rsidRDefault="00D234B5" w:rsidP="00D234B5">
      <w:pPr>
        <w:pStyle w:val="22"/>
        <w:spacing w:after="0" w:line="240" w:lineRule="auto"/>
        <w:ind w:firstLine="709"/>
        <w:jc w:val="center"/>
        <w:rPr>
          <w:bCs/>
        </w:rPr>
      </w:pPr>
      <w:r w:rsidRPr="00D234B5">
        <w:rPr>
          <w:bCs/>
        </w:rPr>
        <w:t>Рис. 2.2.4</w:t>
      </w:r>
      <w:r>
        <w:rPr>
          <w:bCs/>
        </w:rPr>
        <w:t>.</w:t>
      </w:r>
    </w:p>
    <w:p w:rsidR="00D234B5" w:rsidRDefault="00D234B5" w:rsidP="005727C2">
      <w:pPr>
        <w:pStyle w:val="22"/>
        <w:spacing w:after="0" w:line="240" w:lineRule="auto"/>
        <w:ind w:firstLine="709"/>
        <w:jc w:val="both"/>
        <w:rPr>
          <w:bCs/>
          <w:sz w:val="28"/>
          <w:szCs w:val="28"/>
        </w:rPr>
      </w:pPr>
    </w:p>
    <w:p w:rsidR="005727C2" w:rsidRDefault="005727C2" w:rsidP="005727C2">
      <w:pPr>
        <w:pStyle w:val="22"/>
        <w:spacing w:after="0" w:line="240" w:lineRule="auto"/>
        <w:ind w:firstLine="709"/>
        <w:jc w:val="both"/>
        <w:rPr>
          <w:bCs/>
          <w:sz w:val="28"/>
          <w:szCs w:val="28"/>
        </w:rPr>
      </w:pPr>
      <w:r>
        <w:rPr>
          <w:bCs/>
          <w:sz w:val="28"/>
          <w:szCs w:val="28"/>
        </w:rPr>
        <w:t xml:space="preserve">В структуре расходов </w:t>
      </w:r>
      <w:r w:rsidR="002D099C">
        <w:rPr>
          <w:sz w:val="28"/>
          <w:szCs w:val="28"/>
        </w:rPr>
        <w:t xml:space="preserve">АО «СИБЭКО» </w:t>
      </w:r>
      <w:r>
        <w:rPr>
          <w:bCs/>
          <w:sz w:val="28"/>
          <w:szCs w:val="28"/>
        </w:rPr>
        <w:t>в указанном периоде не произошло существенных изменений.</w:t>
      </w:r>
    </w:p>
    <w:p w:rsidR="002D099C" w:rsidRDefault="002D099C" w:rsidP="005727C2">
      <w:pPr>
        <w:ind w:firstLine="720"/>
        <w:jc w:val="both"/>
        <w:rPr>
          <w:sz w:val="28"/>
          <w:szCs w:val="28"/>
        </w:rPr>
      </w:pPr>
    </w:p>
    <w:p w:rsidR="005727C2" w:rsidRDefault="005727C2" w:rsidP="005727C2">
      <w:pPr>
        <w:ind w:firstLine="720"/>
        <w:jc w:val="both"/>
        <w:rPr>
          <w:sz w:val="28"/>
          <w:szCs w:val="28"/>
        </w:rPr>
      </w:pPr>
      <w:r>
        <w:rPr>
          <w:sz w:val="28"/>
          <w:szCs w:val="28"/>
        </w:rPr>
        <w:lastRenderedPageBreak/>
        <w:t>Ниже приведена динамика тарифов на тепловую энергию в горячей воде для потребителей по регионам Сибирского Федерального округа (СФО) в 2019-2020 годах.</w:t>
      </w:r>
    </w:p>
    <w:p w:rsidR="005727C2" w:rsidRDefault="005727C2" w:rsidP="005727C2">
      <w:pPr>
        <w:pStyle w:val="22"/>
        <w:spacing w:after="0" w:line="240" w:lineRule="auto"/>
        <w:jc w:val="both"/>
        <w:rPr>
          <w:bCs/>
          <w:sz w:val="28"/>
          <w:szCs w:val="28"/>
        </w:rPr>
      </w:pPr>
      <w:r>
        <w:rPr>
          <w:noProof/>
          <w:sz w:val="28"/>
          <w:szCs w:val="28"/>
        </w:rPr>
        <w:drawing>
          <wp:inline distT="0" distB="0" distL="0" distR="0" wp14:anchorId="43A4CFAE" wp14:editId="24C01543">
            <wp:extent cx="6159398" cy="3394253"/>
            <wp:effectExtent l="0" t="0" r="0" b="0"/>
            <wp:docPr id="37" name="Диаграмма 37"/>
            <wp:cNvGraphicFramePr/>
            <a:graphic xmlns:a="http://schemas.openxmlformats.org/drawingml/2006/main">
              <a:graphicData uri="http://schemas.openxmlformats.org/drawingml/2006/chart">
                <c:chart xmlns:c="http://schemas.openxmlformats.org/drawingml/2006/chart" xmlns:r="http://schemas.openxmlformats.org/officeDocument/2006/relationships" r:id="rId46"/>
              </a:graphicData>
            </a:graphic>
          </wp:inline>
        </w:drawing>
      </w:r>
    </w:p>
    <w:p w:rsidR="005727C2" w:rsidRDefault="005727C2" w:rsidP="005727C2">
      <w:pPr>
        <w:pStyle w:val="af7"/>
        <w:spacing w:after="0"/>
        <w:ind w:left="1429"/>
        <w:jc w:val="center"/>
        <w:rPr>
          <w:color w:val="FF0000"/>
          <w:sz w:val="16"/>
          <w:szCs w:val="16"/>
          <w:highlight w:val="yellow"/>
        </w:rPr>
      </w:pPr>
    </w:p>
    <w:p w:rsidR="00D234B5" w:rsidRDefault="00D234B5" w:rsidP="00D234B5">
      <w:pPr>
        <w:pStyle w:val="af7"/>
        <w:spacing w:after="0"/>
        <w:ind w:left="0"/>
        <w:jc w:val="center"/>
      </w:pPr>
      <w:r>
        <w:t>Рис. 2.2.5.</w:t>
      </w:r>
    </w:p>
    <w:p w:rsidR="00D234B5" w:rsidRPr="00D234B5" w:rsidRDefault="00D234B5" w:rsidP="00D234B5">
      <w:pPr>
        <w:pStyle w:val="af7"/>
        <w:spacing w:after="0"/>
        <w:ind w:left="0"/>
        <w:jc w:val="center"/>
      </w:pPr>
    </w:p>
    <w:p w:rsidR="005727C2" w:rsidRDefault="005727C2" w:rsidP="005727C2">
      <w:pPr>
        <w:pStyle w:val="af7"/>
        <w:spacing w:after="0"/>
        <w:ind w:left="0"/>
        <w:rPr>
          <w:b/>
          <w:i/>
          <w:sz w:val="28"/>
          <w:szCs w:val="28"/>
        </w:rPr>
      </w:pPr>
      <w:r>
        <w:rPr>
          <w:b/>
          <w:i/>
          <w:sz w:val="28"/>
          <w:szCs w:val="28"/>
        </w:rPr>
        <w:t>2.2.1.</w:t>
      </w:r>
      <w:r w:rsidR="00EF177C">
        <w:rPr>
          <w:b/>
          <w:i/>
          <w:sz w:val="28"/>
          <w:szCs w:val="28"/>
        </w:rPr>
        <w:t>4</w:t>
      </w:r>
      <w:r>
        <w:rPr>
          <w:b/>
          <w:i/>
          <w:sz w:val="28"/>
          <w:szCs w:val="28"/>
        </w:rPr>
        <w:t xml:space="preserve">. Производство тепловой энергии тепловыми электростанциями </w:t>
      </w:r>
      <w:r w:rsidR="00870081">
        <w:rPr>
          <w:b/>
          <w:i/>
          <w:sz w:val="28"/>
          <w:szCs w:val="28"/>
        </w:rPr>
        <w:t xml:space="preserve">(ТЭС) </w:t>
      </w:r>
      <w:r>
        <w:rPr>
          <w:b/>
          <w:i/>
          <w:sz w:val="28"/>
          <w:szCs w:val="28"/>
        </w:rPr>
        <w:t>АО «СИБЭКО» (комбинированная выработка)</w:t>
      </w:r>
    </w:p>
    <w:p w:rsidR="00870081" w:rsidRDefault="00870081" w:rsidP="005727C2">
      <w:pPr>
        <w:pStyle w:val="afa"/>
        <w:ind w:firstLine="851"/>
        <w:jc w:val="both"/>
        <w:rPr>
          <w:rFonts w:ascii="Times New Roman" w:hAnsi="Times New Roman" w:cs="Times New Roman"/>
          <w:sz w:val="28"/>
          <w:szCs w:val="28"/>
        </w:rPr>
      </w:pPr>
    </w:p>
    <w:p w:rsidR="005727C2" w:rsidRDefault="005727C2" w:rsidP="005727C2">
      <w:pPr>
        <w:pStyle w:val="afa"/>
        <w:ind w:firstLine="851"/>
        <w:jc w:val="both"/>
        <w:rPr>
          <w:rFonts w:ascii="Times New Roman" w:hAnsi="Times New Roman" w:cs="Times New Roman"/>
          <w:sz w:val="28"/>
          <w:szCs w:val="28"/>
        </w:rPr>
      </w:pPr>
      <w:r>
        <w:rPr>
          <w:rFonts w:ascii="Times New Roman" w:hAnsi="Times New Roman" w:cs="Times New Roman"/>
          <w:sz w:val="28"/>
          <w:szCs w:val="28"/>
        </w:rPr>
        <w:t xml:space="preserve">В соответствии с законодательством </w:t>
      </w:r>
      <w:r w:rsidR="00870081">
        <w:rPr>
          <w:rFonts w:ascii="Times New Roman" w:hAnsi="Times New Roman" w:cs="Times New Roman"/>
          <w:sz w:val="28"/>
          <w:szCs w:val="28"/>
        </w:rPr>
        <w:t xml:space="preserve">Российской Федерации </w:t>
      </w:r>
      <w:r>
        <w:rPr>
          <w:rFonts w:ascii="Times New Roman" w:hAnsi="Times New Roman" w:cs="Times New Roman"/>
          <w:sz w:val="28"/>
          <w:szCs w:val="28"/>
        </w:rPr>
        <w:t xml:space="preserve">в сфере государственного регулирования </w:t>
      </w:r>
      <w:r w:rsidR="00870081">
        <w:rPr>
          <w:rFonts w:ascii="Times New Roman" w:hAnsi="Times New Roman" w:cs="Times New Roman"/>
          <w:sz w:val="28"/>
          <w:szCs w:val="28"/>
        </w:rPr>
        <w:t>цен (</w:t>
      </w:r>
      <w:r>
        <w:rPr>
          <w:rFonts w:ascii="Times New Roman" w:hAnsi="Times New Roman" w:cs="Times New Roman"/>
          <w:sz w:val="28"/>
          <w:szCs w:val="28"/>
        </w:rPr>
        <w:t>тарифов</w:t>
      </w:r>
      <w:r w:rsidR="00870081">
        <w:rPr>
          <w:rFonts w:ascii="Times New Roman" w:hAnsi="Times New Roman" w:cs="Times New Roman"/>
          <w:sz w:val="28"/>
          <w:szCs w:val="28"/>
        </w:rPr>
        <w:t>)</w:t>
      </w:r>
      <w:r>
        <w:rPr>
          <w:rFonts w:ascii="Times New Roman" w:hAnsi="Times New Roman" w:cs="Times New Roman"/>
          <w:sz w:val="28"/>
          <w:szCs w:val="28"/>
        </w:rPr>
        <w:t xml:space="preserve"> на тепловую энергию </w:t>
      </w:r>
      <w:r w:rsidR="00870081">
        <w:rPr>
          <w:rFonts w:ascii="Times New Roman" w:hAnsi="Times New Roman" w:cs="Times New Roman"/>
          <w:sz w:val="28"/>
          <w:szCs w:val="28"/>
        </w:rPr>
        <w:t>Д</w:t>
      </w:r>
      <w:r>
        <w:rPr>
          <w:rFonts w:ascii="Times New Roman" w:hAnsi="Times New Roman" w:cs="Times New Roman"/>
          <w:sz w:val="28"/>
          <w:szCs w:val="28"/>
        </w:rPr>
        <w:t>епартаментом был принят приказ от 18.12.2019 № 704-ТЭ «</w:t>
      </w:r>
      <w:r>
        <w:rPr>
          <w:rFonts w:ascii="Times New Roman" w:hAnsi="Times New Roman" w:cs="Times New Roman"/>
          <w:bCs/>
          <w:sz w:val="28"/>
          <w:szCs w:val="28"/>
        </w:rPr>
        <w:t xml:space="preserve">О корректировке на 2020 год тарифов на тепловую энергию (мощность) на коллекторах источников тепловой энергии Акционерного общества «Сибирская энергетическая компания», производимую в режиме комбинированной выработки электрической и тепловой энергии источниками тепловой энергии с установленной генерирующей мощностью производства электрической энергии 25 мегаватт и более, на территории Новосибирской области, </w:t>
      </w:r>
      <w:r>
        <w:rPr>
          <w:rFonts w:ascii="Times New Roman" w:hAnsi="Times New Roman" w:cs="Times New Roman"/>
          <w:sz w:val="28"/>
          <w:szCs w:val="28"/>
        </w:rPr>
        <w:t>установленных на долгосрочный период регулирования».</w:t>
      </w:r>
    </w:p>
    <w:p w:rsidR="005727C2" w:rsidRDefault="00D3749A" w:rsidP="005727C2">
      <w:pPr>
        <w:pStyle w:val="afa"/>
        <w:ind w:firstLine="851"/>
        <w:jc w:val="both"/>
        <w:rPr>
          <w:rFonts w:ascii="Times New Roman" w:hAnsi="Times New Roman" w:cs="Times New Roman"/>
          <w:sz w:val="28"/>
          <w:szCs w:val="28"/>
        </w:rPr>
      </w:pPr>
      <w:r>
        <w:rPr>
          <w:rFonts w:ascii="Times New Roman" w:hAnsi="Times New Roman" w:cs="Times New Roman"/>
          <w:sz w:val="28"/>
          <w:szCs w:val="28"/>
        </w:rPr>
        <w:t>Т</w:t>
      </w:r>
      <w:r w:rsidR="005727C2">
        <w:rPr>
          <w:rFonts w:ascii="Times New Roman" w:hAnsi="Times New Roman" w:cs="Times New Roman"/>
          <w:sz w:val="28"/>
          <w:szCs w:val="28"/>
        </w:rPr>
        <w:t>арифы на тепловую энергию</w:t>
      </w:r>
      <w:r w:rsidRPr="00D3749A">
        <w:rPr>
          <w:rFonts w:ascii="Times New Roman" w:hAnsi="Times New Roman" w:cs="Times New Roman"/>
          <w:sz w:val="28"/>
          <w:szCs w:val="28"/>
        </w:rPr>
        <w:t xml:space="preserve"> </w:t>
      </w:r>
      <w:r>
        <w:rPr>
          <w:rFonts w:ascii="Times New Roman" w:hAnsi="Times New Roman" w:cs="Times New Roman"/>
          <w:sz w:val="28"/>
          <w:szCs w:val="28"/>
        </w:rPr>
        <w:t>на 2020 год</w:t>
      </w:r>
      <w:r w:rsidR="005727C2">
        <w:rPr>
          <w:rFonts w:ascii="Times New Roman" w:hAnsi="Times New Roman" w:cs="Times New Roman"/>
          <w:sz w:val="28"/>
          <w:szCs w:val="28"/>
        </w:rPr>
        <w:t xml:space="preserve">, установлены </w:t>
      </w:r>
      <w:r>
        <w:rPr>
          <w:rFonts w:ascii="Times New Roman" w:hAnsi="Times New Roman" w:cs="Times New Roman"/>
          <w:sz w:val="28"/>
          <w:szCs w:val="28"/>
        </w:rPr>
        <w:t xml:space="preserve">департаментом </w:t>
      </w:r>
      <w:r w:rsidR="005727C2">
        <w:rPr>
          <w:rFonts w:ascii="Times New Roman" w:hAnsi="Times New Roman" w:cs="Times New Roman"/>
          <w:sz w:val="28"/>
          <w:szCs w:val="28"/>
        </w:rPr>
        <w:t xml:space="preserve">вышеназванным приказом в </w:t>
      </w:r>
      <w:r w:rsidR="00870081">
        <w:rPr>
          <w:rFonts w:ascii="Times New Roman" w:hAnsi="Times New Roman" w:cs="Times New Roman"/>
          <w:sz w:val="28"/>
          <w:szCs w:val="28"/>
        </w:rPr>
        <w:t>рамках</w:t>
      </w:r>
      <w:r w:rsidR="005727C2">
        <w:rPr>
          <w:rFonts w:ascii="Times New Roman" w:hAnsi="Times New Roman" w:cs="Times New Roman"/>
          <w:sz w:val="28"/>
          <w:szCs w:val="28"/>
        </w:rPr>
        <w:t xml:space="preserve"> предельного уровня тарифа (</w:t>
      </w:r>
      <w:r>
        <w:rPr>
          <w:rFonts w:ascii="Times New Roman" w:hAnsi="Times New Roman" w:cs="Times New Roman"/>
          <w:sz w:val="28"/>
          <w:szCs w:val="28"/>
        </w:rPr>
        <w:t>на 2-е п/г. 2020 года</w:t>
      </w:r>
      <w:r w:rsidR="005727C2">
        <w:rPr>
          <w:rFonts w:ascii="Times New Roman" w:hAnsi="Times New Roman" w:cs="Times New Roman"/>
          <w:sz w:val="28"/>
          <w:szCs w:val="28"/>
        </w:rPr>
        <w:t>), утверждённого приказом ФАС России от 11.10.2019 № 1334/19 «Об установлении предельных минимальных и максимальных уровней тарифов на тепловую энергию (мощность), производимую в режиме комбинированной выработки электрической и тепловой энергии источниками тепловой энергии с установленной генерирующей мощностью производства электрической энергии 25 мегаватт и более, на 2020 год, руб./Гкал».</w:t>
      </w:r>
    </w:p>
    <w:p w:rsidR="00870081" w:rsidRDefault="00870081" w:rsidP="005727C2">
      <w:pPr>
        <w:pStyle w:val="afa"/>
        <w:ind w:firstLine="851"/>
        <w:jc w:val="both"/>
        <w:rPr>
          <w:rFonts w:ascii="Times New Roman" w:hAnsi="Times New Roman" w:cs="Times New Roman"/>
          <w:sz w:val="28"/>
          <w:szCs w:val="28"/>
        </w:rPr>
      </w:pPr>
    </w:p>
    <w:p w:rsidR="005727C2" w:rsidRDefault="005727C2" w:rsidP="005727C2">
      <w:pPr>
        <w:pStyle w:val="af7"/>
        <w:spacing w:after="0"/>
        <w:ind w:left="0" w:firstLine="709"/>
        <w:jc w:val="both"/>
        <w:rPr>
          <w:color w:val="FF0000"/>
          <w:sz w:val="16"/>
          <w:szCs w:val="16"/>
          <w:highlight w:val="yellow"/>
        </w:rPr>
      </w:pPr>
    </w:p>
    <w:p w:rsidR="00D234B5" w:rsidRDefault="00D234B5" w:rsidP="005727C2">
      <w:pPr>
        <w:pStyle w:val="af7"/>
        <w:spacing w:after="0"/>
        <w:ind w:left="0" w:firstLine="709"/>
        <w:jc w:val="both"/>
        <w:rPr>
          <w:color w:val="FF0000"/>
          <w:sz w:val="16"/>
          <w:szCs w:val="16"/>
          <w:highlight w:val="yellow"/>
        </w:rPr>
      </w:pPr>
    </w:p>
    <w:p w:rsidR="00D234B5" w:rsidRDefault="00D234B5" w:rsidP="005727C2">
      <w:pPr>
        <w:pStyle w:val="af7"/>
        <w:spacing w:after="0"/>
        <w:ind w:left="0" w:firstLine="709"/>
        <w:jc w:val="both"/>
        <w:rPr>
          <w:color w:val="FF0000"/>
          <w:sz w:val="16"/>
          <w:szCs w:val="16"/>
          <w:highlight w:val="yellow"/>
        </w:rPr>
      </w:pPr>
    </w:p>
    <w:p w:rsidR="00D234B5" w:rsidRDefault="00D234B5" w:rsidP="005727C2">
      <w:pPr>
        <w:pStyle w:val="af7"/>
        <w:spacing w:after="0"/>
        <w:ind w:left="0" w:firstLine="709"/>
        <w:jc w:val="both"/>
        <w:rPr>
          <w:color w:val="FF0000"/>
          <w:sz w:val="16"/>
          <w:szCs w:val="16"/>
          <w:highlight w:val="yellow"/>
        </w:rPr>
      </w:pPr>
    </w:p>
    <w:p w:rsidR="00D234B5" w:rsidRPr="00D3749A" w:rsidRDefault="00D234B5" w:rsidP="00D234B5">
      <w:pPr>
        <w:pStyle w:val="af7"/>
        <w:spacing w:after="0"/>
        <w:ind w:left="0" w:firstLine="709"/>
        <w:jc w:val="center"/>
        <w:rPr>
          <w:rFonts w:eastAsiaTheme="minorHAnsi"/>
          <w:sz w:val="28"/>
          <w:szCs w:val="28"/>
          <w:lang w:eastAsia="zh-CN"/>
        </w:rPr>
      </w:pPr>
      <w:r w:rsidRPr="00D3749A">
        <w:rPr>
          <w:rFonts w:eastAsiaTheme="minorHAnsi"/>
          <w:sz w:val="28"/>
          <w:szCs w:val="28"/>
          <w:lang w:eastAsia="zh-CN"/>
        </w:rPr>
        <w:lastRenderedPageBreak/>
        <w:t xml:space="preserve">Предельные уровни тарифов, установленные ФАС Росси </w:t>
      </w:r>
      <w:r w:rsidR="00D3749A" w:rsidRPr="00D3749A">
        <w:rPr>
          <w:rFonts w:eastAsiaTheme="minorHAnsi"/>
          <w:sz w:val="28"/>
          <w:szCs w:val="28"/>
          <w:lang w:eastAsia="zh-CN"/>
        </w:rPr>
        <w:t>на тепловую энергию (по теплоносителю вода), вырабатываемую электростанциями</w:t>
      </w:r>
    </w:p>
    <w:p w:rsidR="00D234B5" w:rsidRPr="00D234B5" w:rsidRDefault="00D234B5" w:rsidP="00D234B5">
      <w:pPr>
        <w:pStyle w:val="af7"/>
        <w:spacing w:after="0"/>
        <w:ind w:left="0" w:firstLine="709"/>
        <w:jc w:val="right"/>
      </w:pPr>
      <w:r w:rsidRPr="00D234B5">
        <w:t>Таблица №2.2.2.</w:t>
      </w:r>
    </w:p>
    <w:tbl>
      <w:tblPr>
        <w:tblW w:w="9374" w:type="dxa"/>
        <w:tblInd w:w="515" w:type="dxa"/>
        <w:tblLook w:val="00A0" w:firstRow="1" w:lastRow="0" w:firstColumn="1" w:lastColumn="0" w:noHBand="0" w:noVBand="0"/>
      </w:tblPr>
      <w:tblGrid>
        <w:gridCol w:w="3137"/>
        <w:gridCol w:w="1601"/>
        <w:gridCol w:w="1518"/>
        <w:gridCol w:w="1701"/>
        <w:gridCol w:w="1417"/>
      </w:tblGrid>
      <w:tr w:rsidR="005727C2" w:rsidTr="00D234B5">
        <w:trPr>
          <w:trHeight w:val="841"/>
        </w:trPr>
        <w:tc>
          <w:tcPr>
            <w:tcW w:w="3137" w:type="dxa"/>
            <w:tcBorders>
              <w:top w:val="single" w:sz="4" w:space="0" w:color="auto"/>
              <w:left w:val="single" w:sz="4" w:space="0" w:color="auto"/>
              <w:bottom w:val="single" w:sz="4" w:space="0" w:color="auto"/>
              <w:right w:val="single" w:sz="4" w:space="0" w:color="auto"/>
            </w:tcBorders>
            <w:noWrap/>
            <w:vAlign w:val="bottom"/>
            <w:hideMark/>
          </w:tcPr>
          <w:p w:rsidR="005727C2" w:rsidRDefault="005727C2" w:rsidP="00364535">
            <w:pPr>
              <w:spacing w:after="0" w:line="240" w:lineRule="auto"/>
              <w:rPr>
                <w:lang w:eastAsia="en-US"/>
              </w:rPr>
            </w:pPr>
            <w:r>
              <w:rPr>
                <w:sz w:val="22"/>
                <w:szCs w:val="22"/>
                <w:lang w:eastAsia="en-US"/>
              </w:rPr>
              <w:t> </w:t>
            </w:r>
          </w:p>
        </w:tc>
        <w:tc>
          <w:tcPr>
            <w:tcW w:w="1601" w:type="dxa"/>
            <w:tcBorders>
              <w:top w:val="single" w:sz="4" w:space="0" w:color="auto"/>
              <w:left w:val="nil"/>
              <w:bottom w:val="single" w:sz="4" w:space="0" w:color="auto"/>
              <w:right w:val="single" w:sz="4" w:space="0" w:color="auto"/>
            </w:tcBorders>
            <w:vAlign w:val="bottom"/>
            <w:hideMark/>
          </w:tcPr>
          <w:p w:rsidR="005727C2" w:rsidRDefault="005727C2" w:rsidP="00364535">
            <w:pPr>
              <w:spacing w:after="0" w:line="240" w:lineRule="auto"/>
              <w:jc w:val="center"/>
              <w:rPr>
                <w:b/>
                <w:lang w:eastAsia="en-US"/>
              </w:rPr>
            </w:pPr>
            <w:r>
              <w:rPr>
                <w:b/>
                <w:sz w:val="22"/>
                <w:szCs w:val="22"/>
                <w:lang w:eastAsia="en-US"/>
              </w:rPr>
              <w:t>01.01.2020-</w:t>
            </w:r>
            <w:r>
              <w:rPr>
                <w:b/>
                <w:sz w:val="22"/>
                <w:szCs w:val="22"/>
                <w:lang w:eastAsia="en-US"/>
              </w:rPr>
              <w:br/>
              <w:t>30.06.2020</w:t>
            </w:r>
          </w:p>
        </w:tc>
        <w:tc>
          <w:tcPr>
            <w:tcW w:w="1518" w:type="dxa"/>
            <w:tcBorders>
              <w:top w:val="single" w:sz="4" w:space="0" w:color="auto"/>
              <w:left w:val="nil"/>
              <w:bottom w:val="single" w:sz="4" w:space="0" w:color="auto"/>
              <w:right w:val="single" w:sz="4" w:space="0" w:color="auto"/>
            </w:tcBorders>
            <w:vAlign w:val="bottom"/>
            <w:hideMark/>
          </w:tcPr>
          <w:p w:rsidR="005727C2" w:rsidRDefault="005727C2" w:rsidP="00364535">
            <w:pPr>
              <w:spacing w:after="0" w:line="240" w:lineRule="auto"/>
              <w:jc w:val="center"/>
              <w:rPr>
                <w:b/>
                <w:lang w:eastAsia="en-US"/>
              </w:rPr>
            </w:pPr>
            <w:r>
              <w:rPr>
                <w:b/>
                <w:sz w:val="22"/>
                <w:szCs w:val="22"/>
                <w:lang w:eastAsia="en-US"/>
              </w:rPr>
              <w:t xml:space="preserve">% </w:t>
            </w:r>
            <w:r>
              <w:rPr>
                <w:b/>
                <w:sz w:val="22"/>
                <w:szCs w:val="22"/>
                <w:lang w:eastAsia="en-US"/>
              </w:rPr>
              <w:br/>
              <w:t>к тарифу 2 пг. 2019 года</w:t>
            </w:r>
          </w:p>
        </w:tc>
        <w:tc>
          <w:tcPr>
            <w:tcW w:w="1701" w:type="dxa"/>
            <w:tcBorders>
              <w:top w:val="single" w:sz="4" w:space="0" w:color="auto"/>
              <w:left w:val="nil"/>
              <w:bottom w:val="single" w:sz="4" w:space="0" w:color="auto"/>
              <w:right w:val="single" w:sz="4" w:space="0" w:color="auto"/>
            </w:tcBorders>
            <w:vAlign w:val="bottom"/>
            <w:hideMark/>
          </w:tcPr>
          <w:p w:rsidR="005727C2" w:rsidRDefault="005727C2" w:rsidP="00364535">
            <w:pPr>
              <w:spacing w:after="0" w:line="240" w:lineRule="auto"/>
              <w:jc w:val="center"/>
              <w:rPr>
                <w:b/>
                <w:lang w:eastAsia="en-US"/>
              </w:rPr>
            </w:pPr>
            <w:r>
              <w:rPr>
                <w:b/>
                <w:sz w:val="22"/>
                <w:szCs w:val="22"/>
                <w:lang w:eastAsia="en-US"/>
              </w:rPr>
              <w:t>01.07.2020-</w:t>
            </w:r>
            <w:r>
              <w:rPr>
                <w:b/>
                <w:sz w:val="22"/>
                <w:szCs w:val="22"/>
                <w:lang w:eastAsia="en-US"/>
              </w:rPr>
              <w:br/>
              <w:t>31.12.2020</w:t>
            </w:r>
          </w:p>
        </w:tc>
        <w:tc>
          <w:tcPr>
            <w:tcW w:w="1417" w:type="dxa"/>
            <w:tcBorders>
              <w:top w:val="single" w:sz="4" w:space="0" w:color="auto"/>
              <w:left w:val="nil"/>
              <w:bottom w:val="single" w:sz="4" w:space="0" w:color="auto"/>
              <w:right w:val="single" w:sz="4" w:space="0" w:color="auto"/>
            </w:tcBorders>
            <w:vAlign w:val="bottom"/>
            <w:hideMark/>
          </w:tcPr>
          <w:p w:rsidR="005727C2" w:rsidRDefault="005727C2" w:rsidP="00364535">
            <w:pPr>
              <w:spacing w:after="0" w:line="240" w:lineRule="auto"/>
              <w:jc w:val="center"/>
              <w:rPr>
                <w:b/>
                <w:lang w:eastAsia="en-US"/>
              </w:rPr>
            </w:pPr>
            <w:r>
              <w:rPr>
                <w:b/>
                <w:sz w:val="22"/>
                <w:szCs w:val="22"/>
                <w:lang w:eastAsia="en-US"/>
              </w:rPr>
              <w:t xml:space="preserve">% </w:t>
            </w:r>
            <w:r>
              <w:rPr>
                <w:b/>
                <w:sz w:val="22"/>
                <w:szCs w:val="22"/>
                <w:lang w:eastAsia="en-US"/>
              </w:rPr>
              <w:br/>
              <w:t>к тарифу 1 пг. 2020 года</w:t>
            </w:r>
          </w:p>
        </w:tc>
      </w:tr>
      <w:tr w:rsidR="005727C2" w:rsidTr="00D234B5">
        <w:trPr>
          <w:trHeight w:val="255"/>
        </w:trPr>
        <w:tc>
          <w:tcPr>
            <w:tcW w:w="3137" w:type="dxa"/>
            <w:tcBorders>
              <w:top w:val="nil"/>
              <w:left w:val="single" w:sz="4" w:space="0" w:color="auto"/>
              <w:bottom w:val="single" w:sz="4" w:space="0" w:color="auto"/>
              <w:right w:val="single" w:sz="4" w:space="0" w:color="auto"/>
            </w:tcBorders>
            <w:noWrap/>
            <w:vAlign w:val="bottom"/>
            <w:hideMark/>
          </w:tcPr>
          <w:p w:rsidR="005727C2" w:rsidRDefault="005727C2" w:rsidP="00364535">
            <w:pPr>
              <w:spacing w:after="0" w:line="240" w:lineRule="auto"/>
              <w:rPr>
                <w:lang w:eastAsia="en-US"/>
              </w:rPr>
            </w:pPr>
            <w:r>
              <w:rPr>
                <w:sz w:val="22"/>
                <w:szCs w:val="22"/>
                <w:lang w:eastAsia="en-US"/>
              </w:rPr>
              <w:t>Предельные уровни тарифов, установленные ФАС Р</w:t>
            </w:r>
            <w:r w:rsidR="00870081">
              <w:rPr>
                <w:sz w:val="22"/>
                <w:szCs w:val="22"/>
                <w:lang w:eastAsia="en-US"/>
              </w:rPr>
              <w:t>осси</w:t>
            </w:r>
            <w:r>
              <w:rPr>
                <w:sz w:val="22"/>
                <w:szCs w:val="22"/>
                <w:lang w:eastAsia="en-US"/>
              </w:rPr>
              <w:t xml:space="preserve"> </w:t>
            </w:r>
            <w:r w:rsidR="00870081">
              <w:rPr>
                <w:sz w:val="22"/>
                <w:szCs w:val="22"/>
                <w:lang w:eastAsia="en-US"/>
              </w:rPr>
              <w:t>на</w:t>
            </w:r>
            <w:r>
              <w:rPr>
                <w:sz w:val="22"/>
                <w:szCs w:val="22"/>
                <w:lang w:eastAsia="en-US"/>
              </w:rPr>
              <w:t xml:space="preserve"> теплоносител</w:t>
            </w:r>
            <w:r w:rsidR="00870081">
              <w:rPr>
                <w:sz w:val="22"/>
                <w:szCs w:val="22"/>
                <w:lang w:eastAsia="en-US"/>
              </w:rPr>
              <w:t xml:space="preserve">ь  в </w:t>
            </w:r>
            <w:r>
              <w:rPr>
                <w:sz w:val="22"/>
                <w:szCs w:val="22"/>
                <w:lang w:eastAsia="en-US"/>
              </w:rPr>
              <w:t xml:space="preserve"> вод</w:t>
            </w:r>
            <w:r w:rsidR="00870081">
              <w:rPr>
                <w:sz w:val="22"/>
                <w:szCs w:val="22"/>
                <w:lang w:eastAsia="en-US"/>
              </w:rPr>
              <w:t>е</w:t>
            </w:r>
          </w:p>
        </w:tc>
        <w:tc>
          <w:tcPr>
            <w:tcW w:w="1601" w:type="dxa"/>
            <w:tcBorders>
              <w:top w:val="nil"/>
              <w:left w:val="nil"/>
              <w:bottom w:val="single" w:sz="4" w:space="0" w:color="auto"/>
              <w:right w:val="single" w:sz="4" w:space="0" w:color="auto"/>
            </w:tcBorders>
            <w:noWrap/>
            <w:vAlign w:val="bottom"/>
            <w:hideMark/>
          </w:tcPr>
          <w:p w:rsidR="005727C2" w:rsidRDefault="005727C2" w:rsidP="00364535">
            <w:pPr>
              <w:spacing w:after="0" w:line="240" w:lineRule="auto"/>
              <w:ind w:firstLine="318"/>
              <w:jc w:val="center"/>
              <w:rPr>
                <w:lang w:eastAsia="en-US"/>
              </w:rPr>
            </w:pPr>
            <w:r>
              <w:rPr>
                <w:sz w:val="22"/>
                <w:szCs w:val="22"/>
                <w:lang w:eastAsia="en-US"/>
              </w:rPr>
              <w:t> </w:t>
            </w:r>
          </w:p>
        </w:tc>
        <w:tc>
          <w:tcPr>
            <w:tcW w:w="1518" w:type="dxa"/>
            <w:tcBorders>
              <w:top w:val="nil"/>
              <w:left w:val="nil"/>
              <w:bottom w:val="single" w:sz="4" w:space="0" w:color="auto"/>
              <w:right w:val="single" w:sz="4" w:space="0" w:color="auto"/>
            </w:tcBorders>
            <w:noWrap/>
            <w:vAlign w:val="bottom"/>
            <w:hideMark/>
          </w:tcPr>
          <w:p w:rsidR="005727C2" w:rsidRDefault="005727C2" w:rsidP="00364535">
            <w:pPr>
              <w:spacing w:after="0" w:line="240" w:lineRule="auto"/>
              <w:jc w:val="center"/>
              <w:rPr>
                <w:lang w:eastAsia="en-US"/>
              </w:rPr>
            </w:pPr>
            <w:r>
              <w:rPr>
                <w:sz w:val="22"/>
                <w:szCs w:val="22"/>
                <w:lang w:eastAsia="en-US"/>
              </w:rPr>
              <w:t> </w:t>
            </w:r>
          </w:p>
        </w:tc>
        <w:tc>
          <w:tcPr>
            <w:tcW w:w="1701" w:type="dxa"/>
            <w:tcBorders>
              <w:top w:val="nil"/>
              <w:left w:val="nil"/>
              <w:bottom w:val="single" w:sz="4" w:space="0" w:color="auto"/>
              <w:right w:val="single" w:sz="4" w:space="0" w:color="auto"/>
            </w:tcBorders>
            <w:noWrap/>
            <w:vAlign w:val="bottom"/>
            <w:hideMark/>
          </w:tcPr>
          <w:p w:rsidR="005727C2" w:rsidRDefault="005727C2" w:rsidP="00364535">
            <w:pPr>
              <w:spacing w:after="0" w:line="240" w:lineRule="auto"/>
              <w:jc w:val="center"/>
              <w:rPr>
                <w:lang w:eastAsia="en-US"/>
              </w:rPr>
            </w:pPr>
            <w:r>
              <w:rPr>
                <w:sz w:val="22"/>
                <w:szCs w:val="22"/>
                <w:lang w:eastAsia="en-US"/>
              </w:rPr>
              <w:t> </w:t>
            </w:r>
          </w:p>
        </w:tc>
        <w:tc>
          <w:tcPr>
            <w:tcW w:w="1417" w:type="dxa"/>
            <w:tcBorders>
              <w:top w:val="nil"/>
              <w:left w:val="nil"/>
              <w:bottom w:val="single" w:sz="4" w:space="0" w:color="auto"/>
              <w:right w:val="single" w:sz="4" w:space="0" w:color="auto"/>
            </w:tcBorders>
            <w:noWrap/>
            <w:vAlign w:val="bottom"/>
            <w:hideMark/>
          </w:tcPr>
          <w:p w:rsidR="005727C2" w:rsidRDefault="005727C2" w:rsidP="00364535">
            <w:pPr>
              <w:spacing w:after="0" w:line="240" w:lineRule="auto"/>
              <w:jc w:val="center"/>
              <w:rPr>
                <w:lang w:eastAsia="en-US"/>
              </w:rPr>
            </w:pPr>
            <w:r>
              <w:rPr>
                <w:sz w:val="22"/>
                <w:szCs w:val="22"/>
                <w:lang w:eastAsia="en-US"/>
              </w:rPr>
              <w:t> </w:t>
            </w:r>
          </w:p>
        </w:tc>
      </w:tr>
      <w:tr w:rsidR="005727C2" w:rsidTr="00D234B5">
        <w:trPr>
          <w:trHeight w:val="255"/>
        </w:trPr>
        <w:tc>
          <w:tcPr>
            <w:tcW w:w="3137" w:type="dxa"/>
            <w:tcBorders>
              <w:top w:val="nil"/>
              <w:left w:val="single" w:sz="4" w:space="0" w:color="auto"/>
              <w:bottom w:val="single" w:sz="4" w:space="0" w:color="auto"/>
              <w:right w:val="single" w:sz="4" w:space="0" w:color="auto"/>
            </w:tcBorders>
            <w:noWrap/>
            <w:vAlign w:val="bottom"/>
            <w:hideMark/>
          </w:tcPr>
          <w:p w:rsidR="005727C2" w:rsidRDefault="005727C2" w:rsidP="00364535">
            <w:pPr>
              <w:spacing w:after="0" w:line="240" w:lineRule="auto"/>
              <w:rPr>
                <w:lang w:eastAsia="en-US"/>
              </w:rPr>
            </w:pPr>
            <w:r>
              <w:rPr>
                <w:sz w:val="22"/>
                <w:szCs w:val="22"/>
                <w:lang w:eastAsia="en-US"/>
              </w:rPr>
              <w:t>мин</w:t>
            </w:r>
          </w:p>
        </w:tc>
        <w:tc>
          <w:tcPr>
            <w:tcW w:w="1601" w:type="dxa"/>
            <w:tcBorders>
              <w:top w:val="nil"/>
              <w:left w:val="nil"/>
              <w:bottom w:val="single" w:sz="4" w:space="0" w:color="auto"/>
              <w:right w:val="single" w:sz="4" w:space="0" w:color="auto"/>
            </w:tcBorders>
            <w:noWrap/>
            <w:vAlign w:val="bottom"/>
            <w:hideMark/>
          </w:tcPr>
          <w:p w:rsidR="005727C2" w:rsidRDefault="005727C2" w:rsidP="00364535">
            <w:pPr>
              <w:spacing w:after="0" w:line="240" w:lineRule="auto"/>
              <w:jc w:val="center"/>
              <w:rPr>
                <w:b/>
                <w:bCs/>
                <w:lang w:eastAsia="en-US"/>
              </w:rPr>
            </w:pPr>
            <w:r>
              <w:rPr>
                <w:b/>
                <w:bCs/>
                <w:sz w:val="22"/>
                <w:szCs w:val="22"/>
                <w:lang w:eastAsia="en-US"/>
              </w:rPr>
              <w:t>403,34</w:t>
            </w:r>
          </w:p>
        </w:tc>
        <w:tc>
          <w:tcPr>
            <w:tcW w:w="1518" w:type="dxa"/>
            <w:tcBorders>
              <w:top w:val="nil"/>
              <w:left w:val="nil"/>
              <w:bottom w:val="single" w:sz="4" w:space="0" w:color="auto"/>
              <w:right w:val="single" w:sz="4" w:space="0" w:color="auto"/>
            </w:tcBorders>
            <w:noWrap/>
            <w:vAlign w:val="bottom"/>
            <w:hideMark/>
          </w:tcPr>
          <w:p w:rsidR="005727C2" w:rsidRDefault="005727C2" w:rsidP="00364535">
            <w:pPr>
              <w:spacing w:after="0" w:line="240" w:lineRule="auto"/>
              <w:jc w:val="center"/>
              <w:rPr>
                <w:lang w:eastAsia="en-US"/>
              </w:rPr>
            </w:pPr>
            <w:r>
              <w:rPr>
                <w:sz w:val="22"/>
                <w:szCs w:val="22"/>
                <w:lang w:eastAsia="en-US"/>
              </w:rPr>
              <w:t>100,0%</w:t>
            </w:r>
          </w:p>
        </w:tc>
        <w:tc>
          <w:tcPr>
            <w:tcW w:w="1701" w:type="dxa"/>
            <w:tcBorders>
              <w:top w:val="nil"/>
              <w:left w:val="nil"/>
              <w:bottom w:val="single" w:sz="4" w:space="0" w:color="auto"/>
              <w:right w:val="single" w:sz="4" w:space="0" w:color="auto"/>
            </w:tcBorders>
            <w:noWrap/>
            <w:vAlign w:val="bottom"/>
            <w:hideMark/>
          </w:tcPr>
          <w:p w:rsidR="005727C2" w:rsidRDefault="005727C2" w:rsidP="00364535">
            <w:pPr>
              <w:spacing w:after="0" w:line="240" w:lineRule="auto"/>
              <w:jc w:val="center"/>
              <w:rPr>
                <w:b/>
                <w:bCs/>
                <w:lang w:eastAsia="en-US"/>
              </w:rPr>
            </w:pPr>
            <w:r>
              <w:rPr>
                <w:b/>
                <w:bCs/>
                <w:sz w:val="22"/>
                <w:szCs w:val="22"/>
                <w:lang w:eastAsia="en-US"/>
              </w:rPr>
              <w:t>403,34</w:t>
            </w:r>
          </w:p>
        </w:tc>
        <w:tc>
          <w:tcPr>
            <w:tcW w:w="1417" w:type="dxa"/>
            <w:tcBorders>
              <w:top w:val="nil"/>
              <w:left w:val="nil"/>
              <w:bottom w:val="single" w:sz="4" w:space="0" w:color="auto"/>
              <w:right w:val="single" w:sz="4" w:space="0" w:color="auto"/>
            </w:tcBorders>
            <w:noWrap/>
            <w:vAlign w:val="bottom"/>
            <w:hideMark/>
          </w:tcPr>
          <w:p w:rsidR="005727C2" w:rsidRDefault="005727C2" w:rsidP="00364535">
            <w:pPr>
              <w:spacing w:after="0" w:line="240" w:lineRule="auto"/>
              <w:jc w:val="center"/>
              <w:rPr>
                <w:lang w:eastAsia="en-US"/>
              </w:rPr>
            </w:pPr>
            <w:r>
              <w:rPr>
                <w:sz w:val="22"/>
                <w:szCs w:val="22"/>
                <w:lang w:eastAsia="en-US"/>
              </w:rPr>
              <w:t>100,0%</w:t>
            </w:r>
          </w:p>
        </w:tc>
      </w:tr>
      <w:tr w:rsidR="005727C2" w:rsidTr="00D234B5">
        <w:trPr>
          <w:trHeight w:val="255"/>
        </w:trPr>
        <w:tc>
          <w:tcPr>
            <w:tcW w:w="3137" w:type="dxa"/>
            <w:tcBorders>
              <w:top w:val="nil"/>
              <w:left w:val="single" w:sz="4" w:space="0" w:color="auto"/>
              <w:bottom w:val="single" w:sz="4" w:space="0" w:color="auto"/>
              <w:right w:val="single" w:sz="4" w:space="0" w:color="auto"/>
            </w:tcBorders>
            <w:noWrap/>
            <w:vAlign w:val="bottom"/>
            <w:hideMark/>
          </w:tcPr>
          <w:p w:rsidR="005727C2" w:rsidRDefault="005727C2" w:rsidP="00364535">
            <w:pPr>
              <w:spacing w:after="0" w:line="240" w:lineRule="auto"/>
              <w:rPr>
                <w:lang w:eastAsia="en-US"/>
              </w:rPr>
            </w:pPr>
            <w:r>
              <w:rPr>
                <w:sz w:val="22"/>
                <w:szCs w:val="22"/>
                <w:lang w:eastAsia="en-US"/>
              </w:rPr>
              <w:t>макс</w:t>
            </w:r>
          </w:p>
        </w:tc>
        <w:tc>
          <w:tcPr>
            <w:tcW w:w="1601" w:type="dxa"/>
            <w:tcBorders>
              <w:top w:val="nil"/>
              <w:left w:val="nil"/>
              <w:bottom w:val="single" w:sz="4" w:space="0" w:color="auto"/>
              <w:right w:val="single" w:sz="4" w:space="0" w:color="auto"/>
            </w:tcBorders>
            <w:noWrap/>
            <w:vAlign w:val="bottom"/>
            <w:hideMark/>
          </w:tcPr>
          <w:p w:rsidR="005727C2" w:rsidRDefault="005727C2" w:rsidP="00364535">
            <w:pPr>
              <w:spacing w:after="0" w:line="240" w:lineRule="auto"/>
              <w:jc w:val="center"/>
              <w:rPr>
                <w:b/>
                <w:bCs/>
                <w:lang w:eastAsia="en-US"/>
              </w:rPr>
            </w:pPr>
            <w:r>
              <w:rPr>
                <w:b/>
                <w:bCs/>
                <w:sz w:val="22"/>
                <w:szCs w:val="22"/>
                <w:lang w:eastAsia="en-US"/>
              </w:rPr>
              <w:t>484,34</w:t>
            </w:r>
          </w:p>
        </w:tc>
        <w:tc>
          <w:tcPr>
            <w:tcW w:w="1518" w:type="dxa"/>
            <w:tcBorders>
              <w:top w:val="nil"/>
              <w:left w:val="nil"/>
              <w:bottom w:val="single" w:sz="4" w:space="0" w:color="auto"/>
              <w:right w:val="single" w:sz="4" w:space="0" w:color="auto"/>
            </w:tcBorders>
            <w:noWrap/>
            <w:vAlign w:val="bottom"/>
            <w:hideMark/>
          </w:tcPr>
          <w:p w:rsidR="005727C2" w:rsidRDefault="005727C2" w:rsidP="00364535">
            <w:pPr>
              <w:spacing w:after="0" w:line="240" w:lineRule="auto"/>
              <w:jc w:val="center"/>
              <w:rPr>
                <w:lang w:eastAsia="en-US"/>
              </w:rPr>
            </w:pPr>
            <w:r>
              <w:rPr>
                <w:sz w:val="22"/>
                <w:szCs w:val="22"/>
                <w:lang w:eastAsia="en-US"/>
              </w:rPr>
              <w:t>100,0%</w:t>
            </w:r>
          </w:p>
        </w:tc>
        <w:tc>
          <w:tcPr>
            <w:tcW w:w="1701" w:type="dxa"/>
            <w:tcBorders>
              <w:top w:val="nil"/>
              <w:left w:val="nil"/>
              <w:bottom w:val="single" w:sz="4" w:space="0" w:color="auto"/>
              <w:right w:val="single" w:sz="4" w:space="0" w:color="auto"/>
            </w:tcBorders>
            <w:noWrap/>
            <w:vAlign w:val="bottom"/>
            <w:hideMark/>
          </w:tcPr>
          <w:p w:rsidR="005727C2" w:rsidRDefault="005727C2" w:rsidP="00364535">
            <w:pPr>
              <w:spacing w:after="0" w:line="240" w:lineRule="auto"/>
              <w:jc w:val="center"/>
              <w:rPr>
                <w:b/>
                <w:bCs/>
                <w:lang w:eastAsia="en-US"/>
              </w:rPr>
            </w:pPr>
            <w:r>
              <w:rPr>
                <w:b/>
                <w:bCs/>
                <w:sz w:val="22"/>
                <w:szCs w:val="22"/>
                <w:lang w:eastAsia="en-US"/>
              </w:rPr>
              <w:t>506,47</w:t>
            </w:r>
          </w:p>
        </w:tc>
        <w:tc>
          <w:tcPr>
            <w:tcW w:w="1417" w:type="dxa"/>
            <w:tcBorders>
              <w:top w:val="nil"/>
              <w:left w:val="nil"/>
              <w:bottom w:val="single" w:sz="4" w:space="0" w:color="auto"/>
              <w:right w:val="single" w:sz="4" w:space="0" w:color="auto"/>
            </w:tcBorders>
            <w:noWrap/>
            <w:vAlign w:val="bottom"/>
            <w:hideMark/>
          </w:tcPr>
          <w:p w:rsidR="005727C2" w:rsidRDefault="005727C2" w:rsidP="00364535">
            <w:pPr>
              <w:spacing w:after="0" w:line="240" w:lineRule="auto"/>
              <w:jc w:val="center"/>
              <w:rPr>
                <w:lang w:eastAsia="en-US"/>
              </w:rPr>
            </w:pPr>
            <w:r>
              <w:rPr>
                <w:sz w:val="22"/>
                <w:szCs w:val="22"/>
                <w:lang w:eastAsia="en-US"/>
              </w:rPr>
              <w:t>104,6%</w:t>
            </w:r>
          </w:p>
        </w:tc>
      </w:tr>
      <w:tr w:rsidR="005727C2" w:rsidTr="00D234B5">
        <w:trPr>
          <w:trHeight w:val="278"/>
        </w:trPr>
        <w:tc>
          <w:tcPr>
            <w:tcW w:w="3137" w:type="dxa"/>
            <w:tcBorders>
              <w:top w:val="nil"/>
              <w:left w:val="single" w:sz="4" w:space="0" w:color="auto"/>
              <w:bottom w:val="single" w:sz="4" w:space="0" w:color="auto"/>
              <w:right w:val="single" w:sz="4" w:space="0" w:color="auto"/>
            </w:tcBorders>
            <w:vAlign w:val="bottom"/>
            <w:hideMark/>
          </w:tcPr>
          <w:p w:rsidR="005727C2" w:rsidRDefault="005727C2" w:rsidP="00364535">
            <w:pPr>
              <w:spacing w:after="0" w:line="240" w:lineRule="auto"/>
              <w:rPr>
                <w:b/>
                <w:bCs/>
                <w:lang w:eastAsia="en-US"/>
              </w:rPr>
            </w:pPr>
            <w:r>
              <w:rPr>
                <w:b/>
                <w:bCs/>
                <w:sz w:val="22"/>
                <w:szCs w:val="22"/>
                <w:lang w:eastAsia="en-US"/>
              </w:rPr>
              <w:t xml:space="preserve">Принято ДТ по теплоносителю вода </w:t>
            </w:r>
          </w:p>
        </w:tc>
        <w:tc>
          <w:tcPr>
            <w:tcW w:w="1601" w:type="dxa"/>
            <w:tcBorders>
              <w:top w:val="nil"/>
              <w:left w:val="nil"/>
              <w:bottom w:val="single" w:sz="4" w:space="0" w:color="auto"/>
              <w:right w:val="single" w:sz="4" w:space="0" w:color="auto"/>
            </w:tcBorders>
            <w:noWrap/>
            <w:vAlign w:val="bottom"/>
            <w:hideMark/>
          </w:tcPr>
          <w:p w:rsidR="005727C2" w:rsidRDefault="005727C2" w:rsidP="00364535">
            <w:pPr>
              <w:spacing w:after="0" w:line="240" w:lineRule="auto"/>
              <w:jc w:val="center"/>
              <w:rPr>
                <w:b/>
                <w:lang w:eastAsia="en-US"/>
              </w:rPr>
            </w:pPr>
            <w:r>
              <w:rPr>
                <w:b/>
                <w:sz w:val="22"/>
                <w:szCs w:val="22"/>
                <w:lang w:eastAsia="en-US"/>
              </w:rPr>
              <w:t>484,33</w:t>
            </w:r>
          </w:p>
        </w:tc>
        <w:tc>
          <w:tcPr>
            <w:tcW w:w="1518" w:type="dxa"/>
            <w:tcBorders>
              <w:top w:val="nil"/>
              <w:left w:val="nil"/>
              <w:bottom w:val="single" w:sz="4" w:space="0" w:color="auto"/>
              <w:right w:val="single" w:sz="4" w:space="0" w:color="auto"/>
            </w:tcBorders>
            <w:noWrap/>
            <w:vAlign w:val="bottom"/>
            <w:hideMark/>
          </w:tcPr>
          <w:p w:rsidR="005727C2" w:rsidRDefault="005727C2" w:rsidP="00364535">
            <w:pPr>
              <w:spacing w:after="0" w:line="240" w:lineRule="auto"/>
              <w:jc w:val="center"/>
              <w:rPr>
                <w:b/>
                <w:lang w:eastAsia="en-US"/>
              </w:rPr>
            </w:pPr>
            <w:r>
              <w:rPr>
                <w:b/>
                <w:sz w:val="22"/>
                <w:szCs w:val="22"/>
                <w:lang w:eastAsia="en-US"/>
              </w:rPr>
              <w:t>100,0%</w:t>
            </w:r>
          </w:p>
        </w:tc>
        <w:tc>
          <w:tcPr>
            <w:tcW w:w="1701" w:type="dxa"/>
            <w:tcBorders>
              <w:top w:val="nil"/>
              <w:left w:val="nil"/>
              <w:bottom w:val="single" w:sz="4" w:space="0" w:color="auto"/>
              <w:right w:val="single" w:sz="4" w:space="0" w:color="auto"/>
            </w:tcBorders>
            <w:noWrap/>
            <w:vAlign w:val="bottom"/>
            <w:hideMark/>
          </w:tcPr>
          <w:p w:rsidR="005727C2" w:rsidRDefault="005727C2" w:rsidP="00364535">
            <w:pPr>
              <w:spacing w:after="0" w:line="240" w:lineRule="auto"/>
              <w:jc w:val="center"/>
              <w:rPr>
                <w:b/>
                <w:lang w:eastAsia="en-US"/>
              </w:rPr>
            </w:pPr>
            <w:r>
              <w:rPr>
                <w:b/>
                <w:sz w:val="22"/>
                <w:szCs w:val="22"/>
                <w:lang w:eastAsia="en-US"/>
              </w:rPr>
              <w:t>506,46</w:t>
            </w:r>
          </w:p>
        </w:tc>
        <w:tc>
          <w:tcPr>
            <w:tcW w:w="1417" w:type="dxa"/>
            <w:tcBorders>
              <w:top w:val="nil"/>
              <w:left w:val="nil"/>
              <w:bottom w:val="single" w:sz="4" w:space="0" w:color="auto"/>
              <w:right w:val="single" w:sz="4" w:space="0" w:color="auto"/>
            </w:tcBorders>
            <w:noWrap/>
            <w:vAlign w:val="bottom"/>
            <w:hideMark/>
          </w:tcPr>
          <w:p w:rsidR="005727C2" w:rsidRDefault="005727C2" w:rsidP="00364535">
            <w:pPr>
              <w:spacing w:after="0" w:line="240" w:lineRule="auto"/>
              <w:jc w:val="center"/>
              <w:rPr>
                <w:b/>
                <w:lang w:eastAsia="en-US"/>
              </w:rPr>
            </w:pPr>
            <w:r>
              <w:rPr>
                <w:b/>
                <w:sz w:val="22"/>
                <w:szCs w:val="22"/>
                <w:lang w:eastAsia="en-US"/>
              </w:rPr>
              <w:t>104,6%</w:t>
            </w:r>
          </w:p>
        </w:tc>
      </w:tr>
    </w:tbl>
    <w:p w:rsidR="005727C2" w:rsidRDefault="005727C2" w:rsidP="005727C2">
      <w:pPr>
        <w:pStyle w:val="ac"/>
        <w:ind w:firstLine="709"/>
        <w:rPr>
          <w:b/>
          <w:sz w:val="16"/>
          <w:szCs w:val="16"/>
          <w:highlight w:val="yellow"/>
        </w:rPr>
      </w:pPr>
    </w:p>
    <w:p w:rsidR="005727C2" w:rsidRDefault="005727C2" w:rsidP="005727C2">
      <w:pPr>
        <w:pStyle w:val="afa"/>
        <w:ind w:firstLine="709"/>
        <w:jc w:val="both"/>
        <w:rPr>
          <w:rFonts w:ascii="Times New Roman" w:hAnsi="Times New Roman" w:cs="Times New Roman"/>
          <w:sz w:val="28"/>
          <w:szCs w:val="28"/>
        </w:rPr>
      </w:pPr>
      <w:r>
        <w:rPr>
          <w:rFonts w:ascii="Times New Roman" w:hAnsi="Times New Roman" w:cs="Times New Roman"/>
          <w:sz w:val="28"/>
          <w:szCs w:val="28"/>
        </w:rPr>
        <w:t>Размер среднегодового тарифа на тепловую энергию (по теплоносителю вода), вырабатываемую электростанциями АО «СИБЭКО» в режиме комбинированной выработки, на 2020 год составит 494,17 руб./Гкал, с увеличением относительно планового уровня 2019 года на 4,4%, что обусловлено увеличением НВВ на 5,0% и увеличением объемов отпуска тепловой энергии с коллекторов ТЭ</w:t>
      </w:r>
      <w:r w:rsidR="00870081">
        <w:rPr>
          <w:rFonts w:ascii="Times New Roman" w:hAnsi="Times New Roman" w:cs="Times New Roman"/>
          <w:sz w:val="28"/>
          <w:szCs w:val="28"/>
        </w:rPr>
        <w:t>С</w:t>
      </w:r>
      <w:r>
        <w:rPr>
          <w:rFonts w:ascii="Times New Roman" w:hAnsi="Times New Roman" w:cs="Times New Roman"/>
          <w:sz w:val="28"/>
          <w:szCs w:val="28"/>
        </w:rPr>
        <w:t xml:space="preserve"> на 0,5% относительно планового уровня 2019 года.</w:t>
      </w:r>
    </w:p>
    <w:p w:rsidR="005727C2" w:rsidRDefault="005727C2" w:rsidP="005727C2">
      <w:pPr>
        <w:pStyle w:val="afa"/>
        <w:ind w:firstLine="709"/>
        <w:jc w:val="both"/>
        <w:rPr>
          <w:rFonts w:ascii="Times New Roman" w:hAnsi="Times New Roman" w:cs="Times New Roman"/>
          <w:sz w:val="28"/>
          <w:szCs w:val="28"/>
        </w:rPr>
      </w:pPr>
      <w:r>
        <w:rPr>
          <w:rFonts w:ascii="Times New Roman" w:hAnsi="Times New Roman" w:cs="Times New Roman"/>
          <w:bCs/>
          <w:sz w:val="28"/>
          <w:szCs w:val="28"/>
        </w:rPr>
        <w:t xml:space="preserve">НВВ на производство тепловой энергии АО «СИБЭКО» </w:t>
      </w:r>
      <w:r>
        <w:rPr>
          <w:rFonts w:ascii="Times New Roman" w:hAnsi="Times New Roman" w:cs="Times New Roman"/>
          <w:sz w:val="28"/>
          <w:szCs w:val="28"/>
        </w:rPr>
        <w:t>по тепловым электростанциям на 2020 год составила 6 373 701,9 тыс.руб. (105% к плановому уровню 2019 года).</w:t>
      </w:r>
    </w:p>
    <w:p w:rsidR="005727C2" w:rsidRDefault="005727C2" w:rsidP="005727C2">
      <w:pPr>
        <w:pStyle w:val="afa"/>
        <w:ind w:firstLine="709"/>
        <w:jc w:val="both"/>
        <w:rPr>
          <w:rFonts w:ascii="Times New Roman" w:hAnsi="Times New Roman" w:cs="Times New Roman"/>
          <w:sz w:val="28"/>
          <w:szCs w:val="28"/>
        </w:rPr>
      </w:pPr>
      <w:r>
        <w:rPr>
          <w:rFonts w:ascii="Times New Roman" w:hAnsi="Times New Roman" w:cs="Times New Roman"/>
          <w:sz w:val="28"/>
          <w:szCs w:val="28"/>
        </w:rPr>
        <w:t>Увеличение расходов на производство тепловой энергии по ТЭС АО «СИБЭКО» на 2020 год в сравнении с планом 2019 года на 301 529,0 тыс.руб. обусловлен, главным образом:</w:t>
      </w:r>
    </w:p>
    <w:p w:rsidR="005727C2" w:rsidRDefault="005727C2" w:rsidP="00763A8B">
      <w:pPr>
        <w:pStyle w:val="afa"/>
        <w:numPr>
          <w:ilvl w:val="0"/>
          <w:numId w:val="4"/>
        </w:numPr>
        <w:ind w:left="0" w:firstLine="851"/>
        <w:jc w:val="both"/>
        <w:rPr>
          <w:rFonts w:ascii="Times New Roman" w:hAnsi="Times New Roman" w:cs="Times New Roman"/>
          <w:sz w:val="28"/>
          <w:szCs w:val="28"/>
        </w:rPr>
      </w:pPr>
      <w:r>
        <w:rPr>
          <w:rFonts w:ascii="Times New Roman" w:hAnsi="Times New Roman" w:cs="Times New Roman"/>
          <w:sz w:val="28"/>
          <w:szCs w:val="28"/>
        </w:rPr>
        <w:t xml:space="preserve">увеличением размера операционных расходов на 28 238,1 тыс.руб. Расчет размера операционных расходов осуществлен </w:t>
      </w:r>
      <w:r w:rsidR="00870081">
        <w:rPr>
          <w:rFonts w:ascii="Times New Roman" w:hAnsi="Times New Roman" w:cs="Times New Roman"/>
          <w:sz w:val="28"/>
          <w:szCs w:val="28"/>
        </w:rPr>
        <w:t>Д</w:t>
      </w:r>
      <w:r>
        <w:rPr>
          <w:rFonts w:ascii="Times New Roman" w:hAnsi="Times New Roman" w:cs="Times New Roman"/>
          <w:sz w:val="28"/>
          <w:szCs w:val="28"/>
        </w:rPr>
        <w:t>епартаментом в соответствии с п.59 Основ ценообразования № 1075, путем индексации базового уровня операционных расходов, с применением индекса потребительских цен, индекса эффективности операционных расходов и индекса изменения количества активов;</w:t>
      </w:r>
    </w:p>
    <w:p w:rsidR="005727C2" w:rsidRDefault="005727C2" w:rsidP="00763A8B">
      <w:pPr>
        <w:pStyle w:val="afa"/>
        <w:numPr>
          <w:ilvl w:val="0"/>
          <w:numId w:val="4"/>
        </w:numPr>
        <w:ind w:left="0" w:firstLine="851"/>
        <w:jc w:val="both"/>
        <w:rPr>
          <w:rFonts w:ascii="Times New Roman" w:hAnsi="Times New Roman" w:cs="Times New Roman"/>
          <w:b/>
          <w:sz w:val="28"/>
          <w:szCs w:val="28"/>
        </w:rPr>
      </w:pPr>
      <w:r>
        <w:rPr>
          <w:rFonts w:ascii="Times New Roman" w:hAnsi="Times New Roman" w:cs="Times New Roman"/>
          <w:sz w:val="28"/>
          <w:szCs w:val="28"/>
        </w:rPr>
        <w:t>снижением расходов на амортизацию на 122 669,7 тыс.руб. в связи с исключением данных расходов в полном объеме ввиду отсутствия обоснований по максимальными сроками полезного использования</w:t>
      </w:r>
      <w:r w:rsidR="00FF5CE0">
        <w:rPr>
          <w:rFonts w:ascii="Times New Roman" w:hAnsi="Times New Roman" w:cs="Times New Roman"/>
          <w:sz w:val="28"/>
          <w:szCs w:val="28"/>
        </w:rPr>
        <w:t xml:space="preserve"> объектов основных средств</w:t>
      </w:r>
      <w:r>
        <w:rPr>
          <w:rFonts w:ascii="Times New Roman" w:hAnsi="Times New Roman" w:cs="Times New Roman"/>
          <w:sz w:val="28"/>
          <w:szCs w:val="28"/>
        </w:rPr>
        <w:t>, установленным Классификацией основных средств, включаемых в амортизационные группы, утвержденной постановлением Правительства РФ от 01.01.2002 №1 «О классификации основных средств, включаемых в амортизационные группы»;</w:t>
      </w:r>
    </w:p>
    <w:p w:rsidR="005727C2" w:rsidRDefault="005727C2" w:rsidP="00763A8B">
      <w:pPr>
        <w:pStyle w:val="afa"/>
        <w:numPr>
          <w:ilvl w:val="0"/>
          <w:numId w:val="4"/>
        </w:numPr>
        <w:ind w:left="0" w:firstLine="851"/>
        <w:jc w:val="both"/>
        <w:rPr>
          <w:rFonts w:ascii="Times New Roman" w:hAnsi="Times New Roman" w:cs="Times New Roman"/>
          <w:sz w:val="28"/>
          <w:szCs w:val="28"/>
        </w:rPr>
      </w:pPr>
      <w:r>
        <w:rPr>
          <w:rFonts w:ascii="Times New Roman" w:hAnsi="Times New Roman" w:cs="Times New Roman"/>
          <w:sz w:val="28"/>
          <w:szCs w:val="28"/>
        </w:rPr>
        <w:t>увеличением размера отчислений на социальные нужды на 8 957,2 тыс.руб., что обусловлено корректировкой ФОТ в составе операционных расходов;</w:t>
      </w:r>
    </w:p>
    <w:p w:rsidR="005727C2" w:rsidRDefault="005727C2" w:rsidP="00763A8B">
      <w:pPr>
        <w:pStyle w:val="afa"/>
        <w:numPr>
          <w:ilvl w:val="0"/>
          <w:numId w:val="4"/>
        </w:numPr>
        <w:ind w:left="0" w:firstLine="851"/>
        <w:jc w:val="both"/>
        <w:rPr>
          <w:rFonts w:ascii="Times New Roman" w:hAnsi="Times New Roman" w:cs="Times New Roman"/>
          <w:b/>
          <w:sz w:val="28"/>
          <w:szCs w:val="28"/>
        </w:rPr>
      </w:pPr>
      <w:r>
        <w:rPr>
          <w:rFonts w:ascii="Times New Roman" w:hAnsi="Times New Roman" w:cs="Times New Roman"/>
          <w:sz w:val="28"/>
          <w:szCs w:val="28"/>
        </w:rPr>
        <w:t>снижением расходов по уплате процентов по заемным средствам, привлекаемым АО «СИБЭКО» в целях покрытия кассовых разрывов на 17 748,6 тыс.руб. в связи с исключением расходов в полном объеме из за отсутствия экономического обоснования;</w:t>
      </w:r>
    </w:p>
    <w:p w:rsidR="005727C2" w:rsidRDefault="005727C2" w:rsidP="00763A8B">
      <w:pPr>
        <w:pStyle w:val="afa"/>
        <w:numPr>
          <w:ilvl w:val="0"/>
          <w:numId w:val="4"/>
        </w:numPr>
        <w:ind w:left="0" w:firstLine="851"/>
        <w:jc w:val="both"/>
        <w:rPr>
          <w:rFonts w:ascii="Times New Roman" w:hAnsi="Times New Roman" w:cs="Times New Roman"/>
          <w:sz w:val="28"/>
          <w:szCs w:val="28"/>
        </w:rPr>
      </w:pPr>
      <w:r>
        <w:rPr>
          <w:rFonts w:ascii="Times New Roman" w:hAnsi="Times New Roman" w:cs="Times New Roman"/>
          <w:sz w:val="28"/>
          <w:szCs w:val="28"/>
        </w:rPr>
        <w:t>снижением расходов на аренду земли и прочую аренду на</w:t>
      </w:r>
      <w:r>
        <w:rPr>
          <w:rFonts w:ascii="Times New Roman" w:hAnsi="Times New Roman" w:cs="Times New Roman"/>
          <w:sz w:val="28"/>
          <w:szCs w:val="28"/>
        </w:rPr>
        <w:br/>
        <w:t>24,3 тыс.руб.</w:t>
      </w:r>
      <w:r>
        <w:rPr>
          <w:rFonts w:ascii="Times New Roman" w:hAnsi="Times New Roman" w:cs="Times New Roman"/>
          <w:bCs/>
          <w:sz w:val="28"/>
          <w:szCs w:val="28"/>
        </w:rPr>
        <w:t xml:space="preserve"> Расходы </w:t>
      </w:r>
      <w:r w:rsidR="004274BA">
        <w:rPr>
          <w:rFonts w:ascii="Times New Roman" w:hAnsi="Times New Roman" w:cs="Times New Roman"/>
          <w:bCs/>
          <w:sz w:val="28"/>
          <w:szCs w:val="28"/>
        </w:rPr>
        <w:t xml:space="preserve">на аренду </w:t>
      </w:r>
      <w:r>
        <w:rPr>
          <w:rFonts w:ascii="Times New Roman" w:hAnsi="Times New Roman" w:cs="Times New Roman"/>
          <w:bCs/>
          <w:sz w:val="28"/>
          <w:szCs w:val="28"/>
        </w:rPr>
        <w:t>определены департаментом</w:t>
      </w:r>
      <w:r>
        <w:rPr>
          <w:rFonts w:ascii="Times New Roman" w:hAnsi="Times New Roman" w:cs="Times New Roman"/>
          <w:sz w:val="28"/>
          <w:szCs w:val="28"/>
          <w:lang w:eastAsia="en-US"/>
        </w:rPr>
        <w:t xml:space="preserve"> исходя из </w:t>
      </w:r>
      <w:r>
        <w:rPr>
          <w:rFonts w:ascii="Times New Roman" w:hAnsi="Times New Roman" w:cs="Times New Roman"/>
          <w:sz w:val="28"/>
          <w:szCs w:val="28"/>
          <w:lang w:eastAsia="en-US"/>
        </w:rPr>
        <w:lastRenderedPageBreak/>
        <w:t>представленных организацией обосновании и принципа возмещения арендодателю амортизации, налогов на имущество и землю и других установленных законодательством Российской Федерации обязательных платежей</w:t>
      </w:r>
      <w:r>
        <w:rPr>
          <w:rFonts w:ascii="Times New Roman" w:hAnsi="Times New Roman" w:cs="Times New Roman"/>
          <w:iCs/>
          <w:sz w:val="28"/>
          <w:szCs w:val="28"/>
        </w:rPr>
        <w:t xml:space="preserve"> без учета индексации;</w:t>
      </w:r>
    </w:p>
    <w:p w:rsidR="005727C2" w:rsidRDefault="005727C2" w:rsidP="00763A8B">
      <w:pPr>
        <w:pStyle w:val="afa"/>
        <w:numPr>
          <w:ilvl w:val="0"/>
          <w:numId w:val="4"/>
        </w:numPr>
        <w:ind w:left="0" w:firstLine="851"/>
        <w:jc w:val="both"/>
        <w:rPr>
          <w:rFonts w:ascii="Times New Roman" w:hAnsi="Times New Roman" w:cs="Times New Roman"/>
          <w:sz w:val="28"/>
          <w:szCs w:val="28"/>
        </w:rPr>
      </w:pPr>
      <w:r>
        <w:rPr>
          <w:rFonts w:ascii="Times New Roman" w:hAnsi="Times New Roman" w:cs="Times New Roman"/>
          <w:sz w:val="28"/>
          <w:szCs w:val="28"/>
        </w:rPr>
        <w:t xml:space="preserve">снижением расходов по налогу на имущество, земельному, транспортному налогам, плате за выбросы и сбросы в целом на 25 473,9 тыс.руб., что </w:t>
      </w:r>
      <w:r>
        <w:rPr>
          <w:rFonts w:ascii="Times New Roman" w:hAnsi="Times New Roman" w:cs="Times New Roman"/>
          <w:bCs/>
          <w:sz w:val="28"/>
          <w:szCs w:val="28"/>
        </w:rPr>
        <w:t>обусловлено</w:t>
      </w:r>
      <w:r>
        <w:rPr>
          <w:rFonts w:ascii="Times New Roman" w:hAnsi="Times New Roman" w:cs="Times New Roman"/>
          <w:b/>
          <w:bCs/>
          <w:sz w:val="28"/>
          <w:szCs w:val="28"/>
        </w:rPr>
        <w:t xml:space="preserve"> </w:t>
      </w:r>
      <w:r>
        <w:rPr>
          <w:rFonts w:ascii="Times New Roman" w:hAnsi="Times New Roman" w:cs="Times New Roman"/>
          <w:sz w:val="28"/>
          <w:szCs w:val="28"/>
        </w:rPr>
        <w:t xml:space="preserve">учетом расходов в составе НВВ исходя из </w:t>
      </w:r>
      <w:r w:rsidR="004274BA">
        <w:rPr>
          <w:rFonts w:ascii="Times New Roman" w:hAnsi="Times New Roman" w:cs="Times New Roman"/>
          <w:sz w:val="28"/>
          <w:szCs w:val="28"/>
        </w:rPr>
        <w:t xml:space="preserve">величины </w:t>
      </w:r>
      <w:r>
        <w:rPr>
          <w:rFonts w:ascii="Times New Roman" w:hAnsi="Times New Roman" w:cs="Times New Roman"/>
          <w:sz w:val="28"/>
          <w:szCs w:val="28"/>
        </w:rPr>
        <w:t xml:space="preserve">фактических расходов за 2018 </w:t>
      </w:r>
      <w:r w:rsidR="004274BA">
        <w:rPr>
          <w:rFonts w:ascii="Times New Roman" w:hAnsi="Times New Roman" w:cs="Times New Roman"/>
          <w:sz w:val="28"/>
          <w:szCs w:val="28"/>
        </w:rPr>
        <w:t xml:space="preserve">год </w:t>
      </w:r>
      <w:r>
        <w:rPr>
          <w:rFonts w:ascii="Times New Roman" w:hAnsi="Times New Roman" w:cs="Times New Roman"/>
          <w:sz w:val="28"/>
          <w:szCs w:val="28"/>
        </w:rPr>
        <w:t>по представленным организацией декларациям;</w:t>
      </w:r>
    </w:p>
    <w:p w:rsidR="005727C2" w:rsidRDefault="005727C2" w:rsidP="00763A8B">
      <w:pPr>
        <w:pStyle w:val="afa"/>
        <w:numPr>
          <w:ilvl w:val="0"/>
          <w:numId w:val="4"/>
        </w:numPr>
        <w:ind w:left="0" w:firstLine="851"/>
        <w:jc w:val="both"/>
        <w:rPr>
          <w:rFonts w:ascii="Times New Roman" w:hAnsi="Times New Roman" w:cs="Times New Roman"/>
          <w:sz w:val="28"/>
          <w:szCs w:val="28"/>
        </w:rPr>
      </w:pPr>
      <w:r>
        <w:rPr>
          <w:rFonts w:ascii="Times New Roman" w:hAnsi="Times New Roman" w:cs="Times New Roman"/>
          <w:sz w:val="28"/>
          <w:szCs w:val="28"/>
        </w:rPr>
        <w:t xml:space="preserve">увеличением расходов по водному налогу на 7 313,8 тыс.руб., что </w:t>
      </w:r>
      <w:r>
        <w:rPr>
          <w:rFonts w:ascii="Times New Roman" w:hAnsi="Times New Roman" w:cs="Times New Roman"/>
          <w:bCs/>
          <w:sz w:val="28"/>
          <w:szCs w:val="28"/>
        </w:rPr>
        <w:t>обусловлено</w:t>
      </w:r>
      <w:r>
        <w:rPr>
          <w:rFonts w:ascii="Times New Roman" w:hAnsi="Times New Roman" w:cs="Times New Roman"/>
          <w:b/>
          <w:bCs/>
          <w:sz w:val="28"/>
          <w:szCs w:val="28"/>
        </w:rPr>
        <w:t xml:space="preserve"> </w:t>
      </w:r>
      <w:r>
        <w:rPr>
          <w:rFonts w:ascii="Times New Roman" w:hAnsi="Times New Roman" w:cs="Times New Roman"/>
          <w:sz w:val="28"/>
          <w:szCs w:val="28"/>
        </w:rPr>
        <w:t>ростом налоговых ставок;</w:t>
      </w:r>
    </w:p>
    <w:p w:rsidR="005727C2" w:rsidRDefault="005727C2" w:rsidP="00763A8B">
      <w:pPr>
        <w:pStyle w:val="afa"/>
        <w:numPr>
          <w:ilvl w:val="0"/>
          <w:numId w:val="4"/>
        </w:numPr>
        <w:ind w:left="0" w:firstLine="851"/>
        <w:jc w:val="both"/>
        <w:rPr>
          <w:rFonts w:ascii="Times New Roman" w:hAnsi="Times New Roman" w:cs="Times New Roman"/>
          <w:sz w:val="28"/>
          <w:szCs w:val="28"/>
        </w:rPr>
      </w:pPr>
      <w:r>
        <w:rPr>
          <w:rFonts w:ascii="Times New Roman" w:hAnsi="Times New Roman" w:cs="Times New Roman"/>
          <w:sz w:val="28"/>
          <w:szCs w:val="28"/>
        </w:rPr>
        <w:t>увеличением расходов на покупную электрическую энергию и холодное водоснабжение на 8 397,1 тыс.руб., ввиду учета объемов по факту 2018 года и увеличением стоимости ресурсов;</w:t>
      </w:r>
    </w:p>
    <w:p w:rsidR="005727C2" w:rsidRDefault="005727C2" w:rsidP="00763A8B">
      <w:pPr>
        <w:pStyle w:val="afa"/>
        <w:numPr>
          <w:ilvl w:val="0"/>
          <w:numId w:val="4"/>
        </w:numPr>
        <w:ind w:left="0" w:firstLine="851"/>
        <w:jc w:val="both"/>
        <w:rPr>
          <w:rFonts w:ascii="Times New Roman" w:hAnsi="Times New Roman" w:cs="Times New Roman"/>
          <w:sz w:val="28"/>
          <w:szCs w:val="28"/>
        </w:rPr>
      </w:pPr>
      <w:r>
        <w:rPr>
          <w:rFonts w:ascii="Times New Roman" w:hAnsi="Times New Roman" w:cs="Times New Roman"/>
          <w:sz w:val="28"/>
          <w:szCs w:val="28"/>
        </w:rPr>
        <w:t>увеличением расходов на топливо на 223 332,1 тыс.руб., что связано с увеличением в 2020 году ростом цен на уголь, мазут;</w:t>
      </w:r>
    </w:p>
    <w:p w:rsidR="005727C2" w:rsidRDefault="005727C2" w:rsidP="00763A8B">
      <w:pPr>
        <w:pStyle w:val="afa"/>
        <w:numPr>
          <w:ilvl w:val="0"/>
          <w:numId w:val="4"/>
        </w:numPr>
        <w:ind w:left="0" w:firstLine="851"/>
        <w:jc w:val="both"/>
        <w:rPr>
          <w:rFonts w:ascii="Times New Roman" w:hAnsi="Times New Roman" w:cs="Times New Roman"/>
          <w:sz w:val="28"/>
          <w:szCs w:val="28"/>
        </w:rPr>
      </w:pPr>
      <w:r>
        <w:rPr>
          <w:rFonts w:ascii="Times New Roman" w:hAnsi="Times New Roman" w:cs="Times New Roman"/>
          <w:sz w:val="28"/>
          <w:szCs w:val="28"/>
        </w:rPr>
        <w:t xml:space="preserve">включением расходов по величине расчетной предпринимательской прибыли в соответствии с требованиями </w:t>
      </w:r>
      <w:r>
        <w:rPr>
          <w:rFonts w:ascii="Times New Roman" w:hAnsi="Times New Roman" w:cs="Times New Roman"/>
          <w:bCs/>
          <w:iCs/>
          <w:spacing w:val="6"/>
          <w:sz w:val="28"/>
          <w:szCs w:val="28"/>
        </w:rPr>
        <w:t>п. 48 Основ ценообразования № 1075, п.п. 23, 49 Методических указаний № 760-э в размере 103 548,1 тыс.руб., ранее не учитываемой департаментом.</w:t>
      </w:r>
    </w:p>
    <w:p w:rsidR="005727C2" w:rsidRDefault="005727C2" w:rsidP="005727C2">
      <w:pPr>
        <w:pStyle w:val="afa"/>
        <w:ind w:firstLine="709"/>
        <w:jc w:val="both"/>
        <w:rPr>
          <w:rFonts w:ascii="Times New Roman" w:hAnsi="Times New Roman" w:cs="Times New Roman"/>
          <w:sz w:val="28"/>
          <w:szCs w:val="28"/>
        </w:rPr>
      </w:pPr>
      <w:r>
        <w:rPr>
          <w:rFonts w:ascii="Times New Roman" w:hAnsi="Times New Roman" w:cs="Times New Roman"/>
          <w:sz w:val="28"/>
          <w:szCs w:val="28"/>
        </w:rPr>
        <w:t xml:space="preserve">Увеличение расходов в 2020 году так же обусловлено осуществленной </w:t>
      </w:r>
      <w:r w:rsidR="000376DE">
        <w:rPr>
          <w:rFonts w:ascii="Times New Roman" w:hAnsi="Times New Roman" w:cs="Times New Roman"/>
          <w:sz w:val="28"/>
          <w:szCs w:val="28"/>
        </w:rPr>
        <w:t>Д</w:t>
      </w:r>
      <w:r>
        <w:rPr>
          <w:rFonts w:ascii="Times New Roman" w:hAnsi="Times New Roman" w:cs="Times New Roman"/>
          <w:sz w:val="28"/>
          <w:szCs w:val="28"/>
        </w:rPr>
        <w:t>епартаментом корректировкой НВВ с целью учета результатов деятельности АО «СИБЭКО» за 2016 - 2017 годы.</w:t>
      </w:r>
    </w:p>
    <w:p w:rsidR="005727C2" w:rsidRDefault="005727C2" w:rsidP="005727C2">
      <w:pPr>
        <w:pStyle w:val="afa"/>
        <w:ind w:firstLine="709"/>
        <w:jc w:val="both"/>
        <w:rPr>
          <w:rFonts w:ascii="Times New Roman" w:hAnsi="Times New Roman" w:cs="Times New Roman"/>
          <w:b/>
          <w:bCs/>
          <w:color w:val="FF0000"/>
          <w:sz w:val="28"/>
          <w:szCs w:val="28"/>
        </w:rPr>
      </w:pPr>
    </w:p>
    <w:p w:rsidR="005727C2" w:rsidRDefault="005727C2" w:rsidP="005727C2">
      <w:pPr>
        <w:pStyle w:val="afa"/>
        <w:ind w:firstLine="709"/>
        <w:jc w:val="both"/>
        <w:rPr>
          <w:rFonts w:ascii="Times New Roman" w:hAnsi="Times New Roman" w:cs="Times New Roman"/>
          <w:b/>
          <w:i/>
          <w:sz w:val="28"/>
          <w:szCs w:val="28"/>
        </w:rPr>
      </w:pPr>
      <w:r>
        <w:rPr>
          <w:rFonts w:ascii="Times New Roman" w:hAnsi="Times New Roman" w:cs="Times New Roman"/>
          <w:b/>
          <w:i/>
          <w:sz w:val="28"/>
          <w:szCs w:val="28"/>
        </w:rPr>
        <w:t>2.2.1.</w:t>
      </w:r>
      <w:r w:rsidR="000376DE">
        <w:rPr>
          <w:rFonts w:ascii="Times New Roman" w:hAnsi="Times New Roman" w:cs="Times New Roman"/>
          <w:b/>
          <w:i/>
          <w:sz w:val="28"/>
          <w:szCs w:val="28"/>
        </w:rPr>
        <w:t>5</w:t>
      </w:r>
      <w:r>
        <w:rPr>
          <w:rFonts w:ascii="Times New Roman" w:hAnsi="Times New Roman" w:cs="Times New Roman"/>
          <w:b/>
          <w:i/>
          <w:sz w:val="28"/>
          <w:szCs w:val="28"/>
        </w:rPr>
        <w:t xml:space="preserve">. НВВ на производство тепловой энергии локальными источниками АО «СИБЭКО» </w:t>
      </w:r>
    </w:p>
    <w:p w:rsidR="005727C2" w:rsidRDefault="005727C2" w:rsidP="005727C2">
      <w:pPr>
        <w:pStyle w:val="afa"/>
        <w:ind w:firstLine="709"/>
        <w:jc w:val="both"/>
        <w:rPr>
          <w:rFonts w:ascii="Times New Roman" w:hAnsi="Times New Roman" w:cs="Times New Roman"/>
          <w:sz w:val="28"/>
          <w:szCs w:val="28"/>
        </w:rPr>
      </w:pPr>
      <w:r>
        <w:rPr>
          <w:rFonts w:ascii="Times New Roman" w:hAnsi="Times New Roman" w:cs="Times New Roman"/>
          <w:sz w:val="28"/>
          <w:szCs w:val="28"/>
        </w:rPr>
        <w:t xml:space="preserve">НВВ на производство тепловой энергии локальными источниками АО «СИБЭКО» на 2020 год определена </w:t>
      </w:r>
      <w:r w:rsidR="000376DE">
        <w:rPr>
          <w:rFonts w:ascii="Times New Roman" w:hAnsi="Times New Roman" w:cs="Times New Roman"/>
          <w:sz w:val="28"/>
          <w:szCs w:val="28"/>
        </w:rPr>
        <w:t>Д</w:t>
      </w:r>
      <w:r>
        <w:rPr>
          <w:rFonts w:ascii="Times New Roman" w:hAnsi="Times New Roman" w:cs="Times New Roman"/>
          <w:sz w:val="28"/>
          <w:szCs w:val="28"/>
        </w:rPr>
        <w:t xml:space="preserve">епартаментом в размере 2 036 841,00 тыс.руб. со увеличением от планового уровня 2019 года на 819 299,50 тыс.руб. (на 67,3% </w:t>
      </w:r>
      <w:r w:rsidR="00F57F43">
        <w:rPr>
          <w:rFonts w:ascii="Times New Roman" w:hAnsi="Times New Roman" w:cs="Times New Roman"/>
          <w:sz w:val="28"/>
          <w:szCs w:val="28"/>
        </w:rPr>
        <w:t>к</w:t>
      </w:r>
      <w:r>
        <w:rPr>
          <w:rFonts w:ascii="Times New Roman" w:hAnsi="Times New Roman" w:cs="Times New Roman"/>
          <w:sz w:val="28"/>
          <w:szCs w:val="28"/>
        </w:rPr>
        <w:t xml:space="preserve"> план</w:t>
      </w:r>
      <w:r w:rsidR="00F57F43">
        <w:rPr>
          <w:rFonts w:ascii="Times New Roman" w:hAnsi="Times New Roman" w:cs="Times New Roman"/>
          <w:sz w:val="28"/>
          <w:szCs w:val="28"/>
        </w:rPr>
        <w:t>у</w:t>
      </w:r>
      <w:r>
        <w:rPr>
          <w:rFonts w:ascii="Times New Roman" w:hAnsi="Times New Roman" w:cs="Times New Roman"/>
          <w:sz w:val="28"/>
          <w:szCs w:val="28"/>
        </w:rPr>
        <w:t xml:space="preserve"> 2019 года). </w:t>
      </w:r>
    </w:p>
    <w:p w:rsidR="005727C2" w:rsidRDefault="005727C2" w:rsidP="005727C2">
      <w:pPr>
        <w:pStyle w:val="afa"/>
        <w:ind w:firstLine="709"/>
        <w:jc w:val="both"/>
        <w:rPr>
          <w:rFonts w:ascii="Times New Roman" w:hAnsi="Times New Roman" w:cs="Times New Roman"/>
          <w:sz w:val="28"/>
          <w:szCs w:val="28"/>
          <w:highlight w:val="yellow"/>
        </w:rPr>
      </w:pPr>
      <w:r>
        <w:rPr>
          <w:rFonts w:ascii="Times New Roman" w:hAnsi="Times New Roman" w:cs="Times New Roman"/>
          <w:sz w:val="28"/>
          <w:szCs w:val="28"/>
        </w:rPr>
        <w:t xml:space="preserve">Увеличение планового уровня расходов на производство тепловой энергии по локальным источникам в 2020 году обусловлено, главным образом, увеличением объемов полезного отпуска от локальных источников, принятых на уровне факта 2018 года (прирост на 88,74% </w:t>
      </w:r>
      <w:r w:rsidR="00F57F43">
        <w:rPr>
          <w:rFonts w:ascii="Times New Roman" w:hAnsi="Times New Roman" w:cs="Times New Roman"/>
          <w:sz w:val="28"/>
          <w:szCs w:val="28"/>
        </w:rPr>
        <w:t>относительно</w:t>
      </w:r>
      <w:r>
        <w:rPr>
          <w:rFonts w:ascii="Times New Roman" w:hAnsi="Times New Roman" w:cs="Times New Roman"/>
          <w:sz w:val="28"/>
          <w:szCs w:val="28"/>
        </w:rPr>
        <w:t xml:space="preserve"> план</w:t>
      </w:r>
      <w:r w:rsidR="00F57F43">
        <w:rPr>
          <w:rFonts w:ascii="Times New Roman" w:hAnsi="Times New Roman" w:cs="Times New Roman"/>
          <w:sz w:val="28"/>
          <w:szCs w:val="28"/>
        </w:rPr>
        <w:t>а</w:t>
      </w:r>
      <w:r>
        <w:rPr>
          <w:rFonts w:ascii="Times New Roman" w:hAnsi="Times New Roman" w:cs="Times New Roman"/>
          <w:sz w:val="28"/>
          <w:szCs w:val="28"/>
        </w:rPr>
        <w:t xml:space="preserve"> 2019 года), что привело к увеличению расходов на ресурсы, а также</w:t>
      </w:r>
      <w:r w:rsidR="000376DE">
        <w:rPr>
          <w:rFonts w:ascii="Times New Roman" w:hAnsi="Times New Roman" w:cs="Times New Roman"/>
          <w:sz w:val="28"/>
          <w:szCs w:val="28"/>
        </w:rPr>
        <w:t xml:space="preserve"> с</w:t>
      </w:r>
      <w:r>
        <w:rPr>
          <w:rFonts w:ascii="Times New Roman" w:hAnsi="Times New Roman" w:cs="Times New Roman"/>
          <w:sz w:val="28"/>
          <w:szCs w:val="28"/>
        </w:rPr>
        <w:t xml:space="preserve"> учетом в составе расходов</w:t>
      </w:r>
      <w:r w:rsidR="000376DE">
        <w:rPr>
          <w:rFonts w:ascii="Times New Roman" w:hAnsi="Times New Roman" w:cs="Times New Roman"/>
          <w:sz w:val="28"/>
          <w:szCs w:val="28"/>
        </w:rPr>
        <w:t xml:space="preserve"> НВВ</w:t>
      </w:r>
      <w:r>
        <w:rPr>
          <w:rFonts w:ascii="Times New Roman" w:hAnsi="Times New Roman" w:cs="Times New Roman"/>
          <w:sz w:val="28"/>
          <w:szCs w:val="28"/>
        </w:rPr>
        <w:t xml:space="preserve"> величины расчетной предпринимательской прибыли, </w:t>
      </w:r>
      <w:r>
        <w:rPr>
          <w:rFonts w:ascii="Times New Roman" w:hAnsi="Times New Roman" w:cs="Times New Roman"/>
          <w:bCs/>
          <w:iCs/>
          <w:spacing w:val="6"/>
          <w:sz w:val="28"/>
          <w:szCs w:val="28"/>
        </w:rPr>
        <w:t xml:space="preserve">ранее не учитываемой </w:t>
      </w:r>
      <w:r w:rsidR="000376DE">
        <w:rPr>
          <w:rFonts w:ascii="Times New Roman" w:hAnsi="Times New Roman" w:cs="Times New Roman"/>
          <w:bCs/>
          <w:iCs/>
          <w:spacing w:val="6"/>
          <w:sz w:val="28"/>
          <w:szCs w:val="28"/>
        </w:rPr>
        <w:t>Д</w:t>
      </w:r>
      <w:r>
        <w:rPr>
          <w:rFonts w:ascii="Times New Roman" w:hAnsi="Times New Roman" w:cs="Times New Roman"/>
          <w:bCs/>
          <w:iCs/>
          <w:spacing w:val="6"/>
          <w:sz w:val="28"/>
          <w:szCs w:val="28"/>
        </w:rPr>
        <w:t xml:space="preserve">епартаментом, и </w:t>
      </w:r>
      <w:r>
        <w:rPr>
          <w:rFonts w:ascii="Times New Roman" w:hAnsi="Times New Roman" w:cs="Times New Roman"/>
          <w:sz w:val="28"/>
          <w:szCs w:val="28"/>
        </w:rPr>
        <w:t>корректировкой НВВ с целью учета результатов деятельности АО «СИБЭКО» за 2016 - 2017 годы.</w:t>
      </w:r>
    </w:p>
    <w:p w:rsidR="005727C2" w:rsidRDefault="005727C2" w:rsidP="005727C2">
      <w:pPr>
        <w:pStyle w:val="afa"/>
        <w:ind w:firstLine="709"/>
        <w:jc w:val="both"/>
        <w:rPr>
          <w:rFonts w:ascii="Times New Roman" w:hAnsi="Times New Roman" w:cs="Times New Roman"/>
          <w:sz w:val="28"/>
          <w:szCs w:val="28"/>
        </w:rPr>
      </w:pPr>
    </w:p>
    <w:p w:rsidR="005727C2" w:rsidRDefault="005727C2" w:rsidP="005727C2">
      <w:pPr>
        <w:pStyle w:val="afa"/>
        <w:ind w:firstLine="709"/>
        <w:jc w:val="both"/>
        <w:rPr>
          <w:rFonts w:ascii="Times New Roman" w:hAnsi="Times New Roman" w:cs="Times New Roman"/>
          <w:b/>
          <w:i/>
          <w:sz w:val="28"/>
          <w:szCs w:val="28"/>
        </w:rPr>
      </w:pPr>
      <w:r>
        <w:rPr>
          <w:rFonts w:ascii="Times New Roman" w:hAnsi="Times New Roman" w:cs="Times New Roman"/>
          <w:b/>
          <w:i/>
          <w:sz w:val="28"/>
          <w:szCs w:val="28"/>
        </w:rPr>
        <w:t>2.2.1.</w:t>
      </w:r>
      <w:r w:rsidR="000376DE">
        <w:rPr>
          <w:rFonts w:ascii="Times New Roman" w:hAnsi="Times New Roman" w:cs="Times New Roman"/>
          <w:b/>
          <w:i/>
          <w:sz w:val="28"/>
          <w:szCs w:val="28"/>
        </w:rPr>
        <w:t>6</w:t>
      </w:r>
      <w:r>
        <w:rPr>
          <w:rFonts w:ascii="Times New Roman" w:hAnsi="Times New Roman" w:cs="Times New Roman"/>
          <w:b/>
          <w:i/>
          <w:sz w:val="28"/>
          <w:szCs w:val="28"/>
        </w:rPr>
        <w:t xml:space="preserve">. НВВ на услугу по передаче тепловой энергии, осуществляемой подразделением </w:t>
      </w:r>
      <w:r w:rsidR="000376DE">
        <w:rPr>
          <w:rFonts w:ascii="Times New Roman" w:hAnsi="Times New Roman" w:cs="Times New Roman"/>
          <w:b/>
          <w:i/>
          <w:sz w:val="28"/>
          <w:szCs w:val="28"/>
        </w:rPr>
        <w:t>«</w:t>
      </w:r>
      <w:r>
        <w:rPr>
          <w:rFonts w:ascii="Times New Roman" w:hAnsi="Times New Roman" w:cs="Times New Roman"/>
          <w:b/>
          <w:i/>
          <w:sz w:val="28"/>
          <w:szCs w:val="28"/>
        </w:rPr>
        <w:t>Тепловые сети АО «СИБЭКО»</w:t>
      </w:r>
      <w:r w:rsidR="000376DE">
        <w:rPr>
          <w:rFonts w:ascii="Times New Roman" w:hAnsi="Times New Roman" w:cs="Times New Roman"/>
          <w:b/>
          <w:i/>
          <w:sz w:val="28"/>
          <w:szCs w:val="28"/>
        </w:rPr>
        <w:t>»</w:t>
      </w:r>
      <w:r>
        <w:rPr>
          <w:rFonts w:ascii="Times New Roman" w:hAnsi="Times New Roman" w:cs="Times New Roman"/>
          <w:b/>
          <w:i/>
          <w:sz w:val="28"/>
          <w:szCs w:val="28"/>
        </w:rPr>
        <w:t xml:space="preserve"> </w:t>
      </w:r>
    </w:p>
    <w:p w:rsidR="005727C2" w:rsidRDefault="005727C2" w:rsidP="005727C2">
      <w:pPr>
        <w:pStyle w:val="afa"/>
        <w:ind w:firstLine="709"/>
        <w:jc w:val="both"/>
        <w:rPr>
          <w:rFonts w:ascii="Times New Roman" w:hAnsi="Times New Roman" w:cs="Times New Roman"/>
          <w:sz w:val="28"/>
          <w:szCs w:val="28"/>
        </w:rPr>
      </w:pPr>
      <w:r>
        <w:rPr>
          <w:rFonts w:ascii="Times New Roman" w:hAnsi="Times New Roman" w:cs="Times New Roman"/>
          <w:sz w:val="28"/>
          <w:szCs w:val="28"/>
        </w:rPr>
        <w:t xml:space="preserve">Основным поставщиком услуг по передаче тепловой энергии на территории Новосибирской области, вырабатываемой АО «СИБЭКО», а также ведомственными котельными г. Новосибирска является подразделение </w:t>
      </w:r>
      <w:r w:rsidR="000376DE">
        <w:rPr>
          <w:rFonts w:ascii="Times New Roman" w:hAnsi="Times New Roman" w:cs="Times New Roman"/>
          <w:sz w:val="28"/>
          <w:szCs w:val="28"/>
        </w:rPr>
        <w:t>«</w:t>
      </w:r>
      <w:r>
        <w:rPr>
          <w:rFonts w:ascii="Times New Roman" w:hAnsi="Times New Roman" w:cs="Times New Roman"/>
          <w:sz w:val="28"/>
          <w:szCs w:val="28"/>
        </w:rPr>
        <w:t>Теплосети АО «СИБЭКО»</w:t>
      </w:r>
      <w:r w:rsidR="000376DE">
        <w:rPr>
          <w:rFonts w:ascii="Times New Roman" w:hAnsi="Times New Roman" w:cs="Times New Roman"/>
          <w:sz w:val="28"/>
          <w:szCs w:val="28"/>
        </w:rPr>
        <w:t>»</w:t>
      </w:r>
      <w:r>
        <w:rPr>
          <w:rFonts w:ascii="Times New Roman" w:hAnsi="Times New Roman" w:cs="Times New Roman"/>
          <w:sz w:val="28"/>
          <w:szCs w:val="28"/>
        </w:rPr>
        <w:t xml:space="preserve"> </w:t>
      </w:r>
    </w:p>
    <w:p w:rsidR="005727C2" w:rsidRDefault="005727C2" w:rsidP="005727C2">
      <w:pPr>
        <w:pStyle w:val="a8"/>
        <w:rPr>
          <w:color w:val="FF0000"/>
          <w:szCs w:val="28"/>
          <w:highlight w:val="yellow"/>
        </w:rPr>
      </w:pPr>
      <w:r>
        <w:rPr>
          <w:noProof/>
          <w:color w:val="FF0000"/>
          <w:szCs w:val="28"/>
        </w:rPr>
        <w:lastRenderedPageBreak/>
        <w:drawing>
          <wp:inline distT="0" distB="0" distL="0" distR="0" wp14:anchorId="77FC827A" wp14:editId="2D268C0A">
            <wp:extent cx="6232525" cy="4220845"/>
            <wp:effectExtent l="0" t="0" r="0" b="8255"/>
            <wp:docPr id="75" name="Диаграмма 75"/>
            <wp:cNvGraphicFramePr/>
            <a:graphic xmlns:a="http://schemas.openxmlformats.org/drawingml/2006/main">
              <a:graphicData uri="http://schemas.openxmlformats.org/drawingml/2006/chart">
                <c:chart xmlns:c="http://schemas.openxmlformats.org/drawingml/2006/chart" xmlns:r="http://schemas.openxmlformats.org/officeDocument/2006/relationships" r:id="rId47"/>
              </a:graphicData>
            </a:graphic>
          </wp:inline>
        </w:drawing>
      </w:r>
    </w:p>
    <w:p w:rsidR="00F57F43" w:rsidRPr="00F57F43" w:rsidRDefault="00F57F43" w:rsidP="00F57F43">
      <w:pPr>
        <w:pStyle w:val="afa"/>
        <w:ind w:firstLine="851"/>
        <w:jc w:val="center"/>
        <w:rPr>
          <w:rFonts w:ascii="Times New Roman" w:hAnsi="Times New Roman" w:cs="Times New Roman"/>
          <w:sz w:val="24"/>
          <w:szCs w:val="24"/>
        </w:rPr>
      </w:pPr>
      <w:r w:rsidRPr="00F57F43">
        <w:rPr>
          <w:rFonts w:ascii="Times New Roman" w:hAnsi="Times New Roman" w:cs="Times New Roman"/>
          <w:sz w:val="24"/>
          <w:szCs w:val="24"/>
        </w:rPr>
        <w:t>Рис. 2.2.6.</w:t>
      </w:r>
    </w:p>
    <w:p w:rsidR="005727C2" w:rsidRDefault="005727C2" w:rsidP="005727C2">
      <w:pPr>
        <w:pStyle w:val="afa"/>
        <w:ind w:firstLine="851"/>
        <w:jc w:val="both"/>
        <w:rPr>
          <w:rFonts w:ascii="Times New Roman" w:hAnsi="Times New Roman" w:cs="Times New Roman"/>
          <w:sz w:val="28"/>
          <w:szCs w:val="28"/>
        </w:rPr>
      </w:pPr>
      <w:r>
        <w:rPr>
          <w:rFonts w:ascii="Times New Roman" w:hAnsi="Times New Roman" w:cs="Times New Roman"/>
          <w:sz w:val="28"/>
          <w:szCs w:val="28"/>
        </w:rPr>
        <w:t>Технологический расход тепловой энергии при ее передаче по тепловым сетям (потери тепловой энергии), эксплуатируемым АО «СИБЭКО», а также технологический расход тепловой энергии при ее передаче по тепловым сетям прочих теплосетевых организаций, оказывающих АО «СИБЭКО» услуги по передаче тепловой энергии, на очередной 2020 год долгосрочного периода регули</w:t>
      </w:r>
      <w:r w:rsidR="00F57F43">
        <w:rPr>
          <w:rFonts w:ascii="Times New Roman" w:hAnsi="Times New Roman" w:cs="Times New Roman"/>
          <w:sz w:val="28"/>
          <w:szCs w:val="28"/>
        </w:rPr>
        <w:t>рования принят департаментом в размере</w:t>
      </w:r>
      <w:r>
        <w:rPr>
          <w:rFonts w:ascii="Times New Roman" w:hAnsi="Times New Roman" w:cs="Times New Roman"/>
          <w:sz w:val="28"/>
          <w:szCs w:val="28"/>
        </w:rPr>
        <w:t xml:space="preserve"> 2 881,475 тыс.Гкал, в том числе:</w:t>
      </w:r>
    </w:p>
    <w:p w:rsidR="005727C2" w:rsidRDefault="005727C2" w:rsidP="005727C2">
      <w:pPr>
        <w:pStyle w:val="afa"/>
        <w:ind w:firstLine="851"/>
        <w:jc w:val="both"/>
        <w:rPr>
          <w:rFonts w:ascii="Times New Roman" w:hAnsi="Times New Roman" w:cs="Times New Roman"/>
          <w:sz w:val="28"/>
          <w:szCs w:val="28"/>
        </w:rPr>
      </w:pPr>
      <w:r>
        <w:rPr>
          <w:rFonts w:ascii="Times New Roman" w:hAnsi="Times New Roman" w:cs="Times New Roman"/>
          <w:sz w:val="28"/>
          <w:szCs w:val="28"/>
        </w:rPr>
        <w:t xml:space="preserve">- 2 756,32 тыс.Гкал - потери тепловой энергии в тепловых сетях АО «СИБЭКО», расположенных в городе Новосибирске, принятые в соответствии с приказом Министерства </w:t>
      </w:r>
      <w:r w:rsidR="00F57F43">
        <w:rPr>
          <w:rFonts w:ascii="Times New Roman" w:hAnsi="Times New Roman" w:cs="Times New Roman"/>
          <w:sz w:val="28"/>
          <w:szCs w:val="28"/>
        </w:rPr>
        <w:t>э</w:t>
      </w:r>
      <w:r>
        <w:rPr>
          <w:rFonts w:ascii="Times New Roman" w:hAnsi="Times New Roman" w:cs="Times New Roman"/>
          <w:sz w:val="28"/>
          <w:szCs w:val="28"/>
        </w:rPr>
        <w:t>нергетики Р</w:t>
      </w:r>
      <w:r w:rsidR="00F57F43">
        <w:rPr>
          <w:rFonts w:ascii="Times New Roman" w:hAnsi="Times New Roman" w:cs="Times New Roman"/>
          <w:sz w:val="28"/>
          <w:szCs w:val="28"/>
        </w:rPr>
        <w:t xml:space="preserve">оссийской </w:t>
      </w:r>
      <w:r>
        <w:rPr>
          <w:rFonts w:ascii="Times New Roman" w:hAnsi="Times New Roman" w:cs="Times New Roman"/>
          <w:sz w:val="28"/>
          <w:szCs w:val="28"/>
        </w:rPr>
        <w:t>Ф</w:t>
      </w:r>
      <w:r w:rsidR="00F57F43">
        <w:rPr>
          <w:rFonts w:ascii="Times New Roman" w:hAnsi="Times New Roman" w:cs="Times New Roman"/>
          <w:sz w:val="28"/>
          <w:szCs w:val="28"/>
        </w:rPr>
        <w:t>едерации</w:t>
      </w:r>
      <w:r>
        <w:rPr>
          <w:rFonts w:ascii="Times New Roman" w:hAnsi="Times New Roman" w:cs="Times New Roman"/>
          <w:sz w:val="28"/>
          <w:szCs w:val="28"/>
        </w:rPr>
        <w:t xml:space="preserve"> от 18.09. 2018 № 782 «Об утверждении нормативов технологических потерь при передаче тепловой энергии теплоносителя по тепловым сетям, расположенным в поселениях, городских округах с численностью населения 500 тыс. человек и более, а также в городах федерального значения на 2019 год»; </w:t>
      </w:r>
    </w:p>
    <w:p w:rsidR="005727C2" w:rsidRDefault="005727C2" w:rsidP="005727C2">
      <w:pPr>
        <w:pStyle w:val="afa"/>
        <w:ind w:firstLine="851"/>
        <w:jc w:val="both"/>
        <w:rPr>
          <w:rFonts w:ascii="Times New Roman" w:hAnsi="Times New Roman" w:cs="Times New Roman"/>
          <w:sz w:val="28"/>
          <w:szCs w:val="28"/>
        </w:rPr>
      </w:pPr>
      <w:r>
        <w:rPr>
          <w:rFonts w:ascii="Times New Roman" w:hAnsi="Times New Roman" w:cs="Times New Roman"/>
          <w:sz w:val="28"/>
          <w:szCs w:val="28"/>
        </w:rPr>
        <w:t xml:space="preserve">- 99,98 тыс.Гкал – потери по тепловым сетям, эксплуатируемым АО «СИБЭКО», расположенным в городе Куйбышев, на уровне нормативной величины, определенной </w:t>
      </w:r>
      <w:r w:rsidR="00F57F43">
        <w:rPr>
          <w:rFonts w:ascii="Times New Roman" w:hAnsi="Times New Roman" w:cs="Times New Roman"/>
          <w:sz w:val="28"/>
          <w:szCs w:val="28"/>
        </w:rPr>
        <w:t>Д</w:t>
      </w:r>
      <w:r>
        <w:rPr>
          <w:rFonts w:ascii="Times New Roman" w:hAnsi="Times New Roman" w:cs="Times New Roman"/>
          <w:sz w:val="28"/>
          <w:szCs w:val="28"/>
        </w:rPr>
        <w:t>епартаментом на 2019 год;</w:t>
      </w:r>
    </w:p>
    <w:p w:rsidR="005727C2" w:rsidRDefault="005727C2" w:rsidP="005727C2">
      <w:pPr>
        <w:pStyle w:val="afa"/>
        <w:ind w:firstLine="851"/>
        <w:jc w:val="both"/>
        <w:rPr>
          <w:rFonts w:ascii="Times New Roman" w:hAnsi="Times New Roman" w:cs="Times New Roman"/>
          <w:sz w:val="28"/>
          <w:szCs w:val="28"/>
        </w:rPr>
      </w:pPr>
      <w:r>
        <w:rPr>
          <w:rFonts w:ascii="Times New Roman" w:hAnsi="Times New Roman" w:cs="Times New Roman"/>
          <w:sz w:val="28"/>
          <w:szCs w:val="28"/>
        </w:rPr>
        <w:t xml:space="preserve">- 225,175 тыс.Гкал - потери тепловой энергии прочих теплосетевых организаций города Новосибирска, определенные по расчёту </w:t>
      </w:r>
      <w:r w:rsidR="00F57F43">
        <w:rPr>
          <w:rFonts w:ascii="Times New Roman" w:hAnsi="Times New Roman" w:cs="Times New Roman"/>
          <w:sz w:val="28"/>
          <w:szCs w:val="28"/>
        </w:rPr>
        <w:t>Д</w:t>
      </w:r>
      <w:r>
        <w:rPr>
          <w:rFonts w:ascii="Times New Roman" w:hAnsi="Times New Roman" w:cs="Times New Roman"/>
          <w:sz w:val="28"/>
          <w:szCs w:val="28"/>
        </w:rPr>
        <w:t>епартамента.</w:t>
      </w:r>
    </w:p>
    <w:p w:rsidR="005727C2" w:rsidRDefault="005727C2" w:rsidP="005727C2">
      <w:pPr>
        <w:pStyle w:val="afa"/>
        <w:ind w:firstLine="851"/>
        <w:jc w:val="both"/>
        <w:rPr>
          <w:rFonts w:ascii="Times New Roman" w:hAnsi="Times New Roman" w:cs="Times New Roman"/>
          <w:sz w:val="28"/>
          <w:szCs w:val="28"/>
        </w:rPr>
      </w:pPr>
      <w:r>
        <w:rPr>
          <w:rFonts w:ascii="Times New Roman" w:hAnsi="Times New Roman" w:cs="Times New Roman"/>
          <w:sz w:val="28"/>
          <w:szCs w:val="28"/>
        </w:rPr>
        <w:t>Полезный отпуск тепловой энергии конечным потребителям АО «СИБЭКО» (без учета реализации потерь тепловой энергии прочим ТСО, реализации тепловой энергии с коллектора) на 2020 год планируется в размере 11 542,949 тыс.Гкал с увеличением относительно плановой величины 2019 года на 713,041 тыс.Гкал (6,6%).</w:t>
      </w:r>
    </w:p>
    <w:p w:rsidR="005727C2" w:rsidRDefault="005727C2" w:rsidP="005727C2">
      <w:pPr>
        <w:pStyle w:val="afa"/>
        <w:ind w:firstLine="851"/>
        <w:jc w:val="both"/>
        <w:rPr>
          <w:rFonts w:ascii="Times New Roman" w:hAnsi="Times New Roman" w:cs="Times New Roman"/>
          <w:sz w:val="28"/>
          <w:szCs w:val="28"/>
        </w:rPr>
      </w:pPr>
      <w:r>
        <w:rPr>
          <w:rFonts w:ascii="Times New Roman" w:hAnsi="Times New Roman" w:cs="Times New Roman"/>
          <w:sz w:val="28"/>
          <w:szCs w:val="28"/>
        </w:rPr>
        <w:lastRenderedPageBreak/>
        <w:t xml:space="preserve">НВВ на передачу тепловой энергии по подразделению Тепловые сети АО «СИБЭКО» на 2020 год определена департаментом в размере 4 265 524,28 тыс.руб. (с увеличением на 15,2% </w:t>
      </w:r>
      <w:r w:rsidR="00F57F43">
        <w:rPr>
          <w:rFonts w:ascii="Times New Roman" w:hAnsi="Times New Roman" w:cs="Times New Roman"/>
          <w:sz w:val="28"/>
          <w:szCs w:val="28"/>
        </w:rPr>
        <w:t xml:space="preserve">или на </w:t>
      </w:r>
      <w:r>
        <w:rPr>
          <w:rFonts w:ascii="Times New Roman" w:hAnsi="Times New Roman" w:cs="Times New Roman"/>
          <w:sz w:val="28"/>
          <w:szCs w:val="28"/>
        </w:rPr>
        <w:t xml:space="preserve">562 836,2 тыс.руб.). </w:t>
      </w:r>
    </w:p>
    <w:p w:rsidR="005727C2" w:rsidRDefault="005727C2" w:rsidP="005727C2">
      <w:pPr>
        <w:pStyle w:val="afa"/>
        <w:ind w:firstLine="851"/>
        <w:jc w:val="both"/>
        <w:rPr>
          <w:rFonts w:ascii="Times New Roman" w:hAnsi="Times New Roman" w:cs="Times New Roman"/>
          <w:sz w:val="28"/>
          <w:szCs w:val="28"/>
        </w:rPr>
      </w:pPr>
      <w:r>
        <w:rPr>
          <w:rFonts w:ascii="Times New Roman" w:hAnsi="Times New Roman" w:cs="Times New Roman"/>
          <w:sz w:val="28"/>
          <w:szCs w:val="28"/>
        </w:rPr>
        <w:t>Рост НВВ подразделения Тепловые сети АО «СИБЭКО» обусловлен, в основном, компенсацией расходов по оплате фактического объема потерь в соответствии с требованиями п.90 Основ ценообразования № 1075, а так же корректировкой операционных расходов в соответствии с требованиями п.59 Основ ценообразования № 1075, путем индексации базового уровня операционных расходов, с применением индекса потребительских цен, индекса эффективности операционных расходов и индекса изменения количества активов.</w:t>
      </w:r>
    </w:p>
    <w:p w:rsidR="005727C2" w:rsidRDefault="005727C2" w:rsidP="005727C2">
      <w:pPr>
        <w:pStyle w:val="afa"/>
        <w:ind w:firstLine="851"/>
        <w:jc w:val="both"/>
        <w:rPr>
          <w:rFonts w:ascii="Times New Roman" w:hAnsi="Times New Roman" w:cs="Times New Roman"/>
          <w:sz w:val="28"/>
          <w:szCs w:val="28"/>
        </w:rPr>
      </w:pPr>
      <w:r>
        <w:rPr>
          <w:rFonts w:ascii="Times New Roman" w:hAnsi="Times New Roman" w:cs="Times New Roman"/>
          <w:sz w:val="28"/>
          <w:szCs w:val="28"/>
        </w:rPr>
        <w:t xml:space="preserve">Структура НВВ в части деятельности АО «СИБЭКО» по передаче тепловой энергии в 2020 году относительно </w:t>
      </w:r>
      <w:r w:rsidR="00F57F43">
        <w:rPr>
          <w:rFonts w:ascii="Times New Roman" w:hAnsi="Times New Roman" w:cs="Times New Roman"/>
          <w:sz w:val="28"/>
          <w:szCs w:val="28"/>
        </w:rPr>
        <w:t xml:space="preserve">структуры </w:t>
      </w:r>
      <w:r>
        <w:rPr>
          <w:rFonts w:ascii="Times New Roman" w:hAnsi="Times New Roman" w:cs="Times New Roman"/>
          <w:sz w:val="28"/>
          <w:szCs w:val="28"/>
        </w:rPr>
        <w:t>2019 года существенно не поменялась, за исключением расходов связанных с компенсацией расходов по оплате фактического объема потерь в соответствии с требованиями п.90 Основ ценообразования № 1075, ранее не учитываемых департаментом.</w:t>
      </w:r>
    </w:p>
    <w:p w:rsidR="005727C2" w:rsidRDefault="005727C2" w:rsidP="005727C2">
      <w:pPr>
        <w:pStyle w:val="afa"/>
        <w:ind w:firstLine="851"/>
        <w:jc w:val="both"/>
        <w:rPr>
          <w:rFonts w:ascii="Times New Roman" w:hAnsi="Times New Roman" w:cs="Times New Roman"/>
          <w:sz w:val="28"/>
          <w:szCs w:val="28"/>
        </w:rPr>
      </w:pPr>
      <w:r>
        <w:rPr>
          <w:rFonts w:ascii="Times New Roman" w:hAnsi="Times New Roman" w:cs="Times New Roman"/>
          <w:sz w:val="28"/>
          <w:szCs w:val="28"/>
        </w:rPr>
        <w:t>Структура расходов на передачу тепловой энергии подразделения Тепловые сети АО «СИБЭКО» в 2019-2020 годах представлена ниже.</w:t>
      </w:r>
    </w:p>
    <w:p w:rsidR="005727C2" w:rsidRDefault="005727C2" w:rsidP="005727C2">
      <w:pPr>
        <w:pStyle w:val="afa"/>
        <w:ind w:firstLine="851"/>
        <w:jc w:val="both"/>
        <w:rPr>
          <w:rFonts w:ascii="Times New Roman" w:hAnsi="Times New Roman" w:cs="Times New Roman"/>
          <w:color w:val="FF0000"/>
          <w:sz w:val="28"/>
          <w:szCs w:val="28"/>
        </w:rPr>
      </w:pPr>
    </w:p>
    <w:p w:rsidR="005727C2" w:rsidRDefault="005727C2" w:rsidP="005727C2">
      <w:pPr>
        <w:jc w:val="both"/>
        <w:rPr>
          <w:color w:val="FF0000"/>
          <w:sz w:val="16"/>
          <w:szCs w:val="16"/>
          <w:highlight w:val="yellow"/>
        </w:rPr>
      </w:pPr>
      <w:r>
        <w:rPr>
          <w:noProof/>
          <w:color w:val="FF0000"/>
          <w:sz w:val="16"/>
          <w:szCs w:val="16"/>
        </w:rPr>
        <w:drawing>
          <wp:inline distT="0" distB="0" distL="0" distR="0" wp14:anchorId="3AD73014" wp14:editId="6C5C3DF0">
            <wp:extent cx="5947410" cy="3803650"/>
            <wp:effectExtent l="0" t="0" r="0" b="6350"/>
            <wp:docPr id="76" name="Диаграмма 76"/>
            <wp:cNvGraphicFramePr/>
            <a:graphic xmlns:a="http://schemas.openxmlformats.org/drawingml/2006/main">
              <a:graphicData uri="http://schemas.openxmlformats.org/drawingml/2006/chart">
                <c:chart xmlns:c="http://schemas.openxmlformats.org/drawingml/2006/chart" xmlns:r="http://schemas.openxmlformats.org/officeDocument/2006/relationships" r:id="rId48"/>
              </a:graphicData>
            </a:graphic>
          </wp:inline>
        </w:drawing>
      </w:r>
    </w:p>
    <w:p w:rsidR="005727C2" w:rsidRDefault="005727C2" w:rsidP="005727C2">
      <w:pPr>
        <w:jc w:val="both"/>
        <w:rPr>
          <w:color w:val="FF0000"/>
          <w:sz w:val="28"/>
          <w:szCs w:val="28"/>
          <w:highlight w:val="yellow"/>
        </w:rPr>
      </w:pPr>
    </w:p>
    <w:p w:rsidR="00F57F43" w:rsidRPr="00F57F43" w:rsidRDefault="00F57F43" w:rsidP="00F57F43">
      <w:pPr>
        <w:jc w:val="center"/>
      </w:pPr>
      <w:r w:rsidRPr="00F57F43">
        <w:t>Рис. 2.2.7</w:t>
      </w:r>
    </w:p>
    <w:p w:rsidR="005727C2" w:rsidRDefault="005727C2" w:rsidP="00F57F43">
      <w:pPr>
        <w:jc w:val="center"/>
        <w:rPr>
          <w:color w:val="FF0000"/>
          <w:sz w:val="28"/>
          <w:szCs w:val="28"/>
          <w:highlight w:val="yellow"/>
        </w:rPr>
      </w:pPr>
      <w:r>
        <w:rPr>
          <w:noProof/>
          <w:color w:val="FF0000"/>
          <w:sz w:val="28"/>
          <w:szCs w:val="28"/>
        </w:rPr>
        <w:lastRenderedPageBreak/>
        <w:drawing>
          <wp:inline distT="0" distB="0" distL="0" distR="0" wp14:anchorId="29C115C0" wp14:editId="6F6C4070">
            <wp:extent cx="5932805" cy="3803650"/>
            <wp:effectExtent l="0" t="0" r="0" b="6350"/>
            <wp:docPr id="36" name="Диаграмма 36"/>
            <wp:cNvGraphicFramePr/>
            <a:graphic xmlns:a="http://schemas.openxmlformats.org/drawingml/2006/main">
              <a:graphicData uri="http://schemas.openxmlformats.org/drawingml/2006/chart">
                <c:chart xmlns:c="http://schemas.openxmlformats.org/drawingml/2006/chart" xmlns:r="http://schemas.openxmlformats.org/officeDocument/2006/relationships" r:id="rId49"/>
              </a:graphicData>
            </a:graphic>
          </wp:inline>
        </w:drawing>
      </w:r>
    </w:p>
    <w:p w:rsidR="00F57F43" w:rsidRPr="00F57F43" w:rsidRDefault="00F57F43" w:rsidP="00F57F43">
      <w:pPr>
        <w:jc w:val="center"/>
      </w:pPr>
      <w:r>
        <w:t>Рис. 2.2.8</w:t>
      </w:r>
    </w:p>
    <w:p w:rsidR="005727C2" w:rsidRDefault="005727C2" w:rsidP="005727C2">
      <w:pPr>
        <w:spacing w:after="0" w:line="240" w:lineRule="auto"/>
        <w:ind w:firstLine="720"/>
        <w:jc w:val="both"/>
        <w:rPr>
          <w:sz w:val="28"/>
          <w:szCs w:val="28"/>
        </w:rPr>
      </w:pPr>
    </w:p>
    <w:p w:rsidR="005727C2" w:rsidRDefault="005727C2" w:rsidP="005727C2">
      <w:pPr>
        <w:spacing w:after="0" w:line="240" w:lineRule="auto"/>
        <w:ind w:firstLine="720"/>
        <w:jc w:val="both"/>
        <w:rPr>
          <w:sz w:val="28"/>
          <w:szCs w:val="28"/>
        </w:rPr>
      </w:pPr>
    </w:p>
    <w:p w:rsidR="005727C2" w:rsidRPr="00F26C95" w:rsidRDefault="00F57F43" w:rsidP="005727C2">
      <w:pPr>
        <w:spacing w:after="0" w:line="240" w:lineRule="auto"/>
        <w:jc w:val="both"/>
        <w:rPr>
          <w:b/>
          <w:iCs/>
          <w:sz w:val="28"/>
          <w:szCs w:val="28"/>
        </w:rPr>
      </w:pPr>
      <w:r w:rsidRPr="00F26C95">
        <w:rPr>
          <w:b/>
          <w:iCs/>
          <w:sz w:val="28"/>
          <w:szCs w:val="28"/>
        </w:rPr>
        <w:t>2.2.2.</w:t>
      </w:r>
      <w:r w:rsidR="005727C2" w:rsidRPr="00F26C95">
        <w:rPr>
          <w:b/>
          <w:iCs/>
          <w:sz w:val="28"/>
          <w:szCs w:val="28"/>
        </w:rPr>
        <w:t xml:space="preserve"> Тарифы на тепловую энергию, теплоноситель, горячую воду, услуги по передаче тепловой энергии для теплоснабжающих организаций Новосибирской области (кроме АО «СИБЭКО»)</w:t>
      </w:r>
    </w:p>
    <w:p w:rsidR="005727C2" w:rsidRDefault="005727C2" w:rsidP="005727C2">
      <w:pPr>
        <w:adjustRightInd w:val="0"/>
        <w:spacing w:after="0" w:line="240" w:lineRule="auto"/>
        <w:ind w:firstLine="709"/>
        <w:jc w:val="both"/>
        <w:rPr>
          <w:iCs/>
          <w:sz w:val="28"/>
          <w:szCs w:val="28"/>
        </w:rPr>
      </w:pPr>
      <w:r>
        <w:rPr>
          <w:iCs/>
          <w:sz w:val="28"/>
          <w:szCs w:val="28"/>
        </w:rPr>
        <w:t xml:space="preserve">Тарифы на тепловую энергию, теплоноситель, горячую воду, на услуги по передаче тепловой энергии на новый период регулирования (2020 год) установлены департаментом в 2019 году  для </w:t>
      </w:r>
      <w:r>
        <w:rPr>
          <w:b/>
          <w:iCs/>
          <w:sz w:val="28"/>
          <w:szCs w:val="28"/>
        </w:rPr>
        <w:t>305 </w:t>
      </w:r>
      <w:r>
        <w:rPr>
          <w:iCs/>
          <w:sz w:val="28"/>
          <w:szCs w:val="28"/>
        </w:rPr>
        <w:t xml:space="preserve">теплоснабжающих организаций (ТСО)  Новосибирской области, в том числе для: </w:t>
      </w:r>
    </w:p>
    <w:p w:rsidR="005727C2" w:rsidRPr="00F57F43" w:rsidRDefault="005727C2" w:rsidP="00763A8B">
      <w:pPr>
        <w:pStyle w:val="a6"/>
        <w:numPr>
          <w:ilvl w:val="0"/>
          <w:numId w:val="13"/>
        </w:numPr>
        <w:adjustRightInd w:val="0"/>
        <w:spacing w:after="0" w:line="240" w:lineRule="auto"/>
        <w:ind w:left="709" w:firstLine="0"/>
        <w:jc w:val="both"/>
        <w:rPr>
          <w:rFonts w:ascii="Times New Roman" w:eastAsia="MS Mincho" w:hAnsi="Times New Roman"/>
          <w:iCs/>
          <w:sz w:val="28"/>
          <w:szCs w:val="28"/>
          <w:lang w:eastAsia="ru-RU"/>
        </w:rPr>
      </w:pPr>
      <w:r w:rsidRPr="00F57F43">
        <w:rPr>
          <w:rFonts w:ascii="Times New Roman" w:eastAsia="MS Mincho" w:hAnsi="Times New Roman"/>
          <w:iCs/>
          <w:sz w:val="28"/>
          <w:szCs w:val="28"/>
          <w:u w:val="single"/>
          <w:lang w:eastAsia="ru-RU"/>
        </w:rPr>
        <w:t>289 организаций</w:t>
      </w:r>
      <w:r w:rsidRPr="00F57F43">
        <w:rPr>
          <w:rFonts w:ascii="Times New Roman" w:eastAsia="MS Mincho" w:hAnsi="Times New Roman"/>
          <w:iCs/>
          <w:sz w:val="28"/>
          <w:szCs w:val="28"/>
          <w:lang w:eastAsia="ru-RU"/>
        </w:rPr>
        <w:t>, осуществляющих деятельность по производству и реализации тепловой энергии в горячей воде (за исключением тепловой энергии, производимой в режиме комбинированной выработки электрической и тепловой энергии источниками тепловой энергии с установленной генерирующей мощностью производства электрической энергии 25 МВт и более) на тепловых станциях и котельных, работающих на угле, газе, ином топливе (дизтопливо, мазут, нефть);</w:t>
      </w:r>
    </w:p>
    <w:p w:rsidR="005727C2" w:rsidRPr="00F57F43" w:rsidRDefault="005727C2" w:rsidP="00763A8B">
      <w:pPr>
        <w:pStyle w:val="a6"/>
        <w:numPr>
          <w:ilvl w:val="0"/>
          <w:numId w:val="13"/>
        </w:numPr>
        <w:adjustRightInd w:val="0"/>
        <w:spacing w:after="0" w:line="240" w:lineRule="auto"/>
        <w:ind w:left="709" w:firstLine="0"/>
        <w:jc w:val="both"/>
        <w:rPr>
          <w:rFonts w:ascii="Times New Roman" w:eastAsia="MS Mincho" w:hAnsi="Times New Roman"/>
          <w:iCs/>
          <w:sz w:val="28"/>
          <w:szCs w:val="28"/>
          <w:u w:val="single"/>
          <w:lang w:eastAsia="ru-RU"/>
        </w:rPr>
      </w:pPr>
      <w:r w:rsidRPr="00F57F43">
        <w:rPr>
          <w:rFonts w:ascii="Times New Roman" w:eastAsia="MS Mincho" w:hAnsi="Times New Roman"/>
          <w:iCs/>
          <w:sz w:val="28"/>
          <w:szCs w:val="28"/>
          <w:u w:val="single"/>
          <w:lang w:eastAsia="ru-RU"/>
        </w:rPr>
        <w:t>5 организаций, осуществляющих деятельность по реализации покупной тепловой энергии;</w:t>
      </w:r>
    </w:p>
    <w:p w:rsidR="005727C2" w:rsidRPr="00F57F43" w:rsidRDefault="005727C2" w:rsidP="00763A8B">
      <w:pPr>
        <w:pStyle w:val="a6"/>
        <w:numPr>
          <w:ilvl w:val="0"/>
          <w:numId w:val="13"/>
        </w:numPr>
        <w:adjustRightInd w:val="0"/>
        <w:spacing w:after="0" w:line="240" w:lineRule="auto"/>
        <w:ind w:left="709" w:firstLine="0"/>
        <w:jc w:val="both"/>
        <w:rPr>
          <w:rFonts w:ascii="Times New Roman" w:eastAsia="MS Mincho" w:hAnsi="Times New Roman"/>
          <w:iCs/>
          <w:sz w:val="28"/>
          <w:szCs w:val="28"/>
          <w:u w:val="single"/>
          <w:lang w:eastAsia="ru-RU"/>
        </w:rPr>
      </w:pPr>
      <w:r w:rsidRPr="00F57F43">
        <w:rPr>
          <w:rFonts w:ascii="Times New Roman" w:eastAsia="MS Mincho" w:hAnsi="Times New Roman"/>
          <w:iCs/>
          <w:sz w:val="28"/>
          <w:szCs w:val="28"/>
          <w:u w:val="single"/>
          <w:lang w:eastAsia="ru-RU"/>
        </w:rPr>
        <w:t>11 организаций, осуществляющих деятельность по передаче тепловой энергии по тепловым сетям.</w:t>
      </w:r>
    </w:p>
    <w:p w:rsidR="005727C2" w:rsidRDefault="005727C2" w:rsidP="005727C2">
      <w:pPr>
        <w:autoSpaceDE w:val="0"/>
        <w:autoSpaceDN w:val="0"/>
        <w:adjustRightInd w:val="0"/>
        <w:spacing w:after="0" w:line="240" w:lineRule="auto"/>
        <w:ind w:firstLine="540"/>
        <w:jc w:val="both"/>
        <w:rPr>
          <w:rFonts w:eastAsiaTheme="minorHAnsi"/>
          <w:sz w:val="28"/>
          <w:szCs w:val="28"/>
          <w:lang w:eastAsia="en-US"/>
        </w:rPr>
      </w:pPr>
      <w:r>
        <w:rPr>
          <w:iCs/>
          <w:sz w:val="28"/>
          <w:szCs w:val="28"/>
        </w:rPr>
        <w:t xml:space="preserve">Тарифы на тепловую энергию на 2020 год во всех муниципальных образованиях Новосибирской области были установлены </w:t>
      </w:r>
      <w:r w:rsidR="00F57F43">
        <w:rPr>
          <w:iCs/>
          <w:sz w:val="28"/>
          <w:szCs w:val="28"/>
        </w:rPr>
        <w:t>Д</w:t>
      </w:r>
      <w:r>
        <w:rPr>
          <w:iCs/>
          <w:sz w:val="28"/>
          <w:szCs w:val="28"/>
        </w:rPr>
        <w:t>епартаментом без превышения</w:t>
      </w:r>
      <w:r w:rsidR="00185C71">
        <w:rPr>
          <w:iCs/>
          <w:sz w:val="28"/>
          <w:szCs w:val="28"/>
        </w:rPr>
        <w:t>,</w:t>
      </w:r>
      <w:r>
        <w:rPr>
          <w:iCs/>
          <w:sz w:val="28"/>
          <w:szCs w:val="28"/>
        </w:rPr>
        <w:t xml:space="preserve"> </w:t>
      </w:r>
      <w:r w:rsidR="00185C71">
        <w:rPr>
          <w:iCs/>
          <w:sz w:val="28"/>
          <w:szCs w:val="28"/>
        </w:rPr>
        <w:t xml:space="preserve">установленных </w:t>
      </w:r>
      <w:r>
        <w:rPr>
          <w:iCs/>
          <w:sz w:val="28"/>
          <w:szCs w:val="28"/>
        </w:rPr>
        <w:t xml:space="preserve">предельных индексов изменения размера вносимой гражданами платы за коммунальные услуги в соответствии с </w:t>
      </w:r>
      <w:r>
        <w:rPr>
          <w:i/>
          <w:sz w:val="28"/>
          <w:szCs w:val="28"/>
        </w:rPr>
        <w:t xml:space="preserve"> </w:t>
      </w:r>
      <w:r>
        <w:rPr>
          <w:sz w:val="28"/>
          <w:szCs w:val="28"/>
        </w:rPr>
        <w:t xml:space="preserve">постановлением Губернатора Новосибирской области от 24.12.2019 № 294 «О предельных (максимальных) индексах изменения размера вносимой гражданами платы за </w:t>
      </w:r>
      <w:r>
        <w:rPr>
          <w:sz w:val="28"/>
          <w:szCs w:val="28"/>
        </w:rPr>
        <w:lastRenderedPageBreak/>
        <w:t>коммунальные услуги в муниципальных образованиях Новосибирской области на 2020 год». Данным постановлением установлен предельный индекс изменения платы граждан с 1 июля 2020 года (</w:t>
      </w:r>
      <w:r w:rsidR="00F57F43">
        <w:rPr>
          <w:sz w:val="28"/>
          <w:szCs w:val="28"/>
        </w:rPr>
        <w:t xml:space="preserve">на </w:t>
      </w:r>
      <w:r>
        <w:rPr>
          <w:sz w:val="28"/>
          <w:szCs w:val="28"/>
        </w:rPr>
        <w:t xml:space="preserve">4,9 %) согласно распоряжению </w:t>
      </w:r>
      <w:r>
        <w:rPr>
          <w:rFonts w:eastAsiaTheme="minorHAnsi"/>
          <w:sz w:val="28"/>
          <w:szCs w:val="28"/>
          <w:lang w:eastAsia="en-US"/>
        </w:rPr>
        <w:t>Правительства Российской Федерации от 29.10.2019 № 2556-р.</w:t>
      </w:r>
    </w:p>
    <w:p w:rsidR="005727C2" w:rsidRDefault="005727C2" w:rsidP="005727C2">
      <w:pPr>
        <w:spacing w:after="0" w:line="240" w:lineRule="auto"/>
        <w:ind w:firstLine="709"/>
        <w:jc w:val="both"/>
        <w:rPr>
          <w:iCs/>
          <w:sz w:val="28"/>
          <w:szCs w:val="28"/>
        </w:rPr>
      </w:pPr>
      <w:r>
        <w:rPr>
          <w:iCs/>
          <w:sz w:val="28"/>
          <w:szCs w:val="28"/>
        </w:rPr>
        <w:t>Объективными причинами роста тарифов на тепловую энергию в 2020 году явились:</w:t>
      </w:r>
    </w:p>
    <w:p w:rsidR="005727C2" w:rsidRDefault="005727C2" w:rsidP="005727C2">
      <w:pPr>
        <w:spacing w:after="0" w:line="240" w:lineRule="auto"/>
        <w:jc w:val="both"/>
        <w:rPr>
          <w:iCs/>
          <w:sz w:val="28"/>
          <w:szCs w:val="28"/>
        </w:rPr>
      </w:pPr>
      <w:r>
        <w:rPr>
          <w:iCs/>
          <w:sz w:val="28"/>
          <w:szCs w:val="28"/>
        </w:rPr>
        <w:t>-прогнозный индекс потребительский цен - 103,0 %;</w:t>
      </w:r>
    </w:p>
    <w:p w:rsidR="005727C2" w:rsidRDefault="005727C2" w:rsidP="005727C2">
      <w:pPr>
        <w:spacing w:after="0" w:line="240" w:lineRule="auto"/>
        <w:jc w:val="both"/>
        <w:rPr>
          <w:iCs/>
          <w:sz w:val="28"/>
          <w:szCs w:val="28"/>
        </w:rPr>
      </w:pPr>
      <w:r>
        <w:rPr>
          <w:iCs/>
          <w:sz w:val="28"/>
          <w:szCs w:val="28"/>
        </w:rPr>
        <w:t>-прогнозный рост стоимости угля – 104,1 %;</w:t>
      </w:r>
    </w:p>
    <w:p w:rsidR="005727C2" w:rsidRDefault="005727C2" w:rsidP="005727C2">
      <w:pPr>
        <w:spacing w:after="0" w:line="240" w:lineRule="auto"/>
        <w:jc w:val="both"/>
        <w:rPr>
          <w:iCs/>
          <w:sz w:val="28"/>
          <w:szCs w:val="28"/>
        </w:rPr>
      </w:pPr>
      <w:r>
        <w:rPr>
          <w:iCs/>
          <w:sz w:val="28"/>
          <w:szCs w:val="28"/>
        </w:rPr>
        <w:t>-прогнозный рост стоимости электрической энергии - 104,8 %;</w:t>
      </w:r>
    </w:p>
    <w:p w:rsidR="005727C2" w:rsidRDefault="005727C2" w:rsidP="005727C2">
      <w:pPr>
        <w:spacing w:after="0" w:line="240" w:lineRule="auto"/>
        <w:jc w:val="both"/>
        <w:rPr>
          <w:iCs/>
          <w:sz w:val="28"/>
          <w:szCs w:val="28"/>
        </w:rPr>
      </w:pPr>
      <w:r>
        <w:rPr>
          <w:iCs/>
          <w:sz w:val="28"/>
          <w:szCs w:val="28"/>
        </w:rPr>
        <w:t>-прогнозный рост стоимости воды (стоков) с 01.07.2020  – 104,0 %.</w:t>
      </w:r>
    </w:p>
    <w:p w:rsidR="005727C2" w:rsidRDefault="005727C2" w:rsidP="005727C2">
      <w:pPr>
        <w:spacing w:after="0" w:line="240" w:lineRule="auto"/>
        <w:jc w:val="both"/>
        <w:rPr>
          <w:iCs/>
          <w:sz w:val="28"/>
          <w:szCs w:val="28"/>
        </w:rPr>
      </w:pPr>
      <w:r>
        <w:rPr>
          <w:iCs/>
          <w:sz w:val="28"/>
          <w:szCs w:val="28"/>
        </w:rPr>
        <w:t>-прогнозный рост стоимости природного газа с 01.07.2020 – 103,0 %;</w:t>
      </w:r>
    </w:p>
    <w:p w:rsidR="005727C2" w:rsidRDefault="005727C2" w:rsidP="005727C2">
      <w:pPr>
        <w:spacing w:after="0" w:line="240" w:lineRule="auto"/>
        <w:jc w:val="both"/>
        <w:rPr>
          <w:iCs/>
          <w:sz w:val="28"/>
          <w:szCs w:val="28"/>
        </w:rPr>
      </w:pPr>
      <w:r>
        <w:rPr>
          <w:iCs/>
          <w:sz w:val="28"/>
          <w:szCs w:val="28"/>
        </w:rPr>
        <w:t>-прогнозный рост тарифов на транспортировку природного газа с 01.07.2020 – 103,2 %.</w:t>
      </w:r>
    </w:p>
    <w:p w:rsidR="005727C2" w:rsidRDefault="005727C2" w:rsidP="005727C2">
      <w:pPr>
        <w:spacing w:after="0" w:line="240" w:lineRule="auto"/>
        <w:ind w:firstLine="709"/>
        <w:jc w:val="both"/>
        <w:rPr>
          <w:iCs/>
          <w:sz w:val="28"/>
          <w:szCs w:val="28"/>
        </w:rPr>
      </w:pPr>
      <w:r>
        <w:rPr>
          <w:iCs/>
          <w:sz w:val="28"/>
          <w:szCs w:val="28"/>
        </w:rPr>
        <w:t>Средневзвешенные тарифы на тепловую энергию по Новосибирской области (за исключением АО «СИБЭКО») на  2020 год составили:</w:t>
      </w:r>
    </w:p>
    <w:p w:rsidR="005727C2" w:rsidRPr="00371934" w:rsidRDefault="00371934" w:rsidP="00371934">
      <w:pPr>
        <w:spacing w:after="0" w:line="240" w:lineRule="auto"/>
        <w:ind w:firstLine="709"/>
        <w:jc w:val="right"/>
        <w:rPr>
          <w:iCs/>
        </w:rPr>
      </w:pPr>
      <w:r w:rsidRPr="00371934">
        <w:rPr>
          <w:iCs/>
        </w:rPr>
        <w:t>Таблица №2.2.3</w:t>
      </w:r>
    </w:p>
    <w:tbl>
      <w:tblPr>
        <w:tblW w:w="9876" w:type="dxa"/>
        <w:tblInd w:w="93" w:type="dxa"/>
        <w:tblLayout w:type="fixed"/>
        <w:tblLook w:val="04A0" w:firstRow="1" w:lastRow="0" w:firstColumn="1" w:lastColumn="0" w:noHBand="0" w:noVBand="1"/>
      </w:tblPr>
      <w:tblGrid>
        <w:gridCol w:w="1716"/>
        <w:gridCol w:w="1418"/>
        <w:gridCol w:w="1210"/>
        <w:gridCol w:w="1419"/>
        <w:gridCol w:w="1418"/>
        <w:gridCol w:w="1419"/>
        <w:gridCol w:w="1276"/>
      </w:tblGrid>
      <w:tr w:rsidR="005727C2" w:rsidTr="00371934">
        <w:trPr>
          <w:trHeight w:val="1260"/>
        </w:trPr>
        <w:tc>
          <w:tcPr>
            <w:tcW w:w="1716" w:type="dxa"/>
            <w:tcBorders>
              <w:top w:val="single" w:sz="4" w:space="0" w:color="auto"/>
              <w:left w:val="single" w:sz="4" w:space="0" w:color="auto"/>
              <w:bottom w:val="nil"/>
              <w:right w:val="single" w:sz="4" w:space="0" w:color="auto"/>
            </w:tcBorders>
            <w:noWrap/>
            <w:vAlign w:val="center"/>
            <w:hideMark/>
          </w:tcPr>
          <w:p w:rsidR="005727C2" w:rsidRDefault="005727C2">
            <w:pPr>
              <w:spacing w:after="0" w:line="240" w:lineRule="auto"/>
              <w:jc w:val="center"/>
              <w:rPr>
                <w:rFonts w:eastAsia="Times New Roman"/>
                <w:b/>
                <w:color w:val="000000"/>
                <w:lang w:eastAsia="en-US"/>
              </w:rPr>
            </w:pPr>
            <w:r>
              <w:rPr>
                <w:rFonts w:eastAsia="Times New Roman"/>
                <w:b/>
                <w:color w:val="000000"/>
                <w:lang w:eastAsia="en-US"/>
              </w:rPr>
              <w:t>Период:</w:t>
            </w:r>
          </w:p>
          <w:p w:rsidR="005727C2" w:rsidRDefault="005727C2">
            <w:pPr>
              <w:spacing w:after="0" w:line="240" w:lineRule="auto"/>
              <w:jc w:val="center"/>
              <w:rPr>
                <w:rFonts w:eastAsia="Times New Roman"/>
                <w:color w:val="000000"/>
                <w:lang w:eastAsia="en-US"/>
              </w:rPr>
            </w:pPr>
            <w:r>
              <w:rPr>
                <w:rFonts w:eastAsia="Times New Roman"/>
                <w:b/>
                <w:color w:val="000000"/>
                <w:lang w:eastAsia="en-US"/>
              </w:rPr>
              <w:t>2020 год</w:t>
            </w:r>
          </w:p>
        </w:tc>
        <w:tc>
          <w:tcPr>
            <w:tcW w:w="2628" w:type="dxa"/>
            <w:gridSpan w:val="2"/>
            <w:tcBorders>
              <w:top w:val="single" w:sz="4" w:space="0" w:color="auto"/>
              <w:left w:val="nil"/>
              <w:bottom w:val="single" w:sz="4" w:space="0" w:color="auto"/>
              <w:right w:val="single" w:sz="4" w:space="0" w:color="000000"/>
            </w:tcBorders>
            <w:vAlign w:val="center"/>
            <w:hideMark/>
          </w:tcPr>
          <w:p w:rsidR="005727C2" w:rsidRDefault="005727C2">
            <w:pPr>
              <w:spacing w:after="0" w:line="240" w:lineRule="auto"/>
              <w:jc w:val="center"/>
              <w:rPr>
                <w:rFonts w:eastAsia="Times New Roman"/>
                <w:color w:val="000000"/>
                <w:lang w:eastAsia="en-US"/>
              </w:rPr>
            </w:pPr>
            <w:r>
              <w:rPr>
                <w:rFonts w:eastAsia="Times New Roman"/>
                <w:color w:val="000000"/>
                <w:lang w:eastAsia="en-US"/>
              </w:rPr>
              <w:t>Средневзвешенный тариф по группе «Бюджетные потребители», руб./Гкал</w:t>
            </w:r>
          </w:p>
        </w:tc>
        <w:tc>
          <w:tcPr>
            <w:tcW w:w="2837" w:type="dxa"/>
            <w:gridSpan w:val="2"/>
            <w:tcBorders>
              <w:top w:val="single" w:sz="4" w:space="0" w:color="auto"/>
              <w:left w:val="nil"/>
              <w:bottom w:val="single" w:sz="4" w:space="0" w:color="auto"/>
              <w:right w:val="single" w:sz="4" w:space="0" w:color="000000"/>
            </w:tcBorders>
            <w:vAlign w:val="center"/>
            <w:hideMark/>
          </w:tcPr>
          <w:p w:rsidR="005727C2" w:rsidRDefault="005727C2">
            <w:pPr>
              <w:spacing w:after="0" w:line="240" w:lineRule="auto"/>
              <w:jc w:val="center"/>
              <w:rPr>
                <w:rFonts w:eastAsia="Times New Roman"/>
                <w:color w:val="000000"/>
                <w:lang w:eastAsia="en-US"/>
              </w:rPr>
            </w:pPr>
            <w:r>
              <w:rPr>
                <w:rFonts w:eastAsia="Times New Roman"/>
                <w:color w:val="000000"/>
                <w:lang w:eastAsia="en-US"/>
              </w:rPr>
              <w:t>Средневзвешенный тариф по группе «Прочие», руб./Гкал</w:t>
            </w:r>
          </w:p>
        </w:tc>
        <w:tc>
          <w:tcPr>
            <w:tcW w:w="2695" w:type="dxa"/>
            <w:gridSpan w:val="2"/>
            <w:tcBorders>
              <w:top w:val="single" w:sz="4" w:space="0" w:color="auto"/>
              <w:left w:val="nil"/>
              <w:bottom w:val="single" w:sz="4" w:space="0" w:color="auto"/>
              <w:right w:val="single" w:sz="4" w:space="0" w:color="000000"/>
            </w:tcBorders>
            <w:vAlign w:val="center"/>
            <w:hideMark/>
          </w:tcPr>
          <w:p w:rsidR="005727C2" w:rsidRDefault="005727C2">
            <w:pPr>
              <w:spacing w:after="0" w:line="240" w:lineRule="auto"/>
              <w:jc w:val="both"/>
              <w:rPr>
                <w:iCs/>
                <w:sz w:val="28"/>
                <w:szCs w:val="28"/>
                <w:lang w:eastAsia="en-US"/>
              </w:rPr>
            </w:pPr>
            <w:r>
              <w:rPr>
                <w:rFonts w:eastAsia="Times New Roman"/>
                <w:color w:val="000000"/>
                <w:lang w:eastAsia="en-US"/>
              </w:rPr>
              <w:t>Средневзвешенный тариф по группе «Население» руб./Гкал</w:t>
            </w:r>
          </w:p>
        </w:tc>
      </w:tr>
      <w:tr w:rsidR="005727C2" w:rsidTr="00371934">
        <w:trPr>
          <w:trHeight w:val="315"/>
        </w:trPr>
        <w:tc>
          <w:tcPr>
            <w:tcW w:w="1716" w:type="dxa"/>
            <w:tcBorders>
              <w:top w:val="nil"/>
              <w:left w:val="single" w:sz="4" w:space="0" w:color="auto"/>
              <w:bottom w:val="single" w:sz="4" w:space="0" w:color="auto"/>
              <w:right w:val="single" w:sz="4" w:space="0" w:color="auto"/>
            </w:tcBorders>
            <w:noWrap/>
            <w:vAlign w:val="bottom"/>
            <w:hideMark/>
          </w:tcPr>
          <w:p w:rsidR="005727C2" w:rsidRDefault="005727C2">
            <w:pPr>
              <w:spacing w:after="0" w:line="240" w:lineRule="auto"/>
              <w:rPr>
                <w:rFonts w:eastAsia="Times New Roman"/>
                <w:color w:val="000000"/>
                <w:lang w:eastAsia="en-US"/>
              </w:rPr>
            </w:pPr>
            <w:r>
              <w:rPr>
                <w:rFonts w:eastAsia="Times New Roman"/>
                <w:color w:val="000000"/>
                <w:lang w:eastAsia="en-US"/>
              </w:rPr>
              <w:t> </w:t>
            </w:r>
          </w:p>
        </w:tc>
        <w:tc>
          <w:tcPr>
            <w:tcW w:w="1418" w:type="dxa"/>
            <w:tcBorders>
              <w:top w:val="nil"/>
              <w:left w:val="nil"/>
              <w:bottom w:val="single" w:sz="4" w:space="0" w:color="auto"/>
              <w:right w:val="single" w:sz="4" w:space="0" w:color="auto"/>
            </w:tcBorders>
            <w:noWrap/>
            <w:vAlign w:val="center"/>
            <w:hideMark/>
          </w:tcPr>
          <w:p w:rsidR="005727C2" w:rsidRDefault="005727C2">
            <w:pPr>
              <w:spacing w:after="0" w:line="240" w:lineRule="auto"/>
              <w:jc w:val="center"/>
              <w:rPr>
                <w:rFonts w:eastAsia="Times New Roman"/>
                <w:color w:val="000000"/>
                <w:lang w:eastAsia="en-US"/>
              </w:rPr>
            </w:pPr>
            <w:r>
              <w:rPr>
                <w:rFonts w:eastAsia="Times New Roman"/>
                <w:color w:val="000000"/>
                <w:lang w:eastAsia="en-US"/>
              </w:rPr>
              <w:t>без НДС</w:t>
            </w:r>
          </w:p>
        </w:tc>
        <w:tc>
          <w:tcPr>
            <w:tcW w:w="1210" w:type="dxa"/>
            <w:tcBorders>
              <w:top w:val="nil"/>
              <w:left w:val="nil"/>
              <w:bottom w:val="single" w:sz="4" w:space="0" w:color="auto"/>
              <w:right w:val="single" w:sz="4" w:space="0" w:color="auto"/>
            </w:tcBorders>
            <w:noWrap/>
            <w:vAlign w:val="center"/>
            <w:hideMark/>
          </w:tcPr>
          <w:p w:rsidR="005727C2" w:rsidRDefault="005727C2">
            <w:pPr>
              <w:spacing w:after="0" w:line="240" w:lineRule="auto"/>
              <w:jc w:val="center"/>
              <w:rPr>
                <w:rFonts w:eastAsia="Times New Roman"/>
                <w:color w:val="000000"/>
                <w:lang w:eastAsia="en-US"/>
              </w:rPr>
            </w:pPr>
            <w:r>
              <w:rPr>
                <w:rFonts w:eastAsia="Times New Roman"/>
                <w:color w:val="000000"/>
                <w:lang w:eastAsia="en-US"/>
              </w:rPr>
              <w:t>с НДС</w:t>
            </w:r>
          </w:p>
        </w:tc>
        <w:tc>
          <w:tcPr>
            <w:tcW w:w="1419" w:type="dxa"/>
            <w:tcBorders>
              <w:top w:val="nil"/>
              <w:left w:val="nil"/>
              <w:bottom w:val="single" w:sz="4" w:space="0" w:color="auto"/>
              <w:right w:val="single" w:sz="4" w:space="0" w:color="auto"/>
            </w:tcBorders>
            <w:noWrap/>
            <w:vAlign w:val="center"/>
            <w:hideMark/>
          </w:tcPr>
          <w:p w:rsidR="005727C2" w:rsidRDefault="005727C2">
            <w:pPr>
              <w:spacing w:after="0" w:line="240" w:lineRule="auto"/>
              <w:jc w:val="center"/>
              <w:rPr>
                <w:rFonts w:eastAsia="Times New Roman"/>
                <w:color w:val="000000"/>
                <w:lang w:eastAsia="en-US"/>
              </w:rPr>
            </w:pPr>
            <w:r>
              <w:rPr>
                <w:rFonts w:eastAsia="Times New Roman"/>
                <w:color w:val="000000"/>
                <w:lang w:eastAsia="en-US"/>
              </w:rPr>
              <w:t>без НДС</w:t>
            </w:r>
          </w:p>
        </w:tc>
        <w:tc>
          <w:tcPr>
            <w:tcW w:w="1418" w:type="dxa"/>
            <w:tcBorders>
              <w:top w:val="nil"/>
              <w:left w:val="nil"/>
              <w:bottom w:val="single" w:sz="4" w:space="0" w:color="auto"/>
              <w:right w:val="single" w:sz="4" w:space="0" w:color="auto"/>
            </w:tcBorders>
            <w:noWrap/>
            <w:vAlign w:val="center"/>
            <w:hideMark/>
          </w:tcPr>
          <w:p w:rsidR="005727C2" w:rsidRDefault="005727C2">
            <w:pPr>
              <w:spacing w:after="0" w:line="240" w:lineRule="auto"/>
              <w:jc w:val="center"/>
              <w:rPr>
                <w:rFonts w:eastAsia="Times New Roman"/>
                <w:color w:val="000000"/>
                <w:lang w:eastAsia="en-US"/>
              </w:rPr>
            </w:pPr>
            <w:r>
              <w:rPr>
                <w:rFonts w:eastAsia="Times New Roman"/>
                <w:color w:val="000000"/>
                <w:lang w:eastAsia="en-US"/>
              </w:rPr>
              <w:t>с НДС</w:t>
            </w:r>
          </w:p>
        </w:tc>
        <w:tc>
          <w:tcPr>
            <w:tcW w:w="1419" w:type="dxa"/>
            <w:tcBorders>
              <w:top w:val="nil"/>
              <w:left w:val="nil"/>
              <w:bottom w:val="single" w:sz="4" w:space="0" w:color="auto"/>
              <w:right w:val="single" w:sz="4" w:space="0" w:color="auto"/>
            </w:tcBorders>
            <w:noWrap/>
            <w:vAlign w:val="center"/>
            <w:hideMark/>
          </w:tcPr>
          <w:p w:rsidR="005727C2" w:rsidRDefault="005727C2">
            <w:pPr>
              <w:spacing w:after="0" w:line="240" w:lineRule="auto"/>
              <w:jc w:val="center"/>
              <w:rPr>
                <w:rFonts w:eastAsia="Times New Roman"/>
                <w:color w:val="000000"/>
                <w:lang w:eastAsia="en-US"/>
              </w:rPr>
            </w:pPr>
            <w:r>
              <w:rPr>
                <w:rFonts w:eastAsia="Times New Roman"/>
                <w:color w:val="000000"/>
                <w:lang w:eastAsia="en-US"/>
              </w:rPr>
              <w:t>без НДС</w:t>
            </w:r>
          </w:p>
        </w:tc>
        <w:tc>
          <w:tcPr>
            <w:tcW w:w="1276" w:type="dxa"/>
            <w:tcBorders>
              <w:top w:val="nil"/>
              <w:left w:val="nil"/>
              <w:bottom w:val="single" w:sz="4" w:space="0" w:color="auto"/>
              <w:right w:val="single" w:sz="4" w:space="0" w:color="auto"/>
            </w:tcBorders>
            <w:noWrap/>
            <w:vAlign w:val="center"/>
            <w:hideMark/>
          </w:tcPr>
          <w:p w:rsidR="005727C2" w:rsidRDefault="005727C2">
            <w:pPr>
              <w:spacing w:after="0" w:line="240" w:lineRule="auto"/>
              <w:jc w:val="center"/>
              <w:rPr>
                <w:rFonts w:eastAsia="Times New Roman"/>
                <w:color w:val="000000"/>
                <w:lang w:eastAsia="en-US"/>
              </w:rPr>
            </w:pPr>
            <w:r>
              <w:rPr>
                <w:rFonts w:eastAsia="Times New Roman"/>
                <w:color w:val="000000"/>
                <w:lang w:eastAsia="en-US"/>
              </w:rPr>
              <w:t>с НДС</w:t>
            </w:r>
          </w:p>
        </w:tc>
      </w:tr>
      <w:tr w:rsidR="005727C2" w:rsidTr="00371934">
        <w:trPr>
          <w:trHeight w:val="484"/>
        </w:trPr>
        <w:tc>
          <w:tcPr>
            <w:tcW w:w="1716" w:type="dxa"/>
            <w:tcBorders>
              <w:top w:val="nil"/>
              <w:left w:val="single" w:sz="4" w:space="0" w:color="auto"/>
              <w:bottom w:val="single" w:sz="4" w:space="0" w:color="auto"/>
              <w:right w:val="single" w:sz="4" w:space="0" w:color="auto"/>
            </w:tcBorders>
            <w:noWrap/>
            <w:vAlign w:val="center"/>
            <w:hideMark/>
          </w:tcPr>
          <w:p w:rsidR="005727C2" w:rsidRDefault="005727C2">
            <w:pPr>
              <w:spacing w:after="0" w:line="240" w:lineRule="auto"/>
              <w:jc w:val="center"/>
              <w:rPr>
                <w:rFonts w:eastAsia="Times New Roman"/>
                <w:color w:val="000000"/>
                <w:lang w:eastAsia="en-US"/>
              </w:rPr>
            </w:pPr>
            <w:r>
              <w:rPr>
                <w:rFonts w:eastAsia="Times New Roman"/>
                <w:color w:val="000000"/>
                <w:lang w:eastAsia="en-US"/>
              </w:rPr>
              <w:t>I полугодие</w:t>
            </w:r>
          </w:p>
        </w:tc>
        <w:tc>
          <w:tcPr>
            <w:tcW w:w="1418" w:type="dxa"/>
            <w:tcBorders>
              <w:top w:val="nil"/>
              <w:left w:val="nil"/>
              <w:bottom w:val="single" w:sz="4" w:space="0" w:color="auto"/>
              <w:right w:val="single" w:sz="4" w:space="0" w:color="auto"/>
            </w:tcBorders>
            <w:noWrap/>
            <w:vAlign w:val="center"/>
            <w:hideMark/>
          </w:tcPr>
          <w:p w:rsidR="005727C2" w:rsidRDefault="005727C2">
            <w:pPr>
              <w:spacing w:after="0" w:line="240" w:lineRule="auto"/>
              <w:jc w:val="center"/>
              <w:rPr>
                <w:color w:val="000000"/>
                <w:lang w:eastAsia="en-US"/>
              </w:rPr>
            </w:pPr>
            <w:r>
              <w:rPr>
                <w:color w:val="000000"/>
                <w:lang w:eastAsia="en-US"/>
              </w:rPr>
              <w:t>1 556,46</w:t>
            </w:r>
          </w:p>
        </w:tc>
        <w:tc>
          <w:tcPr>
            <w:tcW w:w="1210" w:type="dxa"/>
            <w:tcBorders>
              <w:top w:val="nil"/>
              <w:left w:val="nil"/>
              <w:bottom w:val="single" w:sz="4" w:space="0" w:color="auto"/>
              <w:right w:val="single" w:sz="4" w:space="0" w:color="auto"/>
            </w:tcBorders>
            <w:noWrap/>
            <w:vAlign w:val="center"/>
            <w:hideMark/>
          </w:tcPr>
          <w:p w:rsidR="005727C2" w:rsidRDefault="005727C2">
            <w:pPr>
              <w:spacing w:after="0" w:line="240" w:lineRule="auto"/>
              <w:jc w:val="center"/>
              <w:rPr>
                <w:color w:val="000000"/>
                <w:lang w:eastAsia="en-US"/>
              </w:rPr>
            </w:pPr>
            <w:r>
              <w:rPr>
                <w:color w:val="000000"/>
                <w:lang w:eastAsia="en-US"/>
              </w:rPr>
              <w:t>1 725,73</w:t>
            </w:r>
          </w:p>
        </w:tc>
        <w:tc>
          <w:tcPr>
            <w:tcW w:w="1419" w:type="dxa"/>
            <w:tcBorders>
              <w:top w:val="nil"/>
              <w:left w:val="nil"/>
              <w:bottom w:val="single" w:sz="4" w:space="0" w:color="auto"/>
              <w:right w:val="single" w:sz="4" w:space="0" w:color="auto"/>
            </w:tcBorders>
            <w:noWrap/>
            <w:vAlign w:val="center"/>
            <w:hideMark/>
          </w:tcPr>
          <w:p w:rsidR="005727C2" w:rsidRDefault="005727C2">
            <w:pPr>
              <w:spacing w:after="0" w:line="240" w:lineRule="auto"/>
              <w:jc w:val="center"/>
              <w:rPr>
                <w:color w:val="000000"/>
                <w:lang w:eastAsia="en-US"/>
              </w:rPr>
            </w:pPr>
            <w:r>
              <w:rPr>
                <w:color w:val="000000"/>
                <w:lang w:eastAsia="en-US"/>
              </w:rPr>
              <w:t>1 389,15</w:t>
            </w:r>
          </w:p>
        </w:tc>
        <w:tc>
          <w:tcPr>
            <w:tcW w:w="1418" w:type="dxa"/>
            <w:tcBorders>
              <w:top w:val="nil"/>
              <w:left w:val="nil"/>
              <w:bottom w:val="single" w:sz="4" w:space="0" w:color="auto"/>
              <w:right w:val="single" w:sz="4" w:space="0" w:color="auto"/>
            </w:tcBorders>
            <w:noWrap/>
            <w:vAlign w:val="center"/>
            <w:hideMark/>
          </w:tcPr>
          <w:p w:rsidR="005727C2" w:rsidRDefault="005727C2">
            <w:pPr>
              <w:spacing w:after="0" w:line="240" w:lineRule="auto"/>
              <w:jc w:val="center"/>
              <w:rPr>
                <w:color w:val="000000"/>
                <w:lang w:eastAsia="en-US"/>
              </w:rPr>
            </w:pPr>
            <w:r>
              <w:rPr>
                <w:color w:val="000000"/>
                <w:lang w:eastAsia="en-US"/>
              </w:rPr>
              <w:t>1 608,83</w:t>
            </w:r>
          </w:p>
        </w:tc>
        <w:tc>
          <w:tcPr>
            <w:tcW w:w="1419" w:type="dxa"/>
            <w:tcBorders>
              <w:top w:val="nil"/>
              <w:left w:val="nil"/>
              <w:bottom w:val="single" w:sz="4" w:space="0" w:color="auto"/>
              <w:right w:val="single" w:sz="4" w:space="0" w:color="auto"/>
            </w:tcBorders>
            <w:noWrap/>
            <w:vAlign w:val="center"/>
            <w:hideMark/>
          </w:tcPr>
          <w:p w:rsidR="005727C2" w:rsidRDefault="005727C2">
            <w:pPr>
              <w:spacing w:after="0" w:line="240" w:lineRule="auto"/>
              <w:jc w:val="center"/>
              <w:rPr>
                <w:color w:val="000000"/>
                <w:lang w:eastAsia="en-US"/>
              </w:rPr>
            </w:pPr>
            <w:r>
              <w:rPr>
                <w:color w:val="000000"/>
                <w:lang w:eastAsia="en-US"/>
              </w:rPr>
              <w:t>1 423,77</w:t>
            </w:r>
          </w:p>
        </w:tc>
        <w:tc>
          <w:tcPr>
            <w:tcW w:w="1276" w:type="dxa"/>
            <w:tcBorders>
              <w:top w:val="nil"/>
              <w:left w:val="nil"/>
              <w:bottom w:val="single" w:sz="4" w:space="0" w:color="auto"/>
              <w:right w:val="single" w:sz="4" w:space="0" w:color="auto"/>
            </w:tcBorders>
            <w:noWrap/>
            <w:vAlign w:val="center"/>
            <w:hideMark/>
          </w:tcPr>
          <w:p w:rsidR="005727C2" w:rsidRDefault="005727C2">
            <w:pPr>
              <w:spacing w:after="0" w:line="240" w:lineRule="auto"/>
              <w:jc w:val="center"/>
              <w:rPr>
                <w:color w:val="000000"/>
                <w:lang w:eastAsia="en-US"/>
              </w:rPr>
            </w:pPr>
            <w:r>
              <w:rPr>
                <w:color w:val="000000"/>
                <w:lang w:eastAsia="en-US"/>
              </w:rPr>
              <w:t>1 633,31</w:t>
            </w:r>
          </w:p>
        </w:tc>
      </w:tr>
      <w:tr w:rsidR="005727C2" w:rsidTr="00371934">
        <w:trPr>
          <w:trHeight w:val="421"/>
        </w:trPr>
        <w:tc>
          <w:tcPr>
            <w:tcW w:w="1716" w:type="dxa"/>
            <w:tcBorders>
              <w:top w:val="nil"/>
              <w:left w:val="single" w:sz="4" w:space="0" w:color="auto"/>
              <w:bottom w:val="single" w:sz="4" w:space="0" w:color="auto"/>
              <w:right w:val="single" w:sz="4" w:space="0" w:color="auto"/>
            </w:tcBorders>
            <w:noWrap/>
            <w:vAlign w:val="center"/>
            <w:hideMark/>
          </w:tcPr>
          <w:p w:rsidR="005727C2" w:rsidRDefault="005727C2">
            <w:pPr>
              <w:spacing w:after="0" w:line="240" w:lineRule="auto"/>
              <w:jc w:val="center"/>
              <w:rPr>
                <w:rFonts w:eastAsia="Times New Roman"/>
                <w:color w:val="000000"/>
                <w:lang w:eastAsia="en-US"/>
              </w:rPr>
            </w:pPr>
            <w:r>
              <w:rPr>
                <w:rFonts w:eastAsia="Times New Roman"/>
                <w:color w:val="000000"/>
                <w:lang w:eastAsia="en-US"/>
              </w:rPr>
              <w:t>II полугодие</w:t>
            </w:r>
          </w:p>
        </w:tc>
        <w:tc>
          <w:tcPr>
            <w:tcW w:w="1418" w:type="dxa"/>
            <w:tcBorders>
              <w:top w:val="nil"/>
              <w:left w:val="nil"/>
              <w:bottom w:val="single" w:sz="4" w:space="0" w:color="auto"/>
              <w:right w:val="single" w:sz="4" w:space="0" w:color="auto"/>
            </w:tcBorders>
            <w:noWrap/>
            <w:vAlign w:val="center"/>
            <w:hideMark/>
          </w:tcPr>
          <w:p w:rsidR="005727C2" w:rsidRDefault="005727C2">
            <w:pPr>
              <w:spacing w:after="0" w:line="240" w:lineRule="auto"/>
              <w:jc w:val="center"/>
              <w:rPr>
                <w:color w:val="000000"/>
                <w:lang w:eastAsia="en-US"/>
              </w:rPr>
            </w:pPr>
            <w:r>
              <w:rPr>
                <w:color w:val="000000"/>
                <w:lang w:eastAsia="en-US"/>
              </w:rPr>
              <w:t>1 631,29</w:t>
            </w:r>
          </w:p>
        </w:tc>
        <w:tc>
          <w:tcPr>
            <w:tcW w:w="1210" w:type="dxa"/>
            <w:tcBorders>
              <w:top w:val="nil"/>
              <w:left w:val="nil"/>
              <w:bottom w:val="single" w:sz="4" w:space="0" w:color="auto"/>
              <w:right w:val="single" w:sz="4" w:space="0" w:color="auto"/>
            </w:tcBorders>
            <w:noWrap/>
            <w:vAlign w:val="center"/>
            <w:hideMark/>
          </w:tcPr>
          <w:p w:rsidR="005727C2" w:rsidRDefault="005727C2">
            <w:pPr>
              <w:spacing w:after="0" w:line="240" w:lineRule="auto"/>
              <w:jc w:val="center"/>
              <w:rPr>
                <w:color w:val="000000"/>
                <w:lang w:eastAsia="en-US"/>
              </w:rPr>
            </w:pPr>
            <w:r>
              <w:rPr>
                <w:color w:val="000000"/>
                <w:lang w:eastAsia="en-US"/>
              </w:rPr>
              <w:t>1 808,79</w:t>
            </w:r>
          </w:p>
        </w:tc>
        <w:tc>
          <w:tcPr>
            <w:tcW w:w="1419" w:type="dxa"/>
            <w:tcBorders>
              <w:top w:val="nil"/>
              <w:left w:val="nil"/>
              <w:bottom w:val="single" w:sz="4" w:space="0" w:color="auto"/>
              <w:right w:val="single" w:sz="4" w:space="0" w:color="auto"/>
            </w:tcBorders>
            <w:noWrap/>
            <w:vAlign w:val="center"/>
            <w:hideMark/>
          </w:tcPr>
          <w:p w:rsidR="005727C2" w:rsidRDefault="005727C2">
            <w:pPr>
              <w:spacing w:after="0" w:line="240" w:lineRule="auto"/>
              <w:jc w:val="center"/>
              <w:rPr>
                <w:color w:val="000000"/>
                <w:lang w:eastAsia="en-US"/>
              </w:rPr>
            </w:pPr>
            <w:r>
              <w:rPr>
                <w:color w:val="000000"/>
                <w:lang w:eastAsia="en-US"/>
              </w:rPr>
              <w:t>1 456,57</w:t>
            </w:r>
          </w:p>
        </w:tc>
        <w:tc>
          <w:tcPr>
            <w:tcW w:w="1418" w:type="dxa"/>
            <w:tcBorders>
              <w:top w:val="nil"/>
              <w:left w:val="nil"/>
              <w:bottom w:val="single" w:sz="4" w:space="0" w:color="auto"/>
              <w:right w:val="single" w:sz="4" w:space="0" w:color="auto"/>
            </w:tcBorders>
            <w:noWrap/>
            <w:vAlign w:val="center"/>
            <w:hideMark/>
          </w:tcPr>
          <w:p w:rsidR="005727C2" w:rsidRDefault="005727C2">
            <w:pPr>
              <w:spacing w:after="0" w:line="240" w:lineRule="auto"/>
              <w:jc w:val="center"/>
              <w:rPr>
                <w:color w:val="000000"/>
                <w:lang w:eastAsia="en-US"/>
              </w:rPr>
            </w:pPr>
            <w:r>
              <w:rPr>
                <w:color w:val="000000"/>
                <w:lang w:eastAsia="en-US"/>
              </w:rPr>
              <w:t>1 686,82</w:t>
            </w:r>
          </w:p>
        </w:tc>
        <w:tc>
          <w:tcPr>
            <w:tcW w:w="1419" w:type="dxa"/>
            <w:tcBorders>
              <w:top w:val="nil"/>
              <w:left w:val="nil"/>
              <w:bottom w:val="single" w:sz="4" w:space="0" w:color="auto"/>
              <w:right w:val="single" w:sz="4" w:space="0" w:color="auto"/>
            </w:tcBorders>
            <w:noWrap/>
            <w:vAlign w:val="center"/>
            <w:hideMark/>
          </w:tcPr>
          <w:p w:rsidR="005727C2" w:rsidRDefault="005727C2">
            <w:pPr>
              <w:spacing w:after="0" w:line="240" w:lineRule="auto"/>
              <w:jc w:val="center"/>
              <w:rPr>
                <w:color w:val="000000"/>
                <w:lang w:eastAsia="en-US"/>
              </w:rPr>
            </w:pPr>
            <w:r>
              <w:rPr>
                <w:color w:val="000000"/>
                <w:lang w:eastAsia="en-US"/>
              </w:rPr>
              <w:t>1 492,51</w:t>
            </w:r>
          </w:p>
        </w:tc>
        <w:tc>
          <w:tcPr>
            <w:tcW w:w="1276" w:type="dxa"/>
            <w:tcBorders>
              <w:top w:val="nil"/>
              <w:left w:val="nil"/>
              <w:bottom w:val="single" w:sz="4" w:space="0" w:color="auto"/>
              <w:right w:val="single" w:sz="4" w:space="0" w:color="auto"/>
            </w:tcBorders>
            <w:noWrap/>
            <w:vAlign w:val="center"/>
            <w:hideMark/>
          </w:tcPr>
          <w:p w:rsidR="005727C2" w:rsidRDefault="005727C2">
            <w:pPr>
              <w:spacing w:after="0" w:line="240" w:lineRule="auto"/>
              <w:jc w:val="center"/>
              <w:rPr>
                <w:color w:val="000000"/>
                <w:lang w:eastAsia="en-US"/>
              </w:rPr>
            </w:pPr>
            <w:r>
              <w:rPr>
                <w:color w:val="000000"/>
                <w:lang w:eastAsia="en-US"/>
              </w:rPr>
              <w:t>1 712,23</w:t>
            </w:r>
          </w:p>
        </w:tc>
      </w:tr>
    </w:tbl>
    <w:p w:rsidR="005727C2" w:rsidRDefault="005727C2" w:rsidP="005727C2">
      <w:pPr>
        <w:spacing w:after="0" w:line="240" w:lineRule="auto"/>
        <w:jc w:val="both"/>
        <w:rPr>
          <w:iCs/>
          <w:sz w:val="28"/>
          <w:szCs w:val="28"/>
        </w:rPr>
      </w:pPr>
    </w:p>
    <w:p w:rsidR="005727C2" w:rsidRDefault="005727C2" w:rsidP="005727C2">
      <w:pPr>
        <w:spacing w:after="0" w:line="240" w:lineRule="auto"/>
        <w:ind w:firstLine="709"/>
        <w:jc w:val="both"/>
        <w:rPr>
          <w:iCs/>
          <w:sz w:val="28"/>
          <w:szCs w:val="28"/>
        </w:rPr>
      </w:pPr>
      <w:r>
        <w:rPr>
          <w:iCs/>
          <w:sz w:val="28"/>
          <w:szCs w:val="28"/>
        </w:rPr>
        <w:t>Минимальные тарифы установлены на тепловую энергию, отпускаемую с коллекторов крупных газовых котельных Новосибирской области, у которых основным видом топлива является газ, поставляемый по минимальной оптовой цене, установленной ФАС России.</w:t>
      </w:r>
    </w:p>
    <w:p w:rsidR="005727C2" w:rsidRDefault="005727C2" w:rsidP="005727C2">
      <w:pPr>
        <w:tabs>
          <w:tab w:val="num" w:pos="1440"/>
        </w:tabs>
        <w:spacing w:after="0" w:line="240" w:lineRule="auto"/>
        <w:ind w:firstLine="709"/>
        <w:jc w:val="both"/>
        <w:rPr>
          <w:iCs/>
          <w:sz w:val="28"/>
          <w:szCs w:val="28"/>
        </w:rPr>
      </w:pPr>
      <w:r>
        <w:rPr>
          <w:iCs/>
          <w:sz w:val="28"/>
          <w:szCs w:val="28"/>
        </w:rPr>
        <w:t>Основная масса тарифов на тепловую энергию, установленных для сельских предприятий ЖКХ находится в диапазоне 1 950,00 – 2 250,00 руб./Гкал (НДС не предусмотрен, поскольку сельские ТСО работают на упрощённой системе налогообложения).</w:t>
      </w:r>
    </w:p>
    <w:p w:rsidR="005727C2" w:rsidRDefault="005727C2" w:rsidP="005727C2">
      <w:pPr>
        <w:spacing w:after="0" w:line="240" w:lineRule="auto"/>
        <w:ind w:firstLine="567"/>
        <w:jc w:val="both"/>
        <w:rPr>
          <w:iCs/>
          <w:sz w:val="28"/>
          <w:szCs w:val="28"/>
        </w:rPr>
      </w:pPr>
      <w:r>
        <w:rPr>
          <w:iCs/>
          <w:sz w:val="28"/>
          <w:szCs w:val="28"/>
        </w:rPr>
        <w:t>Основными факторами, влияющими на размер тарифа для котельных сельских ТСО, являются (в порядке значимости):</w:t>
      </w:r>
    </w:p>
    <w:p w:rsidR="005727C2" w:rsidRDefault="005727C2" w:rsidP="00763A8B">
      <w:pPr>
        <w:numPr>
          <w:ilvl w:val="0"/>
          <w:numId w:val="5"/>
        </w:numPr>
        <w:spacing w:after="0" w:line="240" w:lineRule="auto"/>
        <w:jc w:val="both"/>
        <w:rPr>
          <w:iCs/>
          <w:sz w:val="28"/>
          <w:szCs w:val="28"/>
        </w:rPr>
      </w:pPr>
      <w:r>
        <w:rPr>
          <w:iCs/>
          <w:sz w:val="28"/>
          <w:szCs w:val="28"/>
        </w:rPr>
        <w:t>низкий объём полезного отпуска тепловой энергии потребителям;</w:t>
      </w:r>
    </w:p>
    <w:p w:rsidR="005727C2" w:rsidRDefault="005727C2" w:rsidP="00763A8B">
      <w:pPr>
        <w:numPr>
          <w:ilvl w:val="0"/>
          <w:numId w:val="5"/>
        </w:numPr>
        <w:spacing w:after="0" w:line="240" w:lineRule="auto"/>
        <w:jc w:val="both"/>
        <w:rPr>
          <w:iCs/>
          <w:sz w:val="28"/>
          <w:szCs w:val="28"/>
        </w:rPr>
      </w:pPr>
      <w:r>
        <w:rPr>
          <w:iCs/>
          <w:sz w:val="28"/>
          <w:szCs w:val="28"/>
        </w:rPr>
        <w:t>техническое состояние тепловых сетей (</w:t>
      </w:r>
      <w:r w:rsidR="00371934">
        <w:rPr>
          <w:iCs/>
          <w:sz w:val="28"/>
          <w:szCs w:val="28"/>
        </w:rPr>
        <w:t xml:space="preserve">возникают </w:t>
      </w:r>
      <w:r>
        <w:rPr>
          <w:iCs/>
          <w:sz w:val="28"/>
          <w:szCs w:val="28"/>
        </w:rPr>
        <w:t xml:space="preserve">сверхнормативные потери) и оборудования котельных, в </w:t>
      </w:r>
      <w:r w:rsidR="00371934">
        <w:rPr>
          <w:iCs/>
          <w:sz w:val="28"/>
          <w:szCs w:val="28"/>
        </w:rPr>
        <w:t>связи,</w:t>
      </w:r>
      <w:r>
        <w:rPr>
          <w:iCs/>
          <w:sz w:val="28"/>
          <w:szCs w:val="28"/>
        </w:rPr>
        <w:t xml:space="preserve"> с чем </w:t>
      </w:r>
      <w:r w:rsidR="00371934">
        <w:rPr>
          <w:iCs/>
          <w:sz w:val="28"/>
          <w:szCs w:val="28"/>
        </w:rPr>
        <w:t>образуются</w:t>
      </w:r>
      <w:r>
        <w:rPr>
          <w:iCs/>
          <w:sz w:val="28"/>
          <w:szCs w:val="28"/>
        </w:rPr>
        <w:t xml:space="preserve"> высокие удельные расходы энергетических ресурсов;</w:t>
      </w:r>
    </w:p>
    <w:p w:rsidR="005727C2" w:rsidRDefault="00371934" w:rsidP="00763A8B">
      <w:pPr>
        <w:numPr>
          <w:ilvl w:val="0"/>
          <w:numId w:val="5"/>
        </w:numPr>
        <w:spacing w:after="0" w:line="240" w:lineRule="auto"/>
        <w:jc w:val="both"/>
        <w:rPr>
          <w:iCs/>
          <w:sz w:val="28"/>
          <w:szCs w:val="28"/>
        </w:rPr>
      </w:pPr>
      <w:r>
        <w:rPr>
          <w:iCs/>
          <w:sz w:val="28"/>
          <w:szCs w:val="28"/>
        </w:rPr>
        <w:t xml:space="preserve">низкая </w:t>
      </w:r>
      <w:r w:rsidR="005727C2">
        <w:rPr>
          <w:iCs/>
          <w:sz w:val="28"/>
          <w:szCs w:val="28"/>
        </w:rPr>
        <w:t>загрузка котельной;</w:t>
      </w:r>
    </w:p>
    <w:p w:rsidR="005727C2" w:rsidRDefault="005727C2" w:rsidP="00763A8B">
      <w:pPr>
        <w:numPr>
          <w:ilvl w:val="0"/>
          <w:numId w:val="5"/>
        </w:numPr>
        <w:tabs>
          <w:tab w:val="left" w:pos="9923"/>
        </w:tabs>
        <w:spacing w:after="0" w:line="240" w:lineRule="auto"/>
        <w:jc w:val="both"/>
        <w:rPr>
          <w:iCs/>
          <w:sz w:val="28"/>
          <w:szCs w:val="28"/>
        </w:rPr>
      </w:pPr>
      <w:r>
        <w:rPr>
          <w:iCs/>
          <w:sz w:val="28"/>
          <w:szCs w:val="28"/>
        </w:rPr>
        <w:t xml:space="preserve">удалённость угольной котельной от склада </w:t>
      </w:r>
      <w:r w:rsidR="00371934">
        <w:rPr>
          <w:iCs/>
          <w:sz w:val="28"/>
          <w:szCs w:val="28"/>
        </w:rPr>
        <w:t>«</w:t>
      </w:r>
      <w:r>
        <w:rPr>
          <w:iCs/>
          <w:sz w:val="28"/>
          <w:szCs w:val="28"/>
        </w:rPr>
        <w:t>Райтопа</w:t>
      </w:r>
      <w:r w:rsidR="00371934">
        <w:rPr>
          <w:iCs/>
          <w:sz w:val="28"/>
          <w:szCs w:val="28"/>
        </w:rPr>
        <w:t>»</w:t>
      </w:r>
      <w:r>
        <w:rPr>
          <w:iCs/>
          <w:sz w:val="28"/>
          <w:szCs w:val="28"/>
        </w:rPr>
        <w:t xml:space="preserve"> или иного поставщика</w:t>
      </w:r>
      <w:r w:rsidR="00371934">
        <w:rPr>
          <w:iCs/>
          <w:sz w:val="28"/>
          <w:szCs w:val="28"/>
        </w:rPr>
        <w:t xml:space="preserve"> угля</w:t>
      </w:r>
      <w:r>
        <w:rPr>
          <w:iCs/>
          <w:sz w:val="28"/>
          <w:szCs w:val="28"/>
        </w:rPr>
        <w:t xml:space="preserve">, в связи с чем возникают значительные затраты на транспортировку </w:t>
      </w:r>
      <w:r w:rsidR="00371934">
        <w:rPr>
          <w:iCs/>
          <w:sz w:val="28"/>
          <w:szCs w:val="28"/>
        </w:rPr>
        <w:t>топлива</w:t>
      </w:r>
      <w:r>
        <w:rPr>
          <w:iCs/>
          <w:sz w:val="28"/>
          <w:szCs w:val="28"/>
        </w:rPr>
        <w:t xml:space="preserve"> (транспортная составляющая в </w:t>
      </w:r>
      <w:r w:rsidR="00371934">
        <w:rPr>
          <w:iCs/>
          <w:sz w:val="28"/>
          <w:szCs w:val="28"/>
        </w:rPr>
        <w:t xml:space="preserve"> </w:t>
      </w:r>
      <w:r>
        <w:rPr>
          <w:iCs/>
          <w:sz w:val="28"/>
          <w:szCs w:val="28"/>
        </w:rPr>
        <w:t>стоимости топлива доходит до 25%).</w:t>
      </w:r>
    </w:p>
    <w:p w:rsidR="005727C2" w:rsidRDefault="005727C2" w:rsidP="005727C2">
      <w:pPr>
        <w:spacing w:after="0" w:line="240" w:lineRule="auto"/>
        <w:ind w:firstLine="709"/>
        <w:jc w:val="both"/>
        <w:rPr>
          <w:iCs/>
          <w:sz w:val="28"/>
          <w:szCs w:val="28"/>
        </w:rPr>
      </w:pPr>
      <w:r>
        <w:rPr>
          <w:iCs/>
          <w:sz w:val="28"/>
          <w:szCs w:val="28"/>
        </w:rPr>
        <w:t>Наряду с этим положительное влияние на размер тарифа оказывают следующие факторы:</w:t>
      </w:r>
    </w:p>
    <w:p w:rsidR="005727C2" w:rsidRDefault="005727C2" w:rsidP="00763A8B">
      <w:pPr>
        <w:numPr>
          <w:ilvl w:val="0"/>
          <w:numId w:val="6"/>
        </w:numPr>
        <w:spacing w:after="0" w:line="240" w:lineRule="auto"/>
        <w:jc w:val="both"/>
        <w:rPr>
          <w:iCs/>
          <w:sz w:val="28"/>
          <w:szCs w:val="28"/>
        </w:rPr>
      </w:pPr>
      <w:r>
        <w:rPr>
          <w:iCs/>
          <w:sz w:val="28"/>
          <w:szCs w:val="28"/>
        </w:rPr>
        <w:lastRenderedPageBreak/>
        <w:t>наличие у ТСО дополнительных источников дохода от иных видов деятельности, в отношении которых отсутствует государственное регулирование тарифов (у производственно-отопительных котельных тарифы ниже, чем у специализированных предприятий ЖКХ)</w:t>
      </w:r>
      <w:r w:rsidR="00185C71">
        <w:rPr>
          <w:iCs/>
          <w:sz w:val="28"/>
          <w:szCs w:val="28"/>
        </w:rPr>
        <w:t>.</w:t>
      </w:r>
    </w:p>
    <w:p w:rsidR="005727C2" w:rsidRDefault="005727C2" w:rsidP="005727C2">
      <w:pPr>
        <w:spacing w:after="0" w:line="240" w:lineRule="auto"/>
        <w:ind w:firstLine="567"/>
        <w:jc w:val="both"/>
        <w:rPr>
          <w:b/>
          <w:sz w:val="28"/>
          <w:szCs w:val="28"/>
        </w:rPr>
      </w:pPr>
    </w:p>
    <w:p w:rsidR="005727C2" w:rsidRPr="00F26C95" w:rsidRDefault="005727C2" w:rsidP="005727C2">
      <w:pPr>
        <w:spacing w:after="0" w:line="240" w:lineRule="auto"/>
        <w:jc w:val="both"/>
        <w:rPr>
          <w:b/>
          <w:sz w:val="28"/>
          <w:szCs w:val="28"/>
        </w:rPr>
      </w:pPr>
      <w:r w:rsidRPr="00F26C95">
        <w:rPr>
          <w:b/>
          <w:iCs/>
          <w:sz w:val="28"/>
          <w:szCs w:val="28"/>
        </w:rPr>
        <w:t xml:space="preserve">2.2.3. </w:t>
      </w:r>
      <w:r w:rsidRPr="00F26C95">
        <w:rPr>
          <w:b/>
          <w:sz w:val="28"/>
          <w:szCs w:val="28"/>
        </w:rPr>
        <w:t>Согласование долгосрочных параметров для концессионных соглашений и долгосрочных договоров аренды</w:t>
      </w:r>
    </w:p>
    <w:p w:rsidR="005727C2" w:rsidRDefault="005727C2" w:rsidP="005727C2">
      <w:pPr>
        <w:spacing w:after="0" w:line="240" w:lineRule="auto"/>
        <w:ind w:firstLine="567"/>
        <w:jc w:val="both"/>
        <w:rPr>
          <w:sz w:val="28"/>
          <w:szCs w:val="28"/>
        </w:rPr>
      </w:pPr>
      <w:r>
        <w:rPr>
          <w:sz w:val="28"/>
          <w:szCs w:val="28"/>
        </w:rPr>
        <w:t xml:space="preserve">В соответствии </w:t>
      </w:r>
      <w:hyperlink r:id="rId50" w:history="1">
        <w:r w:rsidRPr="00371934">
          <w:rPr>
            <w:sz w:val="28"/>
            <w:szCs w:val="28"/>
          </w:rPr>
          <w:t>со статьёй 28.1</w:t>
        </w:r>
      </w:hyperlink>
      <w:r w:rsidRPr="00371934">
        <w:rPr>
          <w:sz w:val="28"/>
          <w:szCs w:val="28"/>
        </w:rPr>
        <w:t xml:space="preserve"> Федерального закона № 190-ФЗ, </w:t>
      </w:r>
      <w:hyperlink r:id="rId51" w:history="1">
        <w:r w:rsidRPr="00371934">
          <w:rPr>
            <w:sz w:val="28"/>
            <w:szCs w:val="28"/>
          </w:rPr>
          <w:t>статьёй 23</w:t>
        </w:r>
      </w:hyperlink>
      <w:r>
        <w:rPr>
          <w:sz w:val="28"/>
          <w:szCs w:val="28"/>
        </w:rPr>
        <w:t xml:space="preserve"> Федерального закона</w:t>
      </w:r>
      <w:r w:rsidR="00F26C95">
        <w:rPr>
          <w:sz w:val="28"/>
          <w:szCs w:val="28"/>
        </w:rPr>
        <w:t xml:space="preserve"> от 21.06.2005 №115-ФЗ</w:t>
      </w:r>
      <w:r>
        <w:rPr>
          <w:sz w:val="28"/>
          <w:szCs w:val="28"/>
        </w:rPr>
        <w:t xml:space="preserve"> «О концессионных соглашениях», Главой </w:t>
      </w:r>
      <w:r>
        <w:rPr>
          <w:sz w:val="28"/>
          <w:szCs w:val="28"/>
          <w:lang w:val="en-US"/>
        </w:rPr>
        <w:t>IX</w:t>
      </w:r>
      <w:r>
        <w:rPr>
          <w:sz w:val="28"/>
          <w:szCs w:val="28"/>
        </w:rPr>
        <w:t xml:space="preserve"> Правил регулирования № 1075 </w:t>
      </w:r>
      <w:r w:rsidR="00F26C95">
        <w:rPr>
          <w:sz w:val="28"/>
          <w:szCs w:val="28"/>
        </w:rPr>
        <w:t>Д</w:t>
      </w:r>
      <w:r>
        <w:rPr>
          <w:sz w:val="28"/>
          <w:szCs w:val="28"/>
        </w:rPr>
        <w:t>епартаментом согласованы долгосрочные параметры регулирования и направлены сведения о ценах, значениях и параметрах, подлежащих представлению органом регулирования организатору конкурса, для следующих муниципальных образований Новосибирской области:</w:t>
      </w:r>
    </w:p>
    <w:p w:rsidR="005727C2" w:rsidRDefault="005727C2" w:rsidP="00763A8B">
      <w:pPr>
        <w:pStyle w:val="a6"/>
        <w:numPr>
          <w:ilvl w:val="0"/>
          <w:numId w:val="7"/>
        </w:numPr>
        <w:spacing w:after="0" w:line="240" w:lineRule="auto"/>
        <w:jc w:val="both"/>
        <w:rPr>
          <w:rFonts w:ascii="Times New Roman" w:eastAsia="MS Mincho" w:hAnsi="Times New Roman"/>
          <w:sz w:val="28"/>
          <w:szCs w:val="28"/>
          <w:lang w:eastAsia="ru-RU"/>
        </w:rPr>
      </w:pPr>
      <w:r>
        <w:rPr>
          <w:rFonts w:ascii="Times New Roman" w:eastAsia="MS Mincho" w:hAnsi="Times New Roman"/>
          <w:sz w:val="28"/>
          <w:szCs w:val="28"/>
          <w:lang w:eastAsia="ru-RU"/>
        </w:rPr>
        <w:t xml:space="preserve">Город Черепаново Черепановского района; </w:t>
      </w:r>
    </w:p>
    <w:p w:rsidR="005727C2" w:rsidRDefault="005727C2" w:rsidP="00763A8B">
      <w:pPr>
        <w:pStyle w:val="a6"/>
        <w:numPr>
          <w:ilvl w:val="0"/>
          <w:numId w:val="7"/>
        </w:numPr>
        <w:spacing w:after="0" w:line="240" w:lineRule="auto"/>
        <w:rPr>
          <w:rFonts w:ascii="Times New Roman" w:eastAsia="MS Mincho" w:hAnsi="Times New Roman"/>
          <w:sz w:val="28"/>
          <w:szCs w:val="28"/>
          <w:lang w:eastAsia="ru-RU"/>
        </w:rPr>
      </w:pPr>
      <w:r>
        <w:rPr>
          <w:rFonts w:ascii="Times New Roman" w:eastAsia="MS Mincho" w:hAnsi="Times New Roman"/>
          <w:sz w:val="28"/>
          <w:szCs w:val="28"/>
          <w:lang w:eastAsia="ru-RU"/>
        </w:rPr>
        <w:t>Город Черепаново Черепановского района (система теплоснабжения Западного района города Черепаново);</w:t>
      </w:r>
    </w:p>
    <w:p w:rsidR="005727C2" w:rsidRDefault="005727C2" w:rsidP="00763A8B">
      <w:pPr>
        <w:pStyle w:val="a6"/>
        <w:numPr>
          <w:ilvl w:val="0"/>
          <w:numId w:val="7"/>
        </w:numPr>
        <w:spacing w:after="0" w:line="240" w:lineRule="auto"/>
        <w:rPr>
          <w:rFonts w:ascii="Times New Roman" w:eastAsia="MS Mincho" w:hAnsi="Times New Roman"/>
          <w:sz w:val="28"/>
          <w:szCs w:val="28"/>
          <w:lang w:eastAsia="ru-RU"/>
        </w:rPr>
      </w:pPr>
      <w:r>
        <w:rPr>
          <w:rFonts w:ascii="Times New Roman" w:eastAsia="MS Mincho" w:hAnsi="Times New Roman"/>
          <w:sz w:val="28"/>
          <w:szCs w:val="28"/>
          <w:lang w:eastAsia="ru-RU"/>
        </w:rPr>
        <w:t>Город Черепаново Черепановского района (система теплоснабжения Восточного района города Черепаново);</w:t>
      </w:r>
    </w:p>
    <w:p w:rsidR="005727C2" w:rsidRDefault="005727C2" w:rsidP="00763A8B">
      <w:pPr>
        <w:pStyle w:val="a6"/>
        <w:numPr>
          <w:ilvl w:val="0"/>
          <w:numId w:val="7"/>
        </w:numPr>
        <w:spacing w:after="0" w:line="240" w:lineRule="auto"/>
        <w:rPr>
          <w:rFonts w:ascii="Times New Roman" w:eastAsia="MS Mincho" w:hAnsi="Times New Roman"/>
          <w:sz w:val="28"/>
          <w:szCs w:val="28"/>
          <w:lang w:eastAsia="ru-RU"/>
        </w:rPr>
      </w:pPr>
      <w:r>
        <w:rPr>
          <w:rFonts w:ascii="Times New Roman" w:eastAsia="MS Mincho" w:hAnsi="Times New Roman"/>
          <w:sz w:val="28"/>
          <w:szCs w:val="28"/>
          <w:lang w:eastAsia="ru-RU"/>
        </w:rPr>
        <w:t xml:space="preserve">Система теплоснабжения Куйбышевского района; </w:t>
      </w:r>
    </w:p>
    <w:p w:rsidR="005727C2" w:rsidRDefault="005727C2" w:rsidP="00763A8B">
      <w:pPr>
        <w:pStyle w:val="a6"/>
        <w:numPr>
          <w:ilvl w:val="0"/>
          <w:numId w:val="7"/>
        </w:numPr>
        <w:autoSpaceDE w:val="0"/>
        <w:autoSpaceDN w:val="0"/>
        <w:adjustRightInd w:val="0"/>
        <w:spacing w:after="0" w:line="240" w:lineRule="auto"/>
        <w:jc w:val="both"/>
        <w:rPr>
          <w:rFonts w:ascii="Times New Roman" w:eastAsia="MS Mincho" w:hAnsi="Times New Roman"/>
          <w:sz w:val="28"/>
          <w:szCs w:val="28"/>
          <w:lang w:eastAsia="ru-RU"/>
        </w:rPr>
      </w:pPr>
      <w:r>
        <w:rPr>
          <w:rFonts w:ascii="Times New Roman" w:eastAsia="MS Mincho" w:hAnsi="Times New Roman"/>
          <w:sz w:val="28"/>
          <w:szCs w:val="28"/>
          <w:lang w:eastAsia="ru-RU"/>
        </w:rPr>
        <w:t xml:space="preserve">Здвинский сельсовет Здвинского района; </w:t>
      </w:r>
    </w:p>
    <w:p w:rsidR="005727C2" w:rsidRDefault="005727C2" w:rsidP="00763A8B">
      <w:pPr>
        <w:pStyle w:val="a6"/>
        <w:numPr>
          <w:ilvl w:val="0"/>
          <w:numId w:val="7"/>
        </w:numPr>
        <w:spacing w:after="0" w:line="240" w:lineRule="auto"/>
        <w:rPr>
          <w:rFonts w:ascii="Times New Roman" w:eastAsia="MS Mincho" w:hAnsi="Times New Roman"/>
          <w:sz w:val="28"/>
          <w:szCs w:val="28"/>
          <w:lang w:eastAsia="ru-RU"/>
        </w:rPr>
      </w:pPr>
      <w:r>
        <w:rPr>
          <w:rFonts w:ascii="Times New Roman" w:eastAsia="MS Mincho" w:hAnsi="Times New Roman"/>
          <w:sz w:val="28"/>
          <w:szCs w:val="28"/>
          <w:lang w:eastAsia="ru-RU"/>
        </w:rPr>
        <w:t>Муниципальные образования и село Кыштовка Кыштовского района;</w:t>
      </w:r>
    </w:p>
    <w:p w:rsidR="005727C2" w:rsidRDefault="005727C2" w:rsidP="00763A8B">
      <w:pPr>
        <w:pStyle w:val="a6"/>
        <w:numPr>
          <w:ilvl w:val="0"/>
          <w:numId w:val="7"/>
        </w:numPr>
        <w:autoSpaceDE w:val="0"/>
        <w:autoSpaceDN w:val="0"/>
        <w:adjustRightInd w:val="0"/>
        <w:spacing w:after="0" w:line="240" w:lineRule="auto"/>
        <w:jc w:val="both"/>
        <w:rPr>
          <w:rFonts w:ascii="Times New Roman" w:eastAsia="MS Mincho" w:hAnsi="Times New Roman"/>
          <w:sz w:val="28"/>
          <w:szCs w:val="28"/>
          <w:lang w:eastAsia="ru-RU"/>
        </w:rPr>
      </w:pPr>
      <w:r>
        <w:rPr>
          <w:rFonts w:ascii="Times New Roman" w:eastAsia="MS Mincho" w:hAnsi="Times New Roman"/>
          <w:sz w:val="28"/>
          <w:szCs w:val="28"/>
          <w:lang w:eastAsia="ru-RU"/>
        </w:rPr>
        <w:t>Село Нижнечеремошное Красноозерского района;</w:t>
      </w:r>
    </w:p>
    <w:p w:rsidR="005727C2" w:rsidRDefault="005727C2" w:rsidP="00763A8B">
      <w:pPr>
        <w:pStyle w:val="a6"/>
        <w:numPr>
          <w:ilvl w:val="0"/>
          <w:numId w:val="7"/>
        </w:numPr>
        <w:autoSpaceDE w:val="0"/>
        <w:autoSpaceDN w:val="0"/>
        <w:adjustRightInd w:val="0"/>
        <w:spacing w:after="0" w:line="240" w:lineRule="auto"/>
        <w:jc w:val="both"/>
        <w:rPr>
          <w:rFonts w:ascii="Times New Roman" w:eastAsia="MS Mincho" w:hAnsi="Times New Roman"/>
          <w:sz w:val="28"/>
          <w:szCs w:val="28"/>
          <w:lang w:eastAsia="ru-RU"/>
        </w:rPr>
      </w:pPr>
      <w:r>
        <w:rPr>
          <w:rFonts w:ascii="Times New Roman" w:eastAsia="MS Mincho" w:hAnsi="Times New Roman"/>
          <w:sz w:val="28"/>
          <w:szCs w:val="28"/>
          <w:lang w:eastAsia="ru-RU"/>
        </w:rPr>
        <w:t>Рабочий поселок Горный Тогучинского района;</w:t>
      </w:r>
    </w:p>
    <w:p w:rsidR="005727C2" w:rsidRDefault="005727C2" w:rsidP="00763A8B">
      <w:pPr>
        <w:pStyle w:val="a6"/>
        <w:numPr>
          <w:ilvl w:val="0"/>
          <w:numId w:val="7"/>
        </w:numPr>
        <w:autoSpaceDE w:val="0"/>
        <w:autoSpaceDN w:val="0"/>
        <w:adjustRightInd w:val="0"/>
        <w:spacing w:after="0" w:line="240" w:lineRule="auto"/>
        <w:jc w:val="both"/>
        <w:rPr>
          <w:rFonts w:ascii="Times New Roman" w:eastAsia="MS Mincho" w:hAnsi="Times New Roman"/>
          <w:sz w:val="28"/>
          <w:szCs w:val="28"/>
          <w:lang w:eastAsia="ru-RU"/>
        </w:rPr>
      </w:pPr>
      <w:r>
        <w:rPr>
          <w:rFonts w:ascii="Times New Roman" w:eastAsia="MS Mincho" w:hAnsi="Times New Roman"/>
          <w:sz w:val="28"/>
          <w:szCs w:val="28"/>
          <w:lang w:eastAsia="ru-RU"/>
        </w:rPr>
        <w:t>Село Криводановка Новосибирского района.</w:t>
      </w:r>
    </w:p>
    <w:p w:rsidR="005727C2" w:rsidRDefault="005727C2" w:rsidP="005727C2">
      <w:pPr>
        <w:spacing w:after="0" w:line="240" w:lineRule="auto"/>
        <w:jc w:val="both"/>
        <w:rPr>
          <w:b/>
          <w:iCs/>
          <w:sz w:val="28"/>
          <w:szCs w:val="28"/>
        </w:rPr>
      </w:pPr>
    </w:p>
    <w:p w:rsidR="005727C2" w:rsidRPr="00F26C95" w:rsidRDefault="005727C2" w:rsidP="005727C2">
      <w:pPr>
        <w:spacing w:after="0" w:line="240" w:lineRule="auto"/>
        <w:jc w:val="both"/>
        <w:rPr>
          <w:b/>
          <w:iCs/>
          <w:sz w:val="28"/>
          <w:szCs w:val="28"/>
        </w:rPr>
      </w:pPr>
      <w:r w:rsidRPr="00F26C95">
        <w:rPr>
          <w:b/>
          <w:iCs/>
          <w:sz w:val="28"/>
          <w:szCs w:val="28"/>
        </w:rPr>
        <w:t>2.2.4. Установление н</w:t>
      </w:r>
      <w:r w:rsidRPr="00F26C95">
        <w:rPr>
          <w:b/>
          <w:sz w:val="28"/>
          <w:szCs w:val="28"/>
        </w:rPr>
        <w:t xml:space="preserve">ормативов </w:t>
      </w:r>
      <w:r w:rsidRPr="00F26C95">
        <w:rPr>
          <w:b/>
          <w:iCs/>
          <w:sz w:val="28"/>
          <w:szCs w:val="28"/>
        </w:rPr>
        <w:t>удельных расходов топлива, нормативов создания запасов топлива и нормативов потерь тепловой энергии</w:t>
      </w:r>
    </w:p>
    <w:p w:rsidR="005727C2" w:rsidRDefault="005727C2" w:rsidP="005727C2">
      <w:pPr>
        <w:spacing w:after="0" w:line="240" w:lineRule="auto"/>
        <w:ind w:firstLine="567"/>
        <w:jc w:val="both"/>
        <w:rPr>
          <w:iCs/>
          <w:sz w:val="28"/>
          <w:szCs w:val="28"/>
        </w:rPr>
      </w:pPr>
      <w:r>
        <w:rPr>
          <w:iCs/>
          <w:sz w:val="28"/>
          <w:szCs w:val="28"/>
        </w:rPr>
        <w:t xml:space="preserve">В 2019 году </w:t>
      </w:r>
      <w:r w:rsidR="00F26C95">
        <w:rPr>
          <w:iCs/>
          <w:sz w:val="28"/>
          <w:szCs w:val="28"/>
        </w:rPr>
        <w:t>Д</w:t>
      </w:r>
      <w:r>
        <w:rPr>
          <w:iCs/>
          <w:sz w:val="28"/>
          <w:szCs w:val="28"/>
        </w:rPr>
        <w:t xml:space="preserve">епартаментом утверждены нормативы удельных расходов топлива  </w:t>
      </w:r>
      <w:r>
        <w:rPr>
          <w:sz w:val="28"/>
          <w:szCs w:val="28"/>
        </w:rPr>
        <w:t>при производстве тепловой энергии</w:t>
      </w:r>
      <w:r>
        <w:rPr>
          <w:iCs/>
          <w:sz w:val="28"/>
          <w:szCs w:val="28"/>
        </w:rPr>
        <w:t xml:space="preserve">, нормативы создания запасов топлива и нормативы потерь тепловой энергии при её передаче по тепловым сетям. </w:t>
      </w:r>
    </w:p>
    <w:p w:rsidR="005727C2" w:rsidRDefault="005727C2" w:rsidP="005727C2">
      <w:pPr>
        <w:spacing w:after="0" w:line="240" w:lineRule="auto"/>
        <w:ind w:firstLine="567"/>
        <w:jc w:val="both"/>
        <w:rPr>
          <w:sz w:val="28"/>
          <w:szCs w:val="28"/>
        </w:rPr>
      </w:pPr>
      <w:r>
        <w:rPr>
          <w:color w:val="000000"/>
          <w:sz w:val="28"/>
          <w:szCs w:val="28"/>
        </w:rPr>
        <w:t xml:space="preserve">В соответствии с Федеральным законом № 190-ФЗ и </w:t>
      </w:r>
      <w:r>
        <w:rPr>
          <w:sz w:val="28"/>
          <w:szCs w:val="28"/>
        </w:rPr>
        <w:t xml:space="preserve">приказом Минэнерго России от 10.08.2012 № 377 «О порядке определения нормативов технологических потерь при передаче тепловой энергии, теплоносителя, нормативов удельного расхода топлива при производстве тепловой энергии, нормативов запасов топлива на источниках тепловой энергии (за исключением источников тепловой энергии, функционирующих в режиме комбинированной выработки электрической и тепловой энергии), в том числе в целях государственного регулирования цен (тарифов) в сфере теплоснабжения» приказами </w:t>
      </w:r>
      <w:r w:rsidR="00F26C95">
        <w:rPr>
          <w:sz w:val="28"/>
          <w:szCs w:val="28"/>
        </w:rPr>
        <w:t>Д</w:t>
      </w:r>
      <w:r>
        <w:rPr>
          <w:sz w:val="28"/>
          <w:szCs w:val="28"/>
        </w:rPr>
        <w:t xml:space="preserve">епартамента </w:t>
      </w:r>
      <w:r w:rsidRPr="00A92E7A">
        <w:rPr>
          <w:sz w:val="28"/>
          <w:szCs w:val="28"/>
        </w:rPr>
        <w:t>(</w:t>
      </w:r>
      <w:r w:rsidRPr="00A92E7A">
        <w:rPr>
          <w:sz w:val="28"/>
          <w:szCs w:val="28"/>
          <w:u w:val="single"/>
        </w:rPr>
        <w:t>всего 11 приказов</w:t>
      </w:r>
      <w:r w:rsidRPr="00A92E7A">
        <w:rPr>
          <w:sz w:val="28"/>
          <w:szCs w:val="28"/>
        </w:rPr>
        <w:t>)</w:t>
      </w:r>
      <w:r>
        <w:rPr>
          <w:sz w:val="28"/>
          <w:szCs w:val="28"/>
        </w:rPr>
        <w:t xml:space="preserve"> утверждены нормативы удельного расхода топлива при производстве тепловой энергии</w:t>
      </w:r>
      <w:r w:rsidR="00A92E7A">
        <w:rPr>
          <w:sz w:val="28"/>
          <w:szCs w:val="28"/>
        </w:rPr>
        <w:t xml:space="preserve"> (для 3 ТСО)</w:t>
      </w:r>
      <w:r>
        <w:rPr>
          <w:sz w:val="28"/>
          <w:szCs w:val="28"/>
        </w:rPr>
        <w:t xml:space="preserve"> и нормативы запасов топлива на источниках тепловой энергии (за исключением источников тепловой энергии, функционирующих в режиме комбинированной выработки электрической и тепловой энергии с установленной мощностью производства электрической энергии 25 мегаватт и более)</w:t>
      </w:r>
      <w:r w:rsidR="00A92E7A">
        <w:rPr>
          <w:sz w:val="28"/>
          <w:szCs w:val="28"/>
        </w:rPr>
        <w:t xml:space="preserve"> (для 67 ТСО)</w:t>
      </w:r>
      <w:r>
        <w:rPr>
          <w:sz w:val="28"/>
          <w:szCs w:val="28"/>
        </w:rPr>
        <w:t xml:space="preserve">, а также </w:t>
      </w:r>
      <w:r>
        <w:rPr>
          <w:iCs/>
          <w:sz w:val="28"/>
          <w:szCs w:val="28"/>
        </w:rPr>
        <w:t>нормативы потерь тепловой энергии при её передаче по тепловым сетям</w:t>
      </w:r>
      <w:r>
        <w:rPr>
          <w:sz w:val="28"/>
          <w:szCs w:val="28"/>
        </w:rPr>
        <w:t xml:space="preserve"> </w:t>
      </w:r>
      <w:r w:rsidR="00A92E7A">
        <w:rPr>
          <w:sz w:val="28"/>
          <w:szCs w:val="28"/>
        </w:rPr>
        <w:t xml:space="preserve"> (для 2 ТСО)</w:t>
      </w:r>
      <w:r>
        <w:rPr>
          <w:sz w:val="28"/>
          <w:szCs w:val="28"/>
        </w:rPr>
        <w:t xml:space="preserve"> Новосибирской области.</w:t>
      </w:r>
    </w:p>
    <w:p w:rsidR="005727C2" w:rsidRDefault="005727C2" w:rsidP="005727C2">
      <w:pPr>
        <w:autoSpaceDE w:val="0"/>
        <w:autoSpaceDN w:val="0"/>
        <w:adjustRightInd w:val="0"/>
        <w:spacing w:after="0" w:line="240" w:lineRule="auto"/>
        <w:ind w:firstLine="708"/>
        <w:jc w:val="both"/>
        <w:outlineLvl w:val="1"/>
        <w:rPr>
          <w:rFonts w:eastAsiaTheme="minorHAnsi"/>
          <w:sz w:val="28"/>
          <w:szCs w:val="28"/>
          <w:lang w:eastAsia="en-US"/>
        </w:rPr>
      </w:pPr>
      <w:r>
        <w:rPr>
          <w:rFonts w:eastAsiaTheme="minorHAnsi"/>
          <w:sz w:val="28"/>
          <w:szCs w:val="28"/>
          <w:lang w:eastAsia="en-US"/>
        </w:rPr>
        <w:t>Указанные нормативы формировались:</w:t>
      </w:r>
    </w:p>
    <w:p w:rsidR="005727C2" w:rsidRDefault="005727C2" w:rsidP="005727C2">
      <w:pPr>
        <w:autoSpaceDE w:val="0"/>
        <w:autoSpaceDN w:val="0"/>
        <w:adjustRightInd w:val="0"/>
        <w:spacing w:after="0" w:line="240" w:lineRule="auto"/>
        <w:ind w:firstLine="708"/>
        <w:jc w:val="both"/>
        <w:rPr>
          <w:rFonts w:eastAsiaTheme="minorHAnsi"/>
          <w:sz w:val="28"/>
          <w:szCs w:val="28"/>
          <w:lang w:eastAsia="en-US"/>
        </w:rPr>
      </w:pPr>
      <w:r>
        <w:rPr>
          <w:rFonts w:eastAsiaTheme="minorHAnsi"/>
          <w:sz w:val="28"/>
          <w:szCs w:val="28"/>
          <w:lang w:eastAsia="en-US"/>
        </w:rPr>
        <w:lastRenderedPageBreak/>
        <w:t>- для организаций в целом при возможности использования запасов топлива независимо от территориального расположения источников тепловой энергии и складов для хранения топлива;</w:t>
      </w:r>
    </w:p>
    <w:p w:rsidR="005727C2" w:rsidRDefault="005727C2" w:rsidP="005727C2">
      <w:pPr>
        <w:autoSpaceDE w:val="0"/>
        <w:autoSpaceDN w:val="0"/>
        <w:adjustRightInd w:val="0"/>
        <w:spacing w:after="0" w:line="240" w:lineRule="auto"/>
        <w:ind w:firstLine="708"/>
        <w:jc w:val="both"/>
        <w:rPr>
          <w:rFonts w:eastAsiaTheme="minorHAnsi"/>
          <w:sz w:val="28"/>
          <w:szCs w:val="28"/>
          <w:lang w:eastAsia="en-US"/>
        </w:rPr>
      </w:pPr>
      <w:r>
        <w:rPr>
          <w:rFonts w:eastAsiaTheme="minorHAnsi"/>
          <w:sz w:val="28"/>
          <w:szCs w:val="28"/>
          <w:lang w:eastAsia="en-US"/>
        </w:rPr>
        <w:t>- для обособленных подразделений (филиалов), территориально отдаленных от других подразделений организации.</w:t>
      </w:r>
    </w:p>
    <w:p w:rsidR="005727C2" w:rsidRDefault="005727C2" w:rsidP="005727C2">
      <w:pPr>
        <w:autoSpaceDE w:val="0"/>
        <w:autoSpaceDN w:val="0"/>
        <w:adjustRightInd w:val="0"/>
        <w:spacing w:after="0" w:line="240" w:lineRule="auto"/>
        <w:ind w:firstLine="708"/>
        <w:jc w:val="both"/>
        <w:rPr>
          <w:sz w:val="28"/>
          <w:szCs w:val="28"/>
        </w:rPr>
      </w:pPr>
      <w:r>
        <w:rPr>
          <w:rFonts w:eastAsiaTheme="minorHAnsi"/>
          <w:sz w:val="28"/>
          <w:szCs w:val="28"/>
          <w:lang w:eastAsia="en-US"/>
        </w:rPr>
        <w:t xml:space="preserve">Расчеты нормативов запасов топлива произведены </w:t>
      </w:r>
      <w:r w:rsidR="00F26C95">
        <w:rPr>
          <w:rFonts w:eastAsiaTheme="minorHAnsi"/>
          <w:sz w:val="28"/>
          <w:szCs w:val="28"/>
          <w:lang w:eastAsia="en-US"/>
        </w:rPr>
        <w:t>Д</w:t>
      </w:r>
      <w:r>
        <w:rPr>
          <w:rFonts w:eastAsiaTheme="minorHAnsi"/>
          <w:sz w:val="28"/>
          <w:szCs w:val="28"/>
          <w:lang w:eastAsia="en-US"/>
        </w:rPr>
        <w:t xml:space="preserve">епартаментом для теплоснабжающих организаций Новосибирской области, имеющих на своем балансе котельные с учетом поступивших обращений </w:t>
      </w:r>
      <w:r w:rsidR="00F26C95">
        <w:rPr>
          <w:rFonts w:eastAsiaTheme="minorHAnsi"/>
          <w:sz w:val="28"/>
          <w:szCs w:val="28"/>
          <w:lang w:eastAsia="en-US"/>
        </w:rPr>
        <w:t xml:space="preserve">от </w:t>
      </w:r>
      <w:r>
        <w:rPr>
          <w:rFonts w:eastAsiaTheme="minorHAnsi"/>
          <w:sz w:val="28"/>
          <w:szCs w:val="28"/>
          <w:lang w:eastAsia="en-US"/>
        </w:rPr>
        <w:t xml:space="preserve">ТСО. </w:t>
      </w:r>
    </w:p>
    <w:p w:rsidR="005727C2" w:rsidRDefault="005727C2" w:rsidP="005727C2">
      <w:pPr>
        <w:autoSpaceDE w:val="0"/>
        <w:autoSpaceDN w:val="0"/>
        <w:adjustRightInd w:val="0"/>
        <w:spacing w:after="0" w:line="240" w:lineRule="auto"/>
        <w:ind w:firstLine="708"/>
        <w:jc w:val="both"/>
        <w:rPr>
          <w:rFonts w:eastAsiaTheme="minorHAnsi"/>
          <w:sz w:val="28"/>
          <w:szCs w:val="28"/>
          <w:lang w:eastAsia="en-US"/>
        </w:rPr>
      </w:pPr>
      <w:r>
        <w:rPr>
          <w:rFonts w:eastAsiaTheme="minorHAnsi"/>
          <w:sz w:val="28"/>
          <w:szCs w:val="28"/>
          <w:lang w:eastAsia="en-US"/>
        </w:rPr>
        <w:t>Норматив запасов топлива на котельных рассчитывался как запас основного и резервного видов топлива и определялся по сумме объемов неснижаемого нормативного запаса топлива (ННЗТ) и нормативного эксплуатационного запаса топлива (НЭЗТ).</w:t>
      </w:r>
    </w:p>
    <w:p w:rsidR="005727C2" w:rsidRDefault="005727C2" w:rsidP="005727C2">
      <w:pPr>
        <w:autoSpaceDE w:val="0"/>
        <w:autoSpaceDN w:val="0"/>
        <w:adjustRightInd w:val="0"/>
        <w:spacing w:after="0" w:line="240" w:lineRule="auto"/>
        <w:ind w:firstLine="708"/>
        <w:jc w:val="both"/>
        <w:rPr>
          <w:rFonts w:eastAsiaTheme="minorHAnsi"/>
          <w:sz w:val="28"/>
          <w:szCs w:val="28"/>
          <w:lang w:eastAsia="en-US"/>
        </w:rPr>
      </w:pPr>
      <w:r>
        <w:rPr>
          <w:rFonts w:eastAsiaTheme="minorHAnsi"/>
          <w:sz w:val="28"/>
          <w:szCs w:val="28"/>
          <w:lang w:eastAsia="en-US"/>
        </w:rPr>
        <w:t xml:space="preserve">ННЗТ определялся для коммунальных предприятий, в состав которых входят котельные, в размере, обеспечивающем поддержание плюсовых температур в главном корпусе, вспомогательных зданиях и сооружениях в режиме «выживания» с минимальной расчетной тепловой нагрузкой по условиям самого холодного месяца года (январь), а также с учетом необходимости обеспечения их работы в условиях непредвиденных обстоятельств при невозможности использования или исчерпании НЭЗТ. </w:t>
      </w:r>
    </w:p>
    <w:p w:rsidR="005727C2" w:rsidRDefault="005727C2" w:rsidP="005727C2">
      <w:pPr>
        <w:autoSpaceDE w:val="0"/>
        <w:autoSpaceDN w:val="0"/>
        <w:adjustRightInd w:val="0"/>
        <w:spacing w:after="0" w:line="240" w:lineRule="auto"/>
        <w:ind w:firstLine="708"/>
        <w:jc w:val="both"/>
        <w:rPr>
          <w:rFonts w:eastAsiaTheme="minorHAnsi"/>
          <w:sz w:val="28"/>
          <w:szCs w:val="28"/>
          <w:lang w:eastAsia="en-US"/>
        </w:rPr>
      </w:pPr>
      <w:r>
        <w:rPr>
          <w:iCs/>
          <w:sz w:val="28"/>
          <w:szCs w:val="28"/>
        </w:rPr>
        <w:t>Нормативы удельных расходов топлива при производстве тепловой энергии на источниках тепловой энергии, а также нормативы потерь тепловой энергии при её передаче по тепловым сетям</w:t>
      </w:r>
      <w:r>
        <w:rPr>
          <w:sz w:val="28"/>
          <w:szCs w:val="28"/>
        </w:rPr>
        <w:t xml:space="preserve"> теплоснабжающих организаций, установленные 5-ю приказами департамента, учтены при формировании тарифов на тепловую энергию на 2020 год. </w:t>
      </w:r>
    </w:p>
    <w:p w:rsidR="005727C2" w:rsidRDefault="005727C2" w:rsidP="005727C2">
      <w:pPr>
        <w:tabs>
          <w:tab w:val="num" w:pos="284"/>
        </w:tabs>
        <w:spacing w:after="0" w:line="240" w:lineRule="auto"/>
        <w:ind w:firstLine="567"/>
        <w:jc w:val="both"/>
        <w:rPr>
          <w:iCs/>
          <w:sz w:val="18"/>
          <w:szCs w:val="18"/>
        </w:rPr>
      </w:pPr>
    </w:p>
    <w:p w:rsidR="005727C2" w:rsidRPr="00F26C95" w:rsidRDefault="005727C2" w:rsidP="005727C2">
      <w:pPr>
        <w:spacing w:after="0" w:line="240" w:lineRule="auto"/>
        <w:jc w:val="both"/>
        <w:rPr>
          <w:b/>
          <w:iCs/>
          <w:sz w:val="28"/>
          <w:szCs w:val="28"/>
        </w:rPr>
      </w:pPr>
      <w:r w:rsidRPr="00F26C95">
        <w:rPr>
          <w:b/>
          <w:iCs/>
          <w:sz w:val="28"/>
          <w:szCs w:val="28"/>
        </w:rPr>
        <w:t xml:space="preserve">2.2.5. </w:t>
      </w:r>
      <w:r w:rsidRPr="00F26C95">
        <w:rPr>
          <w:b/>
          <w:sz w:val="28"/>
          <w:szCs w:val="28"/>
        </w:rPr>
        <w:t>Энергосбережение и энергетическая эффективность организаций</w:t>
      </w:r>
    </w:p>
    <w:p w:rsidR="005727C2" w:rsidRDefault="005727C2" w:rsidP="005727C2">
      <w:pPr>
        <w:autoSpaceDE w:val="0"/>
        <w:autoSpaceDN w:val="0"/>
        <w:adjustRightInd w:val="0"/>
        <w:spacing w:after="0" w:line="240" w:lineRule="auto"/>
        <w:ind w:firstLine="709"/>
        <w:jc w:val="both"/>
        <w:rPr>
          <w:bCs/>
          <w:sz w:val="28"/>
          <w:szCs w:val="28"/>
        </w:rPr>
      </w:pPr>
      <w:r>
        <w:rPr>
          <w:sz w:val="28"/>
          <w:szCs w:val="28"/>
        </w:rPr>
        <w:t xml:space="preserve">В соответствии </w:t>
      </w:r>
      <w:r>
        <w:rPr>
          <w:bCs/>
          <w:sz w:val="28"/>
          <w:szCs w:val="28"/>
        </w:rPr>
        <w:t xml:space="preserve">с </w:t>
      </w:r>
      <w:r>
        <w:rPr>
          <w:sz w:val="28"/>
          <w:szCs w:val="28"/>
        </w:rPr>
        <w:t xml:space="preserve">Федеральным законом от 23.11.2009 № 261-ФЗ </w:t>
      </w:r>
      <w:r>
        <w:rPr>
          <w:sz w:val="28"/>
          <w:szCs w:val="28"/>
        </w:rPr>
        <w:br/>
        <w:t xml:space="preserve">«Об энергосбережении и о повышении энергетической эффективности и о внесении изменений в отдельные законодательные акты Российской Федерации», постановлением Правительства Российской Федерации от 15.05.2010 № 340 </w:t>
      </w:r>
      <w:r>
        <w:rPr>
          <w:sz w:val="28"/>
          <w:szCs w:val="28"/>
        </w:rPr>
        <w:br/>
        <w:t xml:space="preserve">«О порядке установления требований к программам в области энергосбережения и повышения энергетической эффективности организаций, осуществляющих регулируемые виды деятельности», приказом </w:t>
      </w:r>
      <w:r w:rsidR="00F26C95">
        <w:rPr>
          <w:sz w:val="28"/>
          <w:szCs w:val="28"/>
        </w:rPr>
        <w:t>Д</w:t>
      </w:r>
      <w:r>
        <w:rPr>
          <w:sz w:val="28"/>
          <w:szCs w:val="28"/>
        </w:rPr>
        <w:t xml:space="preserve">епартамента от 27.03.2018 №58-ТЭ (в редакции приказов от </w:t>
      </w:r>
      <w:r>
        <w:rPr>
          <w:rFonts w:eastAsiaTheme="minorHAnsi"/>
          <w:sz w:val="28"/>
          <w:szCs w:val="28"/>
          <w:lang w:eastAsia="en-US"/>
        </w:rPr>
        <w:t xml:space="preserve">15.01.2019 </w:t>
      </w:r>
      <w:hyperlink r:id="rId52" w:history="1">
        <w:r w:rsidRPr="00185C71">
          <w:rPr>
            <w:rStyle w:val="af0"/>
            <w:rFonts w:eastAsiaTheme="minorHAnsi"/>
            <w:color w:val="auto"/>
            <w:lang w:eastAsia="en-US"/>
          </w:rPr>
          <w:t>№ 14-ТЭ</w:t>
        </w:r>
      </w:hyperlink>
      <w:r w:rsidRPr="00185C71">
        <w:rPr>
          <w:rFonts w:eastAsiaTheme="minorHAnsi"/>
          <w:sz w:val="28"/>
          <w:szCs w:val="28"/>
          <w:lang w:eastAsia="en-US"/>
        </w:rPr>
        <w:t xml:space="preserve">, от 28.03.2019 </w:t>
      </w:r>
      <w:hyperlink r:id="rId53" w:history="1">
        <w:r w:rsidRPr="00185C71">
          <w:rPr>
            <w:rStyle w:val="af0"/>
            <w:rFonts w:eastAsiaTheme="minorHAnsi"/>
            <w:color w:val="auto"/>
            <w:lang w:eastAsia="en-US"/>
          </w:rPr>
          <w:t>№ 79-ТЭ</w:t>
        </w:r>
      </w:hyperlink>
      <w:r w:rsidRPr="00185C71">
        <w:rPr>
          <w:rFonts w:eastAsiaTheme="minorHAnsi"/>
          <w:sz w:val="28"/>
          <w:szCs w:val="28"/>
          <w:lang w:eastAsia="en-US"/>
        </w:rPr>
        <w:t xml:space="preserve">, от 09.07.2019 </w:t>
      </w:r>
      <w:hyperlink r:id="rId54" w:history="1">
        <w:r w:rsidRPr="00185C71">
          <w:rPr>
            <w:rStyle w:val="af0"/>
            <w:rFonts w:eastAsiaTheme="minorHAnsi"/>
            <w:color w:val="auto"/>
            <w:lang w:eastAsia="en-US"/>
          </w:rPr>
          <w:t>№ 200-ТЭ</w:t>
        </w:r>
      </w:hyperlink>
      <w:r w:rsidRPr="00185C71">
        <w:rPr>
          <w:rFonts w:eastAsiaTheme="minorHAnsi"/>
          <w:sz w:val="28"/>
          <w:szCs w:val="28"/>
          <w:lang w:eastAsia="en-US"/>
        </w:rPr>
        <w:t xml:space="preserve">, от 17.10.2019 </w:t>
      </w:r>
      <w:hyperlink r:id="rId55" w:history="1">
        <w:r w:rsidRPr="00185C71">
          <w:rPr>
            <w:rStyle w:val="af0"/>
            <w:rFonts w:eastAsiaTheme="minorHAnsi"/>
            <w:color w:val="auto"/>
            <w:lang w:eastAsia="en-US"/>
          </w:rPr>
          <w:t>№ 326-ТЭ</w:t>
        </w:r>
        <w:r w:rsidRPr="00185C71">
          <w:rPr>
            <w:rStyle w:val="af0"/>
            <w:bCs/>
            <w:color w:val="auto"/>
          </w:rPr>
          <w:t xml:space="preserve">) </w:t>
        </w:r>
      </w:hyperlink>
      <w:r w:rsidRPr="00185C71">
        <w:rPr>
          <w:bCs/>
          <w:sz w:val="28"/>
          <w:szCs w:val="28"/>
        </w:rPr>
        <w:t>установлены на период 2019-2021 годов требования к программам в области энергосбережения и повышения энергетической эффективности теплоснабжающих и те</w:t>
      </w:r>
      <w:r>
        <w:rPr>
          <w:bCs/>
          <w:sz w:val="28"/>
          <w:szCs w:val="28"/>
        </w:rPr>
        <w:t xml:space="preserve">плосетевых </w:t>
      </w:r>
      <w:r>
        <w:rPr>
          <w:sz w:val="28"/>
          <w:szCs w:val="28"/>
        </w:rPr>
        <w:t>организаций Новосибирской области</w:t>
      </w:r>
      <w:r>
        <w:rPr>
          <w:bCs/>
          <w:sz w:val="28"/>
          <w:szCs w:val="28"/>
        </w:rPr>
        <w:t xml:space="preserve">. </w:t>
      </w:r>
    </w:p>
    <w:p w:rsidR="005727C2" w:rsidRDefault="005727C2" w:rsidP="005727C2">
      <w:pPr>
        <w:pStyle w:val="a8"/>
        <w:ind w:firstLine="708"/>
        <w:jc w:val="both"/>
        <w:rPr>
          <w:sz w:val="28"/>
          <w:szCs w:val="28"/>
        </w:rPr>
      </w:pPr>
      <w:r>
        <w:rPr>
          <w:sz w:val="28"/>
          <w:szCs w:val="28"/>
        </w:rPr>
        <w:t>Департаментом осуществлялся контроль за фактическим исполнением установленных требований к программам в области энергосбережения и повышения энергетической эффективности в 2019 году. При этом 190 теплоснабжающих организаций представили отчеты за 2019 год о фактическом исполнении установленных требований к программам в области энергосбережения и повышения энергетической эффективности.</w:t>
      </w:r>
    </w:p>
    <w:p w:rsidR="005727C2" w:rsidRDefault="005727C2" w:rsidP="005727C2">
      <w:pPr>
        <w:spacing w:after="0" w:line="240" w:lineRule="auto"/>
        <w:ind w:firstLine="709"/>
        <w:jc w:val="both"/>
        <w:rPr>
          <w:bCs/>
          <w:sz w:val="16"/>
          <w:szCs w:val="16"/>
        </w:rPr>
      </w:pPr>
    </w:p>
    <w:p w:rsidR="00185C71" w:rsidRDefault="00185C71" w:rsidP="00364535">
      <w:pPr>
        <w:pStyle w:val="a8"/>
        <w:ind w:firstLine="567"/>
        <w:jc w:val="both"/>
        <w:rPr>
          <w:b/>
          <w:iCs/>
          <w:sz w:val="28"/>
          <w:szCs w:val="28"/>
        </w:rPr>
      </w:pPr>
    </w:p>
    <w:p w:rsidR="005727C2" w:rsidRPr="00F26C95" w:rsidRDefault="005727C2" w:rsidP="00364535">
      <w:pPr>
        <w:pStyle w:val="a8"/>
        <w:ind w:firstLine="567"/>
        <w:jc w:val="both"/>
        <w:rPr>
          <w:b/>
          <w:sz w:val="28"/>
          <w:szCs w:val="28"/>
        </w:rPr>
      </w:pPr>
      <w:r w:rsidRPr="00F26C95">
        <w:rPr>
          <w:b/>
          <w:iCs/>
          <w:sz w:val="28"/>
          <w:szCs w:val="28"/>
        </w:rPr>
        <w:lastRenderedPageBreak/>
        <w:t xml:space="preserve">2.2.6. </w:t>
      </w:r>
      <w:r w:rsidRPr="00F26C95">
        <w:rPr>
          <w:b/>
          <w:sz w:val="28"/>
          <w:szCs w:val="28"/>
        </w:rPr>
        <w:t>Установление платы за технологическое присоединение к тепловым сетям</w:t>
      </w:r>
    </w:p>
    <w:p w:rsidR="005727C2" w:rsidRDefault="005727C2" w:rsidP="005727C2">
      <w:pPr>
        <w:pStyle w:val="afa"/>
        <w:ind w:firstLine="709"/>
        <w:jc w:val="both"/>
        <w:rPr>
          <w:rFonts w:ascii="Times New Roman" w:hAnsi="Times New Roman" w:cs="Times New Roman"/>
          <w:b/>
          <w:sz w:val="28"/>
          <w:szCs w:val="28"/>
        </w:rPr>
      </w:pPr>
      <w:r>
        <w:rPr>
          <w:rFonts w:ascii="Times New Roman" w:hAnsi="Times New Roman" w:cs="Times New Roman"/>
          <w:sz w:val="28"/>
          <w:szCs w:val="28"/>
        </w:rPr>
        <w:t xml:space="preserve">В 2019 году отделом подготовлено 19 экспертных заключений, на основании которых </w:t>
      </w:r>
      <w:r w:rsidR="00F26C95">
        <w:rPr>
          <w:rFonts w:ascii="Times New Roman" w:hAnsi="Times New Roman" w:cs="Times New Roman"/>
          <w:sz w:val="28"/>
          <w:szCs w:val="28"/>
        </w:rPr>
        <w:t>П</w:t>
      </w:r>
      <w:r>
        <w:rPr>
          <w:rFonts w:ascii="Times New Roman" w:hAnsi="Times New Roman" w:cs="Times New Roman"/>
          <w:sz w:val="28"/>
          <w:szCs w:val="28"/>
        </w:rPr>
        <w:t>равлением департамента приняты решения по установлению платы за технологическое присоединение к тепловым сетям.</w:t>
      </w:r>
    </w:p>
    <w:p w:rsidR="005727C2" w:rsidRDefault="005727C2" w:rsidP="005727C2">
      <w:pPr>
        <w:pStyle w:val="afa"/>
        <w:ind w:firstLine="709"/>
        <w:jc w:val="both"/>
        <w:rPr>
          <w:rFonts w:ascii="Times New Roman" w:hAnsi="Times New Roman" w:cs="Times New Roman"/>
          <w:b/>
          <w:i/>
          <w:sz w:val="28"/>
          <w:szCs w:val="28"/>
        </w:rPr>
      </w:pPr>
      <w:r>
        <w:rPr>
          <w:rFonts w:ascii="Times New Roman" w:hAnsi="Times New Roman" w:cs="Times New Roman"/>
          <w:b/>
          <w:i/>
          <w:sz w:val="28"/>
          <w:szCs w:val="28"/>
        </w:rPr>
        <w:t>2.2.6.1. Установление платы за технологическое присоединение по индивидуальным проектам</w:t>
      </w:r>
    </w:p>
    <w:p w:rsidR="00C038BE" w:rsidRDefault="005727C2" w:rsidP="005727C2">
      <w:pPr>
        <w:pStyle w:val="afa"/>
        <w:ind w:firstLine="709"/>
        <w:jc w:val="both"/>
        <w:rPr>
          <w:rFonts w:ascii="Times New Roman" w:hAnsi="Times New Roman" w:cs="Times New Roman"/>
          <w:sz w:val="28"/>
          <w:szCs w:val="28"/>
        </w:rPr>
      </w:pPr>
      <w:r>
        <w:rPr>
          <w:rFonts w:ascii="Times New Roman" w:hAnsi="Times New Roman" w:cs="Times New Roman"/>
          <w:sz w:val="28"/>
          <w:szCs w:val="28"/>
        </w:rPr>
        <w:t xml:space="preserve">В 2019 году </w:t>
      </w:r>
      <w:r w:rsidR="00F26C95">
        <w:rPr>
          <w:rFonts w:ascii="Times New Roman" w:hAnsi="Times New Roman" w:cs="Times New Roman"/>
          <w:sz w:val="28"/>
          <w:szCs w:val="28"/>
        </w:rPr>
        <w:t>Д</w:t>
      </w:r>
      <w:r>
        <w:rPr>
          <w:rFonts w:ascii="Times New Roman" w:hAnsi="Times New Roman" w:cs="Times New Roman"/>
          <w:sz w:val="28"/>
          <w:szCs w:val="28"/>
        </w:rPr>
        <w:t>епартаментом установлен</w:t>
      </w:r>
      <w:r w:rsidR="00F26C95">
        <w:rPr>
          <w:rFonts w:ascii="Times New Roman" w:hAnsi="Times New Roman" w:cs="Times New Roman"/>
          <w:sz w:val="28"/>
          <w:szCs w:val="28"/>
        </w:rPr>
        <w:t>о</w:t>
      </w:r>
      <w:r>
        <w:rPr>
          <w:rFonts w:ascii="Times New Roman" w:hAnsi="Times New Roman" w:cs="Times New Roman"/>
          <w:sz w:val="28"/>
          <w:szCs w:val="28"/>
        </w:rPr>
        <w:t xml:space="preserve"> </w:t>
      </w:r>
      <w:r w:rsidR="00F26C95">
        <w:rPr>
          <w:rFonts w:ascii="Times New Roman" w:hAnsi="Times New Roman" w:cs="Times New Roman"/>
          <w:sz w:val="28"/>
          <w:szCs w:val="28"/>
        </w:rPr>
        <w:t xml:space="preserve">9 </w:t>
      </w:r>
      <w:r>
        <w:rPr>
          <w:rFonts w:ascii="Times New Roman" w:hAnsi="Times New Roman" w:cs="Times New Roman"/>
          <w:sz w:val="28"/>
          <w:szCs w:val="28"/>
        </w:rPr>
        <w:t>плат за технологическое присоединение к тепловым сетям по индивидуальн</w:t>
      </w:r>
      <w:r w:rsidR="00C038BE">
        <w:rPr>
          <w:rFonts w:ascii="Times New Roman" w:hAnsi="Times New Roman" w:cs="Times New Roman"/>
          <w:sz w:val="28"/>
          <w:szCs w:val="28"/>
        </w:rPr>
        <w:t>ым</w:t>
      </w:r>
      <w:r>
        <w:rPr>
          <w:rFonts w:ascii="Times New Roman" w:hAnsi="Times New Roman" w:cs="Times New Roman"/>
          <w:sz w:val="28"/>
          <w:szCs w:val="28"/>
        </w:rPr>
        <w:t xml:space="preserve"> проект</w:t>
      </w:r>
      <w:r w:rsidR="00C038BE">
        <w:rPr>
          <w:rFonts w:ascii="Times New Roman" w:hAnsi="Times New Roman" w:cs="Times New Roman"/>
          <w:sz w:val="28"/>
          <w:szCs w:val="28"/>
        </w:rPr>
        <w:t>ам</w:t>
      </w:r>
      <w:r>
        <w:rPr>
          <w:rFonts w:ascii="Times New Roman" w:hAnsi="Times New Roman" w:cs="Times New Roman"/>
          <w:sz w:val="28"/>
          <w:szCs w:val="28"/>
        </w:rPr>
        <w:t xml:space="preserve">. </w:t>
      </w:r>
      <w:r w:rsidR="00F26C95">
        <w:rPr>
          <w:rFonts w:ascii="Times New Roman" w:hAnsi="Times New Roman" w:cs="Times New Roman"/>
          <w:sz w:val="28"/>
          <w:szCs w:val="28"/>
        </w:rPr>
        <w:t xml:space="preserve"> </w:t>
      </w:r>
    </w:p>
    <w:p w:rsidR="005727C2" w:rsidRPr="00C038BE" w:rsidRDefault="00F26C95" w:rsidP="00C038BE">
      <w:pPr>
        <w:pStyle w:val="afa"/>
        <w:ind w:firstLine="709"/>
        <w:jc w:val="right"/>
        <w:rPr>
          <w:rFonts w:ascii="Times New Roman" w:hAnsi="Times New Roman" w:cs="Times New Roman"/>
          <w:b/>
          <w:sz w:val="24"/>
          <w:szCs w:val="24"/>
        </w:rPr>
      </w:pPr>
      <w:r w:rsidRPr="00C038BE">
        <w:rPr>
          <w:rFonts w:ascii="Times New Roman" w:hAnsi="Times New Roman" w:cs="Times New Roman"/>
          <w:sz w:val="24"/>
          <w:szCs w:val="24"/>
        </w:rPr>
        <w:t>Таблица № 2.2.5</w:t>
      </w:r>
    </w:p>
    <w:tbl>
      <w:tblPr>
        <w:tblW w:w="10160" w:type="dxa"/>
        <w:tblInd w:w="93" w:type="dxa"/>
        <w:tblLook w:val="04A0" w:firstRow="1" w:lastRow="0" w:firstColumn="1" w:lastColumn="0" w:noHBand="0" w:noVBand="1"/>
      </w:tblPr>
      <w:tblGrid>
        <w:gridCol w:w="531"/>
        <w:gridCol w:w="2319"/>
        <w:gridCol w:w="2127"/>
        <w:gridCol w:w="2173"/>
        <w:gridCol w:w="1229"/>
        <w:gridCol w:w="1781"/>
      </w:tblGrid>
      <w:tr w:rsidR="005727C2" w:rsidTr="00C038BE">
        <w:trPr>
          <w:trHeight w:val="922"/>
        </w:trPr>
        <w:tc>
          <w:tcPr>
            <w:tcW w:w="531" w:type="dxa"/>
            <w:tcBorders>
              <w:top w:val="single" w:sz="4" w:space="0" w:color="auto"/>
              <w:left w:val="single" w:sz="4" w:space="0" w:color="auto"/>
              <w:bottom w:val="single" w:sz="4" w:space="0" w:color="auto"/>
              <w:right w:val="single" w:sz="4" w:space="0" w:color="auto"/>
            </w:tcBorders>
            <w:vAlign w:val="center"/>
            <w:hideMark/>
          </w:tcPr>
          <w:p w:rsidR="005727C2" w:rsidRDefault="005727C2" w:rsidP="00364535">
            <w:pPr>
              <w:spacing w:after="0" w:line="240" w:lineRule="auto"/>
              <w:jc w:val="center"/>
              <w:rPr>
                <w:b/>
                <w:bCs/>
                <w:color w:val="000000"/>
                <w:lang w:eastAsia="en-US"/>
              </w:rPr>
            </w:pPr>
            <w:r>
              <w:rPr>
                <w:b/>
                <w:bCs/>
                <w:color w:val="000000"/>
                <w:sz w:val="22"/>
                <w:szCs w:val="22"/>
                <w:lang w:eastAsia="en-US"/>
              </w:rPr>
              <w:t>№ п/п</w:t>
            </w:r>
          </w:p>
        </w:tc>
        <w:tc>
          <w:tcPr>
            <w:tcW w:w="2319" w:type="dxa"/>
            <w:tcBorders>
              <w:top w:val="single" w:sz="4" w:space="0" w:color="auto"/>
              <w:left w:val="nil"/>
              <w:bottom w:val="single" w:sz="4" w:space="0" w:color="auto"/>
              <w:right w:val="single" w:sz="4" w:space="0" w:color="auto"/>
            </w:tcBorders>
            <w:vAlign w:val="center"/>
            <w:hideMark/>
          </w:tcPr>
          <w:p w:rsidR="005727C2" w:rsidRDefault="005727C2" w:rsidP="00364535">
            <w:pPr>
              <w:spacing w:after="0" w:line="240" w:lineRule="auto"/>
              <w:jc w:val="center"/>
              <w:rPr>
                <w:b/>
                <w:bCs/>
                <w:color w:val="000000"/>
                <w:lang w:eastAsia="en-US"/>
              </w:rPr>
            </w:pPr>
            <w:r>
              <w:rPr>
                <w:b/>
                <w:bCs/>
                <w:color w:val="000000"/>
                <w:sz w:val="22"/>
                <w:szCs w:val="22"/>
                <w:lang w:eastAsia="en-US"/>
              </w:rPr>
              <w:t>Приказ об установлении платы</w:t>
            </w:r>
          </w:p>
        </w:tc>
        <w:tc>
          <w:tcPr>
            <w:tcW w:w="2127" w:type="dxa"/>
            <w:tcBorders>
              <w:top w:val="single" w:sz="4" w:space="0" w:color="auto"/>
              <w:left w:val="nil"/>
              <w:bottom w:val="single" w:sz="4" w:space="0" w:color="auto"/>
              <w:right w:val="single" w:sz="4" w:space="0" w:color="auto"/>
            </w:tcBorders>
            <w:vAlign w:val="center"/>
            <w:hideMark/>
          </w:tcPr>
          <w:p w:rsidR="005727C2" w:rsidRDefault="005727C2" w:rsidP="00364535">
            <w:pPr>
              <w:spacing w:after="0" w:line="240" w:lineRule="auto"/>
              <w:jc w:val="center"/>
              <w:rPr>
                <w:b/>
                <w:bCs/>
                <w:color w:val="000000"/>
                <w:lang w:eastAsia="en-US"/>
              </w:rPr>
            </w:pPr>
            <w:r>
              <w:rPr>
                <w:b/>
                <w:bCs/>
                <w:color w:val="000000"/>
                <w:sz w:val="22"/>
                <w:szCs w:val="22"/>
                <w:lang w:eastAsia="en-US"/>
              </w:rPr>
              <w:t>Заявитель</w:t>
            </w:r>
          </w:p>
        </w:tc>
        <w:tc>
          <w:tcPr>
            <w:tcW w:w="2173" w:type="dxa"/>
            <w:tcBorders>
              <w:top w:val="single" w:sz="4" w:space="0" w:color="auto"/>
              <w:left w:val="nil"/>
              <w:bottom w:val="single" w:sz="4" w:space="0" w:color="auto"/>
              <w:right w:val="single" w:sz="4" w:space="0" w:color="auto"/>
            </w:tcBorders>
            <w:vAlign w:val="center"/>
            <w:hideMark/>
          </w:tcPr>
          <w:p w:rsidR="005727C2" w:rsidRDefault="005727C2" w:rsidP="00364535">
            <w:pPr>
              <w:spacing w:after="0" w:line="240" w:lineRule="auto"/>
              <w:jc w:val="center"/>
              <w:rPr>
                <w:b/>
                <w:bCs/>
                <w:color w:val="000000"/>
                <w:lang w:eastAsia="en-US"/>
              </w:rPr>
            </w:pPr>
            <w:r>
              <w:rPr>
                <w:b/>
                <w:bCs/>
                <w:color w:val="000000"/>
                <w:sz w:val="22"/>
                <w:szCs w:val="22"/>
                <w:lang w:eastAsia="en-US"/>
              </w:rPr>
              <w:t>Исполнитель</w:t>
            </w:r>
          </w:p>
        </w:tc>
        <w:tc>
          <w:tcPr>
            <w:tcW w:w="1229" w:type="dxa"/>
            <w:tcBorders>
              <w:top w:val="single" w:sz="4" w:space="0" w:color="auto"/>
              <w:left w:val="nil"/>
              <w:bottom w:val="single" w:sz="4" w:space="0" w:color="auto"/>
              <w:right w:val="single" w:sz="4" w:space="0" w:color="auto"/>
            </w:tcBorders>
            <w:vAlign w:val="center"/>
            <w:hideMark/>
          </w:tcPr>
          <w:p w:rsidR="005727C2" w:rsidRDefault="005727C2" w:rsidP="00364535">
            <w:pPr>
              <w:spacing w:after="0" w:line="240" w:lineRule="auto"/>
              <w:jc w:val="center"/>
              <w:rPr>
                <w:b/>
                <w:bCs/>
                <w:color w:val="000000"/>
                <w:lang w:eastAsia="en-US"/>
              </w:rPr>
            </w:pPr>
            <w:r>
              <w:rPr>
                <w:b/>
                <w:bCs/>
                <w:color w:val="000000"/>
                <w:sz w:val="22"/>
                <w:szCs w:val="22"/>
                <w:lang w:eastAsia="en-US"/>
              </w:rPr>
              <w:t>Размер платы,                                                                                             тыс. руб.                                           без НДС</w:t>
            </w:r>
          </w:p>
        </w:tc>
        <w:tc>
          <w:tcPr>
            <w:tcW w:w="1781" w:type="dxa"/>
            <w:tcBorders>
              <w:top w:val="single" w:sz="4" w:space="0" w:color="auto"/>
              <w:left w:val="nil"/>
              <w:bottom w:val="single" w:sz="4" w:space="0" w:color="auto"/>
              <w:right w:val="single" w:sz="4" w:space="0" w:color="auto"/>
            </w:tcBorders>
            <w:vAlign w:val="center"/>
            <w:hideMark/>
          </w:tcPr>
          <w:p w:rsidR="005727C2" w:rsidRDefault="005727C2" w:rsidP="00364535">
            <w:pPr>
              <w:spacing w:after="0" w:line="240" w:lineRule="auto"/>
              <w:jc w:val="center"/>
              <w:rPr>
                <w:b/>
                <w:bCs/>
                <w:color w:val="000000"/>
                <w:lang w:eastAsia="en-US"/>
              </w:rPr>
            </w:pPr>
            <w:r>
              <w:rPr>
                <w:b/>
                <w:bCs/>
                <w:color w:val="000000"/>
                <w:sz w:val="22"/>
                <w:szCs w:val="22"/>
                <w:lang w:eastAsia="en-US"/>
              </w:rPr>
              <w:t>Подключаемая тепловая нагрузка, Гкал/час</w:t>
            </w:r>
          </w:p>
        </w:tc>
      </w:tr>
      <w:tr w:rsidR="005727C2" w:rsidTr="00C038BE">
        <w:trPr>
          <w:trHeight w:val="943"/>
        </w:trPr>
        <w:tc>
          <w:tcPr>
            <w:tcW w:w="531" w:type="dxa"/>
            <w:tcBorders>
              <w:top w:val="nil"/>
              <w:left w:val="single" w:sz="4" w:space="0" w:color="auto"/>
              <w:bottom w:val="single" w:sz="4" w:space="0" w:color="auto"/>
              <w:right w:val="single" w:sz="4" w:space="0" w:color="auto"/>
            </w:tcBorders>
            <w:vAlign w:val="center"/>
            <w:hideMark/>
          </w:tcPr>
          <w:p w:rsidR="005727C2" w:rsidRDefault="005727C2" w:rsidP="00364535">
            <w:pPr>
              <w:spacing w:after="0" w:line="240" w:lineRule="auto"/>
              <w:jc w:val="center"/>
              <w:rPr>
                <w:color w:val="000000"/>
                <w:lang w:eastAsia="en-US"/>
              </w:rPr>
            </w:pPr>
            <w:r>
              <w:rPr>
                <w:color w:val="000000"/>
                <w:sz w:val="22"/>
                <w:szCs w:val="22"/>
                <w:lang w:eastAsia="en-US"/>
              </w:rPr>
              <w:t>1</w:t>
            </w:r>
          </w:p>
        </w:tc>
        <w:tc>
          <w:tcPr>
            <w:tcW w:w="2319" w:type="dxa"/>
            <w:tcBorders>
              <w:top w:val="nil"/>
              <w:left w:val="nil"/>
              <w:bottom w:val="single" w:sz="4" w:space="0" w:color="auto"/>
              <w:right w:val="single" w:sz="4" w:space="0" w:color="auto"/>
            </w:tcBorders>
            <w:vAlign w:val="center"/>
            <w:hideMark/>
          </w:tcPr>
          <w:p w:rsidR="005727C2" w:rsidRDefault="005727C2" w:rsidP="00364535">
            <w:pPr>
              <w:spacing w:after="0" w:line="240" w:lineRule="auto"/>
              <w:rPr>
                <w:color w:val="000000"/>
                <w:lang w:eastAsia="en-US"/>
              </w:rPr>
            </w:pPr>
            <w:r>
              <w:rPr>
                <w:color w:val="000000"/>
                <w:sz w:val="22"/>
                <w:szCs w:val="22"/>
                <w:lang w:eastAsia="en-US"/>
              </w:rPr>
              <w:t>от 26 марта 2019 года №77-ТЭ</w:t>
            </w:r>
          </w:p>
        </w:tc>
        <w:tc>
          <w:tcPr>
            <w:tcW w:w="2127" w:type="dxa"/>
            <w:tcBorders>
              <w:top w:val="nil"/>
              <w:left w:val="nil"/>
              <w:bottom w:val="single" w:sz="4" w:space="0" w:color="auto"/>
              <w:right w:val="single" w:sz="4" w:space="0" w:color="auto"/>
            </w:tcBorders>
            <w:vAlign w:val="center"/>
            <w:hideMark/>
          </w:tcPr>
          <w:p w:rsidR="005727C2" w:rsidRDefault="005727C2" w:rsidP="00364535">
            <w:pPr>
              <w:spacing w:after="0" w:line="240" w:lineRule="auto"/>
              <w:jc w:val="center"/>
              <w:rPr>
                <w:color w:val="000000"/>
                <w:lang w:eastAsia="en-US"/>
              </w:rPr>
            </w:pPr>
            <w:r>
              <w:rPr>
                <w:color w:val="000000"/>
                <w:sz w:val="22"/>
                <w:szCs w:val="22"/>
                <w:lang w:eastAsia="en-US"/>
              </w:rPr>
              <w:t>ООО «АКД»</w:t>
            </w:r>
          </w:p>
        </w:tc>
        <w:tc>
          <w:tcPr>
            <w:tcW w:w="2173" w:type="dxa"/>
            <w:tcBorders>
              <w:top w:val="nil"/>
              <w:left w:val="nil"/>
              <w:bottom w:val="single" w:sz="4" w:space="0" w:color="auto"/>
              <w:right w:val="single" w:sz="4" w:space="0" w:color="auto"/>
            </w:tcBorders>
            <w:vAlign w:val="center"/>
            <w:hideMark/>
          </w:tcPr>
          <w:p w:rsidR="005727C2" w:rsidRDefault="005727C2" w:rsidP="00364535">
            <w:pPr>
              <w:spacing w:after="0" w:line="240" w:lineRule="auto"/>
              <w:jc w:val="center"/>
              <w:rPr>
                <w:color w:val="000000"/>
                <w:lang w:eastAsia="en-US"/>
              </w:rPr>
            </w:pPr>
            <w:r>
              <w:rPr>
                <w:color w:val="000000"/>
                <w:sz w:val="22"/>
                <w:szCs w:val="22"/>
                <w:lang w:eastAsia="en-US"/>
              </w:rPr>
              <w:t>ФГУП «Энергетик»</w:t>
            </w:r>
          </w:p>
        </w:tc>
        <w:tc>
          <w:tcPr>
            <w:tcW w:w="1229" w:type="dxa"/>
            <w:tcBorders>
              <w:top w:val="nil"/>
              <w:left w:val="nil"/>
              <w:bottom w:val="single" w:sz="4" w:space="0" w:color="auto"/>
              <w:right w:val="single" w:sz="4" w:space="0" w:color="auto"/>
            </w:tcBorders>
            <w:vAlign w:val="center"/>
            <w:hideMark/>
          </w:tcPr>
          <w:p w:rsidR="005727C2" w:rsidRDefault="005727C2" w:rsidP="00364535">
            <w:pPr>
              <w:spacing w:after="0" w:line="240" w:lineRule="auto"/>
              <w:jc w:val="center"/>
              <w:rPr>
                <w:bCs/>
                <w:color w:val="000000"/>
                <w:lang w:eastAsia="en-US"/>
              </w:rPr>
            </w:pPr>
            <w:r>
              <w:rPr>
                <w:bCs/>
                <w:color w:val="000000"/>
                <w:sz w:val="22"/>
                <w:szCs w:val="22"/>
                <w:lang w:eastAsia="en-US"/>
              </w:rPr>
              <w:t>4 036,437</w:t>
            </w:r>
          </w:p>
        </w:tc>
        <w:tc>
          <w:tcPr>
            <w:tcW w:w="1781" w:type="dxa"/>
            <w:tcBorders>
              <w:top w:val="nil"/>
              <w:left w:val="nil"/>
              <w:bottom w:val="single" w:sz="4" w:space="0" w:color="auto"/>
              <w:right w:val="single" w:sz="4" w:space="0" w:color="auto"/>
            </w:tcBorders>
            <w:vAlign w:val="center"/>
            <w:hideMark/>
          </w:tcPr>
          <w:p w:rsidR="005727C2" w:rsidRDefault="005727C2" w:rsidP="00364535">
            <w:pPr>
              <w:spacing w:after="0" w:line="240" w:lineRule="auto"/>
              <w:jc w:val="center"/>
              <w:rPr>
                <w:color w:val="000000"/>
                <w:lang w:eastAsia="en-US"/>
              </w:rPr>
            </w:pPr>
            <w:r>
              <w:rPr>
                <w:color w:val="000000"/>
                <w:sz w:val="22"/>
                <w:szCs w:val="22"/>
                <w:lang w:eastAsia="en-US"/>
              </w:rPr>
              <w:t>1,00656</w:t>
            </w:r>
          </w:p>
        </w:tc>
      </w:tr>
      <w:tr w:rsidR="005727C2" w:rsidTr="00C038BE">
        <w:trPr>
          <w:trHeight w:val="419"/>
        </w:trPr>
        <w:tc>
          <w:tcPr>
            <w:tcW w:w="531" w:type="dxa"/>
            <w:tcBorders>
              <w:top w:val="single" w:sz="4" w:space="0" w:color="auto"/>
              <w:left w:val="single" w:sz="4" w:space="0" w:color="auto"/>
              <w:bottom w:val="single" w:sz="4" w:space="0" w:color="auto"/>
              <w:right w:val="single" w:sz="4" w:space="0" w:color="auto"/>
            </w:tcBorders>
            <w:vAlign w:val="center"/>
            <w:hideMark/>
          </w:tcPr>
          <w:p w:rsidR="005727C2" w:rsidRDefault="005727C2" w:rsidP="00364535">
            <w:pPr>
              <w:spacing w:after="0" w:line="240" w:lineRule="auto"/>
              <w:jc w:val="center"/>
              <w:rPr>
                <w:color w:val="000000"/>
                <w:lang w:eastAsia="en-US"/>
              </w:rPr>
            </w:pPr>
            <w:r>
              <w:rPr>
                <w:color w:val="000000"/>
                <w:sz w:val="22"/>
                <w:szCs w:val="22"/>
                <w:lang w:eastAsia="en-US"/>
              </w:rPr>
              <w:t>2</w:t>
            </w:r>
          </w:p>
        </w:tc>
        <w:tc>
          <w:tcPr>
            <w:tcW w:w="2319" w:type="dxa"/>
            <w:tcBorders>
              <w:top w:val="nil"/>
              <w:left w:val="single" w:sz="4" w:space="0" w:color="auto"/>
              <w:bottom w:val="single" w:sz="4" w:space="0" w:color="000000"/>
              <w:right w:val="single" w:sz="4" w:space="0" w:color="auto"/>
            </w:tcBorders>
            <w:vAlign w:val="center"/>
            <w:hideMark/>
          </w:tcPr>
          <w:p w:rsidR="005727C2" w:rsidRDefault="005727C2" w:rsidP="00364535">
            <w:pPr>
              <w:spacing w:after="0" w:line="240" w:lineRule="auto"/>
              <w:rPr>
                <w:color w:val="000000"/>
                <w:lang w:eastAsia="en-US"/>
              </w:rPr>
            </w:pPr>
            <w:r>
              <w:rPr>
                <w:color w:val="000000"/>
                <w:sz w:val="22"/>
                <w:szCs w:val="22"/>
                <w:lang w:eastAsia="en-US"/>
              </w:rPr>
              <w:t>от 18 июня 2019 года №176-ТЭ</w:t>
            </w:r>
          </w:p>
        </w:tc>
        <w:tc>
          <w:tcPr>
            <w:tcW w:w="2127" w:type="dxa"/>
            <w:tcBorders>
              <w:top w:val="nil"/>
              <w:left w:val="nil"/>
              <w:bottom w:val="single" w:sz="4" w:space="0" w:color="auto"/>
              <w:right w:val="single" w:sz="4" w:space="0" w:color="auto"/>
            </w:tcBorders>
            <w:vAlign w:val="center"/>
            <w:hideMark/>
          </w:tcPr>
          <w:p w:rsidR="005727C2" w:rsidRDefault="005727C2" w:rsidP="00364535">
            <w:pPr>
              <w:spacing w:after="0" w:line="240" w:lineRule="auto"/>
              <w:jc w:val="center"/>
              <w:rPr>
                <w:color w:val="000000"/>
                <w:lang w:eastAsia="en-US"/>
              </w:rPr>
            </w:pPr>
            <w:r>
              <w:rPr>
                <w:color w:val="000000"/>
                <w:sz w:val="22"/>
                <w:szCs w:val="22"/>
                <w:lang w:eastAsia="en-US"/>
              </w:rPr>
              <w:t>ООО «Жилой Комплекс «Светлановский»</w:t>
            </w:r>
          </w:p>
        </w:tc>
        <w:tc>
          <w:tcPr>
            <w:tcW w:w="2173" w:type="dxa"/>
            <w:tcBorders>
              <w:top w:val="nil"/>
              <w:left w:val="nil"/>
              <w:bottom w:val="single" w:sz="4" w:space="0" w:color="auto"/>
              <w:right w:val="single" w:sz="4" w:space="0" w:color="auto"/>
            </w:tcBorders>
            <w:vAlign w:val="center"/>
            <w:hideMark/>
          </w:tcPr>
          <w:p w:rsidR="005727C2" w:rsidRDefault="005727C2" w:rsidP="00364535">
            <w:pPr>
              <w:spacing w:after="0" w:line="240" w:lineRule="auto"/>
              <w:jc w:val="center"/>
              <w:rPr>
                <w:color w:val="000000"/>
                <w:lang w:eastAsia="en-US"/>
              </w:rPr>
            </w:pPr>
            <w:r>
              <w:rPr>
                <w:color w:val="000000"/>
                <w:sz w:val="22"/>
                <w:szCs w:val="22"/>
                <w:lang w:eastAsia="en-US"/>
              </w:rPr>
              <w:t>ЗАО «Экран-Энергия»</w:t>
            </w:r>
          </w:p>
        </w:tc>
        <w:tc>
          <w:tcPr>
            <w:tcW w:w="1229" w:type="dxa"/>
            <w:tcBorders>
              <w:top w:val="nil"/>
              <w:left w:val="nil"/>
              <w:bottom w:val="single" w:sz="4" w:space="0" w:color="auto"/>
              <w:right w:val="single" w:sz="4" w:space="0" w:color="auto"/>
            </w:tcBorders>
            <w:vAlign w:val="center"/>
            <w:hideMark/>
          </w:tcPr>
          <w:p w:rsidR="005727C2" w:rsidRDefault="005727C2" w:rsidP="00364535">
            <w:pPr>
              <w:spacing w:after="0" w:line="240" w:lineRule="auto"/>
              <w:jc w:val="center"/>
              <w:rPr>
                <w:bCs/>
                <w:color w:val="000000"/>
                <w:lang w:eastAsia="en-US"/>
              </w:rPr>
            </w:pPr>
            <w:r>
              <w:rPr>
                <w:bCs/>
                <w:color w:val="000000"/>
                <w:sz w:val="22"/>
                <w:szCs w:val="22"/>
                <w:lang w:eastAsia="en-US"/>
              </w:rPr>
              <w:t>7 544,006</w:t>
            </w:r>
          </w:p>
        </w:tc>
        <w:tc>
          <w:tcPr>
            <w:tcW w:w="1781" w:type="dxa"/>
            <w:tcBorders>
              <w:top w:val="nil"/>
              <w:left w:val="nil"/>
              <w:bottom w:val="single" w:sz="4" w:space="0" w:color="auto"/>
              <w:right w:val="single" w:sz="4" w:space="0" w:color="auto"/>
            </w:tcBorders>
            <w:vAlign w:val="center"/>
            <w:hideMark/>
          </w:tcPr>
          <w:p w:rsidR="005727C2" w:rsidRDefault="005727C2" w:rsidP="00364535">
            <w:pPr>
              <w:spacing w:after="0" w:line="240" w:lineRule="auto"/>
              <w:jc w:val="center"/>
              <w:rPr>
                <w:color w:val="000000"/>
                <w:lang w:eastAsia="en-US"/>
              </w:rPr>
            </w:pPr>
            <w:r>
              <w:rPr>
                <w:color w:val="000000"/>
                <w:sz w:val="22"/>
                <w:szCs w:val="22"/>
                <w:lang w:eastAsia="en-US"/>
              </w:rPr>
              <w:t>6,84812</w:t>
            </w:r>
          </w:p>
        </w:tc>
      </w:tr>
      <w:tr w:rsidR="005727C2" w:rsidTr="00C038BE">
        <w:trPr>
          <w:trHeight w:val="558"/>
        </w:trPr>
        <w:tc>
          <w:tcPr>
            <w:tcW w:w="531" w:type="dxa"/>
            <w:tcBorders>
              <w:top w:val="single" w:sz="4" w:space="0" w:color="auto"/>
              <w:left w:val="single" w:sz="4" w:space="0" w:color="auto"/>
              <w:bottom w:val="single" w:sz="4" w:space="0" w:color="auto"/>
              <w:right w:val="single" w:sz="4" w:space="0" w:color="auto"/>
            </w:tcBorders>
            <w:vAlign w:val="center"/>
            <w:hideMark/>
          </w:tcPr>
          <w:p w:rsidR="005727C2" w:rsidRDefault="005727C2" w:rsidP="00364535">
            <w:pPr>
              <w:spacing w:after="0" w:line="240" w:lineRule="auto"/>
              <w:jc w:val="center"/>
              <w:rPr>
                <w:color w:val="000000"/>
                <w:lang w:eastAsia="en-US"/>
              </w:rPr>
            </w:pPr>
            <w:r>
              <w:rPr>
                <w:color w:val="000000"/>
                <w:sz w:val="22"/>
                <w:szCs w:val="22"/>
                <w:lang w:eastAsia="en-US"/>
              </w:rPr>
              <w:t>3</w:t>
            </w:r>
          </w:p>
        </w:tc>
        <w:tc>
          <w:tcPr>
            <w:tcW w:w="2319" w:type="dxa"/>
            <w:tcBorders>
              <w:top w:val="nil"/>
              <w:left w:val="single" w:sz="4" w:space="0" w:color="auto"/>
              <w:bottom w:val="single" w:sz="4" w:space="0" w:color="000000"/>
              <w:right w:val="single" w:sz="4" w:space="0" w:color="auto"/>
            </w:tcBorders>
            <w:vAlign w:val="center"/>
            <w:hideMark/>
          </w:tcPr>
          <w:p w:rsidR="005727C2" w:rsidRDefault="005727C2" w:rsidP="00364535">
            <w:pPr>
              <w:spacing w:after="0" w:line="240" w:lineRule="auto"/>
              <w:rPr>
                <w:color w:val="000000"/>
                <w:lang w:eastAsia="en-US"/>
              </w:rPr>
            </w:pPr>
            <w:r>
              <w:rPr>
                <w:color w:val="000000"/>
                <w:sz w:val="22"/>
                <w:szCs w:val="22"/>
                <w:lang w:eastAsia="en-US"/>
              </w:rPr>
              <w:t>от 18 июня 2019 года №177-ТЭ</w:t>
            </w:r>
          </w:p>
        </w:tc>
        <w:tc>
          <w:tcPr>
            <w:tcW w:w="2127" w:type="dxa"/>
            <w:tcBorders>
              <w:top w:val="nil"/>
              <w:left w:val="nil"/>
              <w:bottom w:val="single" w:sz="4" w:space="0" w:color="auto"/>
              <w:right w:val="single" w:sz="4" w:space="0" w:color="auto"/>
            </w:tcBorders>
            <w:vAlign w:val="center"/>
            <w:hideMark/>
          </w:tcPr>
          <w:p w:rsidR="005727C2" w:rsidRDefault="005727C2" w:rsidP="00364535">
            <w:pPr>
              <w:spacing w:after="0" w:line="240" w:lineRule="auto"/>
              <w:jc w:val="center"/>
              <w:rPr>
                <w:color w:val="000000"/>
                <w:lang w:eastAsia="en-US"/>
              </w:rPr>
            </w:pPr>
            <w:r>
              <w:rPr>
                <w:color w:val="000000"/>
                <w:sz w:val="22"/>
                <w:szCs w:val="22"/>
                <w:lang w:eastAsia="en-US"/>
              </w:rPr>
              <w:t>АО «Национальные логистические технологии»</w:t>
            </w:r>
          </w:p>
        </w:tc>
        <w:tc>
          <w:tcPr>
            <w:tcW w:w="2173" w:type="dxa"/>
            <w:tcBorders>
              <w:top w:val="nil"/>
              <w:left w:val="nil"/>
              <w:bottom w:val="single" w:sz="4" w:space="0" w:color="auto"/>
              <w:right w:val="single" w:sz="4" w:space="0" w:color="auto"/>
            </w:tcBorders>
            <w:vAlign w:val="center"/>
            <w:hideMark/>
          </w:tcPr>
          <w:p w:rsidR="005727C2" w:rsidRDefault="005727C2" w:rsidP="00364535">
            <w:pPr>
              <w:spacing w:after="0" w:line="240" w:lineRule="auto"/>
              <w:jc w:val="center"/>
              <w:rPr>
                <w:color w:val="000000"/>
                <w:lang w:eastAsia="en-US"/>
              </w:rPr>
            </w:pPr>
            <w:r>
              <w:rPr>
                <w:color w:val="000000"/>
                <w:sz w:val="22"/>
                <w:szCs w:val="22"/>
                <w:lang w:eastAsia="en-US"/>
              </w:rPr>
              <w:t>АО «Аэропорт Толмачево»</w:t>
            </w:r>
          </w:p>
        </w:tc>
        <w:tc>
          <w:tcPr>
            <w:tcW w:w="1229" w:type="dxa"/>
            <w:tcBorders>
              <w:top w:val="nil"/>
              <w:left w:val="nil"/>
              <w:bottom w:val="single" w:sz="4" w:space="0" w:color="auto"/>
              <w:right w:val="single" w:sz="4" w:space="0" w:color="auto"/>
            </w:tcBorders>
            <w:vAlign w:val="center"/>
            <w:hideMark/>
          </w:tcPr>
          <w:p w:rsidR="005727C2" w:rsidRDefault="005727C2" w:rsidP="00364535">
            <w:pPr>
              <w:spacing w:after="0" w:line="240" w:lineRule="auto"/>
              <w:jc w:val="center"/>
              <w:rPr>
                <w:bCs/>
                <w:color w:val="000000"/>
                <w:lang w:eastAsia="en-US"/>
              </w:rPr>
            </w:pPr>
            <w:r>
              <w:rPr>
                <w:bCs/>
                <w:color w:val="000000"/>
                <w:sz w:val="22"/>
                <w:szCs w:val="22"/>
                <w:lang w:eastAsia="en-US"/>
              </w:rPr>
              <w:t>43 133,919</w:t>
            </w:r>
          </w:p>
        </w:tc>
        <w:tc>
          <w:tcPr>
            <w:tcW w:w="1781" w:type="dxa"/>
            <w:tcBorders>
              <w:top w:val="nil"/>
              <w:left w:val="nil"/>
              <w:bottom w:val="single" w:sz="4" w:space="0" w:color="auto"/>
              <w:right w:val="single" w:sz="4" w:space="0" w:color="auto"/>
            </w:tcBorders>
            <w:vAlign w:val="center"/>
            <w:hideMark/>
          </w:tcPr>
          <w:p w:rsidR="005727C2" w:rsidRDefault="005727C2" w:rsidP="00364535">
            <w:pPr>
              <w:spacing w:after="0" w:line="240" w:lineRule="auto"/>
              <w:jc w:val="center"/>
              <w:rPr>
                <w:color w:val="000000"/>
                <w:lang w:eastAsia="en-US"/>
              </w:rPr>
            </w:pPr>
            <w:r>
              <w:rPr>
                <w:color w:val="000000"/>
                <w:sz w:val="22"/>
                <w:szCs w:val="22"/>
                <w:lang w:eastAsia="en-US"/>
              </w:rPr>
              <w:t>5,351</w:t>
            </w:r>
          </w:p>
        </w:tc>
      </w:tr>
      <w:tr w:rsidR="005727C2" w:rsidTr="00C038BE">
        <w:trPr>
          <w:trHeight w:val="410"/>
        </w:trPr>
        <w:tc>
          <w:tcPr>
            <w:tcW w:w="531" w:type="dxa"/>
            <w:tcBorders>
              <w:top w:val="nil"/>
              <w:left w:val="single" w:sz="4" w:space="0" w:color="auto"/>
              <w:bottom w:val="single" w:sz="4" w:space="0" w:color="auto"/>
              <w:right w:val="single" w:sz="4" w:space="0" w:color="auto"/>
            </w:tcBorders>
            <w:vAlign w:val="center"/>
            <w:hideMark/>
          </w:tcPr>
          <w:p w:rsidR="005727C2" w:rsidRDefault="005727C2" w:rsidP="00364535">
            <w:pPr>
              <w:spacing w:after="0" w:line="240" w:lineRule="auto"/>
              <w:jc w:val="center"/>
              <w:rPr>
                <w:color w:val="000000"/>
                <w:lang w:eastAsia="en-US"/>
              </w:rPr>
            </w:pPr>
            <w:r>
              <w:rPr>
                <w:color w:val="000000"/>
                <w:sz w:val="22"/>
                <w:szCs w:val="22"/>
                <w:lang w:eastAsia="en-US"/>
              </w:rPr>
              <w:t>4</w:t>
            </w:r>
          </w:p>
        </w:tc>
        <w:tc>
          <w:tcPr>
            <w:tcW w:w="2319" w:type="dxa"/>
            <w:tcBorders>
              <w:top w:val="nil"/>
              <w:left w:val="single" w:sz="4" w:space="0" w:color="auto"/>
              <w:bottom w:val="single" w:sz="4" w:space="0" w:color="000000"/>
              <w:right w:val="single" w:sz="4" w:space="0" w:color="auto"/>
            </w:tcBorders>
            <w:vAlign w:val="center"/>
            <w:hideMark/>
          </w:tcPr>
          <w:p w:rsidR="005727C2" w:rsidRDefault="005727C2" w:rsidP="00364535">
            <w:pPr>
              <w:spacing w:after="0" w:line="240" w:lineRule="auto"/>
              <w:rPr>
                <w:color w:val="000000"/>
                <w:lang w:eastAsia="en-US"/>
              </w:rPr>
            </w:pPr>
            <w:r>
              <w:rPr>
                <w:color w:val="000000"/>
                <w:sz w:val="22"/>
                <w:szCs w:val="22"/>
                <w:lang w:eastAsia="en-US"/>
              </w:rPr>
              <w:t>от 1 октября 2019 года №268-ТЭ</w:t>
            </w:r>
          </w:p>
        </w:tc>
        <w:tc>
          <w:tcPr>
            <w:tcW w:w="2127" w:type="dxa"/>
            <w:tcBorders>
              <w:top w:val="nil"/>
              <w:left w:val="nil"/>
              <w:bottom w:val="single" w:sz="4" w:space="0" w:color="auto"/>
              <w:right w:val="single" w:sz="4" w:space="0" w:color="auto"/>
            </w:tcBorders>
            <w:vAlign w:val="center"/>
            <w:hideMark/>
          </w:tcPr>
          <w:p w:rsidR="005727C2" w:rsidRDefault="005727C2" w:rsidP="00364535">
            <w:pPr>
              <w:spacing w:after="0" w:line="240" w:lineRule="auto"/>
              <w:jc w:val="center"/>
              <w:rPr>
                <w:color w:val="000000"/>
                <w:lang w:eastAsia="en-US"/>
              </w:rPr>
            </w:pPr>
            <w:r>
              <w:rPr>
                <w:color w:val="000000"/>
                <w:sz w:val="22"/>
                <w:szCs w:val="22"/>
                <w:lang w:eastAsia="en-US"/>
              </w:rPr>
              <w:t>ООО «Дивногорский»</w:t>
            </w:r>
          </w:p>
        </w:tc>
        <w:tc>
          <w:tcPr>
            <w:tcW w:w="2173" w:type="dxa"/>
            <w:tcBorders>
              <w:top w:val="nil"/>
              <w:left w:val="nil"/>
              <w:bottom w:val="single" w:sz="4" w:space="0" w:color="auto"/>
              <w:right w:val="single" w:sz="4" w:space="0" w:color="auto"/>
            </w:tcBorders>
            <w:vAlign w:val="center"/>
            <w:hideMark/>
          </w:tcPr>
          <w:p w:rsidR="005727C2" w:rsidRDefault="005727C2" w:rsidP="00364535">
            <w:pPr>
              <w:spacing w:after="0" w:line="240" w:lineRule="auto"/>
              <w:jc w:val="center"/>
              <w:rPr>
                <w:color w:val="000000"/>
                <w:lang w:eastAsia="en-US"/>
              </w:rPr>
            </w:pPr>
            <w:r>
              <w:rPr>
                <w:color w:val="000000"/>
                <w:sz w:val="22"/>
                <w:szCs w:val="22"/>
                <w:lang w:eastAsia="en-US"/>
              </w:rPr>
              <w:t>ООО «УК Дивногорский»</w:t>
            </w:r>
          </w:p>
        </w:tc>
        <w:tc>
          <w:tcPr>
            <w:tcW w:w="1229" w:type="dxa"/>
            <w:tcBorders>
              <w:top w:val="nil"/>
              <w:left w:val="nil"/>
              <w:bottom w:val="single" w:sz="4" w:space="0" w:color="auto"/>
              <w:right w:val="single" w:sz="4" w:space="0" w:color="auto"/>
            </w:tcBorders>
            <w:vAlign w:val="center"/>
            <w:hideMark/>
          </w:tcPr>
          <w:p w:rsidR="005727C2" w:rsidRDefault="005727C2" w:rsidP="00364535">
            <w:pPr>
              <w:spacing w:after="0" w:line="240" w:lineRule="auto"/>
              <w:jc w:val="center"/>
              <w:rPr>
                <w:bCs/>
                <w:color w:val="000000"/>
                <w:lang w:eastAsia="en-US"/>
              </w:rPr>
            </w:pPr>
            <w:r>
              <w:rPr>
                <w:bCs/>
                <w:color w:val="000000"/>
                <w:sz w:val="22"/>
                <w:szCs w:val="22"/>
                <w:lang w:eastAsia="en-US"/>
              </w:rPr>
              <w:t>21 681,988</w:t>
            </w:r>
          </w:p>
        </w:tc>
        <w:tc>
          <w:tcPr>
            <w:tcW w:w="1781" w:type="dxa"/>
            <w:tcBorders>
              <w:top w:val="nil"/>
              <w:left w:val="nil"/>
              <w:bottom w:val="single" w:sz="4" w:space="0" w:color="auto"/>
              <w:right w:val="single" w:sz="4" w:space="0" w:color="auto"/>
            </w:tcBorders>
            <w:vAlign w:val="center"/>
            <w:hideMark/>
          </w:tcPr>
          <w:p w:rsidR="005727C2" w:rsidRDefault="005727C2" w:rsidP="00364535">
            <w:pPr>
              <w:spacing w:after="0" w:line="240" w:lineRule="auto"/>
              <w:jc w:val="center"/>
              <w:rPr>
                <w:color w:val="000000"/>
                <w:lang w:eastAsia="en-US"/>
              </w:rPr>
            </w:pPr>
            <w:r>
              <w:rPr>
                <w:color w:val="000000"/>
                <w:sz w:val="22"/>
                <w:szCs w:val="22"/>
                <w:lang w:eastAsia="en-US"/>
              </w:rPr>
              <w:t>3,87991</w:t>
            </w:r>
          </w:p>
        </w:tc>
      </w:tr>
      <w:tr w:rsidR="005727C2" w:rsidTr="00C038BE">
        <w:trPr>
          <w:trHeight w:val="559"/>
        </w:trPr>
        <w:tc>
          <w:tcPr>
            <w:tcW w:w="531" w:type="dxa"/>
            <w:tcBorders>
              <w:top w:val="nil"/>
              <w:left w:val="single" w:sz="4" w:space="0" w:color="auto"/>
              <w:bottom w:val="single" w:sz="4" w:space="0" w:color="auto"/>
              <w:right w:val="single" w:sz="4" w:space="0" w:color="auto"/>
            </w:tcBorders>
            <w:vAlign w:val="center"/>
            <w:hideMark/>
          </w:tcPr>
          <w:p w:rsidR="005727C2" w:rsidRDefault="005727C2" w:rsidP="00364535">
            <w:pPr>
              <w:spacing w:after="0" w:line="240" w:lineRule="auto"/>
              <w:jc w:val="center"/>
              <w:rPr>
                <w:color w:val="000000"/>
                <w:lang w:eastAsia="en-US"/>
              </w:rPr>
            </w:pPr>
            <w:r>
              <w:rPr>
                <w:color w:val="000000"/>
                <w:sz w:val="22"/>
                <w:szCs w:val="22"/>
                <w:lang w:eastAsia="en-US"/>
              </w:rPr>
              <w:t>5</w:t>
            </w:r>
          </w:p>
        </w:tc>
        <w:tc>
          <w:tcPr>
            <w:tcW w:w="2319" w:type="dxa"/>
            <w:tcBorders>
              <w:top w:val="nil"/>
              <w:left w:val="single" w:sz="4" w:space="0" w:color="auto"/>
              <w:bottom w:val="single" w:sz="4" w:space="0" w:color="000000"/>
              <w:right w:val="single" w:sz="4" w:space="0" w:color="auto"/>
            </w:tcBorders>
            <w:vAlign w:val="center"/>
            <w:hideMark/>
          </w:tcPr>
          <w:p w:rsidR="005727C2" w:rsidRDefault="005727C2" w:rsidP="00364535">
            <w:pPr>
              <w:spacing w:after="0" w:line="240" w:lineRule="auto"/>
              <w:rPr>
                <w:color w:val="000000"/>
                <w:lang w:eastAsia="en-US"/>
              </w:rPr>
            </w:pPr>
            <w:r>
              <w:rPr>
                <w:color w:val="000000"/>
                <w:sz w:val="22"/>
                <w:szCs w:val="22"/>
                <w:lang w:eastAsia="en-US"/>
              </w:rPr>
              <w:t>от 8 октября 2019 года № 301-ТЭ</w:t>
            </w:r>
          </w:p>
        </w:tc>
        <w:tc>
          <w:tcPr>
            <w:tcW w:w="2127" w:type="dxa"/>
            <w:tcBorders>
              <w:top w:val="nil"/>
              <w:left w:val="nil"/>
              <w:bottom w:val="single" w:sz="4" w:space="0" w:color="auto"/>
              <w:right w:val="single" w:sz="4" w:space="0" w:color="auto"/>
            </w:tcBorders>
            <w:vAlign w:val="center"/>
            <w:hideMark/>
          </w:tcPr>
          <w:p w:rsidR="005727C2" w:rsidRDefault="005727C2" w:rsidP="00364535">
            <w:pPr>
              <w:spacing w:after="0" w:line="240" w:lineRule="auto"/>
              <w:jc w:val="center"/>
              <w:rPr>
                <w:color w:val="000000"/>
                <w:lang w:eastAsia="en-US"/>
              </w:rPr>
            </w:pPr>
            <w:r>
              <w:rPr>
                <w:color w:val="000000"/>
                <w:sz w:val="22"/>
                <w:szCs w:val="22"/>
                <w:lang w:eastAsia="en-US"/>
              </w:rPr>
              <w:t>ИП Коротченко И.В.</w:t>
            </w:r>
          </w:p>
        </w:tc>
        <w:tc>
          <w:tcPr>
            <w:tcW w:w="2173" w:type="dxa"/>
            <w:tcBorders>
              <w:top w:val="nil"/>
              <w:left w:val="nil"/>
              <w:bottom w:val="single" w:sz="4" w:space="0" w:color="auto"/>
              <w:right w:val="single" w:sz="4" w:space="0" w:color="auto"/>
            </w:tcBorders>
            <w:vAlign w:val="center"/>
            <w:hideMark/>
          </w:tcPr>
          <w:p w:rsidR="005727C2" w:rsidRDefault="005727C2" w:rsidP="00364535">
            <w:pPr>
              <w:spacing w:after="0" w:line="240" w:lineRule="auto"/>
              <w:jc w:val="center"/>
              <w:rPr>
                <w:color w:val="000000"/>
                <w:lang w:eastAsia="en-US"/>
              </w:rPr>
            </w:pPr>
            <w:r>
              <w:rPr>
                <w:color w:val="000000"/>
                <w:sz w:val="22"/>
                <w:szCs w:val="22"/>
                <w:lang w:eastAsia="en-US"/>
              </w:rPr>
              <w:t>ФГУП «Энергетик»</w:t>
            </w:r>
          </w:p>
        </w:tc>
        <w:tc>
          <w:tcPr>
            <w:tcW w:w="1229" w:type="dxa"/>
            <w:tcBorders>
              <w:top w:val="nil"/>
              <w:left w:val="nil"/>
              <w:bottom w:val="single" w:sz="4" w:space="0" w:color="auto"/>
              <w:right w:val="single" w:sz="4" w:space="0" w:color="auto"/>
            </w:tcBorders>
            <w:vAlign w:val="center"/>
            <w:hideMark/>
          </w:tcPr>
          <w:p w:rsidR="005727C2" w:rsidRDefault="005727C2" w:rsidP="00364535">
            <w:pPr>
              <w:spacing w:after="0" w:line="240" w:lineRule="auto"/>
              <w:jc w:val="center"/>
              <w:rPr>
                <w:bCs/>
                <w:color w:val="000000"/>
                <w:lang w:eastAsia="en-US"/>
              </w:rPr>
            </w:pPr>
            <w:r>
              <w:rPr>
                <w:bCs/>
                <w:color w:val="000000"/>
                <w:sz w:val="22"/>
                <w:szCs w:val="22"/>
                <w:lang w:eastAsia="en-US"/>
              </w:rPr>
              <w:t>1 054,608</w:t>
            </w:r>
          </w:p>
        </w:tc>
        <w:tc>
          <w:tcPr>
            <w:tcW w:w="1781" w:type="dxa"/>
            <w:tcBorders>
              <w:top w:val="nil"/>
              <w:left w:val="nil"/>
              <w:bottom w:val="single" w:sz="4" w:space="0" w:color="auto"/>
              <w:right w:val="single" w:sz="4" w:space="0" w:color="auto"/>
            </w:tcBorders>
            <w:vAlign w:val="center"/>
            <w:hideMark/>
          </w:tcPr>
          <w:p w:rsidR="005727C2" w:rsidRDefault="005727C2" w:rsidP="00364535">
            <w:pPr>
              <w:spacing w:after="0" w:line="240" w:lineRule="auto"/>
              <w:jc w:val="center"/>
              <w:rPr>
                <w:color w:val="000000"/>
                <w:lang w:eastAsia="en-US"/>
              </w:rPr>
            </w:pPr>
            <w:r>
              <w:rPr>
                <w:color w:val="000000"/>
                <w:sz w:val="22"/>
                <w:szCs w:val="22"/>
                <w:lang w:eastAsia="en-US"/>
              </w:rPr>
              <w:t>0,27749</w:t>
            </w:r>
          </w:p>
        </w:tc>
      </w:tr>
      <w:tr w:rsidR="005727C2" w:rsidTr="00C038BE">
        <w:trPr>
          <w:trHeight w:val="417"/>
        </w:trPr>
        <w:tc>
          <w:tcPr>
            <w:tcW w:w="531" w:type="dxa"/>
            <w:tcBorders>
              <w:top w:val="nil"/>
              <w:left w:val="single" w:sz="4" w:space="0" w:color="auto"/>
              <w:bottom w:val="single" w:sz="4" w:space="0" w:color="auto"/>
              <w:right w:val="single" w:sz="4" w:space="0" w:color="auto"/>
            </w:tcBorders>
            <w:vAlign w:val="center"/>
            <w:hideMark/>
          </w:tcPr>
          <w:p w:rsidR="005727C2" w:rsidRDefault="005727C2" w:rsidP="00364535">
            <w:pPr>
              <w:spacing w:after="0" w:line="240" w:lineRule="auto"/>
              <w:jc w:val="center"/>
              <w:rPr>
                <w:color w:val="000000"/>
                <w:lang w:eastAsia="en-US"/>
              </w:rPr>
            </w:pPr>
            <w:r>
              <w:rPr>
                <w:color w:val="000000"/>
                <w:sz w:val="22"/>
                <w:szCs w:val="22"/>
                <w:lang w:eastAsia="en-US"/>
              </w:rPr>
              <w:t>6</w:t>
            </w:r>
          </w:p>
        </w:tc>
        <w:tc>
          <w:tcPr>
            <w:tcW w:w="2319" w:type="dxa"/>
            <w:tcBorders>
              <w:top w:val="nil"/>
              <w:left w:val="single" w:sz="4" w:space="0" w:color="auto"/>
              <w:bottom w:val="single" w:sz="4" w:space="0" w:color="auto"/>
              <w:right w:val="single" w:sz="4" w:space="0" w:color="auto"/>
            </w:tcBorders>
            <w:vAlign w:val="center"/>
            <w:hideMark/>
          </w:tcPr>
          <w:p w:rsidR="005727C2" w:rsidRDefault="005727C2" w:rsidP="00364535">
            <w:pPr>
              <w:spacing w:after="0" w:line="240" w:lineRule="auto"/>
              <w:rPr>
                <w:color w:val="000000"/>
                <w:lang w:eastAsia="en-US"/>
              </w:rPr>
            </w:pPr>
            <w:r>
              <w:rPr>
                <w:color w:val="000000"/>
                <w:sz w:val="22"/>
                <w:szCs w:val="22"/>
                <w:lang w:eastAsia="en-US"/>
              </w:rPr>
              <w:t>от 8 октября 2019 года № 301-ТЭ</w:t>
            </w:r>
          </w:p>
        </w:tc>
        <w:tc>
          <w:tcPr>
            <w:tcW w:w="2127" w:type="dxa"/>
            <w:tcBorders>
              <w:top w:val="nil"/>
              <w:left w:val="nil"/>
              <w:bottom w:val="single" w:sz="4" w:space="0" w:color="auto"/>
              <w:right w:val="single" w:sz="4" w:space="0" w:color="auto"/>
            </w:tcBorders>
            <w:vAlign w:val="center"/>
            <w:hideMark/>
          </w:tcPr>
          <w:p w:rsidR="005727C2" w:rsidRDefault="005727C2" w:rsidP="00364535">
            <w:pPr>
              <w:spacing w:after="0" w:line="240" w:lineRule="auto"/>
              <w:jc w:val="center"/>
              <w:rPr>
                <w:color w:val="000000"/>
                <w:lang w:eastAsia="en-US"/>
              </w:rPr>
            </w:pPr>
            <w:r>
              <w:rPr>
                <w:color w:val="000000"/>
                <w:sz w:val="22"/>
                <w:szCs w:val="22"/>
                <w:lang w:eastAsia="en-US"/>
              </w:rPr>
              <w:t>ИП Хоменко ИВ</w:t>
            </w:r>
          </w:p>
        </w:tc>
        <w:tc>
          <w:tcPr>
            <w:tcW w:w="2173" w:type="dxa"/>
            <w:tcBorders>
              <w:top w:val="nil"/>
              <w:left w:val="nil"/>
              <w:bottom w:val="single" w:sz="4" w:space="0" w:color="auto"/>
              <w:right w:val="single" w:sz="4" w:space="0" w:color="auto"/>
            </w:tcBorders>
            <w:vAlign w:val="center"/>
            <w:hideMark/>
          </w:tcPr>
          <w:p w:rsidR="005727C2" w:rsidRDefault="005727C2" w:rsidP="00364535">
            <w:pPr>
              <w:spacing w:after="0" w:line="240" w:lineRule="auto"/>
              <w:jc w:val="center"/>
              <w:rPr>
                <w:color w:val="000000"/>
                <w:lang w:eastAsia="en-US"/>
              </w:rPr>
            </w:pPr>
            <w:r>
              <w:rPr>
                <w:color w:val="000000"/>
                <w:sz w:val="22"/>
                <w:szCs w:val="22"/>
                <w:lang w:eastAsia="en-US"/>
              </w:rPr>
              <w:t>ФГУП «Энергетик»</w:t>
            </w:r>
          </w:p>
        </w:tc>
        <w:tc>
          <w:tcPr>
            <w:tcW w:w="1229" w:type="dxa"/>
            <w:tcBorders>
              <w:top w:val="nil"/>
              <w:left w:val="nil"/>
              <w:bottom w:val="single" w:sz="4" w:space="0" w:color="auto"/>
              <w:right w:val="single" w:sz="4" w:space="0" w:color="auto"/>
            </w:tcBorders>
            <w:vAlign w:val="center"/>
          </w:tcPr>
          <w:p w:rsidR="005727C2" w:rsidRDefault="005727C2" w:rsidP="00364535">
            <w:pPr>
              <w:spacing w:after="0" w:line="240" w:lineRule="auto"/>
              <w:jc w:val="center"/>
              <w:rPr>
                <w:bCs/>
                <w:color w:val="000000"/>
                <w:lang w:eastAsia="en-US"/>
              </w:rPr>
            </w:pPr>
            <w:r>
              <w:rPr>
                <w:bCs/>
                <w:color w:val="000000"/>
                <w:sz w:val="22"/>
                <w:szCs w:val="22"/>
                <w:lang w:eastAsia="en-US"/>
              </w:rPr>
              <w:t>16 696,874</w:t>
            </w:r>
          </w:p>
          <w:p w:rsidR="005727C2" w:rsidRDefault="005727C2" w:rsidP="00364535">
            <w:pPr>
              <w:spacing w:after="0" w:line="240" w:lineRule="auto"/>
              <w:jc w:val="center"/>
              <w:rPr>
                <w:bCs/>
                <w:color w:val="000000"/>
                <w:lang w:eastAsia="en-US"/>
              </w:rPr>
            </w:pPr>
          </w:p>
        </w:tc>
        <w:tc>
          <w:tcPr>
            <w:tcW w:w="1781" w:type="dxa"/>
            <w:tcBorders>
              <w:top w:val="nil"/>
              <w:left w:val="nil"/>
              <w:bottom w:val="single" w:sz="4" w:space="0" w:color="auto"/>
              <w:right w:val="single" w:sz="4" w:space="0" w:color="auto"/>
            </w:tcBorders>
            <w:vAlign w:val="center"/>
            <w:hideMark/>
          </w:tcPr>
          <w:p w:rsidR="005727C2" w:rsidRDefault="005727C2" w:rsidP="00364535">
            <w:pPr>
              <w:spacing w:after="0" w:line="240" w:lineRule="auto"/>
              <w:jc w:val="center"/>
              <w:rPr>
                <w:color w:val="000000"/>
                <w:lang w:eastAsia="en-US"/>
              </w:rPr>
            </w:pPr>
            <w:r>
              <w:rPr>
                <w:bCs/>
                <w:color w:val="000000"/>
                <w:sz w:val="22"/>
                <w:szCs w:val="22"/>
                <w:lang w:eastAsia="en-US"/>
              </w:rPr>
              <w:t>4,26832</w:t>
            </w:r>
          </w:p>
        </w:tc>
      </w:tr>
      <w:tr w:rsidR="005727C2" w:rsidTr="00C038BE">
        <w:trPr>
          <w:trHeight w:val="416"/>
        </w:trPr>
        <w:tc>
          <w:tcPr>
            <w:tcW w:w="531" w:type="dxa"/>
            <w:tcBorders>
              <w:top w:val="nil"/>
              <w:left w:val="single" w:sz="4" w:space="0" w:color="auto"/>
              <w:bottom w:val="single" w:sz="4" w:space="0" w:color="auto"/>
              <w:right w:val="single" w:sz="4" w:space="0" w:color="auto"/>
            </w:tcBorders>
            <w:vAlign w:val="center"/>
            <w:hideMark/>
          </w:tcPr>
          <w:p w:rsidR="005727C2" w:rsidRDefault="005727C2" w:rsidP="00364535">
            <w:pPr>
              <w:spacing w:after="0" w:line="240" w:lineRule="auto"/>
              <w:jc w:val="center"/>
              <w:rPr>
                <w:color w:val="000000"/>
                <w:lang w:eastAsia="en-US"/>
              </w:rPr>
            </w:pPr>
            <w:r>
              <w:rPr>
                <w:color w:val="000000"/>
                <w:sz w:val="22"/>
                <w:szCs w:val="22"/>
                <w:lang w:eastAsia="en-US"/>
              </w:rPr>
              <w:t>7</w:t>
            </w:r>
          </w:p>
        </w:tc>
        <w:tc>
          <w:tcPr>
            <w:tcW w:w="2319" w:type="dxa"/>
            <w:tcBorders>
              <w:top w:val="nil"/>
              <w:left w:val="single" w:sz="4" w:space="0" w:color="auto"/>
              <w:bottom w:val="single" w:sz="4" w:space="0" w:color="auto"/>
              <w:right w:val="single" w:sz="4" w:space="0" w:color="auto"/>
            </w:tcBorders>
            <w:vAlign w:val="center"/>
            <w:hideMark/>
          </w:tcPr>
          <w:p w:rsidR="005727C2" w:rsidRDefault="005727C2" w:rsidP="00364535">
            <w:pPr>
              <w:spacing w:after="0" w:line="240" w:lineRule="auto"/>
              <w:rPr>
                <w:color w:val="000000"/>
                <w:lang w:eastAsia="en-US"/>
              </w:rPr>
            </w:pPr>
            <w:r>
              <w:rPr>
                <w:color w:val="000000"/>
                <w:sz w:val="22"/>
                <w:szCs w:val="22"/>
                <w:lang w:eastAsia="en-US"/>
              </w:rPr>
              <w:t>от 29 октября 2019 года №338-ТЭ</w:t>
            </w:r>
          </w:p>
        </w:tc>
        <w:tc>
          <w:tcPr>
            <w:tcW w:w="2127" w:type="dxa"/>
            <w:tcBorders>
              <w:top w:val="nil"/>
              <w:left w:val="nil"/>
              <w:bottom w:val="single" w:sz="4" w:space="0" w:color="auto"/>
              <w:right w:val="single" w:sz="4" w:space="0" w:color="auto"/>
            </w:tcBorders>
            <w:vAlign w:val="center"/>
            <w:hideMark/>
          </w:tcPr>
          <w:p w:rsidR="005727C2" w:rsidRDefault="005727C2" w:rsidP="00364535">
            <w:pPr>
              <w:spacing w:after="0" w:line="240" w:lineRule="auto"/>
              <w:jc w:val="center"/>
              <w:rPr>
                <w:color w:val="000000"/>
                <w:lang w:eastAsia="en-US"/>
              </w:rPr>
            </w:pPr>
            <w:r>
              <w:rPr>
                <w:color w:val="000000"/>
                <w:sz w:val="22"/>
                <w:szCs w:val="22"/>
                <w:lang w:eastAsia="en-US"/>
              </w:rPr>
              <w:t>МКУ УКС</w:t>
            </w:r>
          </w:p>
        </w:tc>
        <w:tc>
          <w:tcPr>
            <w:tcW w:w="2173" w:type="dxa"/>
            <w:tcBorders>
              <w:top w:val="nil"/>
              <w:left w:val="nil"/>
              <w:bottom w:val="single" w:sz="4" w:space="0" w:color="auto"/>
              <w:right w:val="single" w:sz="4" w:space="0" w:color="auto"/>
            </w:tcBorders>
            <w:vAlign w:val="center"/>
            <w:hideMark/>
          </w:tcPr>
          <w:p w:rsidR="005727C2" w:rsidRDefault="005727C2" w:rsidP="00364535">
            <w:pPr>
              <w:spacing w:after="0" w:line="240" w:lineRule="auto"/>
              <w:jc w:val="center"/>
              <w:rPr>
                <w:color w:val="000000"/>
                <w:lang w:eastAsia="en-US"/>
              </w:rPr>
            </w:pPr>
            <w:r>
              <w:rPr>
                <w:color w:val="000000"/>
                <w:sz w:val="22"/>
                <w:szCs w:val="22"/>
                <w:lang w:eastAsia="en-US"/>
              </w:rPr>
              <w:t>ООО «Энергосети Сибири»</w:t>
            </w:r>
          </w:p>
        </w:tc>
        <w:tc>
          <w:tcPr>
            <w:tcW w:w="1229" w:type="dxa"/>
            <w:tcBorders>
              <w:top w:val="nil"/>
              <w:left w:val="nil"/>
              <w:bottom w:val="single" w:sz="4" w:space="0" w:color="auto"/>
              <w:right w:val="single" w:sz="4" w:space="0" w:color="auto"/>
            </w:tcBorders>
            <w:vAlign w:val="center"/>
            <w:hideMark/>
          </w:tcPr>
          <w:p w:rsidR="005727C2" w:rsidRDefault="005727C2" w:rsidP="00364535">
            <w:pPr>
              <w:spacing w:after="0" w:line="240" w:lineRule="auto"/>
              <w:jc w:val="center"/>
              <w:rPr>
                <w:bCs/>
                <w:color w:val="000000"/>
                <w:lang w:eastAsia="en-US"/>
              </w:rPr>
            </w:pPr>
            <w:r>
              <w:rPr>
                <w:bCs/>
                <w:color w:val="000000"/>
                <w:sz w:val="22"/>
                <w:szCs w:val="22"/>
                <w:lang w:eastAsia="en-US"/>
              </w:rPr>
              <w:t>4 016,725</w:t>
            </w:r>
          </w:p>
        </w:tc>
        <w:tc>
          <w:tcPr>
            <w:tcW w:w="1781" w:type="dxa"/>
            <w:tcBorders>
              <w:top w:val="nil"/>
              <w:left w:val="nil"/>
              <w:bottom w:val="single" w:sz="4" w:space="0" w:color="auto"/>
              <w:right w:val="single" w:sz="4" w:space="0" w:color="auto"/>
            </w:tcBorders>
            <w:vAlign w:val="center"/>
            <w:hideMark/>
          </w:tcPr>
          <w:p w:rsidR="005727C2" w:rsidRDefault="005727C2" w:rsidP="00364535">
            <w:pPr>
              <w:spacing w:after="0" w:line="240" w:lineRule="auto"/>
              <w:jc w:val="center"/>
              <w:rPr>
                <w:color w:val="000000"/>
                <w:lang w:eastAsia="en-US"/>
              </w:rPr>
            </w:pPr>
            <w:r>
              <w:rPr>
                <w:color w:val="000000"/>
                <w:sz w:val="22"/>
                <w:szCs w:val="22"/>
                <w:lang w:eastAsia="en-US"/>
              </w:rPr>
              <w:t>0,301448</w:t>
            </w:r>
          </w:p>
        </w:tc>
      </w:tr>
      <w:tr w:rsidR="005727C2" w:rsidTr="00C038BE">
        <w:trPr>
          <w:trHeight w:val="412"/>
        </w:trPr>
        <w:tc>
          <w:tcPr>
            <w:tcW w:w="531" w:type="dxa"/>
            <w:tcBorders>
              <w:top w:val="nil"/>
              <w:left w:val="single" w:sz="4" w:space="0" w:color="auto"/>
              <w:bottom w:val="single" w:sz="4" w:space="0" w:color="auto"/>
              <w:right w:val="single" w:sz="4" w:space="0" w:color="auto"/>
            </w:tcBorders>
            <w:vAlign w:val="center"/>
            <w:hideMark/>
          </w:tcPr>
          <w:p w:rsidR="005727C2" w:rsidRDefault="005727C2" w:rsidP="00364535">
            <w:pPr>
              <w:spacing w:after="0" w:line="240" w:lineRule="auto"/>
              <w:jc w:val="right"/>
              <w:rPr>
                <w:color w:val="000000"/>
                <w:lang w:eastAsia="en-US"/>
              </w:rPr>
            </w:pPr>
            <w:r>
              <w:rPr>
                <w:color w:val="000000"/>
                <w:sz w:val="22"/>
                <w:szCs w:val="22"/>
                <w:lang w:eastAsia="en-US"/>
              </w:rPr>
              <w:t>8</w:t>
            </w:r>
          </w:p>
        </w:tc>
        <w:tc>
          <w:tcPr>
            <w:tcW w:w="2319" w:type="dxa"/>
            <w:tcBorders>
              <w:top w:val="nil"/>
              <w:left w:val="single" w:sz="4" w:space="0" w:color="auto"/>
              <w:bottom w:val="single" w:sz="4" w:space="0" w:color="auto"/>
              <w:right w:val="single" w:sz="4" w:space="0" w:color="auto"/>
            </w:tcBorders>
            <w:vAlign w:val="center"/>
            <w:hideMark/>
          </w:tcPr>
          <w:p w:rsidR="005727C2" w:rsidRDefault="005727C2" w:rsidP="00364535">
            <w:pPr>
              <w:spacing w:after="0" w:line="240" w:lineRule="auto"/>
              <w:rPr>
                <w:color w:val="000000"/>
                <w:lang w:eastAsia="en-US"/>
              </w:rPr>
            </w:pPr>
            <w:r>
              <w:rPr>
                <w:color w:val="000000"/>
                <w:sz w:val="22"/>
                <w:szCs w:val="22"/>
                <w:lang w:eastAsia="en-US"/>
              </w:rPr>
              <w:t>от 29 октября 2019 года №339-ТЭ</w:t>
            </w:r>
          </w:p>
        </w:tc>
        <w:tc>
          <w:tcPr>
            <w:tcW w:w="2127" w:type="dxa"/>
            <w:tcBorders>
              <w:top w:val="nil"/>
              <w:left w:val="nil"/>
              <w:bottom w:val="single" w:sz="4" w:space="0" w:color="auto"/>
              <w:right w:val="single" w:sz="4" w:space="0" w:color="auto"/>
            </w:tcBorders>
            <w:vAlign w:val="center"/>
            <w:hideMark/>
          </w:tcPr>
          <w:p w:rsidR="005727C2" w:rsidRDefault="005727C2" w:rsidP="00364535">
            <w:pPr>
              <w:spacing w:after="0" w:line="240" w:lineRule="auto"/>
              <w:jc w:val="center"/>
              <w:rPr>
                <w:color w:val="000000"/>
                <w:lang w:eastAsia="en-US"/>
              </w:rPr>
            </w:pPr>
            <w:r>
              <w:rPr>
                <w:color w:val="000000"/>
                <w:sz w:val="22"/>
                <w:szCs w:val="22"/>
                <w:lang w:eastAsia="en-US"/>
              </w:rPr>
              <w:t>ГБУЗ НСО «Сузунская ЦРБ»</w:t>
            </w:r>
          </w:p>
        </w:tc>
        <w:tc>
          <w:tcPr>
            <w:tcW w:w="2173" w:type="dxa"/>
            <w:tcBorders>
              <w:top w:val="nil"/>
              <w:left w:val="nil"/>
              <w:bottom w:val="single" w:sz="4" w:space="0" w:color="auto"/>
              <w:right w:val="single" w:sz="4" w:space="0" w:color="auto"/>
            </w:tcBorders>
            <w:vAlign w:val="center"/>
            <w:hideMark/>
          </w:tcPr>
          <w:p w:rsidR="005727C2" w:rsidRDefault="005727C2" w:rsidP="00364535">
            <w:pPr>
              <w:spacing w:after="0" w:line="240" w:lineRule="auto"/>
              <w:jc w:val="center"/>
              <w:rPr>
                <w:color w:val="000000"/>
                <w:lang w:eastAsia="en-US"/>
              </w:rPr>
            </w:pPr>
            <w:r>
              <w:rPr>
                <w:color w:val="000000"/>
                <w:sz w:val="22"/>
                <w:szCs w:val="22"/>
                <w:lang w:eastAsia="en-US"/>
              </w:rPr>
              <w:t>ОАО «Сузунское ЖКХ»</w:t>
            </w:r>
          </w:p>
        </w:tc>
        <w:tc>
          <w:tcPr>
            <w:tcW w:w="1229" w:type="dxa"/>
            <w:tcBorders>
              <w:top w:val="nil"/>
              <w:left w:val="nil"/>
              <w:bottom w:val="single" w:sz="4" w:space="0" w:color="auto"/>
              <w:right w:val="single" w:sz="4" w:space="0" w:color="auto"/>
            </w:tcBorders>
            <w:vAlign w:val="center"/>
            <w:hideMark/>
          </w:tcPr>
          <w:p w:rsidR="005727C2" w:rsidRDefault="005727C2" w:rsidP="00364535">
            <w:pPr>
              <w:spacing w:after="0" w:line="240" w:lineRule="auto"/>
              <w:jc w:val="center"/>
              <w:rPr>
                <w:bCs/>
                <w:color w:val="000000"/>
                <w:lang w:eastAsia="en-US"/>
              </w:rPr>
            </w:pPr>
            <w:r>
              <w:rPr>
                <w:bCs/>
                <w:color w:val="000000"/>
                <w:sz w:val="22"/>
                <w:szCs w:val="22"/>
                <w:lang w:eastAsia="en-US"/>
              </w:rPr>
              <w:t>14 283,826</w:t>
            </w:r>
          </w:p>
        </w:tc>
        <w:tc>
          <w:tcPr>
            <w:tcW w:w="1781" w:type="dxa"/>
            <w:tcBorders>
              <w:top w:val="nil"/>
              <w:left w:val="nil"/>
              <w:bottom w:val="single" w:sz="4" w:space="0" w:color="auto"/>
              <w:right w:val="single" w:sz="4" w:space="0" w:color="auto"/>
            </w:tcBorders>
            <w:vAlign w:val="center"/>
            <w:hideMark/>
          </w:tcPr>
          <w:p w:rsidR="005727C2" w:rsidRDefault="005727C2" w:rsidP="00364535">
            <w:pPr>
              <w:spacing w:after="0" w:line="240" w:lineRule="auto"/>
              <w:jc w:val="center"/>
              <w:rPr>
                <w:color w:val="000000"/>
                <w:lang w:eastAsia="en-US"/>
              </w:rPr>
            </w:pPr>
            <w:r>
              <w:rPr>
                <w:color w:val="000000"/>
                <w:sz w:val="22"/>
                <w:szCs w:val="22"/>
                <w:lang w:eastAsia="en-US"/>
              </w:rPr>
              <w:t>0,9883</w:t>
            </w:r>
          </w:p>
        </w:tc>
      </w:tr>
      <w:tr w:rsidR="005727C2" w:rsidTr="00C038BE">
        <w:trPr>
          <w:trHeight w:val="669"/>
        </w:trPr>
        <w:tc>
          <w:tcPr>
            <w:tcW w:w="531" w:type="dxa"/>
            <w:tcBorders>
              <w:top w:val="nil"/>
              <w:left w:val="single" w:sz="4" w:space="0" w:color="auto"/>
              <w:bottom w:val="single" w:sz="4" w:space="0" w:color="auto"/>
              <w:right w:val="single" w:sz="4" w:space="0" w:color="auto"/>
            </w:tcBorders>
            <w:vAlign w:val="center"/>
            <w:hideMark/>
          </w:tcPr>
          <w:p w:rsidR="005727C2" w:rsidRDefault="005727C2" w:rsidP="00364535">
            <w:pPr>
              <w:spacing w:after="0" w:line="240" w:lineRule="auto"/>
              <w:jc w:val="center"/>
              <w:rPr>
                <w:color w:val="000000"/>
                <w:lang w:eastAsia="en-US"/>
              </w:rPr>
            </w:pPr>
            <w:r>
              <w:rPr>
                <w:color w:val="000000"/>
                <w:sz w:val="22"/>
                <w:szCs w:val="22"/>
                <w:lang w:eastAsia="en-US"/>
              </w:rPr>
              <w:t>9</w:t>
            </w:r>
          </w:p>
        </w:tc>
        <w:tc>
          <w:tcPr>
            <w:tcW w:w="2319" w:type="dxa"/>
            <w:tcBorders>
              <w:top w:val="nil"/>
              <w:left w:val="nil"/>
              <w:bottom w:val="single" w:sz="4" w:space="0" w:color="auto"/>
              <w:right w:val="single" w:sz="4" w:space="0" w:color="auto"/>
            </w:tcBorders>
            <w:vAlign w:val="center"/>
            <w:hideMark/>
          </w:tcPr>
          <w:p w:rsidR="005727C2" w:rsidRDefault="005727C2" w:rsidP="00364535">
            <w:pPr>
              <w:spacing w:after="0" w:line="240" w:lineRule="auto"/>
              <w:rPr>
                <w:color w:val="000000"/>
                <w:lang w:eastAsia="en-US"/>
              </w:rPr>
            </w:pPr>
            <w:r>
              <w:rPr>
                <w:color w:val="000000"/>
                <w:sz w:val="22"/>
                <w:szCs w:val="22"/>
                <w:lang w:eastAsia="en-US"/>
              </w:rPr>
              <w:t>от 29 октября 2019 года №340-ТЭ</w:t>
            </w:r>
          </w:p>
        </w:tc>
        <w:tc>
          <w:tcPr>
            <w:tcW w:w="2127" w:type="dxa"/>
            <w:tcBorders>
              <w:top w:val="nil"/>
              <w:left w:val="nil"/>
              <w:bottom w:val="single" w:sz="4" w:space="0" w:color="auto"/>
              <w:right w:val="single" w:sz="4" w:space="0" w:color="auto"/>
            </w:tcBorders>
            <w:vAlign w:val="center"/>
            <w:hideMark/>
          </w:tcPr>
          <w:p w:rsidR="005727C2" w:rsidRDefault="005727C2" w:rsidP="00364535">
            <w:pPr>
              <w:spacing w:after="0" w:line="240" w:lineRule="auto"/>
              <w:jc w:val="center"/>
              <w:rPr>
                <w:color w:val="000000"/>
                <w:lang w:eastAsia="en-US"/>
              </w:rPr>
            </w:pPr>
            <w:r>
              <w:rPr>
                <w:color w:val="000000"/>
                <w:sz w:val="22"/>
                <w:szCs w:val="22"/>
                <w:lang w:eastAsia="en-US"/>
              </w:rPr>
              <w:t>ООО ««СМУ-14»»</w:t>
            </w:r>
          </w:p>
        </w:tc>
        <w:tc>
          <w:tcPr>
            <w:tcW w:w="2173" w:type="dxa"/>
            <w:tcBorders>
              <w:top w:val="nil"/>
              <w:left w:val="nil"/>
              <w:bottom w:val="single" w:sz="4" w:space="0" w:color="auto"/>
              <w:right w:val="single" w:sz="4" w:space="0" w:color="auto"/>
            </w:tcBorders>
            <w:vAlign w:val="center"/>
            <w:hideMark/>
          </w:tcPr>
          <w:p w:rsidR="005727C2" w:rsidRDefault="005727C2" w:rsidP="00364535">
            <w:pPr>
              <w:spacing w:after="0" w:line="240" w:lineRule="auto"/>
              <w:jc w:val="center"/>
              <w:rPr>
                <w:color w:val="000000"/>
                <w:lang w:eastAsia="en-US"/>
              </w:rPr>
            </w:pPr>
            <w:r>
              <w:rPr>
                <w:color w:val="000000"/>
                <w:sz w:val="22"/>
                <w:szCs w:val="22"/>
                <w:lang w:eastAsia="en-US"/>
              </w:rPr>
              <w:t>ООО «Теплогенерация-Н»</w:t>
            </w:r>
          </w:p>
        </w:tc>
        <w:tc>
          <w:tcPr>
            <w:tcW w:w="1229" w:type="dxa"/>
            <w:tcBorders>
              <w:top w:val="nil"/>
              <w:left w:val="nil"/>
              <w:bottom w:val="single" w:sz="4" w:space="0" w:color="auto"/>
              <w:right w:val="single" w:sz="4" w:space="0" w:color="auto"/>
            </w:tcBorders>
            <w:vAlign w:val="center"/>
            <w:hideMark/>
          </w:tcPr>
          <w:p w:rsidR="005727C2" w:rsidRDefault="005727C2" w:rsidP="00364535">
            <w:pPr>
              <w:spacing w:after="0" w:line="240" w:lineRule="auto"/>
              <w:jc w:val="center"/>
              <w:rPr>
                <w:bCs/>
                <w:color w:val="000000"/>
                <w:lang w:eastAsia="en-US"/>
              </w:rPr>
            </w:pPr>
            <w:r>
              <w:rPr>
                <w:bCs/>
                <w:color w:val="000000"/>
                <w:sz w:val="22"/>
                <w:szCs w:val="22"/>
                <w:lang w:eastAsia="en-US"/>
              </w:rPr>
              <w:t>25 711,360</w:t>
            </w:r>
          </w:p>
        </w:tc>
        <w:tc>
          <w:tcPr>
            <w:tcW w:w="1781" w:type="dxa"/>
            <w:tcBorders>
              <w:top w:val="nil"/>
              <w:left w:val="nil"/>
              <w:bottom w:val="single" w:sz="4" w:space="0" w:color="auto"/>
              <w:right w:val="single" w:sz="4" w:space="0" w:color="auto"/>
            </w:tcBorders>
            <w:vAlign w:val="center"/>
            <w:hideMark/>
          </w:tcPr>
          <w:p w:rsidR="005727C2" w:rsidRDefault="005727C2" w:rsidP="00364535">
            <w:pPr>
              <w:spacing w:after="0" w:line="240" w:lineRule="auto"/>
              <w:jc w:val="center"/>
              <w:rPr>
                <w:color w:val="000000"/>
                <w:lang w:eastAsia="en-US"/>
              </w:rPr>
            </w:pPr>
            <w:r>
              <w:rPr>
                <w:color w:val="000000"/>
                <w:sz w:val="22"/>
                <w:szCs w:val="22"/>
                <w:lang w:eastAsia="en-US"/>
              </w:rPr>
              <w:t>3,1084</w:t>
            </w:r>
          </w:p>
        </w:tc>
      </w:tr>
    </w:tbl>
    <w:p w:rsidR="005727C2" w:rsidRDefault="005727C2" w:rsidP="005727C2">
      <w:pPr>
        <w:pStyle w:val="a8"/>
        <w:ind w:firstLine="539"/>
        <w:jc w:val="both"/>
        <w:rPr>
          <w:rFonts w:eastAsia="MS Mincho"/>
          <w:b/>
          <w:szCs w:val="28"/>
        </w:rPr>
      </w:pPr>
    </w:p>
    <w:p w:rsidR="005727C2" w:rsidRDefault="005727C2" w:rsidP="005727C2">
      <w:pPr>
        <w:pStyle w:val="afa"/>
        <w:ind w:firstLine="709"/>
        <w:jc w:val="both"/>
        <w:rPr>
          <w:rFonts w:ascii="Times New Roman" w:hAnsi="Times New Roman" w:cs="Times New Roman"/>
          <w:b/>
          <w:i/>
          <w:sz w:val="28"/>
          <w:szCs w:val="28"/>
        </w:rPr>
      </w:pPr>
      <w:r>
        <w:rPr>
          <w:rFonts w:ascii="Times New Roman" w:hAnsi="Times New Roman" w:cs="Times New Roman"/>
          <w:b/>
          <w:i/>
          <w:sz w:val="28"/>
          <w:szCs w:val="28"/>
        </w:rPr>
        <w:t>2.2.6.2. Установление платы за технологическое присоединение к тепловым сетям</w:t>
      </w:r>
    </w:p>
    <w:p w:rsidR="005727C2" w:rsidRDefault="005727C2" w:rsidP="005727C2">
      <w:pPr>
        <w:pStyle w:val="afa"/>
        <w:ind w:firstLine="709"/>
        <w:jc w:val="both"/>
        <w:rPr>
          <w:rFonts w:ascii="Times New Roman" w:hAnsi="Times New Roman" w:cs="Times New Roman"/>
          <w:sz w:val="28"/>
          <w:szCs w:val="28"/>
        </w:rPr>
      </w:pPr>
      <w:r>
        <w:rPr>
          <w:rFonts w:ascii="Times New Roman" w:hAnsi="Times New Roman" w:cs="Times New Roman"/>
          <w:sz w:val="28"/>
          <w:szCs w:val="28"/>
        </w:rPr>
        <w:t xml:space="preserve">В 2019 году </w:t>
      </w:r>
      <w:r w:rsidR="00C038BE">
        <w:rPr>
          <w:rFonts w:ascii="Times New Roman" w:hAnsi="Times New Roman" w:cs="Times New Roman"/>
          <w:sz w:val="28"/>
          <w:szCs w:val="28"/>
        </w:rPr>
        <w:t>Д</w:t>
      </w:r>
      <w:r>
        <w:rPr>
          <w:rFonts w:ascii="Times New Roman" w:hAnsi="Times New Roman" w:cs="Times New Roman"/>
          <w:sz w:val="28"/>
          <w:szCs w:val="28"/>
        </w:rPr>
        <w:t xml:space="preserve">епартаментом установлены платы за технологическое присоединение к тепловым сетям в расчете на единицу мощности подключаемой тепловой нагрузки на 2019 и 2020 годы </w:t>
      </w:r>
      <w:r w:rsidR="00C038BE">
        <w:rPr>
          <w:rFonts w:ascii="Times New Roman" w:hAnsi="Times New Roman" w:cs="Times New Roman"/>
          <w:sz w:val="28"/>
          <w:szCs w:val="28"/>
        </w:rPr>
        <w:t xml:space="preserve"> для </w:t>
      </w:r>
      <w:r>
        <w:rPr>
          <w:rFonts w:ascii="Times New Roman" w:hAnsi="Times New Roman" w:cs="Times New Roman"/>
          <w:sz w:val="28"/>
          <w:szCs w:val="28"/>
        </w:rPr>
        <w:t>следующих теплоснабжающих организаций Новосибирской области:</w:t>
      </w:r>
    </w:p>
    <w:p w:rsidR="005727C2" w:rsidRDefault="005727C2" w:rsidP="005727C2">
      <w:pPr>
        <w:pStyle w:val="afa"/>
        <w:ind w:firstLine="709"/>
        <w:jc w:val="both"/>
        <w:rPr>
          <w:rFonts w:ascii="Times New Roman" w:hAnsi="Times New Roman" w:cs="Times New Roman"/>
          <w:sz w:val="16"/>
          <w:szCs w:val="16"/>
        </w:rPr>
      </w:pPr>
    </w:p>
    <w:tbl>
      <w:tblPr>
        <w:tblStyle w:val="aff"/>
        <w:tblW w:w="10035" w:type="dxa"/>
        <w:tblLayout w:type="fixed"/>
        <w:tblLook w:val="04A0" w:firstRow="1" w:lastRow="0" w:firstColumn="1" w:lastColumn="0" w:noHBand="0" w:noVBand="1"/>
      </w:tblPr>
      <w:tblGrid>
        <w:gridCol w:w="530"/>
        <w:gridCol w:w="2162"/>
        <w:gridCol w:w="1953"/>
        <w:gridCol w:w="1277"/>
        <w:gridCol w:w="2127"/>
        <w:gridCol w:w="1986"/>
      </w:tblGrid>
      <w:tr w:rsidR="005727C2" w:rsidTr="005727C2">
        <w:trPr>
          <w:trHeight w:val="557"/>
        </w:trPr>
        <w:tc>
          <w:tcPr>
            <w:tcW w:w="531" w:type="dxa"/>
            <w:tcBorders>
              <w:top w:val="single" w:sz="4" w:space="0" w:color="auto"/>
              <w:left w:val="single" w:sz="4" w:space="0" w:color="auto"/>
              <w:bottom w:val="single" w:sz="4" w:space="0" w:color="auto"/>
              <w:right w:val="single" w:sz="4" w:space="0" w:color="auto"/>
            </w:tcBorders>
            <w:vAlign w:val="center"/>
            <w:hideMark/>
          </w:tcPr>
          <w:p w:rsidR="005727C2" w:rsidRDefault="005727C2" w:rsidP="00364535">
            <w:pPr>
              <w:spacing w:after="0"/>
              <w:jc w:val="center"/>
              <w:rPr>
                <w:b/>
                <w:color w:val="000000"/>
                <w:sz w:val="22"/>
                <w:szCs w:val="22"/>
                <w:lang w:eastAsia="en-US"/>
              </w:rPr>
            </w:pPr>
            <w:r>
              <w:rPr>
                <w:b/>
                <w:color w:val="000000"/>
                <w:sz w:val="22"/>
                <w:szCs w:val="22"/>
                <w:lang w:eastAsia="en-US"/>
              </w:rPr>
              <w:t>№ п/п</w:t>
            </w:r>
          </w:p>
        </w:tc>
        <w:tc>
          <w:tcPr>
            <w:tcW w:w="2161" w:type="dxa"/>
            <w:tcBorders>
              <w:top w:val="single" w:sz="4" w:space="0" w:color="auto"/>
              <w:left w:val="single" w:sz="4" w:space="0" w:color="auto"/>
              <w:bottom w:val="single" w:sz="4" w:space="0" w:color="auto"/>
              <w:right w:val="single" w:sz="4" w:space="0" w:color="auto"/>
            </w:tcBorders>
            <w:vAlign w:val="center"/>
            <w:hideMark/>
          </w:tcPr>
          <w:p w:rsidR="005727C2" w:rsidRDefault="005727C2" w:rsidP="00364535">
            <w:pPr>
              <w:spacing w:after="0"/>
              <w:jc w:val="center"/>
              <w:rPr>
                <w:b/>
                <w:color w:val="000000"/>
                <w:sz w:val="22"/>
                <w:szCs w:val="22"/>
                <w:lang w:eastAsia="en-US"/>
              </w:rPr>
            </w:pPr>
            <w:r>
              <w:rPr>
                <w:b/>
                <w:color w:val="000000"/>
                <w:sz w:val="22"/>
                <w:szCs w:val="22"/>
                <w:lang w:eastAsia="en-US"/>
              </w:rPr>
              <w:t>Теплоснабжающая организация</w:t>
            </w:r>
          </w:p>
        </w:tc>
        <w:tc>
          <w:tcPr>
            <w:tcW w:w="1952" w:type="dxa"/>
            <w:tcBorders>
              <w:top w:val="single" w:sz="4" w:space="0" w:color="auto"/>
              <w:left w:val="single" w:sz="4" w:space="0" w:color="auto"/>
              <w:bottom w:val="single" w:sz="4" w:space="0" w:color="auto"/>
              <w:right w:val="single" w:sz="4" w:space="0" w:color="auto"/>
            </w:tcBorders>
            <w:vAlign w:val="center"/>
            <w:hideMark/>
          </w:tcPr>
          <w:p w:rsidR="005727C2" w:rsidRDefault="005727C2" w:rsidP="00364535">
            <w:pPr>
              <w:spacing w:after="0"/>
              <w:jc w:val="center"/>
              <w:rPr>
                <w:b/>
                <w:color w:val="000000"/>
                <w:sz w:val="22"/>
                <w:szCs w:val="22"/>
                <w:lang w:eastAsia="en-US"/>
              </w:rPr>
            </w:pPr>
            <w:r>
              <w:rPr>
                <w:b/>
                <w:bCs/>
                <w:color w:val="000000"/>
                <w:sz w:val="22"/>
                <w:szCs w:val="22"/>
                <w:lang w:eastAsia="en-US"/>
              </w:rPr>
              <w:t>Приказ об установлении платы</w:t>
            </w:r>
          </w:p>
        </w:tc>
        <w:tc>
          <w:tcPr>
            <w:tcW w:w="1276" w:type="dxa"/>
            <w:tcBorders>
              <w:top w:val="single" w:sz="4" w:space="0" w:color="auto"/>
              <w:left w:val="single" w:sz="4" w:space="0" w:color="auto"/>
              <w:bottom w:val="single" w:sz="4" w:space="0" w:color="auto"/>
              <w:right w:val="single" w:sz="4" w:space="0" w:color="auto"/>
            </w:tcBorders>
            <w:vAlign w:val="center"/>
            <w:hideMark/>
          </w:tcPr>
          <w:p w:rsidR="005727C2" w:rsidRDefault="005727C2" w:rsidP="00364535">
            <w:pPr>
              <w:spacing w:after="0"/>
              <w:jc w:val="center"/>
              <w:rPr>
                <w:b/>
                <w:color w:val="000000"/>
                <w:sz w:val="22"/>
                <w:szCs w:val="22"/>
                <w:lang w:eastAsia="en-US"/>
              </w:rPr>
            </w:pPr>
            <w:r>
              <w:rPr>
                <w:b/>
                <w:color w:val="000000"/>
                <w:sz w:val="22"/>
                <w:szCs w:val="22"/>
                <w:lang w:eastAsia="en-US"/>
              </w:rPr>
              <w:t>Действие приказа</w:t>
            </w:r>
          </w:p>
        </w:tc>
        <w:tc>
          <w:tcPr>
            <w:tcW w:w="2126" w:type="dxa"/>
            <w:tcBorders>
              <w:top w:val="single" w:sz="4" w:space="0" w:color="auto"/>
              <w:left w:val="single" w:sz="4" w:space="0" w:color="auto"/>
              <w:bottom w:val="single" w:sz="4" w:space="0" w:color="auto"/>
              <w:right w:val="single" w:sz="4" w:space="0" w:color="auto"/>
            </w:tcBorders>
            <w:vAlign w:val="center"/>
            <w:hideMark/>
          </w:tcPr>
          <w:p w:rsidR="005727C2" w:rsidRDefault="005727C2" w:rsidP="00364535">
            <w:pPr>
              <w:spacing w:after="0"/>
              <w:jc w:val="center"/>
              <w:rPr>
                <w:b/>
                <w:bCs/>
                <w:color w:val="000000"/>
                <w:sz w:val="22"/>
                <w:szCs w:val="22"/>
                <w:lang w:eastAsia="en-US"/>
              </w:rPr>
            </w:pPr>
            <w:r>
              <w:rPr>
                <w:b/>
                <w:bCs/>
                <w:color w:val="000000"/>
                <w:sz w:val="22"/>
                <w:szCs w:val="22"/>
                <w:lang w:eastAsia="en-US"/>
              </w:rPr>
              <w:t>Подключаемая тепловая нагрузка,</w:t>
            </w:r>
          </w:p>
          <w:p w:rsidR="005727C2" w:rsidRDefault="005727C2" w:rsidP="00364535">
            <w:pPr>
              <w:spacing w:after="0"/>
              <w:jc w:val="center"/>
              <w:rPr>
                <w:b/>
                <w:color w:val="000000"/>
                <w:sz w:val="22"/>
                <w:szCs w:val="22"/>
                <w:lang w:eastAsia="en-US"/>
              </w:rPr>
            </w:pPr>
            <w:r>
              <w:rPr>
                <w:b/>
                <w:bCs/>
                <w:color w:val="000000"/>
                <w:sz w:val="22"/>
                <w:szCs w:val="22"/>
                <w:lang w:eastAsia="en-US"/>
              </w:rPr>
              <w:t>Гкал/час</w:t>
            </w:r>
          </w:p>
        </w:tc>
        <w:tc>
          <w:tcPr>
            <w:tcW w:w="1985" w:type="dxa"/>
            <w:tcBorders>
              <w:top w:val="single" w:sz="4" w:space="0" w:color="auto"/>
              <w:left w:val="single" w:sz="4" w:space="0" w:color="auto"/>
              <w:bottom w:val="single" w:sz="4" w:space="0" w:color="auto"/>
              <w:right w:val="single" w:sz="4" w:space="0" w:color="auto"/>
            </w:tcBorders>
            <w:vAlign w:val="center"/>
            <w:hideMark/>
          </w:tcPr>
          <w:p w:rsidR="005727C2" w:rsidRDefault="005727C2" w:rsidP="00364535">
            <w:pPr>
              <w:spacing w:after="0"/>
              <w:jc w:val="center"/>
              <w:rPr>
                <w:b/>
                <w:bCs/>
                <w:color w:val="000000"/>
                <w:sz w:val="22"/>
                <w:szCs w:val="22"/>
                <w:lang w:eastAsia="en-US"/>
              </w:rPr>
            </w:pPr>
            <w:r>
              <w:rPr>
                <w:b/>
                <w:bCs/>
                <w:color w:val="000000"/>
                <w:sz w:val="22"/>
                <w:szCs w:val="22"/>
                <w:lang w:eastAsia="en-US"/>
              </w:rPr>
              <w:t>Размер платы,</w:t>
            </w:r>
          </w:p>
          <w:p w:rsidR="005727C2" w:rsidRDefault="005727C2" w:rsidP="00364535">
            <w:pPr>
              <w:spacing w:after="0"/>
              <w:jc w:val="center"/>
              <w:rPr>
                <w:b/>
                <w:bCs/>
                <w:color w:val="000000"/>
                <w:sz w:val="22"/>
                <w:szCs w:val="22"/>
                <w:lang w:eastAsia="en-US"/>
              </w:rPr>
            </w:pPr>
            <w:r>
              <w:rPr>
                <w:b/>
                <w:bCs/>
                <w:color w:val="000000"/>
                <w:sz w:val="22"/>
                <w:szCs w:val="22"/>
                <w:lang w:eastAsia="en-US"/>
              </w:rPr>
              <w:t>тыс. руб. /Гкал/ч</w:t>
            </w:r>
          </w:p>
          <w:p w:rsidR="005727C2" w:rsidRDefault="005727C2" w:rsidP="00364535">
            <w:pPr>
              <w:spacing w:after="0"/>
              <w:jc w:val="center"/>
              <w:rPr>
                <w:b/>
                <w:color w:val="000000"/>
                <w:sz w:val="22"/>
                <w:szCs w:val="22"/>
                <w:lang w:eastAsia="en-US"/>
              </w:rPr>
            </w:pPr>
            <w:r>
              <w:rPr>
                <w:b/>
                <w:bCs/>
                <w:color w:val="000000"/>
                <w:sz w:val="22"/>
                <w:szCs w:val="22"/>
                <w:lang w:eastAsia="en-US"/>
              </w:rPr>
              <w:t>(без НДС)</w:t>
            </w:r>
          </w:p>
        </w:tc>
      </w:tr>
      <w:tr w:rsidR="005727C2" w:rsidTr="005727C2">
        <w:tc>
          <w:tcPr>
            <w:tcW w:w="531" w:type="dxa"/>
            <w:tcBorders>
              <w:top w:val="single" w:sz="4" w:space="0" w:color="auto"/>
              <w:left w:val="single" w:sz="4" w:space="0" w:color="auto"/>
              <w:bottom w:val="single" w:sz="4" w:space="0" w:color="auto"/>
              <w:right w:val="single" w:sz="4" w:space="0" w:color="auto"/>
            </w:tcBorders>
            <w:vAlign w:val="center"/>
            <w:hideMark/>
          </w:tcPr>
          <w:p w:rsidR="005727C2" w:rsidRDefault="005727C2" w:rsidP="00364535">
            <w:pPr>
              <w:pStyle w:val="a8"/>
              <w:jc w:val="center"/>
              <w:rPr>
                <w:rFonts w:eastAsiaTheme="minorHAnsi"/>
                <w:sz w:val="22"/>
                <w:szCs w:val="22"/>
                <w:lang w:eastAsia="en-US"/>
              </w:rPr>
            </w:pPr>
            <w:r>
              <w:rPr>
                <w:sz w:val="22"/>
                <w:szCs w:val="22"/>
                <w:lang w:eastAsia="en-US"/>
              </w:rPr>
              <w:t>1</w:t>
            </w:r>
          </w:p>
        </w:tc>
        <w:tc>
          <w:tcPr>
            <w:tcW w:w="2161" w:type="dxa"/>
            <w:tcBorders>
              <w:top w:val="single" w:sz="4" w:space="0" w:color="auto"/>
              <w:left w:val="single" w:sz="4" w:space="0" w:color="auto"/>
              <w:bottom w:val="single" w:sz="4" w:space="0" w:color="auto"/>
              <w:right w:val="single" w:sz="4" w:space="0" w:color="auto"/>
            </w:tcBorders>
            <w:vAlign w:val="center"/>
            <w:hideMark/>
          </w:tcPr>
          <w:p w:rsidR="005727C2" w:rsidRDefault="005727C2" w:rsidP="00364535">
            <w:pPr>
              <w:pStyle w:val="a8"/>
              <w:rPr>
                <w:rFonts w:eastAsiaTheme="minorHAnsi"/>
                <w:sz w:val="22"/>
                <w:szCs w:val="22"/>
                <w:lang w:eastAsia="en-US"/>
              </w:rPr>
            </w:pPr>
            <w:r>
              <w:rPr>
                <w:sz w:val="22"/>
                <w:szCs w:val="22"/>
                <w:lang w:eastAsia="en-US"/>
              </w:rPr>
              <w:t>ООО «Центр»</w:t>
            </w:r>
          </w:p>
        </w:tc>
        <w:tc>
          <w:tcPr>
            <w:tcW w:w="1952" w:type="dxa"/>
            <w:tcBorders>
              <w:top w:val="single" w:sz="4" w:space="0" w:color="auto"/>
              <w:left w:val="single" w:sz="4" w:space="0" w:color="auto"/>
              <w:bottom w:val="single" w:sz="4" w:space="0" w:color="auto"/>
              <w:right w:val="single" w:sz="4" w:space="0" w:color="auto"/>
            </w:tcBorders>
            <w:vAlign w:val="center"/>
            <w:hideMark/>
          </w:tcPr>
          <w:p w:rsidR="005727C2" w:rsidRDefault="005727C2" w:rsidP="00364535">
            <w:pPr>
              <w:spacing w:after="0"/>
              <w:jc w:val="center"/>
              <w:rPr>
                <w:sz w:val="22"/>
                <w:szCs w:val="22"/>
                <w:lang w:eastAsia="en-US"/>
              </w:rPr>
            </w:pPr>
            <w:r>
              <w:rPr>
                <w:sz w:val="22"/>
                <w:szCs w:val="22"/>
                <w:lang w:eastAsia="en-US"/>
              </w:rPr>
              <w:t>от 29 января 2019 года № 27-ТЭ</w:t>
            </w:r>
          </w:p>
        </w:tc>
        <w:tc>
          <w:tcPr>
            <w:tcW w:w="1276" w:type="dxa"/>
            <w:tcBorders>
              <w:top w:val="single" w:sz="4" w:space="0" w:color="auto"/>
              <w:left w:val="single" w:sz="4" w:space="0" w:color="auto"/>
              <w:bottom w:val="single" w:sz="4" w:space="0" w:color="auto"/>
              <w:right w:val="single" w:sz="4" w:space="0" w:color="auto"/>
            </w:tcBorders>
            <w:vAlign w:val="center"/>
            <w:hideMark/>
          </w:tcPr>
          <w:p w:rsidR="005727C2" w:rsidRDefault="005727C2" w:rsidP="00364535">
            <w:pPr>
              <w:spacing w:after="0"/>
              <w:jc w:val="center"/>
              <w:rPr>
                <w:sz w:val="22"/>
                <w:szCs w:val="22"/>
                <w:lang w:eastAsia="en-US"/>
              </w:rPr>
            </w:pPr>
            <w:r>
              <w:rPr>
                <w:sz w:val="22"/>
                <w:szCs w:val="22"/>
                <w:lang w:eastAsia="en-US"/>
              </w:rPr>
              <w:t>с 29.01.2019</w:t>
            </w:r>
          </w:p>
        </w:tc>
        <w:tc>
          <w:tcPr>
            <w:tcW w:w="2126" w:type="dxa"/>
            <w:tcBorders>
              <w:top w:val="single" w:sz="4" w:space="0" w:color="auto"/>
              <w:left w:val="single" w:sz="4" w:space="0" w:color="auto"/>
              <w:bottom w:val="single" w:sz="4" w:space="0" w:color="auto"/>
              <w:right w:val="single" w:sz="4" w:space="0" w:color="auto"/>
            </w:tcBorders>
            <w:vAlign w:val="center"/>
            <w:hideMark/>
          </w:tcPr>
          <w:p w:rsidR="005727C2" w:rsidRDefault="005727C2" w:rsidP="00364535">
            <w:pPr>
              <w:spacing w:after="0"/>
              <w:jc w:val="center"/>
              <w:rPr>
                <w:bCs/>
                <w:color w:val="000000"/>
                <w:sz w:val="22"/>
                <w:szCs w:val="22"/>
                <w:lang w:eastAsia="en-US"/>
              </w:rPr>
            </w:pPr>
            <w:r>
              <w:rPr>
                <w:bCs/>
                <w:color w:val="000000"/>
                <w:sz w:val="22"/>
                <w:szCs w:val="22"/>
                <w:lang w:eastAsia="en-US"/>
              </w:rPr>
              <w:t>более 1,5</w:t>
            </w:r>
          </w:p>
          <w:p w:rsidR="005727C2" w:rsidRDefault="005727C2" w:rsidP="00364535">
            <w:pPr>
              <w:spacing w:after="0"/>
              <w:jc w:val="center"/>
              <w:rPr>
                <w:bCs/>
                <w:color w:val="000000"/>
                <w:sz w:val="22"/>
                <w:szCs w:val="22"/>
                <w:lang w:eastAsia="en-US"/>
              </w:rPr>
            </w:pPr>
            <w:r>
              <w:rPr>
                <w:bCs/>
                <w:color w:val="000000"/>
                <w:sz w:val="22"/>
                <w:szCs w:val="22"/>
                <w:lang w:eastAsia="en-US"/>
              </w:rPr>
              <w:t>(при наличии технической возможности)</w:t>
            </w:r>
          </w:p>
        </w:tc>
        <w:tc>
          <w:tcPr>
            <w:tcW w:w="1985" w:type="dxa"/>
            <w:tcBorders>
              <w:top w:val="single" w:sz="4" w:space="0" w:color="auto"/>
              <w:left w:val="single" w:sz="4" w:space="0" w:color="auto"/>
              <w:bottom w:val="single" w:sz="4" w:space="0" w:color="auto"/>
              <w:right w:val="single" w:sz="4" w:space="0" w:color="auto"/>
            </w:tcBorders>
            <w:vAlign w:val="center"/>
            <w:hideMark/>
          </w:tcPr>
          <w:p w:rsidR="005727C2" w:rsidRDefault="005727C2" w:rsidP="00364535">
            <w:pPr>
              <w:spacing w:after="0"/>
              <w:jc w:val="center"/>
              <w:rPr>
                <w:bCs/>
                <w:color w:val="000000"/>
                <w:sz w:val="22"/>
                <w:szCs w:val="22"/>
                <w:lang w:eastAsia="en-US"/>
              </w:rPr>
            </w:pPr>
            <w:r>
              <w:rPr>
                <w:bCs/>
                <w:color w:val="000000"/>
                <w:sz w:val="22"/>
                <w:szCs w:val="22"/>
                <w:lang w:eastAsia="en-US"/>
              </w:rPr>
              <w:t>П1= 0,669</w:t>
            </w:r>
          </w:p>
          <w:p w:rsidR="005727C2" w:rsidRDefault="005727C2" w:rsidP="00364535">
            <w:pPr>
              <w:spacing w:after="0"/>
              <w:jc w:val="center"/>
              <w:rPr>
                <w:bCs/>
                <w:color w:val="000000"/>
                <w:sz w:val="22"/>
                <w:szCs w:val="22"/>
                <w:lang w:eastAsia="en-US"/>
              </w:rPr>
            </w:pPr>
            <w:r>
              <w:rPr>
                <w:bCs/>
                <w:color w:val="000000"/>
                <w:sz w:val="22"/>
                <w:szCs w:val="22"/>
                <w:lang w:eastAsia="en-US"/>
              </w:rPr>
              <w:t>П2.1=3 510,875</w:t>
            </w:r>
          </w:p>
          <w:p w:rsidR="005727C2" w:rsidRDefault="005727C2" w:rsidP="00364535">
            <w:pPr>
              <w:spacing w:after="0"/>
              <w:jc w:val="center"/>
              <w:rPr>
                <w:bCs/>
                <w:color w:val="000000"/>
                <w:sz w:val="22"/>
                <w:szCs w:val="22"/>
                <w:lang w:eastAsia="en-US"/>
              </w:rPr>
            </w:pPr>
            <w:r>
              <w:rPr>
                <w:bCs/>
                <w:color w:val="000000"/>
                <w:sz w:val="22"/>
                <w:szCs w:val="22"/>
                <w:lang w:eastAsia="en-US"/>
              </w:rPr>
              <w:t>Н= 0</w:t>
            </w:r>
          </w:p>
        </w:tc>
      </w:tr>
      <w:tr w:rsidR="005727C2" w:rsidTr="005727C2">
        <w:tc>
          <w:tcPr>
            <w:tcW w:w="531" w:type="dxa"/>
            <w:tcBorders>
              <w:top w:val="single" w:sz="4" w:space="0" w:color="auto"/>
              <w:left w:val="single" w:sz="4" w:space="0" w:color="auto"/>
              <w:bottom w:val="single" w:sz="4" w:space="0" w:color="auto"/>
              <w:right w:val="single" w:sz="4" w:space="0" w:color="auto"/>
            </w:tcBorders>
            <w:vAlign w:val="center"/>
            <w:hideMark/>
          </w:tcPr>
          <w:p w:rsidR="005727C2" w:rsidRDefault="005727C2" w:rsidP="00364535">
            <w:pPr>
              <w:pStyle w:val="a8"/>
              <w:jc w:val="center"/>
              <w:rPr>
                <w:rFonts w:eastAsiaTheme="minorHAnsi"/>
                <w:sz w:val="22"/>
                <w:szCs w:val="22"/>
                <w:lang w:eastAsia="en-US"/>
              </w:rPr>
            </w:pPr>
            <w:r>
              <w:rPr>
                <w:sz w:val="22"/>
                <w:szCs w:val="22"/>
                <w:lang w:eastAsia="en-US"/>
              </w:rPr>
              <w:t>2</w:t>
            </w:r>
          </w:p>
        </w:tc>
        <w:tc>
          <w:tcPr>
            <w:tcW w:w="2161" w:type="dxa"/>
            <w:tcBorders>
              <w:top w:val="single" w:sz="4" w:space="0" w:color="auto"/>
              <w:left w:val="single" w:sz="4" w:space="0" w:color="auto"/>
              <w:bottom w:val="single" w:sz="4" w:space="0" w:color="auto"/>
              <w:right w:val="single" w:sz="4" w:space="0" w:color="auto"/>
            </w:tcBorders>
            <w:vAlign w:val="center"/>
            <w:hideMark/>
          </w:tcPr>
          <w:p w:rsidR="005727C2" w:rsidRDefault="005727C2" w:rsidP="00364535">
            <w:pPr>
              <w:pStyle w:val="a8"/>
              <w:rPr>
                <w:rFonts w:eastAsiaTheme="minorHAnsi"/>
                <w:sz w:val="22"/>
                <w:szCs w:val="22"/>
                <w:lang w:eastAsia="en-US"/>
              </w:rPr>
            </w:pPr>
            <w:r>
              <w:rPr>
                <w:sz w:val="22"/>
                <w:szCs w:val="22"/>
                <w:lang w:eastAsia="en-US"/>
              </w:rPr>
              <w:t>ООО «Центр»</w:t>
            </w:r>
          </w:p>
        </w:tc>
        <w:tc>
          <w:tcPr>
            <w:tcW w:w="1952" w:type="dxa"/>
            <w:tcBorders>
              <w:top w:val="single" w:sz="4" w:space="0" w:color="auto"/>
              <w:left w:val="single" w:sz="4" w:space="0" w:color="auto"/>
              <w:bottom w:val="single" w:sz="4" w:space="0" w:color="auto"/>
              <w:right w:val="single" w:sz="4" w:space="0" w:color="auto"/>
            </w:tcBorders>
            <w:vAlign w:val="center"/>
            <w:hideMark/>
          </w:tcPr>
          <w:p w:rsidR="005727C2" w:rsidRDefault="005727C2" w:rsidP="00364535">
            <w:pPr>
              <w:spacing w:after="0"/>
              <w:jc w:val="center"/>
              <w:rPr>
                <w:sz w:val="22"/>
                <w:szCs w:val="22"/>
                <w:lang w:eastAsia="en-US"/>
              </w:rPr>
            </w:pPr>
            <w:r>
              <w:rPr>
                <w:sz w:val="22"/>
                <w:szCs w:val="22"/>
                <w:lang w:eastAsia="en-US"/>
              </w:rPr>
              <w:t xml:space="preserve">от 19 февраля 2019 года </w:t>
            </w:r>
          </w:p>
          <w:p w:rsidR="005727C2" w:rsidRDefault="005727C2" w:rsidP="00364535">
            <w:pPr>
              <w:spacing w:after="0"/>
              <w:jc w:val="center"/>
              <w:rPr>
                <w:sz w:val="22"/>
                <w:szCs w:val="22"/>
                <w:lang w:eastAsia="en-US"/>
              </w:rPr>
            </w:pPr>
            <w:r>
              <w:rPr>
                <w:sz w:val="22"/>
                <w:szCs w:val="22"/>
                <w:lang w:eastAsia="en-US"/>
              </w:rPr>
              <w:lastRenderedPageBreak/>
              <w:t>№ 47-ТЭ</w:t>
            </w:r>
          </w:p>
        </w:tc>
        <w:tc>
          <w:tcPr>
            <w:tcW w:w="1276" w:type="dxa"/>
            <w:tcBorders>
              <w:top w:val="single" w:sz="4" w:space="0" w:color="auto"/>
              <w:left w:val="single" w:sz="4" w:space="0" w:color="auto"/>
              <w:bottom w:val="single" w:sz="4" w:space="0" w:color="auto"/>
              <w:right w:val="single" w:sz="4" w:space="0" w:color="auto"/>
            </w:tcBorders>
            <w:vAlign w:val="center"/>
            <w:hideMark/>
          </w:tcPr>
          <w:p w:rsidR="005727C2" w:rsidRDefault="005727C2" w:rsidP="00364535">
            <w:pPr>
              <w:spacing w:after="0"/>
              <w:jc w:val="center"/>
              <w:rPr>
                <w:sz w:val="22"/>
                <w:szCs w:val="22"/>
                <w:lang w:eastAsia="en-US"/>
              </w:rPr>
            </w:pPr>
            <w:r>
              <w:rPr>
                <w:sz w:val="22"/>
                <w:szCs w:val="22"/>
                <w:lang w:eastAsia="en-US"/>
              </w:rPr>
              <w:lastRenderedPageBreak/>
              <w:t>с 19.02.2019</w:t>
            </w:r>
          </w:p>
        </w:tc>
        <w:tc>
          <w:tcPr>
            <w:tcW w:w="2126" w:type="dxa"/>
            <w:tcBorders>
              <w:top w:val="single" w:sz="4" w:space="0" w:color="auto"/>
              <w:left w:val="single" w:sz="4" w:space="0" w:color="auto"/>
              <w:bottom w:val="single" w:sz="4" w:space="0" w:color="auto"/>
              <w:right w:val="single" w:sz="4" w:space="0" w:color="auto"/>
            </w:tcBorders>
            <w:vAlign w:val="center"/>
            <w:hideMark/>
          </w:tcPr>
          <w:p w:rsidR="005727C2" w:rsidRDefault="005727C2" w:rsidP="00364535">
            <w:pPr>
              <w:spacing w:after="0"/>
              <w:jc w:val="center"/>
              <w:rPr>
                <w:bCs/>
                <w:color w:val="000000"/>
                <w:sz w:val="22"/>
                <w:szCs w:val="22"/>
                <w:lang w:eastAsia="en-US"/>
              </w:rPr>
            </w:pPr>
            <w:r>
              <w:rPr>
                <w:bCs/>
                <w:color w:val="000000"/>
                <w:sz w:val="22"/>
                <w:szCs w:val="22"/>
                <w:lang w:eastAsia="en-US"/>
              </w:rPr>
              <w:t>от 0,1 по 1,5</w:t>
            </w:r>
          </w:p>
        </w:tc>
        <w:tc>
          <w:tcPr>
            <w:tcW w:w="1985" w:type="dxa"/>
            <w:tcBorders>
              <w:top w:val="single" w:sz="4" w:space="0" w:color="auto"/>
              <w:left w:val="single" w:sz="4" w:space="0" w:color="auto"/>
              <w:bottom w:val="single" w:sz="4" w:space="0" w:color="auto"/>
              <w:right w:val="single" w:sz="4" w:space="0" w:color="auto"/>
            </w:tcBorders>
            <w:vAlign w:val="center"/>
          </w:tcPr>
          <w:p w:rsidR="005727C2" w:rsidRDefault="005727C2" w:rsidP="00364535">
            <w:pPr>
              <w:spacing w:after="0"/>
              <w:jc w:val="center"/>
              <w:rPr>
                <w:bCs/>
                <w:color w:val="000000"/>
                <w:sz w:val="22"/>
                <w:szCs w:val="22"/>
                <w:lang w:eastAsia="en-US"/>
              </w:rPr>
            </w:pPr>
            <w:r>
              <w:rPr>
                <w:bCs/>
                <w:color w:val="000000"/>
                <w:sz w:val="22"/>
                <w:szCs w:val="22"/>
                <w:lang w:eastAsia="en-US"/>
              </w:rPr>
              <w:t>П1= 0,669</w:t>
            </w:r>
          </w:p>
          <w:p w:rsidR="005727C2" w:rsidRDefault="005727C2" w:rsidP="00364535">
            <w:pPr>
              <w:spacing w:after="0"/>
              <w:jc w:val="center"/>
              <w:rPr>
                <w:bCs/>
                <w:color w:val="000000"/>
                <w:sz w:val="22"/>
                <w:szCs w:val="22"/>
                <w:lang w:eastAsia="en-US"/>
              </w:rPr>
            </w:pPr>
          </w:p>
        </w:tc>
      </w:tr>
      <w:tr w:rsidR="005727C2" w:rsidTr="005727C2">
        <w:tc>
          <w:tcPr>
            <w:tcW w:w="531" w:type="dxa"/>
            <w:vMerge w:val="restart"/>
            <w:tcBorders>
              <w:top w:val="single" w:sz="4" w:space="0" w:color="auto"/>
              <w:left w:val="single" w:sz="4" w:space="0" w:color="auto"/>
              <w:bottom w:val="single" w:sz="4" w:space="0" w:color="auto"/>
              <w:right w:val="single" w:sz="4" w:space="0" w:color="auto"/>
            </w:tcBorders>
            <w:vAlign w:val="center"/>
            <w:hideMark/>
          </w:tcPr>
          <w:p w:rsidR="005727C2" w:rsidRDefault="005727C2" w:rsidP="00364535">
            <w:pPr>
              <w:pStyle w:val="a8"/>
              <w:jc w:val="center"/>
              <w:rPr>
                <w:rFonts w:eastAsiaTheme="minorHAnsi"/>
                <w:sz w:val="22"/>
                <w:szCs w:val="22"/>
                <w:lang w:eastAsia="en-US"/>
              </w:rPr>
            </w:pPr>
            <w:r>
              <w:rPr>
                <w:sz w:val="22"/>
                <w:szCs w:val="22"/>
                <w:lang w:eastAsia="en-US"/>
              </w:rPr>
              <w:lastRenderedPageBreak/>
              <w:t>3</w:t>
            </w:r>
          </w:p>
        </w:tc>
        <w:tc>
          <w:tcPr>
            <w:tcW w:w="2161" w:type="dxa"/>
            <w:vMerge w:val="restart"/>
            <w:tcBorders>
              <w:top w:val="single" w:sz="4" w:space="0" w:color="auto"/>
              <w:left w:val="single" w:sz="4" w:space="0" w:color="auto"/>
              <w:bottom w:val="single" w:sz="4" w:space="0" w:color="auto"/>
              <w:right w:val="single" w:sz="4" w:space="0" w:color="auto"/>
            </w:tcBorders>
            <w:vAlign w:val="center"/>
            <w:hideMark/>
          </w:tcPr>
          <w:p w:rsidR="005727C2" w:rsidRDefault="005727C2" w:rsidP="00364535">
            <w:pPr>
              <w:pStyle w:val="a8"/>
              <w:rPr>
                <w:rFonts w:eastAsiaTheme="minorHAnsi"/>
                <w:sz w:val="22"/>
                <w:szCs w:val="22"/>
                <w:lang w:eastAsia="en-US"/>
              </w:rPr>
            </w:pPr>
            <w:r>
              <w:rPr>
                <w:sz w:val="22"/>
                <w:szCs w:val="22"/>
                <w:lang w:eastAsia="en-US"/>
              </w:rPr>
              <w:t>АО «УК «ПЛП»</w:t>
            </w:r>
          </w:p>
        </w:tc>
        <w:tc>
          <w:tcPr>
            <w:tcW w:w="1952" w:type="dxa"/>
            <w:vMerge w:val="restart"/>
            <w:tcBorders>
              <w:top w:val="single" w:sz="4" w:space="0" w:color="auto"/>
              <w:left w:val="single" w:sz="4" w:space="0" w:color="auto"/>
              <w:bottom w:val="single" w:sz="4" w:space="0" w:color="auto"/>
              <w:right w:val="single" w:sz="4" w:space="0" w:color="auto"/>
            </w:tcBorders>
            <w:vAlign w:val="center"/>
            <w:hideMark/>
          </w:tcPr>
          <w:p w:rsidR="005727C2" w:rsidRDefault="005727C2" w:rsidP="00364535">
            <w:pPr>
              <w:spacing w:after="0"/>
              <w:jc w:val="center"/>
              <w:rPr>
                <w:sz w:val="22"/>
                <w:szCs w:val="22"/>
                <w:lang w:eastAsia="en-US"/>
              </w:rPr>
            </w:pPr>
            <w:r>
              <w:rPr>
                <w:sz w:val="22"/>
                <w:szCs w:val="22"/>
                <w:lang w:eastAsia="en-US"/>
              </w:rPr>
              <w:t>от 29 января 2019 года № 28-ТЭ</w:t>
            </w:r>
          </w:p>
        </w:tc>
        <w:tc>
          <w:tcPr>
            <w:tcW w:w="1276" w:type="dxa"/>
            <w:vMerge w:val="restart"/>
            <w:tcBorders>
              <w:top w:val="single" w:sz="4" w:space="0" w:color="auto"/>
              <w:left w:val="single" w:sz="4" w:space="0" w:color="auto"/>
              <w:bottom w:val="single" w:sz="4" w:space="0" w:color="auto"/>
              <w:right w:val="single" w:sz="4" w:space="0" w:color="auto"/>
            </w:tcBorders>
            <w:vAlign w:val="center"/>
            <w:hideMark/>
          </w:tcPr>
          <w:p w:rsidR="005727C2" w:rsidRDefault="005727C2" w:rsidP="00364535">
            <w:pPr>
              <w:spacing w:after="0"/>
              <w:jc w:val="center"/>
              <w:rPr>
                <w:sz w:val="22"/>
                <w:szCs w:val="22"/>
                <w:lang w:eastAsia="en-US"/>
              </w:rPr>
            </w:pPr>
            <w:r>
              <w:rPr>
                <w:sz w:val="22"/>
                <w:szCs w:val="22"/>
                <w:lang w:eastAsia="en-US"/>
              </w:rPr>
              <w:t>с 29.01.2019</w:t>
            </w:r>
          </w:p>
        </w:tc>
        <w:tc>
          <w:tcPr>
            <w:tcW w:w="2126" w:type="dxa"/>
            <w:tcBorders>
              <w:top w:val="single" w:sz="4" w:space="0" w:color="auto"/>
              <w:left w:val="single" w:sz="4" w:space="0" w:color="auto"/>
              <w:bottom w:val="single" w:sz="4" w:space="0" w:color="auto"/>
              <w:right w:val="single" w:sz="4" w:space="0" w:color="auto"/>
            </w:tcBorders>
            <w:vAlign w:val="center"/>
            <w:hideMark/>
          </w:tcPr>
          <w:p w:rsidR="005727C2" w:rsidRDefault="005727C2" w:rsidP="00364535">
            <w:pPr>
              <w:spacing w:after="0"/>
              <w:jc w:val="center"/>
              <w:rPr>
                <w:bCs/>
                <w:color w:val="000000"/>
                <w:sz w:val="22"/>
                <w:szCs w:val="22"/>
                <w:lang w:eastAsia="en-US"/>
              </w:rPr>
            </w:pPr>
            <w:r>
              <w:rPr>
                <w:bCs/>
                <w:color w:val="000000"/>
                <w:sz w:val="22"/>
                <w:szCs w:val="22"/>
                <w:lang w:eastAsia="en-US"/>
              </w:rPr>
              <w:t>от 0,1 по 1,5</w:t>
            </w:r>
          </w:p>
        </w:tc>
        <w:tc>
          <w:tcPr>
            <w:tcW w:w="1985" w:type="dxa"/>
            <w:tcBorders>
              <w:top w:val="single" w:sz="4" w:space="0" w:color="auto"/>
              <w:left w:val="single" w:sz="4" w:space="0" w:color="auto"/>
              <w:bottom w:val="single" w:sz="4" w:space="0" w:color="auto"/>
              <w:right w:val="single" w:sz="4" w:space="0" w:color="auto"/>
            </w:tcBorders>
            <w:vAlign w:val="center"/>
            <w:hideMark/>
          </w:tcPr>
          <w:p w:rsidR="005727C2" w:rsidRDefault="005727C2" w:rsidP="00364535">
            <w:pPr>
              <w:spacing w:after="0"/>
              <w:jc w:val="center"/>
              <w:rPr>
                <w:bCs/>
                <w:color w:val="000000"/>
                <w:sz w:val="22"/>
                <w:szCs w:val="22"/>
                <w:lang w:eastAsia="en-US"/>
              </w:rPr>
            </w:pPr>
            <w:r>
              <w:rPr>
                <w:bCs/>
                <w:color w:val="000000"/>
                <w:sz w:val="22"/>
                <w:szCs w:val="22"/>
                <w:lang w:eastAsia="en-US"/>
              </w:rPr>
              <w:t>П1= 21,912</w:t>
            </w:r>
          </w:p>
        </w:tc>
      </w:tr>
      <w:tr w:rsidR="005727C2" w:rsidTr="005727C2">
        <w:tc>
          <w:tcPr>
            <w:tcW w:w="531" w:type="dxa"/>
            <w:vMerge/>
            <w:tcBorders>
              <w:top w:val="single" w:sz="4" w:space="0" w:color="auto"/>
              <w:left w:val="single" w:sz="4" w:space="0" w:color="auto"/>
              <w:bottom w:val="single" w:sz="4" w:space="0" w:color="auto"/>
              <w:right w:val="single" w:sz="4" w:space="0" w:color="auto"/>
            </w:tcBorders>
            <w:vAlign w:val="center"/>
            <w:hideMark/>
          </w:tcPr>
          <w:p w:rsidR="005727C2" w:rsidRDefault="005727C2" w:rsidP="00364535">
            <w:pPr>
              <w:spacing w:after="0"/>
              <w:rPr>
                <w:sz w:val="22"/>
                <w:szCs w:val="22"/>
                <w:lang w:eastAsia="en-US"/>
              </w:rPr>
            </w:pPr>
          </w:p>
        </w:tc>
        <w:tc>
          <w:tcPr>
            <w:tcW w:w="2161" w:type="dxa"/>
            <w:vMerge/>
            <w:tcBorders>
              <w:top w:val="single" w:sz="4" w:space="0" w:color="auto"/>
              <w:left w:val="single" w:sz="4" w:space="0" w:color="auto"/>
              <w:bottom w:val="single" w:sz="4" w:space="0" w:color="auto"/>
              <w:right w:val="single" w:sz="4" w:space="0" w:color="auto"/>
            </w:tcBorders>
            <w:vAlign w:val="center"/>
            <w:hideMark/>
          </w:tcPr>
          <w:p w:rsidR="005727C2" w:rsidRDefault="005727C2" w:rsidP="00364535">
            <w:pPr>
              <w:spacing w:after="0"/>
              <w:rPr>
                <w:sz w:val="22"/>
                <w:szCs w:val="22"/>
                <w:lang w:eastAsia="en-US"/>
              </w:rPr>
            </w:pPr>
          </w:p>
        </w:tc>
        <w:tc>
          <w:tcPr>
            <w:tcW w:w="1952" w:type="dxa"/>
            <w:vMerge/>
            <w:tcBorders>
              <w:top w:val="single" w:sz="4" w:space="0" w:color="auto"/>
              <w:left w:val="single" w:sz="4" w:space="0" w:color="auto"/>
              <w:bottom w:val="single" w:sz="4" w:space="0" w:color="auto"/>
              <w:right w:val="single" w:sz="4" w:space="0" w:color="auto"/>
            </w:tcBorders>
            <w:vAlign w:val="center"/>
            <w:hideMark/>
          </w:tcPr>
          <w:p w:rsidR="005727C2" w:rsidRDefault="005727C2" w:rsidP="00364535">
            <w:pPr>
              <w:spacing w:after="0"/>
              <w:rPr>
                <w:sz w:val="22"/>
                <w:szCs w:val="22"/>
                <w:lang w:eastAsia="en-US"/>
              </w:rPr>
            </w:pPr>
          </w:p>
        </w:tc>
        <w:tc>
          <w:tcPr>
            <w:tcW w:w="1276" w:type="dxa"/>
            <w:vMerge/>
            <w:tcBorders>
              <w:top w:val="single" w:sz="4" w:space="0" w:color="auto"/>
              <w:left w:val="single" w:sz="4" w:space="0" w:color="auto"/>
              <w:bottom w:val="single" w:sz="4" w:space="0" w:color="auto"/>
              <w:right w:val="single" w:sz="4" w:space="0" w:color="auto"/>
            </w:tcBorders>
            <w:vAlign w:val="center"/>
            <w:hideMark/>
          </w:tcPr>
          <w:p w:rsidR="005727C2" w:rsidRDefault="005727C2" w:rsidP="00364535">
            <w:pPr>
              <w:spacing w:after="0"/>
              <w:rPr>
                <w:sz w:val="22"/>
                <w:szCs w:val="22"/>
                <w:lang w:eastAsia="en-US"/>
              </w:rPr>
            </w:pPr>
          </w:p>
        </w:tc>
        <w:tc>
          <w:tcPr>
            <w:tcW w:w="2126" w:type="dxa"/>
            <w:tcBorders>
              <w:top w:val="single" w:sz="4" w:space="0" w:color="auto"/>
              <w:left w:val="single" w:sz="4" w:space="0" w:color="auto"/>
              <w:bottom w:val="single" w:sz="4" w:space="0" w:color="auto"/>
              <w:right w:val="single" w:sz="4" w:space="0" w:color="auto"/>
            </w:tcBorders>
            <w:vAlign w:val="center"/>
            <w:hideMark/>
          </w:tcPr>
          <w:p w:rsidR="005727C2" w:rsidRDefault="005727C2" w:rsidP="00364535">
            <w:pPr>
              <w:spacing w:after="0"/>
              <w:jc w:val="center"/>
              <w:rPr>
                <w:bCs/>
                <w:color w:val="000000"/>
                <w:sz w:val="22"/>
                <w:szCs w:val="22"/>
                <w:lang w:eastAsia="en-US"/>
              </w:rPr>
            </w:pPr>
            <w:r>
              <w:rPr>
                <w:bCs/>
                <w:color w:val="000000"/>
                <w:sz w:val="22"/>
                <w:szCs w:val="22"/>
                <w:lang w:eastAsia="en-US"/>
              </w:rPr>
              <w:t>более 1,5</w:t>
            </w:r>
          </w:p>
          <w:p w:rsidR="005727C2" w:rsidRDefault="005727C2" w:rsidP="00364535">
            <w:pPr>
              <w:spacing w:after="0"/>
              <w:jc w:val="center"/>
              <w:rPr>
                <w:bCs/>
                <w:color w:val="000000"/>
                <w:sz w:val="22"/>
                <w:szCs w:val="22"/>
                <w:lang w:eastAsia="en-US"/>
              </w:rPr>
            </w:pPr>
            <w:r>
              <w:rPr>
                <w:bCs/>
                <w:color w:val="000000"/>
                <w:sz w:val="22"/>
                <w:szCs w:val="22"/>
                <w:lang w:eastAsia="en-US"/>
              </w:rPr>
              <w:t>(при наличии технической возможности)</w:t>
            </w:r>
          </w:p>
        </w:tc>
        <w:tc>
          <w:tcPr>
            <w:tcW w:w="1985" w:type="dxa"/>
            <w:tcBorders>
              <w:top w:val="single" w:sz="4" w:space="0" w:color="auto"/>
              <w:left w:val="single" w:sz="4" w:space="0" w:color="auto"/>
              <w:bottom w:val="single" w:sz="4" w:space="0" w:color="auto"/>
              <w:right w:val="single" w:sz="4" w:space="0" w:color="auto"/>
            </w:tcBorders>
            <w:vAlign w:val="center"/>
            <w:hideMark/>
          </w:tcPr>
          <w:p w:rsidR="005727C2" w:rsidRDefault="005727C2" w:rsidP="00364535">
            <w:pPr>
              <w:spacing w:after="0"/>
              <w:jc w:val="center"/>
              <w:rPr>
                <w:bCs/>
                <w:color w:val="000000"/>
                <w:sz w:val="22"/>
                <w:szCs w:val="22"/>
                <w:lang w:eastAsia="en-US"/>
              </w:rPr>
            </w:pPr>
            <w:r>
              <w:rPr>
                <w:bCs/>
                <w:color w:val="000000"/>
                <w:sz w:val="22"/>
                <w:szCs w:val="22"/>
                <w:lang w:eastAsia="en-US"/>
              </w:rPr>
              <w:t>П1= 21,912</w:t>
            </w:r>
          </w:p>
        </w:tc>
      </w:tr>
      <w:tr w:rsidR="005727C2" w:rsidTr="005727C2">
        <w:tc>
          <w:tcPr>
            <w:tcW w:w="531" w:type="dxa"/>
            <w:tcBorders>
              <w:top w:val="single" w:sz="4" w:space="0" w:color="auto"/>
              <w:left w:val="single" w:sz="4" w:space="0" w:color="auto"/>
              <w:bottom w:val="single" w:sz="4" w:space="0" w:color="auto"/>
              <w:right w:val="single" w:sz="4" w:space="0" w:color="auto"/>
            </w:tcBorders>
            <w:vAlign w:val="center"/>
            <w:hideMark/>
          </w:tcPr>
          <w:p w:rsidR="005727C2" w:rsidRDefault="005727C2" w:rsidP="00364535">
            <w:pPr>
              <w:pStyle w:val="a8"/>
              <w:jc w:val="center"/>
              <w:rPr>
                <w:rFonts w:eastAsiaTheme="minorHAnsi"/>
                <w:sz w:val="22"/>
                <w:szCs w:val="22"/>
                <w:lang w:eastAsia="en-US"/>
              </w:rPr>
            </w:pPr>
            <w:r>
              <w:rPr>
                <w:sz w:val="22"/>
                <w:szCs w:val="22"/>
                <w:lang w:eastAsia="en-US"/>
              </w:rPr>
              <w:t>4</w:t>
            </w:r>
          </w:p>
        </w:tc>
        <w:tc>
          <w:tcPr>
            <w:tcW w:w="2161" w:type="dxa"/>
            <w:tcBorders>
              <w:top w:val="single" w:sz="4" w:space="0" w:color="auto"/>
              <w:left w:val="single" w:sz="4" w:space="0" w:color="auto"/>
              <w:bottom w:val="single" w:sz="4" w:space="0" w:color="auto"/>
              <w:right w:val="single" w:sz="4" w:space="0" w:color="auto"/>
            </w:tcBorders>
            <w:vAlign w:val="center"/>
            <w:hideMark/>
          </w:tcPr>
          <w:p w:rsidR="005727C2" w:rsidRDefault="005727C2" w:rsidP="00364535">
            <w:pPr>
              <w:pStyle w:val="a8"/>
              <w:rPr>
                <w:rFonts w:eastAsiaTheme="minorHAnsi"/>
                <w:sz w:val="22"/>
                <w:szCs w:val="22"/>
                <w:lang w:eastAsia="en-US"/>
              </w:rPr>
            </w:pPr>
            <w:r>
              <w:rPr>
                <w:sz w:val="22"/>
                <w:szCs w:val="22"/>
                <w:lang w:eastAsia="en-US"/>
              </w:rPr>
              <w:t>АО «СИБЭКО»</w:t>
            </w:r>
          </w:p>
        </w:tc>
        <w:tc>
          <w:tcPr>
            <w:tcW w:w="1952" w:type="dxa"/>
            <w:tcBorders>
              <w:top w:val="single" w:sz="4" w:space="0" w:color="auto"/>
              <w:left w:val="single" w:sz="4" w:space="0" w:color="auto"/>
              <w:bottom w:val="single" w:sz="4" w:space="0" w:color="auto"/>
              <w:right w:val="single" w:sz="4" w:space="0" w:color="auto"/>
            </w:tcBorders>
            <w:vAlign w:val="center"/>
            <w:hideMark/>
          </w:tcPr>
          <w:p w:rsidR="005727C2" w:rsidRDefault="005727C2" w:rsidP="00364535">
            <w:pPr>
              <w:spacing w:after="0"/>
              <w:jc w:val="center"/>
              <w:rPr>
                <w:sz w:val="22"/>
                <w:szCs w:val="22"/>
                <w:lang w:eastAsia="en-US"/>
              </w:rPr>
            </w:pPr>
            <w:r>
              <w:rPr>
                <w:sz w:val="22"/>
                <w:szCs w:val="22"/>
                <w:lang w:eastAsia="en-US"/>
              </w:rPr>
              <w:t xml:space="preserve">от 17 декабря 2019 года </w:t>
            </w:r>
          </w:p>
          <w:p w:rsidR="005727C2" w:rsidRDefault="005727C2" w:rsidP="00364535">
            <w:pPr>
              <w:spacing w:after="0"/>
              <w:jc w:val="center"/>
              <w:rPr>
                <w:sz w:val="22"/>
                <w:szCs w:val="22"/>
                <w:lang w:eastAsia="en-US"/>
              </w:rPr>
            </w:pPr>
            <w:r>
              <w:rPr>
                <w:sz w:val="22"/>
                <w:szCs w:val="22"/>
                <w:lang w:eastAsia="en-US"/>
              </w:rPr>
              <w:t>№ 693-ТЭ</w:t>
            </w:r>
          </w:p>
        </w:tc>
        <w:tc>
          <w:tcPr>
            <w:tcW w:w="1276" w:type="dxa"/>
            <w:tcBorders>
              <w:top w:val="single" w:sz="4" w:space="0" w:color="auto"/>
              <w:left w:val="single" w:sz="4" w:space="0" w:color="auto"/>
              <w:bottom w:val="single" w:sz="4" w:space="0" w:color="auto"/>
              <w:right w:val="single" w:sz="4" w:space="0" w:color="auto"/>
            </w:tcBorders>
            <w:vAlign w:val="center"/>
            <w:hideMark/>
          </w:tcPr>
          <w:p w:rsidR="005727C2" w:rsidRDefault="005727C2" w:rsidP="00364535">
            <w:pPr>
              <w:spacing w:after="0"/>
              <w:jc w:val="center"/>
              <w:rPr>
                <w:sz w:val="22"/>
                <w:szCs w:val="22"/>
                <w:lang w:eastAsia="en-US"/>
              </w:rPr>
            </w:pPr>
            <w:r>
              <w:rPr>
                <w:sz w:val="22"/>
                <w:szCs w:val="22"/>
                <w:lang w:eastAsia="en-US"/>
              </w:rPr>
              <w:t>с 01.01.2020</w:t>
            </w:r>
          </w:p>
        </w:tc>
        <w:tc>
          <w:tcPr>
            <w:tcW w:w="2126" w:type="dxa"/>
            <w:tcBorders>
              <w:top w:val="single" w:sz="4" w:space="0" w:color="auto"/>
              <w:left w:val="single" w:sz="4" w:space="0" w:color="auto"/>
              <w:bottom w:val="single" w:sz="4" w:space="0" w:color="auto"/>
              <w:right w:val="single" w:sz="4" w:space="0" w:color="auto"/>
            </w:tcBorders>
            <w:vAlign w:val="center"/>
            <w:hideMark/>
          </w:tcPr>
          <w:p w:rsidR="005727C2" w:rsidRDefault="005727C2" w:rsidP="00364535">
            <w:pPr>
              <w:spacing w:after="0"/>
              <w:jc w:val="center"/>
              <w:rPr>
                <w:bCs/>
                <w:color w:val="000000"/>
                <w:sz w:val="22"/>
                <w:szCs w:val="22"/>
                <w:lang w:eastAsia="en-US"/>
              </w:rPr>
            </w:pPr>
            <w:r>
              <w:rPr>
                <w:bCs/>
                <w:color w:val="000000"/>
                <w:sz w:val="22"/>
                <w:szCs w:val="22"/>
                <w:lang w:eastAsia="en-US"/>
              </w:rPr>
              <w:t>Без дифференциации</w:t>
            </w:r>
          </w:p>
        </w:tc>
        <w:tc>
          <w:tcPr>
            <w:tcW w:w="1985" w:type="dxa"/>
            <w:tcBorders>
              <w:top w:val="single" w:sz="4" w:space="0" w:color="auto"/>
              <w:left w:val="single" w:sz="4" w:space="0" w:color="auto"/>
              <w:bottom w:val="single" w:sz="4" w:space="0" w:color="auto"/>
              <w:right w:val="single" w:sz="4" w:space="0" w:color="auto"/>
            </w:tcBorders>
            <w:vAlign w:val="center"/>
            <w:hideMark/>
          </w:tcPr>
          <w:p w:rsidR="005727C2" w:rsidRDefault="005727C2" w:rsidP="00364535">
            <w:pPr>
              <w:spacing w:after="0"/>
              <w:jc w:val="center"/>
              <w:rPr>
                <w:bCs/>
                <w:color w:val="000000"/>
                <w:sz w:val="22"/>
                <w:szCs w:val="22"/>
                <w:lang w:eastAsia="en-US"/>
              </w:rPr>
            </w:pPr>
            <w:r>
              <w:rPr>
                <w:bCs/>
                <w:color w:val="000000"/>
                <w:sz w:val="22"/>
                <w:szCs w:val="22"/>
                <w:lang w:eastAsia="en-US"/>
              </w:rPr>
              <w:t>П1= 132,815</w:t>
            </w:r>
          </w:p>
          <w:p w:rsidR="005727C2" w:rsidRDefault="005727C2" w:rsidP="00364535">
            <w:pPr>
              <w:spacing w:after="0"/>
              <w:jc w:val="center"/>
              <w:rPr>
                <w:bCs/>
                <w:color w:val="000000"/>
                <w:sz w:val="22"/>
                <w:szCs w:val="22"/>
                <w:lang w:eastAsia="en-US"/>
              </w:rPr>
            </w:pPr>
            <w:r>
              <w:rPr>
                <w:bCs/>
                <w:color w:val="000000"/>
                <w:sz w:val="22"/>
                <w:szCs w:val="22"/>
                <w:lang w:eastAsia="en-US"/>
              </w:rPr>
              <w:t>П2.1=3 796,396</w:t>
            </w:r>
          </w:p>
          <w:p w:rsidR="005727C2" w:rsidRDefault="005727C2" w:rsidP="00364535">
            <w:pPr>
              <w:spacing w:after="0"/>
              <w:jc w:val="center"/>
              <w:rPr>
                <w:bCs/>
                <w:color w:val="000000"/>
                <w:sz w:val="22"/>
                <w:szCs w:val="22"/>
                <w:lang w:eastAsia="en-US"/>
              </w:rPr>
            </w:pPr>
            <w:r>
              <w:rPr>
                <w:bCs/>
                <w:color w:val="000000"/>
                <w:sz w:val="22"/>
                <w:szCs w:val="22"/>
                <w:lang w:eastAsia="en-US"/>
              </w:rPr>
              <w:t>Н= 683,219</w:t>
            </w:r>
          </w:p>
        </w:tc>
      </w:tr>
      <w:tr w:rsidR="005727C2" w:rsidTr="005727C2">
        <w:tc>
          <w:tcPr>
            <w:tcW w:w="531" w:type="dxa"/>
            <w:tcBorders>
              <w:top w:val="single" w:sz="4" w:space="0" w:color="auto"/>
              <w:left w:val="single" w:sz="4" w:space="0" w:color="auto"/>
              <w:bottom w:val="single" w:sz="4" w:space="0" w:color="auto"/>
              <w:right w:val="single" w:sz="4" w:space="0" w:color="auto"/>
            </w:tcBorders>
            <w:vAlign w:val="center"/>
            <w:hideMark/>
          </w:tcPr>
          <w:p w:rsidR="005727C2" w:rsidRDefault="005727C2" w:rsidP="00364535">
            <w:pPr>
              <w:pStyle w:val="a8"/>
              <w:jc w:val="center"/>
              <w:rPr>
                <w:rFonts w:eastAsiaTheme="minorHAnsi"/>
                <w:sz w:val="22"/>
                <w:szCs w:val="22"/>
                <w:lang w:eastAsia="en-US"/>
              </w:rPr>
            </w:pPr>
            <w:r>
              <w:rPr>
                <w:sz w:val="22"/>
                <w:szCs w:val="22"/>
                <w:lang w:eastAsia="en-US"/>
              </w:rPr>
              <w:t>5</w:t>
            </w:r>
          </w:p>
        </w:tc>
        <w:tc>
          <w:tcPr>
            <w:tcW w:w="2161" w:type="dxa"/>
            <w:tcBorders>
              <w:top w:val="single" w:sz="4" w:space="0" w:color="auto"/>
              <w:left w:val="single" w:sz="4" w:space="0" w:color="auto"/>
              <w:bottom w:val="single" w:sz="4" w:space="0" w:color="auto"/>
              <w:right w:val="single" w:sz="4" w:space="0" w:color="auto"/>
            </w:tcBorders>
            <w:vAlign w:val="center"/>
            <w:hideMark/>
          </w:tcPr>
          <w:p w:rsidR="005727C2" w:rsidRDefault="005727C2" w:rsidP="00364535">
            <w:pPr>
              <w:pStyle w:val="a8"/>
              <w:rPr>
                <w:rFonts w:eastAsiaTheme="minorHAnsi"/>
                <w:sz w:val="22"/>
                <w:szCs w:val="22"/>
                <w:lang w:eastAsia="en-US"/>
              </w:rPr>
            </w:pPr>
            <w:r>
              <w:rPr>
                <w:sz w:val="22"/>
                <w:szCs w:val="22"/>
                <w:lang w:eastAsia="en-US"/>
              </w:rPr>
              <w:t>МУЭП «Промтехэнерго»</w:t>
            </w:r>
          </w:p>
        </w:tc>
        <w:tc>
          <w:tcPr>
            <w:tcW w:w="1952" w:type="dxa"/>
            <w:tcBorders>
              <w:top w:val="single" w:sz="4" w:space="0" w:color="auto"/>
              <w:left w:val="single" w:sz="4" w:space="0" w:color="auto"/>
              <w:bottom w:val="single" w:sz="4" w:space="0" w:color="auto"/>
              <w:right w:val="single" w:sz="4" w:space="0" w:color="auto"/>
            </w:tcBorders>
            <w:vAlign w:val="center"/>
            <w:hideMark/>
          </w:tcPr>
          <w:p w:rsidR="005727C2" w:rsidRDefault="005727C2" w:rsidP="00364535">
            <w:pPr>
              <w:spacing w:after="0"/>
              <w:jc w:val="center"/>
              <w:rPr>
                <w:sz w:val="22"/>
                <w:szCs w:val="22"/>
                <w:lang w:eastAsia="en-US"/>
              </w:rPr>
            </w:pPr>
            <w:r>
              <w:rPr>
                <w:sz w:val="22"/>
                <w:szCs w:val="22"/>
                <w:lang w:eastAsia="en-US"/>
              </w:rPr>
              <w:t>от 17 декабря 2019 года № 694-ТЭ</w:t>
            </w:r>
          </w:p>
        </w:tc>
        <w:tc>
          <w:tcPr>
            <w:tcW w:w="1276" w:type="dxa"/>
            <w:tcBorders>
              <w:top w:val="single" w:sz="4" w:space="0" w:color="auto"/>
              <w:left w:val="single" w:sz="4" w:space="0" w:color="auto"/>
              <w:bottom w:val="single" w:sz="4" w:space="0" w:color="auto"/>
              <w:right w:val="single" w:sz="4" w:space="0" w:color="auto"/>
            </w:tcBorders>
            <w:vAlign w:val="center"/>
            <w:hideMark/>
          </w:tcPr>
          <w:p w:rsidR="005727C2" w:rsidRDefault="005727C2" w:rsidP="00364535">
            <w:pPr>
              <w:spacing w:after="0"/>
              <w:jc w:val="center"/>
              <w:rPr>
                <w:sz w:val="22"/>
                <w:szCs w:val="22"/>
                <w:lang w:eastAsia="en-US"/>
              </w:rPr>
            </w:pPr>
            <w:r>
              <w:rPr>
                <w:sz w:val="22"/>
                <w:szCs w:val="22"/>
                <w:lang w:eastAsia="en-US"/>
              </w:rPr>
              <w:t>с 01.01.2020</w:t>
            </w:r>
          </w:p>
        </w:tc>
        <w:tc>
          <w:tcPr>
            <w:tcW w:w="2126" w:type="dxa"/>
            <w:tcBorders>
              <w:top w:val="single" w:sz="4" w:space="0" w:color="auto"/>
              <w:left w:val="single" w:sz="4" w:space="0" w:color="auto"/>
              <w:bottom w:val="single" w:sz="4" w:space="0" w:color="auto"/>
              <w:right w:val="single" w:sz="4" w:space="0" w:color="auto"/>
            </w:tcBorders>
            <w:vAlign w:val="center"/>
            <w:hideMark/>
          </w:tcPr>
          <w:p w:rsidR="005727C2" w:rsidRDefault="005727C2" w:rsidP="00364535">
            <w:pPr>
              <w:spacing w:after="0"/>
              <w:jc w:val="center"/>
              <w:rPr>
                <w:bCs/>
                <w:color w:val="000000"/>
                <w:sz w:val="22"/>
                <w:szCs w:val="22"/>
                <w:lang w:eastAsia="en-US"/>
              </w:rPr>
            </w:pPr>
            <w:r>
              <w:rPr>
                <w:bCs/>
                <w:color w:val="000000"/>
                <w:sz w:val="22"/>
                <w:szCs w:val="22"/>
                <w:lang w:eastAsia="en-US"/>
              </w:rPr>
              <w:t>Без дифференциации</w:t>
            </w:r>
          </w:p>
        </w:tc>
        <w:tc>
          <w:tcPr>
            <w:tcW w:w="1985" w:type="dxa"/>
            <w:tcBorders>
              <w:top w:val="single" w:sz="4" w:space="0" w:color="auto"/>
              <w:left w:val="single" w:sz="4" w:space="0" w:color="auto"/>
              <w:bottom w:val="single" w:sz="4" w:space="0" w:color="auto"/>
              <w:right w:val="single" w:sz="4" w:space="0" w:color="auto"/>
            </w:tcBorders>
            <w:vAlign w:val="center"/>
            <w:hideMark/>
          </w:tcPr>
          <w:p w:rsidR="005727C2" w:rsidRDefault="005727C2" w:rsidP="00364535">
            <w:pPr>
              <w:spacing w:after="0"/>
              <w:jc w:val="center"/>
              <w:rPr>
                <w:bCs/>
                <w:color w:val="000000"/>
                <w:sz w:val="22"/>
                <w:szCs w:val="22"/>
                <w:lang w:eastAsia="en-US"/>
              </w:rPr>
            </w:pPr>
            <w:r>
              <w:rPr>
                <w:bCs/>
                <w:color w:val="000000"/>
                <w:sz w:val="22"/>
                <w:szCs w:val="22"/>
                <w:lang w:eastAsia="en-US"/>
              </w:rPr>
              <w:t>П1= 46,285</w:t>
            </w:r>
          </w:p>
        </w:tc>
      </w:tr>
      <w:tr w:rsidR="005727C2" w:rsidTr="005727C2">
        <w:tc>
          <w:tcPr>
            <w:tcW w:w="531" w:type="dxa"/>
            <w:vMerge w:val="restart"/>
            <w:tcBorders>
              <w:top w:val="single" w:sz="4" w:space="0" w:color="auto"/>
              <w:left w:val="single" w:sz="4" w:space="0" w:color="auto"/>
              <w:bottom w:val="single" w:sz="4" w:space="0" w:color="auto"/>
              <w:right w:val="single" w:sz="4" w:space="0" w:color="auto"/>
            </w:tcBorders>
            <w:vAlign w:val="center"/>
            <w:hideMark/>
          </w:tcPr>
          <w:p w:rsidR="005727C2" w:rsidRDefault="005727C2" w:rsidP="00364535">
            <w:pPr>
              <w:pStyle w:val="a8"/>
              <w:jc w:val="center"/>
              <w:rPr>
                <w:rFonts w:eastAsiaTheme="minorHAnsi"/>
                <w:sz w:val="22"/>
                <w:szCs w:val="22"/>
                <w:lang w:eastAsia="en-US"/>
              </w:rPr>
            </w:pPr>
            <w:r>
              <w:rPr>
                <w:sz w:val="22"/>
                <w:szCs w:val="22"/>
                <w:lang w:eastAsia="en-US"/>
              </w:rPr>
              <w:t>6</w:t>
            </w:r>
          </w:p>
        </w:tc>
        <w:tc>
          <w:tcPr>
            <w:tcW w:w="2161" w:type="dxa"/>
            <w:vMerge w:val="restart"/>
            <w:tcBorders>
              <w:top w:val="single" w:sz="4" w:space="0" w:color="auto"/>
              <w:left w:val="single" w:sz="4" w:space="0" w:color="auto"/>
              <w:bottom w:val="single" w:sz="4" w:space="0" w:color="auto"/>
              <w:right w:val="single" w:sz="4" w:space="0" w:color="auto"/>
            </w:tcBorders>
            <w:vAlign w:val="center"/>
            <w:hideMark/>
          </w:tcPr>
          <w:p w:rsidR="005727C2" w:rsidRDefault="005727C2" w:rsidP="00364535">
            <w:pPr>
              <w:pStyle w:val="a8"/>
              <w:rPr>
                <w:rFonts w:eastAsiaTheme="minorHAnsi"/>
                <w:sz w:val="22"/>
                <w:szCs w:val="22"/>
                <w:lang w:eastAsia="en-US"/>
              </w:rPr>
            </w:pPr>
            <w:r>
              <w:rPr>
                <w:sz w:val="22"/>
                <w:szCs w:val="22"/>
                <w:lang w:eastAsia="en-US"/>
              </w:rPr>
              <w:t>ООО «ТСП-Сиб»</w:t>
            </w:r>
          </w:p>
        </w:tc>
        <w:tc>
          <w:tcPr>
            <w:tcW w:w="1952" w:type="dxa"/>
            <w:vMerge w:val="restart"/>
            <w:tcBorders>
              <w:top w:val="single" w:sz="4" w:space="0" w:color="auto"/>
              <w:left w:val="single" w:sz="4" w:space="0" w:color="auto"/>
              <w:bottom w:val="single" w:sz="4" w:space="0" w:color="auto"/>
              <w:right w:val="single" w:sz="4" w:space="0" w:color="auto"/>
            </w:tcBorders>
            <w:vAlign w:val="center"/>
            <w:hideMark/>
          </w:tcPr>
          <w:p w:rsidR="005727C2" w:rsidRDefault="005727C2" w:rsidP="00364535">
            <w:pPr>
              <w:spacing w:after="0"/>
              <w:jc w:val="center"/>
              <w:rPr>
                <w:sz w:val="22"/>
                <w:szCs w:val="22"/>
                <w:lang w:eastAsia="en-US"/>
              </w:rPr>
            </w:pPr>
            <w:r>
              <w:rPr>
                <w:sz w:val="22"/>
                <w:szCs w:val="22"/>
                <w:lang w:eastAsia="en-US"/>
              </w:rPr>
              <w:t xml:space="preserve">от 17 декабря 2019 года </w:t>
            </w:r>
          </w:p>
          <w:p w:rsidR="005727C2" w:rsidRDefault="005727C2" w:rsidP="00364535">
            <w:pPr>
              <w:spacing w:after="0"/>
              <w:jc w:val="center"/>
              <w:rPr>
                <w:sz w:val="22"/>
                <w:szCs w:val="22"/>
                <w:lang w:eastAsia="en-US"/>
              </w:rPr>
            </w:pPr>
            <w:r>
              <w:rPr>
                <w:sz w:val="22"/>
                <w:szCs w:val="22"/>
                <w:lang w:eastAsia="en-US"/>
              </w:rPr>
              <w:t>№ 695-ТЭ</w:t>
            </w:r>
          </w:p>
        </w:tc>
        <w:tc>
          <w:tcPr>
            <w:tcW w:w="1276" w:type="dxa"/>
            <w:vMerge w:val="restart"/>
            <w:tcBorders>
              <w:top w:val="single" w:sz="4" w:space="0" w:color="auto"/>
              <w:left w:val="single" w:sz="4" w:space="0" w:color="auto"/>
              <w:bottom w:val="single" w:sz="4" w:space="0" w:color="auto"/>
              <w:right w:val="single" w:sz="4" w:space="0" w:color="auto"/>
            </w:tcBorders>
            <w:vAlign w:val="center"/>
            <w:hideMark/>
          </w:tcPr>
          <w:p w:rsidR="005727C2" w:rsidRDefault="005727C2" w:rsidP="00364535">
            <w:pPr>
              <w:spacing w:after="0"/>
              <w:jc w:val="center"/>
              <w:rPr>
                <w:sz w:val="22"/>
                <w:szCs w:val="22"/>
                <w:lang w:eastAsia="en-US"/>
              </w:rPr>
            </w:pPr>
            <w:r>
              <w:rPr>
                <w:sz w:val="22"/>
                <w:szCs w:val="22"/>
                <w:lang w:eastAsia="en-US"/>
              </w:rPr>
              <w:t>с 01.01.2020</w:t>
            </w:r>
          </w:p>
        </w:tc>
        <w:tc>
          <w:tcPr>
            <w:tcW w:w="2126" w:type="dxa"/>
            <w:tcBorders>
              <w:top w:val="single" w:sz="4" w:space="0" w:color="auto"/>
              <w:left w:val="single" w:sz="4" w:space="0" w:color="auto"/>
              <w:bottom w:val="single" w:sz="4" w:space="0" w:color="auto"/>
              <w:right w:val="single" w:sz="4" w:space="0" w:color="auto"/>
            </w:tcBorders>
            <w:vAlign w:val="center"/>
            <w:hideMark/>
          </w:tcPr>
          <w:p w:rsidR="005727C2" w:rsidRDefault="005727C2" w:rsidP="00364535">
            <w:pPr>
              <w:spacing w:after="0"/>
              <w:jc w:val="center"/>
              <w:rPr>
                <w:bCs/>
                <w:color w:val="000000"/>
                <w:sz w:val="22"/>
                <w:szCs w:val="22"/>
                <w:lang w:eastAsia="en-US"/>
              </w:rPr>
            </w:pPr>
            <w:r>
              <w:rPr>
                <w:bCs/>
                <w:color w:val="000000"/>
                <w:sz w:val="22"/>
                <w:szCs w:val="22"/>
                <w:lang w:eastAsia="en-US"/>
              </w:rPr>
              <w:t>от 0,1 по 1,5</w:t>
            </w:r>
          </w:p>
        </w:tc>
        <w:tc>
          <w:tcPr>
            <w:tcW w:w="1985" w:type="dxa"/>
            <w:tcBorders>
              <w:top w:val="single" w:sz="4" w:space="0" w:color="auto"/>
              <w:left w:val="single" w:sz="4" w:space="0" w:color="auto"/>
              <w:bottom w:val="single" w:sz="4" w:space="0" w:color="auto"/>
              <w:right w:val="single" w:sz="4" w:space="0" w:color="auto"/>
            </w:tcBorders>
            <w:vAlign w:val="center"/>
            <w:hideMark/>
          </w:tcPr>
          <w:p w:rsidR="005727C2" w:rsidRDefault="005727C2" w:rsidP="00364535">
            <w:pPr>
              <w:spacing w:after="0"/>
              <w:jc w:val="center"/>
              <w:rPr>
                <w:bCs/>
                <w:color w:val="000000"/>
                <w:sz w:val="22"/>
                <w:szCs w:val="22"/>
                <w:lang w:eastAsia="en-US"/>
              </w:rPr>
            </w:pPr>
            <w:r>
              <w:rPr>
                <w:bCs/>
                <w:color w:val="000000"/>
                <w:sz w:val="22"/>
                <w:szCs w:val="22"/>
                <w:lang w:eastAsia="en-US"/>
              </w:rPr>
              <w:t>П1= 9,192</w:t>
            </w:r>
          </w:p>
          <w:p w:rsidR="005727C2" w:rsidRDefault="005727C2" w:rsidP="00364535">
            <w:pPr>
              <w:spacing w:after="0"/>
              <w:jc w:val="center"/>
              <w:rPr>
                <w:bCs/>
                <w:color w:val="000000"/>
                <w:sz w:val="22"/>
                <w:szCs w:val="22"/>
                <w:lang w:eastAsia="en-US"/>
              </w:rPr>
            </w:pPr>
            <w:r>
              <w:rPr>
                <w:bCs/>
                <w:color w:val="000000"/>
                <w:sz w:val="22"/>
                <w:szCs w:val="22"/>
                <w:lang w:eastAsia="en-US"/>
              </w:rPr>
              <w:t>П2.1= 5 297,251</w:t>
            </w:r>
          </w:p>
        </w:tc>
      </w:tr>
      <w:tr w:rsidR="005727C2" w:rsidTr="005727C2">
        <w:tc>
          <w:tcPr>
            <w:tcW w:w="531" w:type="dxa"/>
            <w:vMerge/>
            <w:tcBorders>
              <w:top w:val="single" w:sz="4" w:space="0" w:color="auto"/>
              <w:left w:val="single" w:sz="4" w:space="0" w:color="auto"/>
              <w:bottom w:val="single" w:sz="4" w:space="0" w:color="auto"/>
              <w:right w:val="single" w:sz="4" w:space="0" w:color="auto"/>
            </w:tcBorders>
            <w:vAlign w:val="center"/>
            <w:hideMark/>
          </w:tcPr>
          <w:p w:rsidR="005727C2" w:rsidRDefault="005727C2" w:rsidP="00364535">
            <w:pPr>
              <w:spacing w:after="0"/>
              <w:rPr>
                <w:sz w:val="22"/>
                <w:szCs w:val="22"/>
                <w:lang w:eastAsia="en-US"/>
              </w:rPr>
            </w:pPr>
          </w:p>
        </w:tc>
        <w:tc>
          <w:tcPr>
            <w:tcW w:w="2161" w:type="dxa"/>
            <w:vMerge/>
            <w:tcBorders>
              <w:top w:val="single" w:sz="4" w:space="0" w:color="auto"/>
              <w:left w:val="single" w:sz="4" w:space="0" w:color="auto"/>
              <w:bottom w:val="single" w:sz="4" w:space="0" w:color="auto"/>
              <w:right w:val="single" w:sz="4" w:space="0" w:color="auto"/>
            </w:tcBorders>
            <w:vAlign w:val="center"/>
            <w:hideMark/>
          </w:tcPr>
          <w:p w:rsidR="005727C2" w:rsidRDefault="005727C2" w:rsidP="00364535">
            <w:pPr>
              <w:spacing w:after="0"/>
              <w:rPr>
                <w:sz w:val="22"/>
                <w:szCs w:val="22"/>
                <w:lang w:eastAsia="en-US"/>
              </w:rPr>
            </w:pPr>
          </w:p>
        </w:tc>
        <w:tc>
          <w:tcPr>
            <w:tcW w:w="1952" w:type="dxa"/>
            <w:vMerge/>
            <w:tcBorders>
              <w:top w:val="single" w:sz="4" w:space="0" w:color="auto"/>
              <w:left w:val="single" w:sz="4" w:space="0" w:color="auto"/>
              <w:bottom w:val="single" w:sz="4" w:space="0" w:color="auto"/>
              <w:right w:val="single" w:sz="4" w:space="0" w:color="auto"/>
            </w:tcBorders>
            <w:vAlign w:val="center"/>
            <w:hideMark/>
          </w:tcPr>
          <w:p w:rsidR="005727C2" w:rsidRDefault="005727C2" w:rsidP="00364535">
            <w:pPr>
              <w:spacing w:after="0"/>
              <w:rPr>
                <w:sz w:val="22"/>
                <w:szCs w:val="22"/>
                <w:lang w:eastAsia="en-US"/>
              </w:rPr>
            </w:pPr>
          </w:p>
        </w:tc>
        <w:tc>
          <w:tcPr>
            <w:tcW w:w="1276" w:type="dxa"/>
            <w:vMerge/>
            <w:tcBorders>
              <w:top w:val="single" w:sz="4" w:space="0" w:color="auto"/>
              <w:left w:val="single" w:sz="4" w:space="0" w:color="auto"/>
              <w:bottom w:val="single" w:sz="4" w:space="0" w:color="auto"/>
              <w:right w:val="single" w:sz="4" w:space="0" w:color="auto"/>
            </w:tcBorders>
            <w:vAlign w:val="center"/>
            <w:hideMark/>
          </w:tcPr>
          <w:p w:rsidR="005727C2" w:rsidRDefault="005727C2" w:rsidP="00364535">
            <w:pPr>
              <w:spacing w:after="0"/>
              <w:rPr>
                <w:sz w:val="22"/>
                <w:szCs w:val="22"/>
                <w:lang w:eastAsia="en-US"/>
              </w:rPr>
            </w:pPr>
          </w:p>
        </w:tc>
        <w:tc>
          <w:tcPr>
            <w:tcW w:w="2126" w:type="dxa"/>
            <w:tcBorders>
              <w:top w:val="single" w:sz="4" w:space="0" w:color="auto"/>
              <w:left w:val="single" w:sz="4" w:space="0" w:color="auto"/>
              <w:bottom w:val="single" w:sz="4" w:space="0" w:color="auto"/>
              <w:right w:val="single" w:sz="4" w:space="0" w:color="auto"/>
            </w:tcBorders>
            <w:vAlign w:val="center"/>
            <w:hideMark/>
          </w:tcPr>
          <w:p w:rsidR="005727C2" w:rsidRDefault="005727C2" w:rsidP="00364535">
            <w:pPr>
              <w:spacing w:after="0"/>
              <w:jc w:val="center"/>
              <w:rPr>
                <w:bCs/>
                <w:color w:val="000000"/>
                <w:sz w:val="22"/>
                <w:szCs w:val="22"/>
                <w:lang w:eastAsia="en-US"/>
              </w:rPr>
            </w:pPr>
            <w:r>
              <w:rPr>
                <w:bCs/>
                <w:color w:val="000000"/>
                <w:sz w:val="22"/>
                <w:szCs w:val="22"/>
                <w:lang w:eastAsia="en-US"/>
              </w:rPr>
              <w:t>более 1,5</w:t>
            </w:r>
          </w:p>
          <w:p w:rsidR="005727C2" w:rsidRDefault="005727C2" w:rsidP="00364535">
            <w:pPr>
              <w:spacing w:after="0"/>
              <w:jc w:val="center"/>
              <w:rPr>
                <w:bCs/>
                <w:color w:val="000000"/>
                <w:sz w:val="22"/>
                <w:szCs w:val="22"/>
                <w:lang w:eastAsia="en-US"/>
              </w:rPr>
            </w:pPr>
            <w:r>
              <w:rPr>
                <w:bCs/>
                <w:color w:val="000000"/>
                <w:sz w:val="22"/>
                <w:szCs w:val="22"/>
                <w:lang w:eastAsia="en-US"/>
              </w:rPr>
              <w:t>(при наличии технической возможности)</w:t>
            </w:r>
          </w:p>
        </w:tc>
        <w:tc>
          <w:tcPr>
            <w:tcW w:w="1985" w:type="dxa"/>
            <w:tcBorders>
              <w:top w:val="single" w:sz="4" w:space="0" w:color="auto"/>
              <w:left w:val="single" w:sz="4" w:space="0" w:color="auto"/>
              <w:bottom w:val="single" w:sz="4" w:space="0" w:color="auto"/>
              <w:right w:val="single" w:sz="4" w:space="0" w:color="auto"/>
            </w:tcBorders>
            <w:vAlign w:val="center"/>
            <w:hideMark/>
          </w:tcPr>
          <w:p w:rsidR="005727C2" w:rsidRDefault="005727C2" w:rsidP="00364535">
            <w:pPr>
              <w:spacing w:after="0"/>
              <w:jc w:val="center"/>
              <w:rPr>
                <w:bCs/>
                <w:color w:val="000000"/>
                <w:sz w:val="22"/>
                <w:szCs w:val="22"/>
                <w:lang w:eastAsia="en-US"/>
              </w:rPr>
            </w:pPr>
            <w:r>
              <w:rPr>
                <w:bCs/>
                <w:color w:val="000000"/>
                <w:sz w:val="22"/>
                <w:szCs w:val="22"/>
                <w:lang w:eastAsia="en-US"/>
              </w:rPr>
              <w:t>П1= 9,192</w:t>
            </w:r>
          </w:p>
          <w:p w:rsidR="005727C2" w:rsidRDefault="005727C2" w:rsidP="00364535">
            <w:pPr>
              <w:spacing w:after="0"/>
              <w:jc w:val="center"/>
              <w:rPr>
                <w:bCs/>
                <w:color w:val="000000"/>
                <w:sz w:val="22"/>
                <w:szCs w:val="22"/>
                <w:lang w:eastAsia="en-US"/>
              </w:rPr>
            </w:pPr>
            <w:r>
              <w:rPr>
                <w:bCs/>
                <w:color w:val="000000"/>
                <w:sz w:val="22"/>
                <w:szCs w:val="22"/>
                <w:lang w:eastAsia="en-US"/>
              </w:rPr>
              <w:t>П2.1= 5 807,159</w:t>
            </w:r>
          </w:p>
        </w:tc>
      </w:tr>
      <w:tr w:rsidR="005727C2" w:rsidTr="005727C2">
        <w:tc>
          <w:tcPr>
            <w:tcW w:w="531" w:type="dxa"/>
            <w:tcBorders>
              <w:top w:val="single" w:sz="4" w:space="0" w:color="auto"/>
              <w:left w:val="single" w:sz="4" w:space="0" w:color="auto"/>
              <w:bottom w:val="single" w:sz="4" w:space="0" w:color="auto"/>
              <w:right w:val="single" w:sz="4" w:space="0" w:color="auto"/>
            </w:tcBorders>
            <w:vAlign w:val="center"/>
            <w:hideMark/>
          </w:tcPr>
          <w:p w:rsidR="005727C2" w:rsidRDefault="005727C2" w:rsidP="00364535">
            <w:pPr>
              <w:pStyle w:val="a8"/>
              <w:jc w:val="center"/>
              <w:rPr>
                <w:rFonts w:eastAsiaTheme="minorHAnsi"/>
                <w:sz w:val="22"/>
                <w:szCs w:val="22"/>
                <w:lang w:eastAsia="en-US"/>
              </w:rPr>
            </w:pPr>
            <w:r>
              <w:rPr>
                <w:sz w:val="22"/>
                <w:szCs w:val="22"/>
                <w:lang w:eastAsia="en-US"/>
              </w:rPr>
              <w:t>7</w:t>
            </w:r>
          </w:p>
        </w:tc>
        <w:tc>
          <w:tcPr>
            <w:tcW w:w="2161" w:type="dxa"/>
            <w:tcBorders>
              <w:top w:val="single" w:sz="4" w:space="0" w:color="auto"/>
              <w:left w:val="single" w:sz="4" w:space="0" w:color="auto"/>
              <w:bottom w:val="single" w:sz="4" w:space="0" w:color="auto"/>
              <w:right w:val="single" w:sz="4" w:space="0" w:color="auto"/>
            </w:tcBorders>
            <w:vAlign w:val="center"/>
            <w:hideMark/>
          </w:tcPr>
          <w:p w:rsidR="005727C2" w:rsidRDefault="005727C2" w:rsidP="00364535">
            <w:pPr>
              <w:pStyle w:val="a8"/>
              <w:rPr>
                <w:rFonts w:eastAsiaTheme="minorHAnsi"/>
                <w:sz w:val="22"/>
                <w:szCs w:val="22"/>
                <w:lang w:eastAsia="en-US"/>
              </w:rPr>
            </w:pPr>
            <w:r>
              <w:rPr>
                <w:sz w:val="22"/>
                <w:szCs w:val="22"/>
                <w:lang w:eastAsia="en-US"/>
              </w:rPr>
              <w:t>ФГУП «Энергетик»</w:t>
            </w:r>
          </w:p>
        </w:tc>
        <w:tc>
          <w:tcPr>
            <w:tcW w:w="1952" w:type="dxa"/>
            <w:tcBorders>
              <w:top w:val="single" w:sz="4" w:space="0" w:color="auto"/>
              <w:left w:val="single" w:sz="4" w:space="0" w:color="auto"/>
              <w:bottom w:val="single" w:sz="4" w:space="0" w:color="auto"/>
              <w:right w:val="single" w:sz="4" w:space="0" w:color="auto"/>
            </w:tcBorders>
            <w:vAlign w:val="center"/>
            <w:hideMark/>
          </w:tcPr>
          <w:p w:rsidR="005727C2" w:rsidRDefault="005727C2" w:rsidP="00364535">
            <w:pPr>
              <w:spacing w:after="0"/>
              <w:jc w:val="center"/>
              <w:rPr>
                <w:sz w:val="22"/>
                <w:szCs w:val="22"/>
                <w:lang w:eastAsia="en-US"/>
              </w:rPr>
            </w:pPr>
            <w:r>
              <w:rPr>
                <w:sz w:val="22"/>
                <w:szCs w:val="22"/>
                <w:lang w:eastAsia="en-US"/>
              </w:rPr>
              <w:t xml:space="preserve">от 17 декабря 2019 года </w:t>
            </w:r>
          </w:p>
          <w:p w:rsidR="005727C2" w:rsidRDefault="005727C2" w:rsidP="00364535">
            <w:pPr>
              <w:spacing w:after="0"/>
              <w:jc w:val="center"/>
              <w:rPr>
                <w:sz w:val="22"/>
                <w:szCs w:val="22"/>
                <w:lang w:eastAsia="en-US"/>
              </w:rPr>
            </w:pPr>
            <w:r>
              <w:rPr>
                <w:sz w:val="22"/>
                <w:szCs w:val="22"/>
                <w:lang w:eastAsia="en-US"/>
              </w:rPr>
              <w:t>№ 696-ТЭ</w:t>
            </w:r>
          </w:p>
        </w:tc>
        <w:tc>
          <w:tcPr>
            <w:tcW w:w="1276" w:type="dxa"/>
            <w:tcBorders>
              <w:top w:val="single" w:sz="4" w:space="0" w:color="auto"/>
              <w:left w:val="single" w:sz="4" w:space="0" w:color="auto"/>
              <w:bottom w:val="single" w:sz="4" w:space="0" w:color="auto"/>
              <w:right w:val="single" w:sz="4" w:space="0" w:color="auto"/>
            </w:tcBorders>
            <w:vAlign w:val="center"/>
            <w:hideMark/>
          </w:tcPr>
          <w:p w:rsidR="005727C2" w:rsidRDefault="005727C2" w:rsidP="00364535">
            <w:pPr>
              <w:spacing w:after="0"/>
              <w:jc w:val="center"/>
              <w:rPr>
                <w:sz w:val="22"/>
                <w:szCs w:val="22"/>
                <w:lang w:eastAsia="en-US"/>
              </w:rPr>
            </w:pPr>
            <w:r>
              <w:rPr>
                <w:sz w:val="22"/>
                <w:szCs w:val="22"/>
                <w:lang w:eastAsia="en-US"/>
              </w:rPr>
              <w:t>с 01.01.2020</w:t>
            </w:r>
          </w:p>
        </w:tc>
        <w:tc>
          <w:tcPr>
            <w:tcW w:w="2126" w:type="dxa"/>
            <w:tcBorders>
              <w:top w:val="single" w:sz="4" w:space="0" w:color="auto"/>
              <w:left w:val="single" w:sz="4" w:space="0" w:color="auto"/>
              <w:bottom w:val="single" w:sz="4" w:space="0" w:color="auto"/>
              <w:right w:val="single" w:sz="4" w:space="0" w:color="auto"/>
            </w:tcBorders>
            <w:vAlign w:val="center"/>
            <w:hideMark/>
          </w:tcPr>
          <w:p w:rsidR="005727C2" w:rsidRDefault="005727C2" w:rsidP="00364535">
            <w:pPr>
              <w:spacing w:after="0"/>
              <w:jc w:val="center"/>
              <w:rPr>
                <w:bCs/>
                <w:color w:val="000000"/>
                <w:sz w:val="22"/>
                <w:szCs w:val="22"/>
                <w:lang w:eastAsia="en-US"/>
              </w:rPr>
            </w:pPr>
            <w:r>
              <w:rPr>
                <w:bCs/>
                <w:color w:val="000000"/>
                <w:sz w:val="22"/>
                <w:szCs w:val="22"/>
                <w:lang w:eastAsia="en-US"/>
              </w:rPr>
              <w:t>Без дифференциации</w:t>
            </w:r>
          </w:p>
        </w:tc>
        <w:tc>
          <w:tcPr>
            <w:tcW w:w="1985" w:type="dxa"/>
            <w:tcBorders>
              <w:top w:val="single" w:sz="4" w:space="0" w:color="auto"/>
              <w:left w:val="single" w:sz="4" w:space="0" w:color="auto"/>
              <w:bottom w:val="single" w:sz="4" w:space="0" w:color="auto"/>
              <w:right w:val="single" w:sz="4" w:space="0" w:color="auto"/>
            </w:tcBorders>
            <w:vAlign w:val="center"/>
            <w:hideMark/>
          </w:tcPr>
          <w:p w:rsidR="005727C2" w:rsidRDefault="005727C2" w:rsidP="00364535">
            <w:pPr>
              <w:spacing w:after="0"/>
              <w:jc w:val="center"/>
              <w:rPr>
                <w:bCs/>
                <w:color w:val="000000"/>
                <w:sz w:val="22"/>
                <w:szCs w:val="22"/>
                <w:lang w:eastAsia="en-US"/>
              </w:rPr>
            </w:pPr>
            <w:r>
              <w:rPr>
                <w:bCs/>
                <w:color w:val="000000"/>
                <w:sz w:val="22"/>
                <w:szCs w:val="22"/>
                <w:lang w:eastAsia="en-US"/>
              </w:rPr>
              <w:t>П1= 6,831</w:t>
            </w:r>
          </w:p>
        </w:tc>
      </w:tr>
      <w:tr w:rsidR="005727C2" w:rsidTr="005727C2">
        <w:tc>
          <w:tcPr>
            <w:tcW w:w="531" w:type="dxa"/>
            <w:tcBorders>
              <w:top w:val="single" w:sz="4" w:space="0" w:color="auto"/>
              <w:left w:val="single" w:sz="4" w:space="0" w:color="auto"/>
              <w:bottom w:val="single" w:sz="4" w:space="0" w:color="auto"/>
              <w:right w:val="single" w:sz="4" w:space="0" w:color="auto"/>
            </w:tcBorders>
            <w:vAlign w:val="center"/>
            <w:hideMark/>
          </w:tcPr>
          <w:p w:rsidR="005727C2" w:rsidRDefault="005727C2" w:rsidP="00364535">
            <w:pPr>
              <w:pStyle w:val="a8"/>
              <w:jc w:val="center"/>
              <w:rPr>
                <w:rFonts w:eastAsiaTheme="minorHAnsi"/>
                <w:sz w:val="22"/>
                <w:szCs w:val="22"/>
                <w:lang w:eastAsia="en-US"/>
              </w:rPr>
            </w:pPr>
            <w:r>
              <w:rPr>
                <w:sz w:val="22"/>
                <w:szCs w:val="22"/>
                <w:lang w:eastAsia="en-US"/>
              </w:rPr>
              <w:t>8</w:t>
            </w:r>
          </w:p>
        </w:tc>
        <w:tc>
          <w:tcPr>
            <w:tcW w:w="2161" w:type="dxa"/>
            <w:tcBorders>
              <w:top w:val="single" w:sz="4" w:space="0" w:color="auto"/>
              <w:left w:val="single" w:sz="4" w:space="0" w:color="auto"/>
              <w:bottom w:val="single" w:sz="4" w:space="0" w:color="auto"/>
              <w:right w:val="single" w:sz="4" w:space="0" w:color="auto"/>
            </w:tcBorders>
            <w:vAlign w:val="center"/>
            <w:hideMark/>
          </w:tcPr>
          <w:p w:rsidR="005727C2" w:rsidRDefault="005727C2" w:rsidP="00364535">
            <w:pPr>
              <w:pStyle w:val="a8"/>
              <w:rPr>
                <w:rFonts w:eastAsiaTheme="minorHAnsi"/>
                <w:sz w:val="22"/>
                <w:szCs w:val="22"/>
                <w:lang w:eastAsia="en-US"/>
              </w:rPr>
            </w:pPr>
            <w:r>
              <w:rPr>
                <w:sz w:val="22"/>
                <w:szCs w:val="22"/>
                <w:lang w:eastAsia="en-US"/>
              </w:rPr>
              <w:t>МУП «Каргатское ЖКХ»</w:t>
            </w:r>
          </w:p>
        </w:tc>
        <w:tc>
          <w:tcPr>
            <w:tcW w:w="1952" w:type="dxa"/>
            <w:tcBorders>
              <w:top w:val="single" w:sz="4" w:space="0" w:color="auto"/>
              <w:left w:val="single" w:sz="4" w:space="0" w:color="auto"/>
              <w:bottom w:val="single" w:sz="4" w:space="0" w:color="auto"/>
              <w:right w:val="single" w:sz="4" w:space="0" w:color="auto"/>
            </w:tcBorders>
            <w:vAlign w:val="center"/>
            <w:hideMark/>
          </w:tcPr>
          <w:p w:rsidR="005727C2" w:rsidRDefault="005727C2" w:rsidP="00364535">
            <w:pPr>
              <w:spacing w:after="0"/>
              <w:jc w:val="center"/>
              <w:rPr>
                <w:sz w:val="22"/>
                <w:szCs w:val="22"/>
                <w:lang w:eastAsia="en-US"/>
              </w:rPr>
            </w:pPr>
            <w:r>
              <w:rPr>
                <w:sz w:val="22"/>
                <w:szCs w:val="22"/>
                <w:lang w:eastAsia="en-US"/>
              </w:rPr>
              <w:t xml:space="preserve">от 17 декабря 2019 года </w:t>
            </w:r>
          </w:p>
          <w:p w:rsidR="005727C2" w:rsidRDefault="005727C2" w:rsidP="00364535">
            <w:pPr>
              <w:spacing w:after="0"/>
              <w:jc w:val="center"/>
              <w:rPr>
                <w:sz w:val="22"/>
                <w:szCs w:val="22"/>
                <w:lang w:eastAsia="en-US"/>
              </w:rPr>
            </w:pPr>
            <w:r>
              <w:rPr>
                <w:sz w:val="22"/>
                <w:szCs w:val="22"/>
                <w:lang w:eastAsia="en-US"/>
              </w:rPr>
              <w:t>№ 697-ТЭ</w:t>
            </w:r>
          </w:p>
        </w:tc>
        <w:tc>
          <w:tcPr>
            <w:tcW w:w="1276" w:type="dxa"/>
            <w:tcBorders>
              <w:top w:val="single" w:sz="4" w:space="0" w:color="auto"/>
              <w:left w:val="single" w:sz="4" w:space="0" w:color="auto"/>
              <w:bottom w:val="single" w:sz="4" w:space="0" w:color="auto"/>
              <w:right w:val="single" w:sz="4" w:space="0" w:color="auto"/>
            </w:tcBorders>
            <w:vAlign w:val="center"/>
            <w:hideMark/>
          </w:tcPr>
          <w:p w:rsidR="005727C2" w:rsidRDefault="005727C2" w:rsidP="00364535">
            <w:pPr>
              <w:spacing w:after="0"/>
              <w:jc w:val="center"/>
              <w:rPr>
                <w:sz w:val="22"/>
                <w:szCs w:val="22"/>
                <w:lang w:eastAsia="en-US"/>
              </w:rPr>
            </w:pPr>
            <w:r>
              <w:rPr>
                <w:sz w:val="22"/>
                <w:szCs w:val="22"/>
                <w:lang w:eastAsia="en-US"/>
              </w:rPr>
              <w:t>с 01.01.2020</w:t>
            </w:r>
          </w:p>
        </w:tc>
        <w:tc>
          <w:tcPr>
            <w:tcW w:w="2126" w:type="dxa"/>
            <w:tcBorders>
              <w:top w:val="single" w:sz="4" w:space="0" w:color="auto"/>
              <w:left w:val="single" w:sz="4" w:space="0" w:color="auto"/>
              <w:bottom w:val="single" w:sz="4" w:space="0" w:color="auto"/>
              <w:right w:val="single" w:sz="4" w:space="0" w:color="auto"/>
            </w:tcBorders>
            <w:vAlign w:val="center"/>
            <w:hideMark/>
          </w:tcPr>
          <w:p w:rsidR="005727C2" w:rsidRDefault="005727C2" w:rsidP="00364535">
            <w:pPr>
              <w:spacing w:after="0"/>
              <w:jc w:val="center"/>
              <w:rPr>
                <w:bCs/>
                <w:color w:val="000000"/>
                <w:sz w:val="22"/>
                <w:szCs w:val="22"/>
                <w:lang w:eastAsia="en-US"/>
              </w:rPr>
            </w:pPr>
            <w:r>
              <w:rPr>
                <w:bCs/>
                <w:color w:val="000000"/>
                <w:sz w:val="22"/>
                <w:szCs w:val="22"/>
                <w:lang w:eastAsia="en-US"/>
              </w:rPr>
              <w:t>Без дифференциации</w:t>
            </w:r>
          </w:p>
        </w:tc>
        <w:tc>
          <w:tcPr>
            <w:tcW w:w="1985" w:type="dxa"/>
            <w:tcBorders>
              <w:top w:val="single" w:sz="4" w:space="0" w:color="auto"/>
              <w:left w:val="single" w:sz="4" w:space="0" w:color="auto"/>
              <w:bottom w:val="single" w:sz="4" w:space="0" w:color="auto"/>
              <w:right w:val="single" w:sz="4" w:space="0" w:color="auto"/>
            </w:tcBorders>
            <w:vAlign w:val="center"/>
            <w:hideMark/>
          </w:tcPr>
          <w:p w:rsidR="005727C2" w:rsidRDefault="005727C2" w:rsidP="00364535">
            <w:pPr>
              <w:spacing w:after="0"/>
              <w:jc w:val="center"/>
              <w:rPr>
                <w:bCs/>
                <w:color w:val="000000"/>
                <w:sz w:val="22"/>
                <w:szCs w:val="22"/>
                <w:lang w:eastAsia="en-US"/>
              </w:rPr>
            </w:pPr>
            <w:r>
              <w:rPr>
                <w:bCs/>
                <w:color w:val="000000"/>
                <w:sz w:val="22"/>
                <w:szCs w:val="22"/>
                <w:lang w:eastAsia="en-US"/>
              </w:rPr>
              <w:t>П1= 35,625</w:t>
            </w:r>
          </w:p>
        </w:tc>
      </w:tr>
      <w:tr w:rsidR="005727C2" w:rsidTr="005727C2">
        <w:tc>
          <w:tcPr>
            <w:tcW w:w="531" w:type="dxa"/>
            <w:vMerge w:val="restart"/>
            <w:tcBorders>
              <w:top w:val="single" w:sz="4" w:space="0" w:color="auto"/>
              <w:left w:val="single" w:sz="4" w:space="0" w:color="auto"/>
              <w:bottom w:val="single" w:sz="4" w:space="0" w:color="auto"/>
              <w:right w:val="single" w:sz="4" w:space="0" w:color="auto"/>
            </w:tcBorders>
            <w:vAlign w:val="center"/>
            <w:hideMark/>
          </w:tcPr>
          <w:p w:rsidR="005727C2" w:rsidRDefault="005727C2" w:rsidP="00364535">
            <w:pPr>
              <w:pStyle w:val="a8"/>
              <w:jc w:val="center"/>
              <w:rPr>
                <w:rFonts w:eastAsiaTheme="minorHAnsi"/>
                <w:sz w:val="22"/>
                <w:szCs w:val="22"/>
                <w:lang w:eastAsia="en-US"/>
              </w:rPr>
            </w:pPr>
            <w:r>
              <w:rPr>
                <w:sz w:val="22"/>
                <w:szCs w:val="22"/>
                <w:lang w:eastAsia="en-US"/>
              </w:rPr>
              <w:t>9</w:t>
            </w:r>
          </w:p>
        </w:tc>
        <w:tc>
          <w:tcPr>
            <w:tcW w:w="2161" w:type="dxa"/>
            <w:vMerge w:val="restart"/>
            <w:tcBorders>
              <w:top w:val="single" w:sz="4" w:space="0" w:color="auto"/>
              <w:left w:val="single" w:sz="4" w:space="0" w:color="auto"/>
              <w:bottom w:val="single" w:sz="4" w:space="0" w:color="auto"/>
              <w:right w:val="single" w:sz="4" w:space="0" w:color="auto"/>
            </w:tcBorders>
            <w:vAlign w:val="center"/>
            <w:hideMark/>
          </w:tcPr>
          <w:p w:rsidR="005727C2" w:rsidRDefault="005727C2" w:rsidP="00364535">
            <w:pPr>
              <w:pStyle w:val="a8"/>
              <w:rPr>
                <w:rFonts w:eastAsiaTheme="minorHAnsi"/>
                <w:sz w:val="22"/>
                <w:szCs w:val="22"/>
                <w:lang w:eastAsia="en-US"/>
              </w:rPr>
            </w:pPr>
            <w:r>
              <w:rPr>
                <w:sz w:val="22"/>
                <w:szCs w:val="22"/>
                <w:lang w:eastAsia="en-US"/>
              </w:rPr>
              <w:t>МУП «КБУ»</w:t>
            </w:r>
          </w:p>
        </w:tc>
        <w:tc>
          <w:tcPr>
            <w:tcW w:w="1952" w:type="dxa"/>
            <w:vMerge w:val="restart"/>
            <w:tcBorders>
              <w:top w:val="single" w:sz="4" w:space="0" w:color="auto"/>
              <w:left w:val="single" w:sz="4" w:space="0" w:color="auto"/>
              <w:bottom w:val="single" w:sz="4" w:space="0" w:color="auto"/>
              <w:right w:val="single" w:sz="4" w:space="0" w:color="auto"/>
            </w:tcBorders>
            <w:vAlign w:val="center"/>
            <w:hideMark/>
          </w:tcPr>
          <w:p w:rsidR="005727C2" w:rsidRDefault="005727C2" w:rsidP="00364535">
            <w:pPr>
              <w:spacing w:after="0"/>
              <w:jc w:val="center"/>
              <w:rPr>
                <w:sz w:val="22"/>
                <w:szCs w:val="22"/>
                <w:lang w:eastAsia="en-US"/>
              </w:rPr>
            </w:pPr>
            <w:r>
              <w:rPr>
                <w:sz w:val="22"/>
                <w:szCs w:val="22"/>
                <w:lang w:eastAsia="en-US"/>
              </w:rPr>
              <w:t>от 17 декабря 2019 года № 698-ТЭ</w:t>
            </w:r>
          </w:p>
        </w:tc>
        <w:tc>
          <w:tcPr>
            <w:tcW w:w="1276" w:type="dxa"/>
            <w:vMerge w:val="restart"/>
            <w:tcBorders>
              <w:top w:val="single" w:sz="4" w:space="0" w:color="auto"/>
              <w:left w:val="single" w:sz="4" w:space="0" w:color="auto"/>
              <w:bottom w:val="single" w:sz="4" w:space="0" w:color="auto"/>
              <w:right w:val="single" w:sz="4" w:space="0" w:color="auto"/>
            </w:tcBorders>
            <w:vAlign w:val="center"/>
            <w:hideMark/>
          </w:tcPr>
          <w:p w:rsidR="005727C2" w:rsidRDefault="005727C2" w:rsidP="00364535">
            <w:pPr>
              <w:spacing w:after="0"/>
              <w:jc w:val="center"/>
              <w:rPr>
                <w:sz w:val="22"/>
                <w:szCs w:val="22"/>
                <w:lang w:eastAsia="en-US"/>
              </w:rPr>
            </w:pPr>
            <w:r>
              <w:rPr>
                <w:sz w:val="22"/>
                <w:szCs w:val="22"/>
                <w:lang w:eastAsia="en-US"/>
              </w:rPr>
              <w:t>с 01.01.2020</w:t>
            </w:r>
          </w:p>
        </w:tc>
        <w:tc>
          <w:tcPr>
            <w:tcW w:w="2126" w:type="dxa"/>
            <w:tcBorders>
              <w:top w:val="single" w:sz="4" w:space="0" w:color="auto"/>
              <w:left w:val="single" w:sz="4" w:space="0" w:color="auto"/>
              <w:bottom w:val="single" w:sz="4" w:space="0" w:color="auto"/>
              <w:right w:val="single" w:sz="4" w:space="0" w:color="auto"/>
            </w:tcBorders>
            <w:vAlign w:val="center"/>
            <w:hideMark/>
          </w:tcPr>
          <w:p w:rsidR="005727C2" w:rsidRDefault="005727C2" w:rsidP="00364535">
            <w:pPr>
              <w:spacing w:after="0"/>
              <w:jc w:val="center"/>
              <w:rPr>
                <w:bCs/>
                <w:color w:val="000000"/>
                <w:sz w:val="22"/>
                <w:szCs w:val="22"/>
                <w:lang w:eastAsia="en-US"/>
              </w:rPr>
            </w:pPr>
            <w:r>
              <w:rPr>
                <w:bCs/>
                <w:color w:val="000000"/>
                <w:sz w:val="22"/>
                <w:szCs w:val="22"/>
                <w:lang w:eastAsia="en-US"/>
              </w:rPr>
              <w:t>не превышает 0,1</w:t>
            </w:r>
          </w:p>
        </w:tc>
        <w:tc>
          <w:tcPr>
            <w:tcW w:w="1985" w:type="dxa"/>
            <w:tcBorders>
              <w:top w:val="single" w:sz="4" w:space="0" w:color="auto"/>
              <w:left w:val="single" w:sz="4" w:space="0" w:color="auto"/>
              <w:bottom w:val="single" w:sz="4" w:space="0" w:color="auto"/>
              <w:right w:val="single" w:sz="4" w:space="0" w:color="auto"/>
            </w:tcBorders>
            <w:vAlign w:val="center"/>
            <w:hideMark/>
          </w:tcPr>
          <w:p w:rsidR="005727C2" w:rsidRDefault="005727C2" w:rsidP="00364535">
            <w:pPr>
              <w:spacing w:after="0"/>
              <w:jc w:val="center"/>
              <w:rPr>
                <w:bCs/>
                <w:color w:val="000000"/>
                <w:sz w:val="22"/>
                <w:szCs w:val="22"/>
                <w:lang w:eastAsia="en-US"/>
              </w:rPr>
            </w:pPr>
            <w:r>
              <w:rPr>
                <w:bCs/>
                <w:color w:val="000000"/>
                <w:sz w:val="22"/>
                <w:szCs w:val="22"/>
                <w:lang w:eastAsia="en-US"/>
              </w:rPr>
              <w:t>П1= 44,628</w:t>
            </w:r>
          </w:p>
        </w:tc>
      </w:tr>
      <w:tr w:rsidR="005727C2" w:rsidTr="005727C2">
        <w:tc>
          <w:tcPr>
            <w:tcW w:w="531" w:type="dxa"/>
            <w:vMerge/>
            <w:tcBorders>
              <w:top w:val="single" w:sz="4" w:space="0" w:color="auto"/>
              <w:left w:val="single" w:sz="4" w:space="0" w:color="auto"/>
              <w:bottom w:val="single" w:sz="4" w:space="0" w:color="auto"/>
              <w:right w:val="single" w:sz="4" w:space="0" w:color="auto"/>
            </w:tcBorders>
            <w:vAlign w:val="center"/>
            <w:hideMark/>
          </w:tcPr>
          <w:p w:rsidR="005727C2" w:rsidRDefault="005727C2" w:rsidP="00364535">
            <w:pPr>
              <w:spacing w:after="0"/>
              <w:rPr>
                <w:sz w:val="22"/>
                <w:szCs w:val="22"/>
                <w:lang w:eastAsia="en-US"/>
              </w:rPr>
            </w:pPr>
          </w:p>
        </w:tc>
        <w:tc>
          <w:tcPr>
            <w:tcW w:w="2161" w:type="dxa"/>
            <w:vMerge/>
            <w:tcBorders>
              <w:top w:val="single" w:sz="4" w:space="0" w:color="auto"/>
              <w:left w:val="single" w:sz="4" w:space="0" w:color="auto"/>
              <w:bottom w:val="single" w:sz="4" w:space="0" w:color="auto"/>
              <w:right w:val="single" w:sz="4" w:space="0" w:color="auto"/>
            </w:tcBorders>
            <w:vAlign w:val="center"/>
            <w:hideMark/>
          </w:tcPr>
          <w:p w:rsidR="005727C2" w:rsidRDefault="005727C2" w:rsidP="00364535">
            <w:pPr>
              <w:spacing w:after="0"/>
              <w:rPr>
                <w:sz w:val="22"/>
                <w:szCs w:val="22"/>
                <w:lang w:eastAsia="en-US"/>
              </w:rPr>
            </w:pPr>
          </w:p>
        </w:tc>
        <w:tc>
          <w:tcPr>
            <w:tcW w:w="1952" w:type="dxa"/>
            <w:vMerge/>
            <w:tcBorders>
              <w:top w:val="single" w:sz="4" w:space="0" w:color="auto"/>
              <w:left w:val="single" w:sz="4" w:space="0" w:color="auto"/>
              <w:bottom w:val="single" w:sz="4" w:space="0" w:color="auto"/>
              <w:right w:val="single" w:sz="4" w:space="0" w:color="auto"/>
            </w:tcBorders>
            <w:vAlign w:val="center"/>
            <w:hideMark/>
          </w:tcPr>
          <w:p w:rsidR="005727C2" w:rsidRDefault="005727C2" w:rsidP="00364535">
            <w:pPr>
              <w:spacing w:after="0"/>
              <w:rPr>
                <w:sz w:val="22"/>
                <w:szCs w:val="22"/>
                <w:lang w:eastAsia="en-US"/>
              </w:rPr>
            </w:pPr>
          </w:p>
        </w:tc>
        <w:tc>
          <w:tcPr>
            <w:tcW w:w="1276" w:type="dxa"/>
            <w:vMerge/>
            <w:tcBorders>
              <w:top w:val="single" w:sz="4" w:space="0" w:color="auto"/>
              <w:left w:val="single" w:sz="4" w:space="0" w:color="auto"/>
              <w:bottom w:val="single" w:sz="4" w:space="0" w:color="auto"/>
              <w:right w:val="single" w:sz="4" w:space="0" w:color="auto"/>
            </w:tcBorders>
            <w:vAlign w:val="center"/>
            <w:hideMark/>
          </w:tcPr>
          <w:p w:rsidR="005727C2" w:rsidRDefault="005727C2" w:rsidP="00364535">
            <w:pPr>
              <w:spacing w:after="0"/>
              <w:rPr>
                <w:sz w:val="22"/>
                <w:szCs w:val="22"/>
                <w:lang w:eastAsia="en-US"/>
              </w:rPr>
            </w:pPr>
          </w:p>
        </w:tc>
        <w:tc>
          <w:tcPr>
            <w:tcW w:w="2126" w:type="dxa"/>
            <w:tcBorders>
              <w:top w:val="single" w:sz="4" w:space="0" w:color="auto"/>
              <w:left w:val="single" w:sz="4" w:space="0" w:color="auto"/>
              <w:bottom w:val="single" w:sz="4" w:space="0" w:color="auto"/>
              <w:right w:val="single" w:sz="4" w:space="0" w:color="auto"/>
            </w:tcBorders>
            <w:vAlign w:val="center"/>
            <w:hideMark/>
          </w:tcPr>
          <w:p w:rsidR="005727C2" w:rsidRDefault="005727C2" w:rsidP="00364535">
            <w:pPr>
              <w:spacing w:after="0"/>
              <w:jc w:val="center"/>
              <w:rPr>
                <w:bCs/>
                <w:color w:val="000000"/>
                <w:sz w:val="22"/>
                <w:szCs w:val="22"/>
                <w:lang w:eastAsia="en-US"/>
              </w:rPr>
            </w:pPr>
            <w:r>
              <w:rPr>
                <w:bCs/>
                <w:color w:val="000000"/>
                <w:sz w:val="22"/>
                <w:szCs w:val="22"/>
                <w:lang w:eastAsia="en-US"/>
              </w:rPr>
              <w:t>от 0,1 по 1,5</w:t>
            </w:r>
          </w:p>
        </w:tc>
        <w:tc>
          <w:tcPr>
            <w:tcW w:w="1985" w:type="dxa"/>
            <w:tcBorders>
              <w:top w:val="single" w:sz="4" w:space="0" w:color="auto"/>
              <w:left w:val="single" w:sz="4" w:space="0" w:color="auto"/>
              <w:bottom w:val="single" w:sz="4" w:space="0" w:color="auto"/>
              <w:right w:val="single" w:sz="4" w:space="0" w:color="auto"/>
            </w:tcBorders>
            <w:vAlign w:val="center"/>
            <w:hideMark/>
          </w:tcPr>
          <w:p w:rsidR="005727C2" w:rsidRDefault="005727C2" w:rsidP="00364535">
            <w:pPr>
              <w:spacing w:after="0"/>
              <w:jc w:val="center"/>
              <w:rPr>
                <w:bCs/>
                <w:color w:val="000000"/>
                <w:sz w:val="22"/>
                <w:szCs w:val="22"/>
                <w:lang w:eastAsia="en-US"/>
              </w:rPr>
            </w:pPr>
            <w:r>
              <w:rPr>
                <w:bCs/>
                <w:color w:val="000000"/>
                <w:sz w:val="22"/>
                <w:szCs w:val="22"/>
                <w:lang w:eastAsia="en-US"/>
              </w:rPr>
              <w:t>П1= 44,628</w:t>
            </w:r>
          </w:p>
          <w:p w:rsidR="005727C2" w:rsidRDefault="005727C2" w:rsidP="00364535">
            <w:pPr>
              <w:spacing w:after="0"/>
              <w:jc w:val="center"/>
              <w:rPr>
                <w:bCs/>
                <w:color w:val="000000"/>
                <w:sz w:val="22"/>
                <w:szCs w:val="22"/>
                <w:lang w:eastAsia="en-US"/>
              </w:rPr>
            </w:pPr>
            <w:r>
              <w:rPr>
                <w:bCs/>
                <w:color w:val="000000"/>
                <w:sz w:val="22"/>
                <w:szCs w:val="22"/>
                <w:lang w:eastAsia="en-US"/>
              </w:rPr>
              <w:t>П2.1=6 904,174</w:t>
            </w:r>
          </w:p>
        </w:tc>
      </w:tr>
      <w:tr w:rsidR="005727C2" w:rsidTr="005727C2">
        <w:tc>
          <w:tcPr>
            <w:tcW w:w="531" w:type="dxa"/>
            <w:tcBorders>
              <w:top w:val="single" w:sz="4" w:space="0" w:color="auto"/>
              <w:left w:val="single" w:sz="4" w:space="0" w:color="auto"/>
              <w:bottom w:val="single" w:sz="4" w:space="0" w:color="auto"/>
              <w:right w:val="single" w:sz="4" w:space="0" w:color="auto"/>
            </w:tcBorders>
            <w:vAlign w:val="center"/>
            <w:hideMark/>
          </w:tcPr>
          <w:p w:rsidR="005727C2" w:rsidRDefault="005727C2" w:rsidP="00364535">
            <w:pPr>
              <w:pStyle w:val="a8"/>
              <w:jc w:val="center"/>
              <w:rPr>
                <w:rFonts w:eastAsiaTheme="minorHAnsi"/>
                <w:sz w:val="22"/>
                <w:szCs w:val="22"/>
                <w:lang w:eastAsia="en-US"/>
              </w:rPr>
            </w:pPr>
            <w:r>
              <w:rPr>
                <w:sz w:val="22"/>
                <w:szCs w:val="22"/>
                <w:lang w:eastAsia="en-US"/>
              </w:rPr>
              <w:t>10</w:t>
            </w:r>
          </w:p>
        </w:tc>
        <w:tc>
          <w:tcPr>
            <w:tcW w:w="2161" w:type="dxa"/>
            <w:tcBorders>
              <w:top w:val="single" w:sz="4" w:space="0" w:color="auto"/>
              <w:left w:val="single" w:sz="4" w:space="0" w:color="auto"/>
              <w:bottom w:val="single" w:sz="4" w:space="0" w:color="auto"/>
              <w:right w:val="single" w:sz="4" w:space="0" w:color="auto"/>
            </w:tcBorders>
            <w:vAlign w:val="center"/>
            <w:hideMark/>
          </w:tcPr>
          <w:p w:rsidR="005727C2" w:rsidRDefault="005727C2" w:rsidP="00364535">
            <w:pPr>
              <w:pStyle w:val="a8"/>
              <w:rPr>
                <w:rFonts w:eastAsiaTheme="minorHAnsi"/>
                <w:sz w:val="22"/>
                <w:szCs w:val="22"/>
                <w:lang w:eastAsia="en-US"/>
              </w:rPr>
            </w:pPr>
            <w:r>
              <w:rPr>
                <w:sz w:val="22"/>
                <w:szCs w:val="22"/>
                <w:lang w:eastAsia="en-US"/>
              </w:rPr>
              <w:t>ФГУП «УЭВ»</w:t>
            </w:r>
          </w:p>
        </w:tc>
        <w:tc>
          <w:tcPr>
            <w:tcW w:w="1952" w:type="dxa"/>
            <w:tcBorders>
              <w:top w:val="single" w:sz="4" w:space="0" w:color="auto"/>
              <w:left w:val="single" w:sz="4" w:space="0" w:color="auto"/>
              <w:bottom w:val="single" w:sz="4" w:space="0" w:color="auto"/>
              <w:right w:val="single" w:sz="4" w:space="0" w:color="auto"/>
            </w:tcBorders>
            <w:vAlign w:val="center"/>
            <w:hideMark/>
          </w:tcPr>
          <w:p w:rsidR="005727C2" w:rsidRDefault="005727C2" w:rsidP="00364535">
            <w:pPr>
              <w:spacing w:after="0"/>
              <w:jc w:val="center"/>
              <w:rPr>
                <w:sz w:val="22"/>
                <w:szCs w:val="22"/>
                <w:lang w:eastAsia="en-US"/>
              </w:rPr>
            </w:pPr>
            <w:r>
              <w:rPr>
                <w:sz w:val="22"/>
                <w:szCs w:val="22"/>
                <w:lang w:eastAsia="en-US"/>
              </w:rPr>
              <w:t>от 17 декабря 2019 года № 699-ТЭ</w:t>
            </w:r>
          </w:p>
        </w:tc>
        <w:tc>
          <w:tcPr>
            <w:tcW w:w="1276" w:type="dxa"/>
            <w:tcBorders>
              <w:top w:val="single" w:sz="4" w:space="0" w:color="auto"/>
              <w:left w:val="single" w:sz="4" w:space="0" w:color="auto"/>
              <w:bottom w:val="single" w:sz="4" w:space="0" w:color="auto"/>
              <w:right w:val="single" w:sz="4" w:space="0" w:color="auto"/>
            </w:tcBorders>
            <w:vAlign w:val="center"/>
            <w:hideMark/>
          </w:tcPr>
          <w:p w:rsidR="005727C2" w:rsidRDefault="005727C2" w:rsidP="00364535">
            <w:pPr>
              <w:spacing w:after="0"/>
              <w:jc w:val="center"/>
              <w:rPr>
                <w:sz w:val="22"/>
                <w:szCs w:val="22"/>
                <w:lang w:eastAsia="en-US"/>
              </w:rPr>
            </w:pPr>
            <w:r>
              <w:rPr>
                <w:sz w:val="22"/>
                <w:szCs w:val="22"/>
                <w:lang w:eastAsia="en-US"/>
              </w:rPr>
              <w:t>с 01.01.2020</w:t>
            </w:r>
          </w:p>
        </w:tc>
        <w:tc>
          <w:tcPr>
            <w:tcW w:w="2126" w:type="dxa"/>
            <w:tcBorders>
              <w:top w:val="single" w:sz="4" w:space="0" w:color="auto"/>
              <w:left w:val="single" w:sz="4" w:space="0" w:color="auto"/>
              <w:bottom w:val="single" w:sz="4" w:space="0" w:color="auto"/>
              <w:right w:val="single" w:sz="4" w:space="0" w:color="auto"/>
            </w:tcBorders>
            <w:vAlign w:val="center"/>
            <w:hideMark/>
          </w:tcPr>
          <w:p w:rsidR="005727C2" w:rsidRDefault="005727C2" w:rsidP="00364535">
            <w:pPr>
              <w:spacing w:after="0"/>
              <w:jc w:val="center"/>
              <w:rPr>
                <w:bCs/>
                <w:color w:val="000000"/>
                <w:sz w:val="22"/>
                <w:szCs w:val="22"/>
                <w:lang w:eastAsia="en-US"/>
              </w:rPr>
            </w:pPr>
            <w:r>
              <w:rPr>
                <w:bCs/>
                <w:color w:val="000000"/>
                <w:sz w:val="22"/>
                <w:szCs w:val="22"/>
                <w:lang w:eastAsia="en-US"/>
              </w:rPr>
              <w:t>Без дифференциации</w:t>
            </w:r>
          </w:p>
        </w:tc>
        <w:tc>
          <w:tcPr>
            <w:tcW w:w="1985" w:type="dxa"/>
            <w:tcBorders>
              <w:top w:val="single" w:sz="4" w:space="0" w:color="auto"/>
              <w:left w:val="single" w:sz="4" w:space="0" w:color="auto"/>
              <w:bottom w:val="single" w:sz="4" w:space="0" w:color="auto"/>
              <w:right w:val="single" w:sz="4" w:space="0" w:color="auto"/>
            </w:tcBorders>
            <w:vAlign w:val="center"/>
            <w:hideMark/>
          </w:tcPr>
          <w:p w:rsidR="005727C2" w:rsidRDefault="005727C2" w:rsidP="00364535">
            <w:pPr>
              <w:spacing w:after="0"/>
              <w:jc w:val="center"/>
              <w:rPr>
                <w:bCs/>
                <w:color w:val="000000"/>
                <w:sz w:val="22"/>
                <w:szCs w:val="22"/>
                <w:lang w:eastAsia="en-US"/>
              </w:rPr>
            </w:pPr>
            <w:r>
              <w:rPr>
                <w:bCs/>
                <w:color w:val="000000"/>
                <w:sz w:val="22"/>
                <w:szCs w:val="22"/>
                <w:lang w:eastAsia="en-US"/>
              </w:rPr>
              <w:t>П1= 71,481</w:t>
            </w:r>
          </w:p>
          <w:p w:rsidR="005727C2" w:rsidRDefault="005727C2" w:rsidP="00364535">
            <w:pPr>
              <w:spacing w:after="0"/>
              <w:jc w:val="center"/>
              <w:rPr>
                <w:bCs/>
                <w:color w:val="000000"/>
                <w:sz w:val="22"/>
                <w:szCs w:val="22"/>
                <w:lang w:eastAsia="en-US"/>
              </w:rPr>
            </w:pPr>
            <w:r>
              <w:rPr>
                <w:bCs/>
                <w:color w:val="000000"/>
                <w:sz w:val="22"/>
                <w:szCs w:val="22"/>
                <w:lang w:eastAsia="en-US"/>
              </w:rPr>
              <w:t>П2.1=2 990,772</w:t>
            </w:r>
          </w:p>
        </w:tc>
      </w:tr>
    </w:tbl>
    <w:p w:rsidR="005727C2" w:rsidRDefault="005727C2" w:rsidP="005727C2">
      <w:pPr>
        <w:pStyle w:val="a8"/>
        <w:ind w:left="708"/>
        <w:jc w:val="both"/>
        <w:rPr>
          <w:rFonts w:eastAsia="MS Mincho"/>
          <w:b/>
          <w:szCs w:val="28"/>
        </w:rPr>
      </w:pPr>
    </w:p>
    <w:p w:rsidR="005727C2" w:rsidRPr="00C038BE" w:rsidRDefault="005727C2" w:rsidP="005727C2">
      <w:pPr>
        <w:pStyle w:val="afa"/>
        <w:ind w:firstLine="567"/>
        <w:jc w:val="both"/>
        <w:rPr>
          <w:rFonts w:ascii="Times New Roman" w:hAnsi="Times New Roman" w:cs="Times New Roman"/>
          <w:b/>
          <w:sz w:val="28"/>
          <w:szCs w:val="28"/>
        </w:rPr>
      </w:pPr>
      <w:r w:rsidRPr="00C038BE">
        <w:rPr>
          <w:rFonts w:ascii="Times New Roman" w:hAnsi="Times New Roman" w:cs="Times New Roman"/>
          <w:b/>
          <w:iCs/>
          <w:sz w:val="28"/>
          <w:szCs w:val="28"/>
        </w:rPr>
        <w:t xml:space="preserve">2.2.7. </w:t>
      </w:r>
      <w:r w:rsidRPr="00C038BE">
        <w:rPr>
          <w:rFonts w:ascii="Times New Roman" w:hAnsi="Times New Roman" w:cs="Times New Roman"/>
          <w:b/>
          <w:sz w:val="28"/>
          <w:szCs w:val="28"/>
        </w:rPr>
        <w:t>Утверждение и корректировка инвестиционных программ в сфере теплоснабжения</w:t>
      </w:r>
    </w:p>
    <w:p w:rsidR="005727C2" w:rsidRDefault="005727C2" w:rsidP="005727C2">
      <w:pPr>
        <w:pStyle w:val="afa"/>
        <w:ind w:firstLine="567"/>
        <w:jc w:val="both"/>
        <w:rPr>
          <w:rFonts w:ascii="Times New Roman" w:hAnsi="Times New Roman" w:cs="Times New Roman"/>
          <w:sz w:val="28"/>
          <w:szCs w:val="28"/>
        </w:rPr>
      </w:pPr>
      <w:r>
        <w:rPr>
          <w:rFonts w:ascii="Times New Roman" w:hAnsi="Times New Roman" w:cs="Times New Roman"/>
          <w:sz w:val="28"/>
          <w:szCs w:val="28"/>
        </w:rPr>
        <w:t xml:space="preserve">В 2019 году </w:t>
      </w:r>
      <w:r w:rsidR="00C038BE">
        <w:rPr>
          <w:rFonts w:ascii="Times New Roman" w:hAnsi="Times New Roman" w:cs="Times New Roman"/>
          <w:sz w:val="28"/>
          <w:szCs w:val="28"/>
        </w:rPr>
        <w:t>Д</w:t>
      </w:r>
      <w:r>
        <w:rPr>
          <w:rFonts w:ascii="Times New Roman" w:hAnsi="Times New Roman" w:cs="Times New Roman"/>
          <w:sz w:val="28"/>
          <w:szCs w:val="28"/>
        </w:rPr>
        <w:t>епартаментом была утверждена  инвестиционная программа Муниципального унитарного предприятия «Комбинат бытовых услуг»: «Развитие централизованных систем теплоснабжения на 2020-2022 годы» (приказ департамента 29.10.2019 № 337-ТЭ).</w:t>
      </w:r>
    </w:p>
    <w:p w:rsidR="00C038BE" w:rsidRDefault="00D636EC" w:rsidP="00C038BE">
      <w:pPr>
        <w:pStyle w:val="afa"/>
        <w:ind w:firstLine="567"/>
        <w:jc w:val="both"/>
        <w:rPr>
          <w:rFonts w:ascii="Times New Roman" w:hAnsi="Times New Roman" w:cs="Times New Roman"/>
          <w:sz w:val="28"/>
          <w:szCs w:val="28"/>
        </w:rPr>
      </w:pPr>
      <w:r>
        <w:rPr>
          <w:rFonts w:ascii="Times New Roman" w:hAnsi="Times New Roman" w:cs="Times New Roman"/>
          <w:sz w:val="28"/>
          <w:szCs w:val="28"/>
        </w:rPr>
        <w:t>Представленные т</w:t>
      </w:r>
      <w:r w:rsidR="00C038BE">
        <w:rPr>
          <w:rFonts w:ascii="Times New Roman" w:hAnsi="Times New Roman" w:cs="Times New Roman"/>
          <w:sz w:val="28"/>
          <w:szCs w:val="28"/>
        </w:rPr>
        <w:t>еплоснабжающим организациям</w:t>
      </w:r>
      <w:r w:rsidR="00C77ECF">
        <w:rPr>
          <w:rFonts w:ascii="Times New Roman" w:hAnsi="Times New Roman" w:cs="Times New Roman"/>
          <w:sz w:val="28"/>
          <w:szCs w:val="28"/>
        </w:rPr>
        <w:t xml:space="preserve"> (</w:t>
      </w:r>
      <w:r w:rsidR="00C038BE">
        <w:rPr>
          <w:rFonts w:ascii="Times New Roman" w:hAnsi="Times New Roman" w:cs="Times New Roman"/>
          <w:sz w:val="28"/>
          <w:szCs w:val="28"/>
        </w:rPr>
        <w:t>АО «СИБЭКО», ФГУП «УЭВ», ЗАО «Экран-Энергия», МУП «Баганский коммунальщик»</w:t>
      </w:r>
      <w:r w:rsidR="00C77ECF">
        <w:rPr>
          <w:rFonts w:ascii="Times New Roman" w:hAnsi="Times New Roman" w:cs="Times New Roman"/>
          <w:sz w:val="28"/>
          <w:szCs w:val="28"/>
        </w:rPr>
        <w:t>)</w:t>
      </w:r>
      <w:r w:rsidR="00C038BE">
        <w:rPr>
          <w:rFonts w:ascii="Times New Roman" w:hAnsi="Times New Roman" w:cs="Times New Roman"/>
          <w:sz w:val="28"/>
          <w:szCs w:val="28"/>
        </w:rPr>
        <w:t xml:space="preserve">, проекты инвестиционных программ в сфере теплоснабжения, которые </w:t>
      </w:r>
      <w:r>
        <w:rPr>
          <w:rFonts w:ascii="Times New Roman" w:hAnsi="Times New Roman" w:cs="Times New Roman"/>
          <w:sz w:val="28"/>
          <w:szCs w:val="28"/>
        </w:rPr>
        <w:t>не соответствовали положениям</w:t>
      </w:r>
      <w:r w:rsidR="00C038BE">
        <w:rPr>
          <w:rFonts w:ascii="Times New Roman" w:hAnsi="Times New Roman" w:cs="Times New Roman"/>
          <w:sz w:val="28"/>
          <w:szCs w:val="28"/>
        </w:rPr>
        <w:t>, указанным в Правилах согласования и утверждения инвестиционных программ организаций, осуществляющих регулируемые виды деятельности в сфере теплоснабжения, а также требовани</w:t>
      </w:r>
      <w:r>
        <w:rPr>
          <w:rFonts w:ascii="Times New Roman" w:hAnsi="Times New Roman" w:cs="Times New Roman"/>
          <w:sz w:val="28"/>
          <w:szCs w:val="28"/>
        </w:rPr>
        <w:t>ям</w:t>
      </w:r>
      <w:r w:rsidR="00C038BE">
        <w:rPr>
          <w:rFonts w:ascii="Times New Roman" w:hAnsi="Times New Roman" w:cs="Times New Roman"/>
          <w:sz w:val="28"/>
          <w:szCs w:val="28"/>
        </w:rPr>
        <w:t xml:space="preserve"> к составу и содержанию таких программ, утверждённых постановлением Правительства Российской Федерации от 05.05.2014 № 410</w:t>
      </w:r>
      <w:r w:rsidR="00C77ECF">
        <w:rPr>
          <w:rFonts w:ascii="Times New Roman" w:hAnsi="Times New Roman" w:cs="Times New Roman"/>
          <w:sz w:val="28"/>
          <w:szCs w:val="28"/>
        </w:rPr>
        <w:t>,</w:t>
      </w:r>
      <w:r>
        <w:rPr>
          <w:rFonts w:ascii="Times New Roman" w:hAnsi="Times New Roman" w:cs="Times New Roman"/>
          <w:sz w:val="28"/>
          <w:szCs w:val="28"/>
        </w:rPr>
        <w:t xml:space="preserve"> </w:t>
      </w:r>
      <w:r w:rsidR="00C038BE">
        <w:rPr>
          <w:rFonts w:ascii="Times New Roman" w:hAnsi="Times New Roman" w:cs="Times New Roman"/>
          <w:sz w:val="28"/>
          <w:szCs w:val="28"/>
        </w:rPr>
        <w:t xml:space="preserve"> департаментом </w:t>
      </w:r>
      <w:r w:rsidR="00C77ECF">
        <w:rPr>
          <w:rFonts w:ascii="Times New Roman" w:hAnsi="Times New Roman" w:cs="Times New Roman"/>
          <w:sz w:val="28"/>
          <w:szCs w:val="28"/>
        </w:rPr>
        <w:t xml:space="preserve">были </w:t>
      </w:r>
      <w:r>
        <w:rPr>
          <w:rFonts w:ascii="Times New Roman" w:hAnsi="Times New Roman" w:cs="Times New Roman"/>
          <w:sz w:val="28"/>
          <w:szCs w:val="28"/>
        </w:rPr>
        <w:t>направлены на доработку.</w:t>
      </w:r>
      <w:r w:rsidR="00C038BE">
        <w:rPr>
          <w:rFonts w:ascii="Times New Roman" w:hAnsi="Times New Roman" w:cs="Times New Roman"/>
          <w:sz w:val="28"/>
          <w:szCs w:val="28"/>
        </w:rPr>
        <w:t xml:space="preserve"> </w:t>
      </w:r>
    </w:p>
    <w:p w:rsidR="005727C2" w:rsidRDefault="005727C2" w:rsidP="005727C2">
      <w:pPr>
        <w:pStyle w:val="afa"/>
        <w:ind w:firstLine="567"/>
        <w:jc w:val="both"/>
        <w:rPr>
          <w:rFonts w:ascii="Times New Roman" w:hAnsi="Times New Roman" w:cs="Times New Roman"/>
          <w:sz w:val="28"/>
          <w:szCs w:val="28"/>
        </w:rPr>
      </w:pPr>
    </w:p>
    <w:p w:rsidR="005727C2" w:rsidRPr="00C77ECF" w:rsidRDefault="005727C2" w:rsidP="00364535">
      <w:pPr>
        <w:spacing w:after="0" w:line="240" w:lineRule="auto"/>
        <w:ind w:firstLine="567"/>
        <w:jc w:val="both"/>
        <w:rPr>
          <w:b/>
          <w:iCs/>
          <w:sz w:val="28"/>
          <w:szCs w:val="28"/>
        </w:rPr>
      </w:pPr>
      <w:r w:rsidRPr="00C77ECF">
        <w:rPr>
          <w:b/>
          <w:iCs/>
          <w:sz w:val="28"/>
          <w:szCs w:val="28"/>
        </w:rPr>
        <w:t>2.2.8. Мониторинг цен (тарифов) в сфере теплоснабжения</w:t>
      </w:r>
    </w:p>
    <w:p w:rsidR="005727C2" w:rsidRDefault="005727C2" w:rsidP="005727C2">
      <w:pPr>
        <w:pStyle w:val="afa"/>
        <w:ind w:firstLine="567"/>
        <w:jc w:val="both"/>
        <w:rPr>
          <w:rFonts w:ascii="Times New Roman" w:hAnsi="Times New Roman" w:cs="Times New Roman"/>
          <w:color w:val="000000"/>
          <w:spacing w:val="2"/>
          <w:sz w:val="28"/>
          <w:szCs w:val="28"/>
        </w:rPr>
      </w:pPr>
      <w:r>
        <w:rPr>
          <w:rFonts w:ascii="Times New Roman" w:hAnsi="Times New Roman" w:cs="Times New Roman"/>
          <w:sz w:val="28"/>
          <w:szCs w:val="28"/>
        </w:rPr>
        <w:t xml:space="preserve">В течение 2019 года </w:t>
      </w:r>
      <w:r w:rsidR="00185C71">
        <w:rPr>
          <w:rFonts w:ascii="Times New Roman" w:hAnsi="Times New Roman" w:cs="Times New Roman"/>
          <w:sz w:val="28"/>
          <w:szCs w:val="28"/>
        </w:rPr>
        <w:t>Д</w:t>
      </w:r>
      <w:r>
        <w:rPr>
          <w:rFonts w:ascii="Times New Roman" w:hAnsi="Times New Roman" w:cs="Times New Roman"/>
          <w:sz w:val="28"/>
          <w:szCs w:val="28"/>
        </w:rPr>
        <w:t xml:space="preserve">епартаментом сформирована и направлена в установленные сроки в ФАС России </w:t>
      </w:r>
      <w:r>
        <w:rPr>
          <w:rFonts w:ascii="Times New Roman" w:hAnsi="Times New Roman" w:cs="Times New Roman"/>
          <w:color w:val="000000"/>
          <w:spacing w:val="2"/>
          <w:sz w:val="28"/>
          <w:szCs w:val="28"/>
        </w:rPr>
        <w:t>информация по теплоснабжающим организациям Новосибирской области в виде электронных шаблонов:</w:t>
      </w:r>
    </w:p>
    <w:p w:rsidR="005727C2" w:rsidRDefault="005727C2" w:rsidP="005727C2">
      <w:pPr>
        <w:pStyle w:val="afa"/>
        <w:ind w:firstLine="567"/>
        <w:jc w:val="both"/>
        <w:rPr>
          <w:rFonts w:ascii="Times New Roman" w:hAnsi="Times New Roman" w:cs="Times New Roman"/>
          <w:sz w:val="28"/>
          <w:szCs w:val="28"/>
        </w:rPr>
      </w:pPr>
      <w:r>
        <w:rPr>
          <w:rFonts w:ascii="Times New Roman" w:hAnsi="Times New Roman" w:cs="Times New Roman"/>
          <w:b/>
          <w:sz w:val="28"/>
          <w:szCs w:val="28"/>
          <w:lang w:val="en-US"/>
        </w:rPr>
        <w:t>SUMMARY</w:t>
      </w:r>
      <w:r>
        <w:rPr>
          <w:rFonts w:ascii="Times New Roman" w:hAnsi="Times New Roman" w:cs="Times New Roman"/>
          <w:b/>
          <w:sz w:val="28"/>
          <w:szCs w:val="28"/>
        </w:rPr>
        <w:t>.</w:t>
      </w:r>
      <w:r>
        <w:rPr>
          <w:rFonts w:ascii="Times New Roman" w:hAnsi="Times New Roman" w:cs="Times New Roman"/>
          <w:b/>
          <w:sz w:val="28"/>
          <w:szCs w:val="28"/>
          <w:lang w:val="en-US"/>
        </w:rPr>
        <w:t>BALANCE</w:t>
      </w:r>
      <w:r>
        <w:rPr>
          <w:rFonts w:ascii="Times New Roman" w:hAnsi="Times New Roman" w:cs="Times New Roman"/>
          <w:b/>
          <w:sz w:val="28"/>
          <w:szCs w:val="28"/>
        </w:rPr>
        <w:t>.</w:t>
      </w:r>
      <w:r>
        <w:rPr>
          <w:rFonts w:ascii="Times New Roman" w:hAnsi="Times New Roman" w:cs="Times New Roman"/>
          <w:b/>
          <w:sz w:val="28"/>
          <w:szCs w:val="28"/>
          <w:lang w:val="en-US"/>
        </w:rPr>
        <w:t>CALC</w:t>
      </w:r>
      <w:r>
        <w:rPr>
          <w:rFonts w:ascii="Times New Roman" w:hAnsi="Times New Roman" w:cs="Times New Roman"/>
          <w:b/>
          <w:sz w:val="28"/>
          <w:szCs w:val="28"/>
        </w:rPr>
        <w:t>.</w:t>
      </w:r>
      <w:r>
        <w:rPr>
          <w:rFonts w:ascii="Times New Roman" w:hAnsi="Times New Roman" w:cs="Times New Roman"/>
          <w:b/>
          <w:sz w:val="28"/>
          <w:szCs w:val="28"/>
          <w:lang w:val="en-US"/>
        </w:rPr>
        <w:t>TARIFF</w:t>
      </w:r>
      <w:r>
        <w:rPr>
          <w:rFonts w:ascii="Times New Roman" w:hAnsi="Times New Roman" w:cs="Times New Roman"/>
          <w:b/>
          <w:sz w:val="28"/>
          <w:szCs w:val="28"/>
        </w:rPr>
        <w:t>.</w:t>
      </w:r>
      <w:r>
        <w:rPr>
          <w:rFonts w:ascii="Times New Roman" w:hAnsi="Times New Roman" w:cs="Times New Roman"/>
          <w:b/>
          <w:sz w:val="28"/>
          <w:szCs w:val="28"/>
          <w:lang w:val="en-US"/>
        </w:rPr>
        <w:t>WARM</w:t>
      </w:r>
      <w:r>
        <w:rPr>
          <w:rFonts w:ascii="Times New Roman" w:hAnsi="Times New Roman" w:cs="Times New Roman"/>
          <w:b/>
          <w:sz w:val="28"/>
          <w:szCs w:val="28"/>
        </w:rPr>
        <w:t>.2018.</w:t>
      </w:r>
      <w:r>
        <w:rPr>
          <w:rFonts w:ascii="Times New Roman" w:hAnsi="Times New Roman" w:cs="Times New Roman"/>
          <w:b/>
          <w:sz w:val="28"/>
          <w:szCs w:val="28"/>
          <w:lang w:val="en-US"/>
        </w:rPr>
        <w:t>YEAR</w:t>
      </w:r>
      <w:r>
        <w:rPr>
          <w:rFonts w:ascii="Times New Roman" w:hAnsi="Times New Roman" w:cs="Times New Roman"/>
          <w:sz w:val="28"/>
          <w:szCs w:val="28"/>
        </w:rPr>
        <w:t xml:space="preserve"> – «Показатели организаций коммунального комплекса на 2018 год (план)» (Уточненный план. Сводный шаблон по области с корректировкой в 1 кв. 2019г. в связи  с созданием </w:t>
      </w:r>
      <w:r>
        <w:rPr>
          <w:rFonts w:ascii="Times New Roman" w:hAnsi="Times New Roman" w:cs="Times New Roman"/>
          <w:sz w:val="28"/>
          <w:szCs w:val="28"/>
        </w:rPr>
        <w:lastRenderedPageBreak/>
        <w:t>связей между электронными документами SUMMARY.BALANCE.CALC.TARIFF.WARM.2017YEAR и формой статистической отчётности № 46-ТЭ (полезный отпуск) (электронный документ 46ТЕ.</w:t>
      </w:r>
      <w:r>
        <w:rPr>
          <w:rFonts w:ascii="Times New Roman" w:hAnsi="Times New Roman" w:cs="Times New Roman"/>
          <w:sz w:val="28"/>
          <w:szCs w:val="28"/>
          <w:lang w:val="en-US"/>
        </w:rPr>
        <w:t>STX</w:t>
      </w:r>
      <w:r>
        <w:rPr>
          <w:rFonts w:ascii="Times New Roman" w:hAnsi="Times New Roman" w:cs="Times New Roman"/>
          <w:sz w:val="28"/>
          <w:szCs w:val="28"/>
        </w:rPr>
        <w:t>).</w:t>
      </w:r>
    </w:p>
    <w:p w:rsidR="005727C2" w:rsidRDefault="005727C2" w:rsidP="005727C2">
      <w:pPr>
        <w:pStyle w:val="afa"/>
        <w:ind w:firstLine="567"/>
        <w:jc w:val="both"/>
        <w:rPr>
          <w:rFonts w:ascii="Times New Roman" w:hAnsi="Times New Roman" w:cs="Times New Roman"/>
          <w:sz w:val="28"/>
          <w:szCs w:val="28"/>
        </w:rPr>
      </w:pPr>
      <w:r>
        <w:rPr>
          <w:rFonts w:ascii="Times New Roman" w:hAnsi="Times New Roman" w:cs="Times New Roman"/>
          <w:b/>
          <w:sz w:val="28"/>
          <w:szCs w:val="28"/>
        </w:rPr>
        <w:t xml:space="preserve">BALANCE.CALC.TARIFF.WARM.2018. </w:t>
      </w:r>
      <w:r>
        <w:rPr>
          <w:rFonts w:ascii="Times New Roman" w:hAnsi="Times New Roman" w:cs="Times New Roman"/>
          <w:b/>
          <w:sz w:val="28"/>
          <w:szCs w:val="28"/>
          <w:lang w:val="en-US"/>
        </w:rPr>
        <w:t>YEAR</w:t>
      </w:r>
      <w:r>
        <w:rPr>
          <w:rFonts w:ascii="Times New Roman" w:hAnsi="Times New Roman" w:cs="Times New Roman"/>
          <w:sz w:val="28"/>
          <w:szCs w:val="28"/>
        </w:rPr>
        <w:t xml:space="preserve"> -«Показатели организаций коммунального комплекса на 2018 год (план)» (Уточненный план Атомарные шаблоны от ТСО по МО заполняются отделом с корректировкой в 1 кв.2019 г. в связи  с созданием связей между электронными документами SUMMARY.BALANCE.CALC.TARIFF.WARM.2018YEAR и формой статистической отчётности № 46-ТЭ (полезный отпуск) (электронный документ 46ТЕ.</w:t>
      </w:r>
      <w:r>
        <w:rPr>
          <w:rFonts w:ascii="Times New Roman" w:hAnsi="Times New Roman" w:cs="Times New Roman"/>
          <w:sz w:val="28"/>
          <w:szCs w:val="28"/>
          <w:lang w:val="en-US"/>
        </w:rPr>
        <w:t>STX</w:t>
      </w:r>
      <w:r>
        <w:rPr>
          <w:rFonts w:ascii="Times New Roman" w:hAnsi="Times New Roman" w:cs="Times New Roman"/>
          <w:sz w:val="28"/>
          <w:szCs w:val="28"/>
        </w:rPr>
        <w:t>).</w:t>
      </w:r>
    </w:p>
    <w:p w:rsidR="005727C2" w:rsidRDefault="005727C2" w:rsidP="005727C2">
      <w:pPr>
        <w:pStyle w:val="afa"/>
        <w:ind w:firstLine="567"/>
        <w:jc w:val="both"/>
        <w:rPr>
          <w:rFonts w:ascii="Times New Roman" w:hAnsi="Times New Roman" w:cs="Times New Roman"/>
          <w:sz w:val="28"/>
          <w:szCs w:val="28"/>
        </w:rPr>
      </w:pPr>
      <w:r>
        <w:rPr>
          <w:rFonts w:ascii="Times New Roman" w:hAnsi="Times New Roman" w:cs="Times New Roman"/>
          <w:b/>
          <w:sz w:val="28"/>
          <w:szCs w:val="28"/>
        </w:rPr>
        <w:t>SUMMARY.BALANCE.CALC.TARIFF.WARM.2018.FACT -</w:t>
      </w:r>
      <w:r>
        <w:rPr>
          <w:rFonts w:ascii="Times New Roman" w:hAnsi="Times New Roman" w:cs="Times New Roman"/>
          <w:sz w:val="28"/>
          <w:szCs w:val="28"/>
        </w:rPr>
        <w:t xml:space="preserve">  «Показатели организаций ТС, ВС, ВО и УТБО за 2018 год (факт)»(Сводный шаблон по области).</w:t>
      </w:r>
    </w:p>
    <w:p w:rsidR="005727C2" w:rsidRDefault="005727C2" w:rsidP="005727C2">
      <w:pPr>
        <w:pStyle w:val="afa"/>
        <w:ind w:firstLine="567"/>
        <w:jc w:val="both"/>
        <w:rPr>
          <w:rFonts w:ascii="Times New Roman" w:hAnsi="Times New Roman" w:cs="Times New Roman"/>
          <w:sz w:val="28"/>
          <w:szCs w:val="28"/>
        </w:rPr>
      </w:pPr>
      <w:r>
        <w:rPr>
          <w:rFonts w:ascii="Times New Roman" w:hAnsi="Times New Roman" w:cs="Times New Roman"/>
          <w:b/>
          <w:sz w:val="28"/>
          <w:szCs w:val="28"/>
        </w:rPr>
        <w:t>BALANCE.CALC.TARIFF.WARM.2018.FACT –</w:t>
      </w:r>
      <w:r>
        <w:rPr>
          <w:rFonts w:ascii="Times New Roman" w:hAnsi="Times New Roman" w:cs="Times New Roman"/>
          <w:sz w:val="28"/>
          <w:szCs w:val="28"/>
        </w:rPr>
        <w:t xml:space="preserve"> «Показатели организаций ТС, ВС, ВО и УТБО за 2018 год (факт)» ( атомарные шаблоны от ТСО).</w:t>
      </w:r>
    </w:p>
    <w:p w:rsidR="005727C2" w:rsidRDefault="005727C2" w:rsidP="005727C2">
      <w:pPr>
        <w:pStyle w:val="afa"/>
        <w:ind w:firstLine="567"/>
        <w:jc w:val="both"/>
        <w:rPr>
          <w:rFonts w:ascii="Times New Roman" w:hAnsi="Times New Roman" w:cs="Times New Roman"/>
          <w:sz w:val="28"/>
          <w:szCs w:val="28"/>
        </w:rPr>
      </w:pPr>
      <w:r>
        <w:rPr>
          <w:rFonts w:ascii="Times New Roman" w:hAnsi="Times New Roman" w:cs="Times New Roman"/>
          <w:b/>
          <w:sz w:val="28"/>
          <w:szCs w:val="28"/>
          <w:lang w:val="en-US"/>
        </w:rPr>
        <w:t>SUMMARY</w:t>
      </w:r>
      <w:r>
        <w:rPr>
          <w:rFonts w:ascii="Times New Roman" w:hAnsi="Times New Roman" w:cs="Times New Roman"/>
          <w:b/>
          <w:sz w:val="28"/>
          <w:szCs w:val="28"/>
        </w:rPr>
        <w:t>.</w:t>
      </w:r>
      <w:r>
        <w:rPr>
          <w:rFonts w:ascii="Times New Roman" w:hAnsi="Times New Roman" w:cs="Times New Roman"/>
          <w:b/>
          <w:sz w:val="28"/>
          <w:szCs w:val="28"/>
          <w:lang w:val="en-US"/>
        </w:rPr>
        <w:t>BALANCE</w:t>
      </w:r>
      <w:r>
        <w:rPr>
          <w:rFonts w:ascii="Times New Roman" w:hAnsi="Times New Roman" w:cs="Times New Roman"/>
          <w:b/>
          <w:sz w:val="28"/>
          <w:szCs w:val="28"/>
        </w:rPr>
        <w:t>.</w:t>
      </w:r>
      <w:r>
        <w:rPr>
          <w:rFonts w:ascii="Times New Roman" w:hAnsi="Times New Roman" w:cs="Times New Roman"/>
          <w:b/>
          <w:sz w:val="28"/>
          <w:szCs w:val="28"/>
          <w:lang w:val="en-US"/>
        </w:rPr>
        <w:t>CALC</w:t>
      </w:r>
      <w:r>
        <w:rPr>
          <w:rFonts w:ascii="Times New Roman" w:hAnsi="Times New Roman" w:cs="Times New Roman"/>
          <w:b/>
          <w:sz w:val="28"/>
          <w:szCs w:val="28"/>
        </w:rPr>
        <w:t>.</w:t>
      </w:r>
      <w:r>
        <w:rPr>
          <w:rFonts w:ascii="Times New Roman" w:hAnsi="Times New Roman" w:cs="Times New Roman"/>
          <w:b/>
          <w:sz w:val="28"/>
          <w:szCs w:val="28"/>
          <w:lang w:val="en-US"/>
        </w:rPr>
        <w:t>TARIFF</w:t>
      </w:r>
      <w:r>
        <w:rPr>
          <w:rFonts w:ascii="Times New Roman" w:hAnsi="Times New Roman" w:cs="Times New Roman"/>
          <w:b/>
          <w:sz w:val="28"/>
          <w:szCs w:val="28"/>
        </w:rPr>
        <w:t>.</w:t>
      </w:r>
      <w:r>
        <w:rPr>
          <w:rFonts w:ascii="Times New Roman" w:hAnsi="Times New Roman" w:cs="Times New Roman"/>
          <w:b/>
          <w:sz w:val="28"/>
          <w:szCs w:val="28"/>
          <w:lang w:val="en-US"/>
        </w:rPr>
        <w:t>WARM</w:t>
      </w:r>
      <w:r>
        <w:rPr>
          <w:rFonts w:ascii="Times New Roman" w:hAnsi="Times New Roman" w:cs="Times New Roman"/>
          <w:b/>
          <w:sz w:val="28"/>
          <w:szCs w:val="28"/>
        </w:rPr>
        <w:t>.2019</w:t>
      </w:r>
      <w:r>
        <w:rPr>
          <w:rFonts w:ascii="Times New Roman" w:hAnsi="Times New Roman" w:cs="Times New Roman"/>
          <w:b/>
          <w:sz w:val="28"/>
          <w:szCs w:val="28"/>
          <w:lang w:val="en-US"/>
        </w:rPr>
        <w:t>YEAR</w:t>
      </w:r>
      <w:r>
        <w:rPr>
          <w:rFonts w:ascii="Times New Roman" w:hAnsi="Times New Roman" w:cs="Times New Roman"/>
          <w:sz w:val="28"/>
          <w:szCs w:val="28"/>
        </w:rPr>
        <w:t xml:space="preserve"> – «Показатели организаций коммунального комплекса на 2019 год (план)» (Сводный шаблон по области с корректировкой в течение года по мере появления новых регулируемых организаций, установления дополнительных тарифов и внесения изменений в реквизиты регулируемых организаций).</w:t>
      </w:r>
    </w:p>
    <w:p w:rsidR="005727C2" w:rsidRDefault="005727C2" w:rsidP="005727C2">
      <w:pPr>
        <w:pStyle w:val="afa"/>
        <w:ind w:firstLine="567"/>
        <w:jc w:val="both"/>
        <w:rPr>
          <w:rFonts w:ascii="Times New Roman" w:hAnsi="Times New Roman" w:cs="Times New Roman"/>
          <w:sz w:val="28"/>
          <w:szCs w:val="28"/>
        </w:rPr>
      </w:pPr>
      <w:r>
        <w:rPr>
          <w:rFonts w:ascii="Times New Roman" w:hAnsi="Times New Roman" w:cs="Times New Roman"/>
          <w:b/>
          <w:sz w:val="28"/>
          <w:szCs w:val="28"/>
          <w:lang w:val="en-US"/>
        </w:rPr>
        <w:t>BALANCE</w:t>
      </w:r>
      <w:r>
        <w:rPr>
          <w:rFonts w:ascii="Times New Roman" w:hAnsi="Times New Roman" w:cs="Times New Roman"/>
          <w:b/>
          <w:sz w:val="28"/>
          <w:szCs w:val="28"/>
        </w:rPr>
        <w:t>.</w:t>
      </w:r>
      <w:r>
        <w:rPr>
          <w:rFonts w:ascii="Times New Roman" w:hAnsi="Times New Roman" w:cs="Times New Roman"/>
          <w:b/>
          <w:sz w:val="28"/>
          <w:szCs w:val="28"/>
          <w:lang w:val="en-US"/>
        </w:rPr>
        <w:t>CALC</w:t>
      </w:r>
      <w:r>
        <w:rPr>
          <w:rFonts w:ascii="Times New Roman" w:hAnsi="Times New Roman" w:cs="Times New Roman"/>
          <w:b/>
          <w:sz w:val="28"/>
          <w:szCs w:val="28"/>
        </w:rPr>
        <w:t>.</w:t>
      </w:r>
      <w:r>
        <w:rPr>
          <w:rFonts w:ascii="Times New Roman" w:hAnsi="Times New Roman" w:cs="Times New Roman"/>
          <w:b/>
          <w:sz w:val="28"/>
          <w:szCs w:val="28"/>
          <w:lang w:val="en-US"/>
        </w:rPr>
        <w:t>TARIFF</w:t>
      </w:r>
      <w:r>
        <w:rPr>
          <w:rFonts w:ascii="Times New Roman" w:hAnsi="Times New Roman" w:cs="Times New Roman"/>
          <w:b/>
          <w:sz w:val="28"/>
          <w:szCs w:val="28"/>
        </w:rPr>
        <w:t>.</w:t>
      </w:r>
      <w:r>
        <w:rPr>
          <w:rFonts w:ascii="Times New Roman" w:hAnsi="Times New Roman" w:cs="Times New Roman"/>
          <w:b/>
          <w:sz w:val="28"/>
          <w:szCs w:val="28"/>
          <w:lang w:val="en-US"/>
        </w:rPr>
        <w:t>WARM</w:t>
      </w:r>
      <w:r>
        <w:rPr>
          <w:rFonts w:ascii="Times New Roman" w:hAnsi="Times New Roman" w:cs="Times New Roman"/>
          <w:b/>
          <w:sz w:val="28"/>
          <w:szCs w:val="28"/>
        </w:rPr>
        <w:t>.2019</w:t>
      </w:r>
      <w:r>
        <w:rPr>
          <w:rFonts w:ascii="Times New Roman" w:hAnsi="Times New Roman" w:cs="Times New Roman"/>
          <w:b/>
          <w:sz w:val="28"/>
          <w:szCs w:val="28"/>
          <w:lang w:val="en-US"/>
        </w:rPr>
        <w:t>YEAR</w:t>
      </w:r>
      <w:r>
        <w:rPr>
          <w:rFonts w:ascii="Times New Roman" w:hAnsi="Times New Roman" w:cs="Times New Roman"/>
          <w:sz w:val="28"/>
          <w:szCs w:val="28"/>
        </w:rPr>
        <w:t xml:space="preserve"> – «Показатели организаций коммунального комплекса на 2019 год (план)» (атомарные шаблоны от ТСО по МО заполняются отделом с корректировкой в течение года по мере появления новых регулируемых организаций, установления дополнительных тарифов и внесения изменений в реквизиты регулируемых организаций.</w:t>
      </w:r>
    </w:p>
    <w:p w:rsidR="005727C2" w:rsidRDefault="005727C2" w:rsidP="005727C2">
      <w:pPr>
        <w:pStyle w:val="afa"/>
        <w:ind w:firstLine="567"/>
        <w:jc w:val="both"/>
        <w:rPr>
          <w:rFonts w:ascii="Times New Roman" w:hAnsi="Times New Roman" w:cs="Times New Roman"/>
          <w:sz w:val="28"/>
          <w:szCs w:val="28"/>
        </w:rPr>
      </w:pPr>
      <w:r>
        <w:rPr>
          <w:rFonts w:ascii="Times New Roman" w:hAnsi="Times New Roman" w:cs="Times New Roman"/>
          <w:b/>
          <w:sz w:val="28"/>
          <w:szCs w:val="28"/>
        </w:rPr>
        <w:t>REESTR.HEAT.SOURCE.2019</w:t>
      </w:r>
      <w:r>
        <w:rPr>
          <w:rFonts w:ascii="Times New Roman" w:hAnsi="Times New Roman" w:cs="Times New Roman"/>
          <w:sz w:val="28"/>
          <w:szCs w:val="28"/>
        </w:rPr>
        <w:t xml:space="preserve"> – «Реестр объектов инфраструктуры организаций» (Сводный шаблон по области с корректировкой в течение года по мере появления новых регулируемых организаций, передачи объектов теплоснабжения от одних организаций другим, внесения изменений в реквизиты регулируемых организаций).</w:t>
      </w:r>
      <w:r>
        <w:rPr>
          <w:rFonts w:ascii="Times New Roman" w:hAnsi="Times New Roman" w:cs="Times New Roman"/>
          <w:b/>
          <w:sz w:val="28"/>
          <w:szCs w:val="28"/>
        </w:rPr>
        <w:t xml:space="preserve"> </w:t>
      </w:r>
    </w:p>
    <w:p w:rsidR="005727C2" w:rsidRDefault="005727C2" w:rsidP="005727C2">
      <w:pPr>
        <w:pStyle w:val="afa"/>
        <w:ind w:firstLine="567"/>
        <w:jc w:val="both"/>
        <w:rPr>
          <w:rFonts w:ascii="Times New Roman" w:hAnsi="Times New Roman" w:cs="Times New Roman"/>
          <w:sz w:val="28"/>
          <w:szCs w:val="28"/>
        </w:rPr>
      </w:pPr>
      <w:r>
        <w:rPr>
          <w:rFonts w:ascii="Times New Roman" w:hAnsi="Times New Roman" w:cs="Times New Roman"/>
          <w:b/>
          <w:sz w:val="28"/>
          <w:szCs w:val="28"/>
          <w:lang w:val="en-US"/>
        </w:rPr>
        <w:t>WARM</w:t>
      </w:r>
      <w:r>
        <w:rPr>
          <w:rFonts w:ascii="Times New Roman" w:hAnsi="Times New Roman" w:cs="Times New Roman"/>
          <w:b/>
          <w:sz w:val="28"/>
          <w:szCs w:val="28"/>
        </w:rPr>
        <w:t>.</w:t>
      </w:r>
      <w:r>
        <w:rPr>
          <w:rFonts w:ascii="Times New Roman" w:hAnsi="Times New Roman" w:cs="Times New Roman"/>
          <w:b/>
          <w:sz w:val="28"/>
          <w:szCs w:val="28"/>
          <w:lang w:val="en-US"/>
        </w:rPr>
        <w:t>TOPL</w:t>
      </w:r>
      <w:r>
        <w:rPr>
          <w:rFonts w:ascii="Times New Roman" w:hAnsi="Times New Roman" w:cs="Times New Roman"/>
          <w:b/>
          <w:sz w:val="28"/>
          <w:szCs w:val="28"/>
        </w:rPr>
        <w:t xml:space="preserve">. </w:t>
      </w:r>
      <w:r>
        <w:rPr>
          <w:rFonts w:ascii="Times New Roman" w:hAnsi="Times New Roman" w:cs="Times New Roman"/>
          <w:b/>
          <w:sz w:val="28"/>
          <w:szCs w:val="28"/>
          <w:lang w:val="en-US"/>
        </w:rPr>
        <w:t>Q</w:t>
      </w:r>
      <w:r>
        <w:rPr>
          <w:rFonts w:ascii="Times New Roman" w:hAnsi="Times New Roman" w:cs="Times New Roman"/>
          <w:b/>
          <w:sz w:val="28"/>
          <w:szCs w:val="28"/>
        </w:rPr>
        <w:t xml:space="preserve">4. 2018– </w:t>
      </w:r>
      <w:r>
        <w:rPr>
          <w:rFonts w:ascii="Times New Roman" w:hAnsi="Times New Roman" w:cs="Times New Roman"/>
          <w:sz w:val="28"/>
          <w:szCs w:val="28"/>
        </w:rPr>
        <w:t>« Информация о фактически сложившихся ценах и объёмах потребления топлива по итогам 12 месяцев 2018 года».</w:t>
      </w:r>
    </w:p>
    <w:p w:rsidR="005727C2" w:rsidRDefault="005727C2" w:rsidP="005727C2">
      <w:pPr>
        <w:pStyle w:val="afa"/>
        <w:ind w:firstLine="567"/>
        <w:jc w:val="both"/>
        <w:rPr>
          <w:rFonts w:ascii="Times New Roman" w:hAnsi="Times New Roman" w:cs="Times New Roman"/>
          <w:sz w:val="28"/>
          <w:szCs w:val="28"/>
        </w:rPr>
      </w:pPr>
      <w:r>
        <w:rPr>
          <w:rFonts w:ascii="Times New Roman" w:hAnsi="Times New Roman" w:cs="Times New Roman"/>
          <w:b/>
          <w:sz w:val="28"/>
          <w:szCs w:val="28"/>
          <w:lang w:val="en-US"/>
        </w:rPr>
        <w:t>WARM</w:t>
      </w:r>
      <w:r>
        <w:rPr>
          <w:rFonts w:ascii="Times New Roman" w:hAnsi="Times New Roman" w:cs="Times New Roman"/>
          <w:b/>
          <w:sz w:val="28"/>
          <w:szCs w:val="28"/>
        </w:rPr>
        <w:t>.</w:t>
      </w:r>
      <w:r>
        <w:rPr>
          <w:rFonts w:ascii="Times New Roman" w:hAnsi="Times New Roman" w:cs="Times New Roman"/>
          <w:b/>
          <w:sz w:val="28"/>
          <w:szCs w:val="28"/>
          <w:lang w:val="en-US"/>
        </w:rPr>
        <w:t>TOPL</w:t>
      </w:r>
      <w:r>
        <w:rPr>
          <w:rFonts w:ascii="Times New Roman" w:hAnsi="Times New Roman" w:cs="Times New Roman"/>
          <w:b/>
          <w:sz w:val="28"/>
          <w:szCs w:val="28"/>
        </w:rPr>
        <w:t>.</w:t>
      </w:r>
      <w:r>
        <w:rPr>
          <w:rFonts w:ascii="Times New Roman" w:hAnsi="Times New Roman" w:cs="Times New Roman"/>
          <w:b/>
          <w:sz w:val="28"/>
          <w:szCs w:val="28"/>
          <w:lang w:val="en-US"/>
        </w:rPr>
        <w:t>Q</w:t>
      </w:r>
      <w:r>
        <w:rPr>
          <w:rFonts w:ascii="Times New Roman" w:hAnsi="Times New Roman" w:cs="Times New Roman"/>
          <w:b/>
          <w:sz w:val="28"/>
          <w:szCs w:val="28"/>
        </w:rPr>
        <w:t>1. 2019 –</w:t>
      </w:r>
      <w:r>
        <w:rPr>
          <w:rFonts w:ascii="Times New Roman" w:hAnsi="Times New Roman" w:cs="Times New Roman"/>
          <w:sz w:val="28"/>
          <w:szCs w:val="28"/>
        </w:rPr>
        <w:t>«Информация о фактически сложившихся ценах и объёмах потребления топлива по итогам 1 квартала 2019 года».</w:t>
      </w:r>
    </w:p>
    <w:p w:rsidR="005727C2" w:rsidRDefault="005727C2" w:rsidP="005727C2">
      <w:pPr>
        <w:pStyle w:val="afa"/>
        <w:ind w:firstLine="567"/>
        <w:jc w:val="both"/>
        <w:rPr>
          <w:rFonts w:ascii="Times New Roman" w:hAnsi="Times New Roman" w:cs="Times New Roman"/>
          <w:b/>
          <w:sz w:val="28"/>
          <w:szCs w:val="28"/>
        </w:rPr>
      </w:pPr>
      <w:r>
        <w:rPr>
          <w:rFonts w:ascii="Times New Roman" w:hAnsi="Times New Roman" w:cs="Times New Roman"/>
          <w:b/>
          <w:sz w:val="28"/>
          <w:szCs w:val="28"/>
          <w:lang w:val="en-US"/>
        </w:rPr>
        <w:t>WARM</w:t>
      </w:r>
      <w:r>
        <w:rPr>
          <w:rFonts w:ascii="Times New Roman" w:hAnsi="Times New Roman" w:cs="Times New Roman"/>
          <w:b/>
          <w:sz w:val="28"/>
          <w:szCs w:val="28"/>
        </w:rPr>
        <w:t xml:space="preserve">. </w:t>
      </w:r>
      <w:r>
        <w:rPr>
          <w:rFonts w:ascii="Times New Roman" w:hAnsi="Times New Roman" w:cs="Times New Roman"/>
          <w:b/>
          <w:sz w:val="28"/>
          <w:szCs w:val="28"/>
          <w:lang w:val="en-US"/>
        </w:rPr>
        <w:t>TOPL</w:t>
      </w:r>
      <w:r>
        <w:rPr>
          <w:rFonts w:ascii="Times New Roman" w:hAnsi="Times New Roman" w:cs="Times New Roman"/>
          <w:b/>
          <w:sz w:val="28"/>
          <w:szCs w:val="28"/>
        </w:rPr>
        <w:t xml:space="preserve">. </w:t>
      </w:r>
      <w:r>
        <w:rPr>
          <w:rFonts w:ascii="Times New Roman" w:hAnsi="Times New Roman" w:cs="Times New Roman"/>
          <w:b/>
          <w:sz w:val="28"/>
          <w:szCs w:val="28"/>
          <w:lang w:val="en-US"/>
        </w:rPr>
        <w:t>Q</w:t>
      </w:r>
      <w:r>
        <w:rPr>
          <w:rFonts w:ascii="Times New Roman" w:hAnsi="Times New Roman" w:cs="Times New Roman"/>
          <w:b/>
          <w:sz w:val="28"/>
          <w:szCs w:val="28"/>
        </w:rPr>
        <w:t>2. 2019</w:t>
      </w:r>
      <w:r>
        <w:rPr>
          <w:rFonts w:ascii="Times New Roman" w:hAnsi="Times New Roman" w:cs="Times New Roman"/>
          <w:sz w:val="28"/>
          <w:szCs w:val="28"/>
        </w:rPr>
        <w:t xml:space="preserve"> – «Информация о фактически сложившихся ценах и объёмах потребления топлива по итогам 1 полугодия 2019 года».</w:t>
      </w:r>
    </w:p>
    <w:p w:rsidR="005727C2" w:rsidRDefault="005727C2" w:rsidP="005727C2">
      <w:pPr>
        <w:pStyle w:val="afa"/>
        <w:ind w:firstLine="567"/>
        <w:jc w:val="both"/>
        <w:rPr>
          <w:rFonts w:ascii="Times New Roman" w:hAnsi="Times New Roman" w:cs="Times New Roman"/>
          <w:sz w:val="28"/>
          <w:szCs w:val="28"/>
        </w:rPr>
      </w:pPr>
      <w:r>
        <w:rPr>
          <w:rFonts w:ascii="Times New Roman" w:hAnsi="Times New Roman" w:cs="Times New Roman"/>
          <w:b/>
          <w:sz w:val="28"/>
          <w:szCs w:val="28"/>
          <w:lang w:val="en-US"/>
        </w:rPr>
        <w:t>WARM</w:t>
      </w:r>
      <w:r>
        <w:rPr>
          <w:rFonts w:ascii="Times New Roman" w:hAnsi="Times New Roman" w:cs="Times New Roman"/>
          <w:b/>
          <w:sz w:val="28"/>
          <w:szCs w:val="28"/>
        </w:rPr>
        <w:t xml:space="preserve">. </w:t>
      </w:r>
      <w:r>
        <w:rPr>
          <w:rFonts w:ascii="Times New Roman" w:hAnsi="Times New Roman" w:cs="Times New Roman"/>
          <w:b/>
          <w:sz w:val="28"/>
          <w:szCs w:val="28"/>
          <w:lang w:val="en-US"/>
        </w:rPr>
        <w:t>TOPL</w:t>
      </w:r>
      <w:r>
        <w:rPr>
          <w:rFonts w:ascii="Times New Roman" w:hAnsi="Times New Roman" w:cs="Times New Roman"/>
          <w:b/>
          <w:sz w:val="28"/>
          <w:szCs w:val="28"/>
        </w:rPr>
        <w:t xml:space="preserve">. </w:t>
      </w:r>
      <w:r>
        <w:rPr>
          <w:rFonts w:ascii="Times New Roman" w:hAnsi="Times New Roman" w:cs="Times New Roman"/>
          <w:b/>
          <w:sz w:val="28"/>
          <w:szCs w:val="28"/>
          <w:lang w:val="en-US"/>
        </w:rPr>
        <w:t>Q</w:t>
      </w:r>
      <w:r>
        <w:rPr>
          <w:rFonts w:ascii="Times New Roman" w:hAnsi="Times New Roman" w:cs="Times New Roman"/>
          <w:b/>
          <w:sz w:val="28"/>
          <w:szCs w:val="28"/>
        </w:rPr>
        <w:t xml:space="preserve">3. 2019 – </w:t>
      </w:r>
      <w:r>
        <w:rPr>
          <w:rFonts w:ascii="Times New Roman" w:hAnsi="Times New Roman" w:cs="Times New Roman"/>
          <w:sz w:val="28"/>
          <w:szCs w:val="28"/>
        </w:rPr>
        <w:t>«Информация о фактически сложившихся ценах и объёмах потребления топлива по итогам 9 месяцев 2019 года».</w:t>
      </w:r>
    </w:p>
    <w:p w:rsidR="005727C2" w:rsidRDefault="005727C2" w:rsidP="005727C2">
      <w:pPr>
        <w:pStyle w:val="afa"/>
        <w:ind w:firstLine="567"/>
        <w:jc w:val="both"/>
        <w:rPr>
          <w:rFonts w:ascii="Times New Roman" w:hAnsi="Times New Roman" w:cs="Times New Roman"/>
          <w:sz w:val="28"/>
          <w:szCs w:val="28"/>
        </w:rPr>
      </w:pPr>
      <w:r>
        <w:rPr>
          <w:rFonts w:ascii="Times New Roman" w:hAnsi="Times New Roman" w:cs="Times New Roman"/>
          <w:b/>
          <w:sz w:val="28"/>
          <w:szCs w:val="28"/>
        </w:rPr>
        <w:t>TEPLO.PREDEL.2019.M – «</w:t>
      </w:r>
      <w:r>
        <w:rPr>
          <w:rFonts w:ascii="Times New Roman" w:hAnsi="Times New Roman" w:cs="Times New Roman"/>
          <w:sz w:val="28"/>
          <w:szCs w:val="28"/>
        </w:rPr>
        <w:t>Мониторинг решений по тарифам на тепловую энергию, производимую электростанциями, осуществляющими производство в режиме комбинированной выработки электрической и тепловой энергии» (АО «СИБЭКО»).</w:t>
      </w:r>
    </w:p>
    <w:p w:rsidR="005727C2" w:rsidRDefault="005727C2" w:rsidP="005727C2">
      <w:pPr>
        <w:pStyle w:val="afa"/>
        <w:ind w:firstLine="567"/>
        <w:jc w:val="both"/>
        <w:rPr>
          <w:rFonts w:ascii="Times New Roman" w:hAnsi="Times New Roman" w:cs="Times New Roman"/>
          <w:sz w:val="28"/>
          <w:szCs w:val="28"/>
        </w:rPr>
      </w:pPr>
      <w:r>
        <w:rPr>
          <w:rFonts w:ascii="Times New Roman" w:hAnsi="Times New Roman" w:cs="Times New Roman"/>
          <w:b/>
          <w:sz w:val="28"/>
          <w:szCs w:val="28"/>
        </w:rPr>
        <w:t>TEPLO.PREDEL.2020</w:t>
      </w:r>
      <w:r>
        <w:rPr>
          <w:rFonts w:ascii="Times New Roman" w:hAnsi="Times New Roman" w:cs="Times New Roman"/>
          <w:sz w:val="28"/>
          <w:szCs w:val="28"/>
        </w:rPr>
        <w:t xml:space="preserve"> – «Расчет тарифов на тепловую энергию, производимую электростанциями, осуществляющими производство в режиме комбинированной выработки электрической и тепловой энергии, в среднем по субъекту Российской Федерации» (АО «СИБЭКО»).</w:t>
      </w:r>
    </w:p>
    <w:p w:rsidR="005727C2" w:rsidRDefault="005727C2" w:rsidP="005727C2">
      <w:pPr>
        <w:pStyle w:val="afa"/>
        <w:ind w:firstLine="567"/>
        <w:jc w:val="both"/>
        <w:rPr>
          <w:rFonts w:ascii="Times New Roman" w:hAnsi="Times New Roman" w:cs="Times New Roman"/>
          <w:sz w:val="28"/>
          <w:szCs w:val="28"/>
        </w:rPr>
      </w:pPr>
      <w:r>
        <w:rPr>
          <w:rFonts w:ascii="Times New Roman" w:hAnsi="Times New Roman" w:cs="Times New Roman"/>
          <w:b/>
          <w:sz w:val="28"/>
          <w:szCs w:val="28"/>
        </w:rPr>
        <w:t>PREDEL.PRICE.NCZ.WARM.2019</w:t>
      </w:r>
      <w:r>
        <w:rPr>
          <w:rFonts w:ascii="Times New Roman" w:hAnsi="Times New Roman" w:cs="Times New Roman"/>
          <w:sz w:val="28"/>
          <w:szCs w:val="28"/>
        </w:rPr>
        <w:t xml:space="preserve"> </w:t>
      </w:r>
      <w:r>
        <w:rPr>
          <w:rFonts w:ascii="Times New Roman" w:hAnsi="Times New Roman" w:cs="Times New Roman"/>
          <w:b/>
          <w:sz w:val="28"/>
          <w:szCs w:val="28"/>
        </w:rPr>
        <w:t xml:space="preserve">– </w:t>
      </w:r>
      <w:r>
        <w:rPr>
          <w:rFonts w:ascii="Times New Roman" w:hAnsi="Times New Roman" w:cs="Times New Roman"/>
          <w:sz w:val="28"/>
          <w:szCs w:val="28"/>
        </w:rPr>
        <w:t>«Предельные уровни цен на тепловую энергию (мощность) в поселениях, городских округах, не отнесенных к ценовым зонам теплоснабжения» (Сводный шаблон по области).</w:t>
      </w:r>
    </w:p>
    <w:p w:rsidR="005727C2" w:rsidRDefault="00AB03E4" w:rsidP="005727C2">
      <w:pPr>
        <w:pStyle w:val="afa"/>
        <w:ind w:firstLine="567"/>
        <w:jc w:val="both"/>
        <w:rPr>
          <w:rFonts w:ascii="Times New Roman" w:hAnsi="Times New Roman" w:cs="Times New Roman"/>
          <w:sz w:val="28"/>
          <w:szCs w:val="28"/>
        </w:rPr>
      </w:pPr>
      <w:hyperlink r:id="rId56" w:tgtFrame="_blank" w:history="1">
        <w:r w:rsidR="005727C2" w:rsidRPr="00C77ECF">
          <w:rPr>
            <w:rFonts w:ascii="Times New Roman" w:hAnsi="Times New Roman" w:cs="Times New Roman"/>
            <w:b/>
            <w:sz w:val="28"/>
            <w:szCs w:val="28"/>
          </w:rPr>
          <w:t>JKH.INF.PODKL.WARM.2019</w:t>
        </w:r>
      </w:hyperlink>
      <w:r w:rsidR="005727C2" w:rsidRPr="00C77ECF">
        <w:rPr>
          <w:rFonts w:ascii="Times New Roman" w:hAnsi="Times New Roman" w:cs="Times New Roman"/>
          <w:b/>
          <w:sz w:val="28"/>
          <w:szCs w:val="28"/>
        </w:rPr>
        <w:t xml:space="preserve"> </w:t>
      </w:r>
      <w:r w:rsidR="005727C2">
        <w:rPr>
          <w:rFonts w:ascii="Times New Roman" w:hAnsi="Times New Roman" w:cs="Times New Roman"/>
          <w:b/>
          <w:sz w:val="28"/>
          <w:szCs w:val="28"/>
        </w:rPr>
        <w:t xml:space="preserve">– </w:t>
      </w:r>
      <w:r w:rsidR="005727C2">
        <w:rPr>
          <w:rFonts w:ascii="Times New Roman" w:hAnsi="Times New Roman" w:cs="Times New Roman"/>
          <w:sz w:val="28"/>
          <w:szCs w:val="28"/>
        </w:rPr>
        <w:t>«Информация, связанная с установленной платой за подключение к системам коммунальной инфраструктуры регулируемых организаций в 2019 году» (Сводный шаблон по области).</w:t>
      </w:r>
    </w:p>
    <w:p w:rsidR="005727C2" w:rsidRDefault="005727C2" w:rsidP="005727C2">
      <w:pPr>
        <w:pStyle w:val="afa"/>
        <w:ind w:firstLine="567"/>
        <w:jc w:val="both"/>
        <w:rPr>
          <w:rFonts w:ascii="Times New Roman" w:hAnsi="Times New Roman" w:cs="Times New Roman"/>
          <w:sz w:val="28"/>
          <w:szCs w:val="28"/>
        </w:rPr>
      </w:pPr>
      <w:r>
        <w:rPr>
          <w:rFonts w:ascii="Times New Roman" w:hAnsi="Times New Roman" w:cs="Times New Roman"/>
          <w:b/>
          <w:sz w:val="28"/>
          <w:szCs w:val="28"/>
        </w:rPr>
        <w:t xml:space="preserve">SUMMARY.INV.WARM.Q4.2018 – </w:t>
      </w:r>
      <w:r>
        <w:rPr>
          <w:rFonts w:ascii="Times New Roman" w:hAnsi="Times New Roman" w:cs="Times New Roman"/>
          <w:sz w:val="28"/>
          <w:szCs w:val="28"/>
        </w:rPr>
        <w:t>«Контроль за использованием инвестиционных ресурсов, включаемых в регулируемые государством цены (тарифы) в сфере теплоснабжения в 2018 году»</w:t>
      </w:r>
      <w:r>
        <w:rPr>
          <w:sz w:val="28"/>
          <w:szCs w:val="28"/>
        </w:rPr>
        <w:t xml:space="preserve"> </w:t>
      </w:r>
      <w:r>
        <w:rPr>
          <w:rFonts w:ascii="Times New Roman" w:hAnsi="Times New Roman" w:cs="Times New Roman"/>
          <w:sz w:val="28"/>
          <w:szCs w:val="28"/>
        </w:rPr>
        <w:t>(Сводный шаблон по области).</w:t>
      </w:r>
    </w:p>
    <w:p w:rsidR="005727C2" w:rsidRDefault="005727C2" w:rsidP="005727C2">
      <w:pPr>
        <w:pStyle w:val="afa"/>
        <w:ind w:firstLine="567"/>
        <w:jc w:val="both"/>
        <w:rPr>
          <w:rFonts w:ascii="Times New Roman" w:hAnsi="Times New Roman" w:cs="Times New Roman"/>
          <w:sz w:val="28"/>
          <w:szCs w:val="28"/>
        </w:rPr>
      </w:pPr>
      <w:r>
        <w:rPr>
          <w:rFonts w:ascii="Times New Roman" w:hAnsi="Times New Roman" w:cs="Times New Roman"/>
          <w:b/>
          <w:sz w:val="28"/>
          <w:szCs w:val="28"/>
        </w:rPr>
        <w:t xml:space="preserve">SUMMARY.INV.WARM.Q2.2019 – </w:t>
      </w:r>
      <w:r>
        <w:rPr>
          <w:rFonts w:ascii="Times New Roman" w:hAnsi="Times New Roman" w:cs="Times New Roman"/>
          <w:sz w:val="28"/>
          <w:szCs w:val="28"/>
        </w:rPr>
        <w:t>«Контроль за использованием инвестиционных ресурсов, включаемых в регулируемые государством цены (тарифы) в сфере теплоснабжения за 1 полугодие 2019 года»</w:t>
      </w:r>
      <w:r>
        <w:rPr>
          <w:sz w:val="28"/>
          <w:szCs w:val="28"/>
        </w:rPr>
        <w:t xml:space="preserve"> </w:t>
      </w:r>
      <w:r>
        <w:rPr>
          <w:rFonts w:ascii="Times New Roman" w:hAnsi="Times New Roman" w:cs="Times New Roman"/>
          <w:sz w:val="28"/>
          <w:szCs w:val="28"/>
        </w:rPr>
        <w:t>(Сводный шаблон по области).</w:t>
      </w:r>
    </w:p>
    <w:p w:rsidR="005727C2" w:rsidRDefault="005727C2" w:rsidP="005727C2">
      <w:pPr>
        <w:spacing w:after="0" w:line="240" w:lineRule="auto"/>
        <w:ind w:firstLine="900"/>
        <w:jc w:val="both"/>
        <w:rPr>
          <w:sz w:val="28"/>
          <w:szCs w:val="28"/>
        </w:rPr>
      </w:pPr>
    </w:p>
    <w:p w:rsidR="005727C2" w:rsidRDefault="005727C2" w:rsidP="00364535">
      <w:pPr>
        <w:pStyle w:val="a6"/>
        <w:spacing w:after="0" w:line="240" w:lineRule="auto"/>
        <w:ind w:left="0" w:firstLine="567"/>
        <w:rPr>
          <w:rFonts w:ascii="Times New Roman" w:hAnsi="Times New Roman"/>
          <w:b/>
          <w:sz w:val="32"/>
          <w:szCs w:val="32"/>
        </w:rPr>
      </w:pPr>
      <w:r>
        <w:rPr>
          <w:rFonts w:ascii="Times New Roman" w:hAnsi="Times New Roman"/>
          <w:b/>
          <w:sz w:val="32"/>
          <w:szCs w:val="32"/>
        </w:rPr>
        <w:t>2.3. Газоснабжение</w:t>
      </w:r>
    </w:p>
    <w:p w:rsidR="005727C2" w:rsidRDefault="005727C2" w:rsidP="005727C2">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 xml:space="preserve">Департамент при осуществлении полномочий по государственному регулированию цен (тарифов) в сфере газоснабжения руководствовался </w:t>
      </w:r>
      <w:r>
        <w:rPr>
          <w:rFonts w:ascii="Times New Roman" w:hAnsi="Times New Roman" w:cs="Times New Roman"/>
          <w:color w:val="000000"/>
          <w:sz w:val="28"/>
          <w:szCs w:val="28"/>
        </w:rPr>
        <w:t xml:space="preserve">Федеральным законом </w:t>
      </w:r>
      <w:r>
        <w:rPr>
          <w:rFonts w:ascii="Times New Roman" w:hAnsi="Times New Roman" w:cs="Times New Roman"/>
          <w:sz w:val="28"/>
          <w:szCs w:val="28"/>
        </w:rPr>
        <w:t>от 31.03.1999 № 69-ФЗ «О газоснабжении в Российской Федерации»</w:t>
      </w:r>
      <w:r>
        <w:rPr>
          <w:rFonts w:ascii="Times New Roman" w:hAnsi="Times New Roman" w:cs="Times New Roman"/>
          <w:color w:val="000000"/>
          <w:sz w:val="28"/>
          <w:szCs w:val="28"/>
        </w:rPr>
        <w:t xml:space="preserve">, </w:t>
      </w:r>
      <w:r>
        <w:rPr>
          <w:rFonts w:ascii="Times New Roman" w:hAnsi="Times New Roman" w:cs="Times New Roman"/>
          <w:sz w:val="28"/>
          <w:szCs w:val="28"/>
        </w:rPr>
        <w:t xml:space="preserve">постановлением Правительства Российской Федерации от 29.12.2000 № 1021 «О государственном регулировании цен на газ, тарифов на услуги по его транспортировке и платы за технологическое присоединение газоиспользующего оборудования к газораспределительным сетям на территории Российской Федерации», постановлением Правительства Российской Федерации от 30.12.2013 № 1314 «Об утверждении правил подключения (технологического присоединения) объектов капитального строительства к сетям газораспределения», приказом ФСТ России от 27.10.2011 № 252-э/2 «Об утверждении Методических указаний по регулированию розничных цен на газ, реализуемый населению» (далее – Методические указания № 252-э/2), приказом ФСТ России от 15.06.2007 № 129-э/2 «Об утверждении Методических указаний по регулированию розничных цен на сжиженный газ, реализуемый населению для бытовых нужд» (далее – Методические указания № 129-э/2), приказом ФАС России от 16.08.2018 № 1151/18 «Об утверждении Методических указаний по расчету размера платы за технологическое присоединение газоиспользующего оборудования к газораспределительным сетям и (или) размеров стандартизированных тарифных ставок, определяющих ее величину», другими действующими нормативными правовыми актами Российской Федерации. </w:t>
      </w:r>
    </w:p>
    <w:p w:rsidR="005727C2" w:rsidRDefault="005727C2" w:rsidP="005727C2">
      <w:pPr>
        <w:pStyle w:val="afa"/>
        <w:ind w:firstLine="709"/>
        <w:jc w:val="both"/>
        <w:rPr>
          <w:rFonts w:ascii="Times New Roman" w:hAnsi="Times New Roman" w:cs="Times New Roman"/>
          <w:sz w:val="28"/>
          <w:szCs w:val="28"/>
        </w:rPr>
      </w:pPr>
      <w:r>
        <w:rPr>
          <w:rFonts w:ascii="Times New Roman" w:hAnsi="Times New Roman" w:cs="Times New Roman"/>
          <w:sz w:val="28"/>
          <w:szCs w:val="28"/>
        </w:rPr>
        <w:t>Департамент в отрасли газоснабжения осуществляет следующие полномочия:</w:t>
      </w:r>
    </w:p>
    <w:p w:rsidR="005727C2" w:rsidRDefault="005727C2" w:rsidP="005727C2">
      <w:pPr>
        <w:pStyle w:val="afa"/>
        <w:ind w:firstLine="709"/>
        <w:jc w:val="both"/>
        <w:rPr>
          <w:rFonts w:ascii="Times New Roman" w:hAnsi="Times New Roman" w:cs="Times New Roman"/>
          <w:sz w:val="28"/>
          <w:szCs w:val="28"/>
        </w:rPr>
      </w:pPr>
      <w:r>
        <w:rPr>
          <w:rFonts w:ascii="Times New Roman" w:hAnsi="Times New Roman" w:cs="Times New Roman"/>
          <w:sz w:val="28"/>
          <w:szCs w:val="28"/>
        </w:rPr>
        <w:t>- осуществляет подготовку и представление в ФАС России заключений об обоснованности предложений газораспределительных организаций в отношении установления (изменения) тарифов на услуги по транспортировке газа по сетям на территории Новосибирской области;</w:t>
      </w:r>
    </w:p>
    <w:p w:rsidR="005727C2" w:rsidRDefault="005727C2" w:rsidP="005727C2">
      <w:pPr>
        <w:pStyle w:val="afa"/>
        <w:ind w:firstLine="709"/>
        <w:jc w:val="both"/>
        <w:rPr>
          <w:rFonts w:ascii="Times New Roman" w:hAnsi="Times New Roman" w:cs="Times New Roman"/>
          <w:sz w:val="28"/>
          <w:szCs w:val="28"/>
        </w:rPr>
      </w:pPr>
      <w:r>
        <w:rPr>
          <w:rFonts w:ascii="Times New Roman" w:hAnsi="Times New Roman" w:cs="Times New Roman"/>
          <w:sz w:val="28"/>
          <w:szCs w:val="28"/>
        </w:rPr>
        <w:t xml:space="preserve">- устанавливает для газораспределительных организаций плановые </w:t>
      </w:r>
      <w:r>
        <w:rPr>
          <w:rFonts w:ascii="Times New Roman" w:hAnsi="Times New Roman" w:cs="Times New Roman"/>
          <w:sz w:val="28"/>
          <w:szCs w:val="28"/>
          <w:shd w:val="clear" w:color="auto" w:fill="FFFFFF"/>
        </w:rPr>
        <w:t xml:space="preserve"> показатели надежности и качества услуг по транспортировке газа по газораспределительным сетям на долгосрочный период регулирования и определяет фактические значения показателей надежности и качества услуг по транспортировке газа по газораспределительным сетям на территории Новосибирской области;</w:t>
      </w:r>
    </w:p>
    <w:p w:rsidR="005727C2" w:rsidRDefault="005727C2" w:rsidP="005727C2">
      <w:pPr>
        <w:pStyle w:val="afa"/>
        <w:ind w:firstLine="993"/>
        <w:jc w:val="both"/>
        <w:rPr>
          <w:rFonts w:ascii="Times New Roman" w:hAnsi="Times New Roman" w:cs="Times New Roman"/>
          <w:sz w:val="28"/>
          <w:szCs w:val="28"/>
        </w:rPr>
      </w:pPr>
      <w:r>
        <w:rPr>
          <w:rFonts w:ascii="Times New Roman" w:hAnsi="Times New Roman" w:cs="Times New Roman"/>
          <w:sz w:val="28"/>
          <w:szCs w:val="28"/>
        </w:rPr>
        <w:t xml:space="preserve">- устанавливает розничные цены на природный и сжиженный газ, реализуемый для бытовых нужд населения (кроме газа для заправки </w:t>
      </w:r>
      <w:r>
        <w:rPr>
          <w:rFonts w:ascii="Times New Roman" w:hAnsi="Times New Roman" w:cs="Times New Roman"/>
          <w:sz w:val="28"/>
          <w:szCs w:val="28"/>
        </w:rPr>
        <w:lastRenderedPageBreak/>
        <w:t>автотранспортных средств и нужд населения, связанных с осуществлением предпринимательской (профессиональной) деятельности);</w:t>
      </w:r>
    </w:p>
    <w:p w:rsidR="005727C2" w:rsidRDefault="005727C2" w:rsidP="005727C2">
      <w:pPr>
        <w:pStyle w:val="afa"/>
        <w:ind w:firstLine="993"/>
        <w:jc w:val="both"/>
        <w:rPr>
          <w:rFonts w:ascii="Times New Roman" w:hAnsi="Times New Roman" w:cs="Times New Roman"/>
          <w:sz w:val="28"/>
          <w:szCs w:val="28"/>
        </w:rPr>
      </w:pPr>
      <w:r>
        <w:rPr>
          <w:rFonts w:ascii="Times New Roman" w:hAnsi="Times New Roman" w:cs="Times New Roman"/>
          <w:sz w:val="28"/>
          <w:szCs w:val="28"/>
        </w:rPr>
        <w:t xml:space="preserve">- осуществляет контроль за применением регулируемых </w:t>
      </w:r>
      <w:r w:rsidR="00C77ECF">
        <w:rPr>
          <w:rFonts w:ascii="Times New Roman" w:hAnsi="Times New Roman" w:cs="Times New Roman"/>
          <w:sz w:val="28"/>
          <w:szCs w:val="28"/>
        </w:rPr>
        <w:t>Д</w:t>
      </w:r>
      <w:r>
        <w:rPr>
          <w:rFonts w:ascii="Times New Roman" w:hAnsi="Times New Roman" w:cs="Times New Roman"/>
          <w:sz w:val="28"/>
          <w:szCs w:val="28"/>
        </w:rPr>
        <w:t>епартаментом розничных цен на природный и сжиженный газ, реализуемый для бытовых нужд населения (кроме газа для заправки автотранспортных средств и нужд населения, связанных с осуществлением предпринимательской (профессиональной) деятельности) и проведение проверок хозяйственной деятельности организаций, осуществляющих деятельность в сфере газоснабжения, в части обоснованности величины и правильности применения указанных цен (тарифов);</w:t>
      </w:r>
    </w:p>
    <w:p w:rsidR="005727C2" w:rsidRDefault="005727C2" w:rsidP="005727C2">
      <w:pPr>
        <w:pStyle w:val="afa"/>
        <w:ind w:firstLine="993"/>
        <w:jc w:val="both"/>
        <w:rPr>
          <w:rFonts w:ascii="Times New Roman" w:hAnsi="Times New Roman" w:cs="Times New Roman"/>
          <w:sz w:val="28"/>
          <w:szCs w:val="28"/>
        </w:rPr>
      </w:pPr>
      <w:r>
        <w:rPr>
          <w:rFonts w:ascii="Times New Roman" w:hAnsi="Times New Roman" w:cs="Times New Roman"/>
          <w:sz w:val="28"/>
          <w:szCs w:val="28"/>
        </w:rPr>
        <w:t>- утверждает специальные надбавки к тарифам на транспортировку газа по газораспределительным сетям, предназначенные для финансирования программ газификации и осуществляет контроль за целевым использованием финансовых средств, полученных от применения специальных надбавок;</w:t>
      </w:r>
    </w:p>
    <w:p w:rsidR="005727C2" w:rsidRDefault="005727C2" w:rsidP="005727C2">
      <w:pPr>
        <w:pStyle w:val="afa"/>
        <w:ind w:firstLine="993"/>
        <w:jc w:val="both"/>
        <w:rPr>
          <w:rFonts w:ascii="Times New Roman" w:hAnsi="Times New Roman" w:cs="Times New Roman"/>
          <w:sz w:val="28"/>
          <w:szCs w:val="28"/>
        </w:rPr>
      </w:pPr>
      <w:r>
        <w:rPr>
          <w:rFonts w:ascii="Times New Roman" w:hAnsi="Times New Roman" w:cs="Times New Roman"/>
          <w:sz w:val="28"/>
          <w:szCs w:val="28"/>
        </w:rPr>
        <w:t>- устанавливает плату за технологическое присоединение газоиспользующего оборудования к газораспределительным сетям и (или) размеров стандартизированных тарифных ставок, определяющих ее величину;</w:t>
      </w:r>
    </w:p>
    <w:p w:rsidR="005727C2" w:rsidRDefault="005727C2" w:rsidP="005727C2">
      <w:pPr>
        <w:pStyle w:val="afa"/>
        <w:ind w:firstLine="993"/>
        <w:jc w:val="both"/>
        <w:rPr>
          <w:rFonts w:ascii="Times New Roman" w:hAnsi="Times New Roman" w:cs="Times New Roman"/>
          <w:sz w:val="28"/>
          <w:szCs w:val="28"/>
        </w:rPr>
      </w:pPr>
      <w:r>
        <w:rPr>
          <w:rFonts w:ascii="Times New Roman" w:hAnsi="Times New Roman" w:cs="Times New Roman"/>
          <w:sz w:val="28"/>
          <w:szCs w:val="28"/>
        </w:rPr>
        <w:t>- устанавливает плату за технологическое присоединение газоиспользующего оборудования к газораспределительным сетям по индивидуальным проектам;</w:t>
      </w:r>
    </w:p>
    <w:p w:rsidR="005727C2" w:rsidRDefault="005727C2" w:rsidP="005727C2">
      <w:pPr>
        <w:pStyle w:val="afa"/>
        <w:ind w:firstLine="993"/>
        <w:jc w:val="both"/>
        <w:rPr>
          <w:rFonts w:ascii="Times New Roman" w:hAnsi="Times New Roman" w:cs="Times New Roman"/>
          <w:sz w:val="28"/>
          <w:szCs w:val="28"/>
        </w:rPr>
      </w:pPr>
      <w:r>
        <w:rPr>
          <w:rFonts w:ascii="Times New Roman" w:hAnsi="Times New Roman" w:cs="Times New Roman"/>
          <w:sz w:val="28"/>
          <w:szCs w:val="28"/>
        </w:rPr>
        <w:t>- утверждает нормативы потребления коммунальных услуг по газоснабжению;</w:t>
      </w:r>
    </w:p>
    <w:p w:rsidR="005727C2" w:rsidRDefault="005727C2" w:rsidP="005727C2">
      <w:pPr>
        <w:pStyle w:val="afa"/>
        <w:ind w:firstLine="993"/>
        <w:jc w:val="both"/>
        <w:rPr>
          <w:rFonts w:ascii="Times New Roman" w:hAnsi="Times New Roman" w:cs="Times New Roman"/>
          <w:b/>
          <w:i/>
          <w:sz w:val="28"/>
          <w:szCs w:val="28"/>
        </w:rPr>
      </w:pPr>
      <w:r>
        <w:rPr>
          <w:rFonts w:ascii="Times New Roman" w:hAnsi="Times New Roman" w:cs="Times New Roman"/>
          <w:sz w:val="28"/>
          <w:szCs w:val="28"/>
        </w:rPr>
        <w:t>- определяет показатели надежности и качества услуг по транспортировке газа по газораспределительным сетям.</w:t>
      </w:r>
      <w:r>
        <w:rPr>
          <w:rFonts w:ascii="Times New Roman" w:hAnsi="Times New Roman" w:cs="Times New Roman"/>
          <w:b/>
          <w:i/>
          <w:sz w:val="28"/>
          <w:szCs w:val="28"/>
        </w:rPr>
        <w:t xml:space="preserve"> </w:t>
      </w:r>
    </w:p>
    <w:p w:rsidR="005727C2" w:rsidRDefault="005727C2" w:rsidP="005727C2">
      <w:pPr>
        <w:pStyle w:val="afa"/>
        <w:ind w:firstLine="993"/>
        <w:jc w:val="both"/>
        <w:rPr>
          <w:rFonts w:ascii="Times New Roman" w:hAnsi="Times New Roman" w:cs="Times New Roman"/>
          <w:b/>
          <w:i/>
          <w:sz w:val="28"/>
          <w:szCs w:val="28"/>
        </w:rPr>
      </w:pPr>
    </w:p>
    <w:p w:rsidR="005727C2" w:rsidRPr="00C77ECF" w:rsidRDefault="005727C2" w:rsidP="00364535">
      <w:pPr>
        <w:pStyle w:val="afa"/>
        <w:numPr>
          <w:ilvl w:val="2"/>
          <w:numId w:val="8"/>
        </w:numPr>
        <w:ind w:hanging="153"/>
        <w:jc w:val="both"/>
        <w:rPr>
          <w:rFonts w:ascii="Times New Roman" w:hAnsi="Times New Roman" w:cs="Times New Roman"/>
          <w:sz w:val="28"/>
          <w:szCs w:val="28"/>
        </w:rPr>
      </w:pPr>
      <w:r w:rsidRPr="00C77ECF">
        <w:rPr>
          <w:rFonts w:ascii="Times New Roman" w:hAnsi="Times New Roman" w:cs="Times New Roman"/>
          <w:b/>
          <w:sz w:val="28"/>
          <w:szCs w:val="28"/>
        </w:rPr>
        <w:t>Услуги по транспортировке газа по региональным газораспределительным сетям</w:t>
      </w:r>
    </w:p>
    <w:p w:rsidR="005727C2" w:rsidRDefault="005727C2" w:rsidP="005727C2">
      <w:pPr>
        <w:pStyle w:val="afa"/>
        <w:ind w:firstLine="993"/>
        <w:jc w:val="both"/>
        <w:rPr>
          <w:rFonts w:ascii="Times New Roman" w:hAnsi="Times New Roman" w:cs="Times New Roman"/>
          <w:sz w:val="28"/>
          <w:szCs w:val="28"/>
        </w:rPr>
      </w:pPr>
      <w:r>
        <w:rPr>
          <w:rFonts w:ascii="Times New Roman" w:hAnsi="Times New Roman" w:cs="Times New Roman"/>
          <w:sz w:val="28"/>
          <w:szCs w:val="28"/>
        </w:rPr>
        <w:t>На территории Новосибирской области в 2019 году услуги по транспортировке газа по региональным сетям осуществляли 17 организаций, в том числе ООО «Газпром газораспределение Томск» по трем зонам тарифного регулирования.</w:t>
      </w:r>
    </w:p>
    <w:p w:rsidR="005727C2" w:rsidRDefault="005727C2" w:rsidP="005727C2">
      <w:pPr>
        <w:pStyle w:val="afa"/>
        <w:ind w:firstLine="993"/>
        <w:jc w:val="both"/>
        <w:rPr>
          <w:rFonts w:ascii="Times New Roman" w:hAnsi="Times New Roman" w:cs="Times New Roman"/>
          <w:sz w:val="28"/>
          <w:szCs w:val="28"/>
        </w:rPr>
      </w:pPr>
      <w:r>
        <w:rPr>
          <w:rFonts w:ascii="Times New Roman" w:hAnsi="Times New Roman" w:cs="Times New Roman"/>
          <w:sz w:val="28"/>
          <w:szCs w:val="28"/>
        </w:rPr>
        <w:t xml:space="preserve">Для установления тарифов на услуги по транспортировке газа на </w:t>
      </w:r>
      <w:r w:rsidR="00C77ECF">
        <w:rPr>
          <w:rFonts w:ascii="Times New Roman" w:hAnsi="Times New Roman" w:cs="Times New Roman"/>
          <w:sz w:val="28"/>
          <w:szCs w:val="28"/>
        </w:rPr>
        <w:t xml:space="preserve">долгосрочный период регулирования </w:t>
      </w:r>
      <w:r>
        <w:rPr>
          <w:rFonts w:ascii="Times New Roman" w:hAnsi="Times New Roman" w:cs="Times New Roman"/>
          <w:sz w:val="28"/>
          <w:szCs w:val="28"/>
        </w:rPr>
        <w:t xml:space="preserve">2020-2024 годы </w:t>
      </w:r>
      <w:r w:rsidR="00C77ECF">
        <w:rPr>
          <w:rFonts w:ascii="Times New Roman" w:hAnsi="Times New Roman" w:cs="Times New Roman"/>
          <w:sz w:val="28"/>
          <w:szCs w:val="28"/>
        </w:rPr>
        <w:t>Д</w:t>
      </w:r>
      <w:r>
        <w:rPr>
          <w:rFonts w:ascii="Times New Roman" w:hAnsi="Times New Roman" w:cs="Times New Roman"/>
          <w:sz w:val="28"/>
          <w:szCs w:val="28"/>
        </w:rPr>
        <w:t>епартаментом подготовлено и направлено в ФАС России 2 заключения об обоснованности предложений организации, осуществляющей услуги по транспортировке газа по газораспределительным сетям на территории Новосибирской области, а именно по ООО «Энергосети Сибири» и  ООО «Фортуна +».</w:t>
      </w:r>
    </w:p>
    <w:p w:rsidR="005727C2" w:rsidRDefault="005727C2" w:rsidP="005727C2">
      <w:pPr>
        <w:pStyle w:val="afa"/>
        <w:ind w:firstLine="993"/>
        <w:jc w:val="both"/>
        <w:rPr>
          <w:rFonts w:ascii="Times New Roman" w:hAnsi="Times New Roman" w:cs="Times New Roman"/>
          <w:sz w:val="28"/>
          <w:szCs w:val="28"/>
        </w:rPr>
      </w:pPr>
      <w:r>
        <w:rPr>
          <w:rFonts w:ascii="Times New Roman" w:hAnsi="Times New Roman" w:cs="Times New Roman"/>
          <w:sz w:val="28"/>
          <w:szCs w:val="28"/>
        </w:rPr>
        <w:t xml:space="preserve">15 организаций руководствуются действующими тарифами на транспортировку газа  и с заявлением об их изменении в ФАС России и в департамент не обращались. </w:t>
      </w:r>
    </w:p>
    <w:p w:rsidR="005727C2" w:rsidRDefault="005727C2" w:rsidP="005727C2">
      <w:pPr>
        <w:pStyle w:val="afa"/>
        <w:ind w:firstLine="993"/>
        <w:jc w:val="both"/>
        <w:rPr>
          <w:rFonts w:ascii="Times New Roman" w:hAnsi="Times New Roman" w:cs="Times New Roman"/>
          <w:sz w:val="28"/>
          <w:szCs w:val="28"/>
        </w:rPr>
      </w:pPr>
    </w:p>
    <w:p w:rsidR="005727C2" w:rsidRPr="00C77ECF" w:rsidRDefault="005727C2" w:rsidP="00364535">
      <w:pPr>
        <w:pStyle w:val="afa"/>
        <w:numPr>
          <w:ilvl w:val="2"/>
          <w:numId w:val="8"/>
        </w:numPr>
        <w:ind w:hanging="153"/>
        <w:jc w:val="both"/>
        <w:rPr>
          <w:rFonts w:ascii="Times New Roman" w:hAnsi="Times New Roman" w:cs="Times New Roman"/>
          <w:b/>
          <w:sz w:val="28"/>
          <w:szCs w:val="28"/>
        </w:rPr>
      </w:pPr>
      <w:r w:rsidRPr="00C77ECF">
        <w:rPr>
          <w:rFonts w:ascii="Times New Roman" w:hAnsi="Times New Roman" w:cs="Times New Roman"/>
          <w:b/>
          <w:sz w:val="28"/>
          <w:szCs w:val="28"/>
        </w:rPr>
        <w:t>Специальные надбавки к тарифам на транспортировку природного газа</w:t>
      </w:r>
    </w:p>
    <w:p w:rsidR="005727C2" w:rsidRDefault="005727C2" w:rsidP="005727C2">
      <w:pPr>
        <w:pStyle w:val="afa"/>
        <w:ind w:firstLine="851"/>
        <w:jc w:val="both"/>
        <w:rPr>
          <w:rFonts w:ascii="Times New Roman" w:hAnsi="Times New Roman" w:cs="Times New Roman"/>
          <w:sz w:val="28"/>
          <w:szCs w:val="28"/>
        </w:rPr>
      </w:pPr>
      <w:r>
        <w:rPr>
          <w:rFonts w:ascii="Times New Roman" w:hAnsi="Times New Roman" w:cs="Times New Roman"/>
          <w:sz w:val="28"/>
          <w:szCs w:val="28"/>
        </w:rPr>
        <w:t xml:space="preserve">Специальная надбавка к тарифам на услуги по транспортировке газа по газораспределительным сетям на 2020 год утверждена приказом </w:t>
      </w:r>
      <w:r w:rsidR="00C77ECF">
        <w:rPr>
          <w:rFonts w:ascii="Times New Roman" w:hAnsi="Times New Roman" w:cs="Times New Roman"/>
          <w:sz w:val="28"/>
          <w:szCs w:val="28"/>
        </w:rPr>
        <w:t>Д</w:t>
      </w:r>
      <w:r>
        <w:rPr>
          <w:rFonts w:ascii="Times New Roman" w:hAnsi="Times New Roman" w:cs="Times New Roman"/>
          <w:sz w:val="28"/>
          <w:szCs w:val="28"/>
        </w:rPr>
        <w:t>епартамента от 11.12.2019 № 600-Г для ООО «Газпром газораспределение Томск» в размере 30,63 руб./1000м</w:t>
      </w:r>
      <w:r>
        <w:rPr>
          <w:rFonts w:ascii="Times New Roman" w:hAnsi="Times New Roman" w:cs="Times New Roman"/>
          <w:sz w:val="28"/>
          <w:szCs w:val="28"/>
          <w:vertAlign w:val="superscript"/>
        </w:rPr>
        <w:t xml:space="preserve">3 </w:t>
      </w:r>
      <w:r>
        <w:rPr>
          <w:rFonts w:ascii="Times New Roman" w:hAnsi="Times New Roman" w:cs="Times New Roman"/>
          <w:sz w:val="28"/>
          <w:szCs w:val="28"/>
        </w:rPr>
        <w:t>(без учета НДС) с ростом относительно ранее действующей специальной надбавке на 1,3 %. Введена в действие с 01.01.2020 по 31.12.2020.</w:t>
      </w:r>
    </w:p>
    <w:p w:rsidR="005727C2" w:rsidRDefault="005727C2" w:rsidP="005727C2">
      <w:pPr>
        <w:pStyle w:val="afa"/>
        <w:ind w:firstLine="851"/>
        <w:jc w:val="both"/>
        <w:rPr>
          <w:rFonts w:ascii="Times New Roman" w:hAnsi="Times New Roman" w:cs="Times New Roman"/>
          <w:sz w:val="28"/>
          <w:szCs w:val="28"/>
        </w:rPr>
      </w:pPr>
      <w:r>
        <w:rPr>
          <w:rFonts w:ascii="Times New Roman" w:hAnsi="Times New Roman" w:cs="Times New Roman"/>
          <w:sz w:val="28"/>
          <w:szCs w:val="28"/>
        </w:rPr>
        <w:lastRenderedPageBreak/>
        <w:t xml:space="preserve">Средства, полученные от применения специальной надбавки, предназначены для финансирования «Программы развития системы газоснабжения Новосибирской области на 2020 - 2024 годы за счёт средств специальной надбавки к тарифам на услуги по транспортировке газа по газораспределительным сетям ООО «Газпром газораспределение Томск», разработанной во исполнение Государственной программы Новосибирской области «Жилищно-коммунальное хозяйство Новосибирской области», утвержденной постановлением Правительства Новосибирской области от 16.02.2015 № 66-п. </w:t>
      </w:r>
    </w:p>
    <w:p w:rsidR="005727C2" w:rsidRDefault="005727C2" w:rsidP="005727C2">
      <w:pPr>
        <w:pStyle w:val="afa"/>
        <w:ind w:firstLine="851"/>
        <w:jc w:val="both"/>
        <w:rPr>
          <w:rFonts w:ascii="Times New Roman" w:hAnsi="Times New Roman" w:cs="Times New Roman"/>
          <w:sz w:val="28"/>
          <w:szCs w:val="28"/>
        </w:rPr>
      </w:pPr>
      <w:r>
        <w:rPr>
          <w:rFonts w:ascii="Times New Roman" w:hAnsi="Times New Roman" w:cs="Times New Roman"/>
          <w:sz w:val="28"/>
          <w:szCs w:val="28"/>
        </w:rPr>
        <w:t>В расчет специальной надбавки на  2020 год включен</w:t>
      </w:r>
      <w:r w:rsidR="00851796">
        <w:rPr>
          <w:rFonts w:ascii="Times New Roman" w:hAnsi="Times New Roman" w:cs="Times New Roman"/>
          <w:sz w:val="28"/>
          <w:szCs w:val="28"/>
        </w:rPr>
        <w:t>ы</w:t>
      </w:r>
      <w:r>
        <w:rPr>
          <w:rFonts w:ascii="Times New Roman" w:hAnsi="Times New Roman" w:cs="Times New Roman"/>
          <w:sz w:val="28"/>
          <w:szCs w:val="28"/>
        </w:rPr>
        <w:t xml:space="preserve">  финансовы</w:t>
      </w:r>
      <w:r w:rsidR="00851796">
        <w:rPr>
          <w:rFonts w:ascii="Times New Roman" w:hAnsi="Times New Roman" w:cs="Times New Roman"/>
          <w:sz w:val="28"/>
          <w:szCs w:val="28"/>
        </w:rPr>
        <w:t>е</w:t>
      </w:r>
      <w:r>
        <w:rPr>
          <w:rFonts w:ascii="Times New Roman" w:hAnsi="Times New Roman" w:cs="Times New Roman"/>
          <w:sz w:val="28"/>
          <w:szCs w:val="28"/>
        </w:rPr>
        <w:t xml:space="preserve"> средств</w:t>
      </w:r>
      <w:r w:rsidR="00851796">
        <w:rPr>
          <w:rFonts w:ascii="Times New Roman" w:hAnsi="Times New Roman" w:cs="Times New Roman"/>
          <w:sz w:val="28"/>
          <w:szCs w:val="28"/>
        </w:rPr>
        <w:t xml:space="preserve">а </w:t>
      </w:r>
      <w:r w:rsidR="00851796" w:rsidRPr="008348FD">
        <w:rPr>
          <w:rFonts w:ascii="Times New Roman" w:hAnsi="Times New Roman" w:cs="Times New Roman"/>
          <w:sz w:val="28"/>
          <w:szCs w:val="28"/>
        </w:rPr>
        <w:t>в размере</w:t>
      </w:r>
      <w:r w:rsidR="00851796">
        <w:rPr>
          <w:rFonts w:ascii="Times New Roman" w:hAnsi="Times New Roman" w:cs="Times New Roman"/>
          <w:sz w:val="28"/>
          <w:szCs w:val="28"/>
        </w:rPr>
        <w:t xml:space="preserve"> 27358,52</w:t>
      </w:r>
      <w:r w:rsidR="008348FD">
        <w:rPr>
          <w:rFonts w:ascii="Times New Roman" w:hAnsi="Times New Roman" w:cs="Times New Roman"/>
          <w:sz w:val="28"/>
          <w:szCs w:val="28"/>
        </w:rPr>
        <w:t xml:space="preserve"> тыс. руб.</w:t>
      </w:r>
      <w:r w:rsidR="00851796">
        <w:rPr>
          <w:rFonts w:ascii="Times New Roman" w:hAnsi="Times New Roman" w:cs="Times New Roman"/>
          <w:sz w:val="28"/>
          <w:szCs w:val="28"/>
        </w:rPr>
        <w:t xml:space="preserve">, </w:t>
      </w:r>
      <w:r>
        <w:rPr>
          <w:rFonts w:ascii="Times New Roman" w:hAnsi="Times New Roman" w:cs="Times New Roman"/>
          <w:sz w:val="28"/>
          <w:szCs w:val="28"/>
        </w:rPr>
        <w:t xml:space="preserve">для реализации </w:t>
      </w:r>
      <w:r w:rsidR="008348FD">
        <w:rPr>
          <w:rFonts w:ascii="Times New Roman" w:hAnsi="Times New Roman" w:cs="Times New Roman"/>
          <w:sz w:val="28"/>
          <w:szCs w:val="28"/>
        </w:rPr>
        <w:t>«</w:t>
      </w:r>
      <w:r>
        <w:rPr>
          <w:rFonts w:ascii="Times New Roman" w:hAnsi="Times New Roman" w:cs="Times New Roman"/>
          <w:sz w:val="28"/>
          <w:szCs w:val="28"/>
        </w:rPr>
        <w:t xml:space="preserve">Программы развития системы газоснабжения Новосибирской области на 2020 - 2024 годы за счет средств специальной надбавки к тарифам на услуги по транспортировке газа по газораспределительным сетям </w:t>
      </w:r>
      <w:r w:rsidR="00C77ECF">
        <w:rPr>
          <w:rFonts w:ascii="Times New Roman" w:hAnsi="Times New Roman" w:cs="Times New Roman"/>
          <w:sz w:val="28"/>
          <w:szCs w:val="28"/>
        </w:rPr>
        <w:t xml:space="preserve">    </w:t>
      </w:r>
      <w:r>
        <w:rPr>
          <w:rFonts w:ascii="Times New Roman" w:hAnsi="Times New Roman" w:cs="Times New Roman"/>
          <w:sz w:val="28"/>
          <w:szCs w:val="28"/>
        </w:rPr>
        <w:t>О</w:t>
      </w:r>
      <w:r w:rsidR="00C77ECF">
        <w:rPr>
          <w:rFonts w:ascii="Times New Roman" w:hAnsi="Times New Roman" w:cs="Times New Roman"/>
          <w:sz w:val="28"/>
          <w:szCs w:val="28"/>
        </w:rPr>
        <w:t>ОО</w:t>
      </w:r>
      <w:r>
        <w:rPr>
          <w:rFonts w:ascii="Times New Roman" w:hAnsi="Times New Roman" w:cs="Times New Roman"/>
          <w:sz w:val="28"/>
          <w:szCs w:val="28"/>
        </w:rPr>
        <w:t xml:space="preserve"> «Газпром газораспределение Томск»</w:t>
      </w:r>
      <w:r w:rsidR="008348FD">
        <w:rPr>
          <w:rFonts w:ascii="Times New Roman" w:hAnsi="Times New Roman" w:cs="Times New Roman"/>
          <w:sz w:val="28"/>
          <w:szCs w:val="28"/>
        </w:rPr>
        <w:t>»</w:t>
      </w:r>
      <w:r>
        <w:rPr>
          <w:rFonts w:ascii="Times New Roman" w:hAnsi="Times New Roman" w:cs="Times New Roman"/>
          <w:sz w:val="28"/>
          <w:szCs w:val="28"/>
        </w:rPr>
        <w:t>,</w:t>
      </w:r>
      <w:r w:rsidR="008348FD">
        <w:rPr>
          <w:rFonts w:ascii="Times New Roman" w:hAnsi="Times New Roman" w:cs="Times New Roman"/>
          <w:sz w:val="28"/>
          <w:szCs w:val="28"/>
        </w:rPr>
        <w:t xml:space="preserve"> программа </w:t>
      </w:r>
      <w:r>
        <w:rPr>
          <w:rFonts w:ascii="Times New Roman" w:hAnsi="Times New Roman" w:cs="Times New Roman"/>
          <w:sz w:val="28"/>
          <w:szCs w:val="28"/>
        </w:rPr>
        <w:t xml:space="preserve"> согласован</w:t>
      </w:r>
      <w:r w:rsidR="00851796">
        <w:rPr>
          <w:rFonts w:ascii="Times New Roman" w:hAnsi="Times New Roman" w:cs="Times New Roman"/>
          <w:sz w:val="28"/>
          <w:szCs w:val="28"/>
        </w:rPr>
        <w:t xml:space="preserve">на с </w:t>
      </w:r>
      <w:r w:rsidR="00C77ECF">
        <w:rPr>
          <w:rFonts w:ascii="Times New Roman" w:hAnsi="Times New Roman" w:cs="Times New Roman"/>
          <w:sz w:val="28"/>
          <w:szCs w:val="28"/>
        </w:rPr>
        <w:t>главами  Мошковского и Ордынского района</w:t>
      </w:r>
      <w:r>
        <w:rPr>
          <w:rFonts w:ascii="Times New Roman" w:hAnsi="Times New Roman" w:cs="Times New Roman"/>
          <w:sz w:val="28"/>
          <w:szCs w:val="28"/>
        </w:rPr>
        <w:t>, города Бердска Новосибирской области</w:t>
      </w:r>
      <w:r w:rsidR="008348FD">
        <w:rPr>
          <w:rFonts w:ascii="Times New Roman" w:hAnsi="Times New Roman" w:cs="Times New Roman"/>
          <w:sz w:val="28"/>
          <w:szCs w:val="28"/>
        </w:rPr>
        <w:t xml:space="preserve"> и</w:t>
      </w:r>
      <w:r w:rsidR="00851796">
        <w:rPr>
          <w:rFonts w:ascii="Times New Roman" w:hAnsi="Times New Roman" w:cs="Times New Roman"/>
          <w:sz w:val="28"/>
          <w:szCs w:val="28"/>
        </w:rPr>
        <w:t xml:space="preserve"> </w:t>
      </w:r>
      <w:r>
        <w:rPr>
          <w:rFonts w:ascii="Times New Roman" w:hAnsi="Times New Roman" w:cs="Times New Roman"/>
          <w:sz w:val="28"/>
          <w:szCs w:val="28"/>
        </w:rPr>
        <w:t>утвержденн</w:t>
      </w:r>
      <w:r w:rsidR="00851796">
        <w:rPr>
          <w:rFonts w:ascii="Times New Roman" w:hAnsi="Times New Roman" w:cs="Times New Roman"/>
          <w:sz w:val="28"/>
          <w:szCs w:val="28"/>
        </w:rPr>
        <w:t xml:space="preserve">ая </w:t>
      </w:r>
      <w:r>
        <w:rPr>
          <w:rFonts w:ascii="Times New Roman" w:hAnsi="Times New Roman" w:cs="Times New Roman"/>
          <w:sz w:val="28"/>
          <w:szCs w:val="28"/>
        </w:rPr>
        <w:t xml:space="preserve"> Министром жилищно-коммунального хозяйства и энергетики Новосибирской области. Специальная надбавка к тарифам на транспортировку газа для ООО «Газпром газораспределение Томск» рассчитана </w:t>
      </w:r>
      <w:r w:rsidR="008348FD">
        <w:rPr>
          <w:rFonts w:ascii="Times New Roman" w:hAnsi="Times New Roman" w:cs="Times New Roman"/>
          <w:sz w:val="28"/>
          <w:szCs w:val="28"/>
        </w:rPr>
        <w:t>Д</w:t>
      </w:r>
      <w:r>
        <w:rPr>
          <w:rFonts w:ascii="Times New Roman" w:hAnsi="Times New Roman" w:cs="Times New Roman"/>
          <w:sz w:val="28"/>
          <w:szCs w:val="28"/>
        </w:rPr>
        <w:t xml:space="preserve">епартаментом в соответствии с Методикой определения размера специальных надбавок к тарифам на транспортировку газа газораспределительными организациями для финансирования программ газификации, утвержденной приказом ФСТ России от 21.06.2011 № 154-э/4. </w:t>
      </w:r>
    </w:p>
    <w:p w:rsidR="005727C2" w:rsidRDefault="005727C2" w:rsidP="005727C2">
      <w:pPr>
        <w:pStyle w:val="afa"/>
        <w:ind w:firstLine="851"/>
        <w:jc w:val="both"/>
        <w:rPr>
          <w:rFonts w:ascii="Times New Roman" w:hAnsi="Times New Roman" w:cs="Times New Roman"/>
          <w:sz w:val="28"/>
          <w:szCs w:val="28"/>
        </w:rPr>
      </w:pPr>
      <w:r>
        <w:rPr>
          <w:rFonts w:ascii="Times New Roman" w:hAnsi="Times New Roman" w:cs="Times New Roman"/>
          <w:sz w:val="28"/>
          <w:szCs w:val="28"/>
        </w:rPr>
        <w:t xml:space="preserve">Специальная надбавка, утвержденная </w:t>
      </w:r>
      <w:r w:rsidR="008348FD">
        <w:rPr>
          <w:rFonts w:ascii="Times New Roman" w:hAnsi="Times New Roman" w:cs="Times New Roman"/>
          <w:sz w:val="28"/>
          <w:szCs w:val="28"/>
        </w:rPr>
        <w:t>Д</w:t>
      </w:r>
      <w:r>
        <w:rPr>
          <w:rFonts w:ascii="Times New Roman" w:hAnsi="Times New Roman" w:cs="Times New Roman"/>
          <w:sz w:val="28"/>
          <w:szCs w:val="28"/>
        </w:rPr>
        <w:t xml:space="preserve">епартаментом, не применяется к тарифам на услуги по транспортировке газа для населения и к тарифам на услуги по транспортировке газа в транзитном потоке.  </w:t>
      </w:r>
    </w:p>
    <w:p w:rsidR="005727C2" w:rsidRDefault="005727C2" w:rsidP="005727C2">
      <w:pPr>
        <w:pStyle w:val="afa"/>
        <w:ind w:firstLine="993"/>
        <w:jc w:val="both"/>
        <w:rPr>
          <w:rFonts w:ascii="Times New Roman" w:hAnsi="Times New Roman" w:cs="Times New Roman"/>
          <w:b/>
          <w:i/>
          <w:sz w:val="28"/>
          <w:szCs w:val="28"/>
        </w:rPr>
      </w:pPr>
    </w:p>
    <w:p w:rsidR="005727C2" w:rsidRPr="008348FD" w:rsidRDefault="005727C2" w:rsidP="00364535">
      <w:pPr>
        <w:pStyle w:val="afa"/>
        <w:numPr>
          <w:ilvl w:val="2"/>
          <w:numId w:val="8"/>
        </w:numPr>
        <w:ind w:hanging="153"/>
        <w:jc w:val="both"/>
        <w:rPr>
          <w:rFonts w:ascii="Times New Roman" w:hAnsi="Times New Roman" w:cs="Times New Roman"/>
          <w:b/>
          <w:sz w:val="28"/>
          <w:szCs w:val="28"/>
        </w:rPr>
      </w:pPr>
      <w:r w:rsidRPr="008348FD">
        <w:rPr>
          <w:rFonts w:ascii="Times New Roman" w:hAnsi="Times New Roman" w:cs="Times New Roman"/>
          <w:b/>
          <w:sz w:val="28"/>
          <w:szCs w:val="28"/>
        </w:rPr>
        <w:t>Природный газ для населения</w:t>
      </w:r>
    </w:p>
    <w:p w:rsidR="005727C2" w:rsidRDefault="005727C2" w:rsidP="005727C2">
      <w:pPr>
        <w:pStyle w:val="afa"/>
        <w:ind w:firstLine="851"/>
        <w:jc w:val="both"/>
        <w:rPr>
          <w:rFonts w:ascii="Times New Roman" w:hAnsi="Times New Roman" w:cs="Times New Roman"/>
          <w:sz w:val="28"/>
          <w:szCs w:val="28"/>
        </w:rPr>
      </w:pPr>
      <w:r>
        <w:rPr>
          <w:rFonts w:ascii="Times New Roman" w:hAnsi="Times New Roman" w:cs="Times New Roman"/>
          <w:sz w:val="28"/>
          <w:szCs w:val="28"/>
        </w:rPr>
        <w:t xml:space="preserve">Природный газ реализуется населению, проживающему на территории Новосибирской области, региональной компанией по реализации природного газа ООО «Газпром межрегионгаз Новосибирск» (ОГРН 1025403200195, ИНН 5407208153). </w:t>
      </w:r>
    </w:p>
    <w:p w:rsidR="005727C2" w:rsidRDefault="005727C2" w:rsidP="005727C2">
      <w:pPr>
        <w:pStyle w:val="afa"/>
        <w:ind w:firstLine="851"/>
        <w:jc w:val="both"/>
        <w:rPr>
          <w:rFonts w:ascii="Times New Roman" w:hAnsi="Times New Roman" w:cs="Times New Roman"/>
          <w:sz w:val="28"/>
          <w:szCs w:val="28"/>
        </w:rPr>
      </w:pPr>
      <w:r>
        <w:rPr>
          <w:rFonts w:ascii="Times New Roman" w:hAnsi="Times New Roman" w:cs="Times New Roman"/>
          <w:sz w:val="28"/>
          <w:szCs w:val="28"/>
        </w:rPr>
        <w:t>В соответствии с пунктом 27 Методических указаний № 252-э/2 розничные цены на газ утверждаются не менее чем на год одновременно с пересмотром регулируемых оптовых цен на газ.</w:t>
      </w:r>
    </w:p>
    <w:p w:rsidR="005727C2" w:rsidRDefault="005727C2" w:rsidP="005727C2">
      <w:pPr>
        <w:pStyle w:val="afa"/>
        <w:ind w:firstLine="851"/>
        <w:jc w:val="both"/>
        <w:rPr>
          <w:rFonts w:ascii="Times New Roman" w:hAnsi="Times New Roman" w:cs="Times New Roman"/>
          <w:sz w:val="28"/>
          <w:szCs w:val="28"/>
        </w:rPr>
      </w:pPr>
      <w:r>
        <w:rPr>
          <w:rFonts w:ascii="Times New Roman" w:hAnsi="Times New Roman" w:cs="Times New Roman"/>
          <w:sz w:val="28"/>
          <w:szCs w:val="28"/>
        </w:rPr>
        <w:t>Приказом ФАС России от 13.05.2019 № 580/19 с 1 июля 2019 года утверждены новые оптовые цены на природный газ, предназначенный для последующей реализации населению на территории Новосибирской области: 3 702,0 руб./1000м3 (без НДС) с ростом относительно ранее действующих цен на 1,4 %.</w:t>
      </w:r>
    </w:p>
    <w:p w:rsidR="005727C2" w:rsidRDefault="005727C2" w:rsidP="005727C2">
      <w:pPr>
        <w:pStyle w:val="afa"/>
        <w:ind w:firstLine="851"/>
        <w:jc w:val="both"/>
        <w:rPr>
          <w:rFonts w:ascii="Times New Roman" w:hAnsi="Times New Roman" w:cs="Times New Roman"/>
          <w:sz w:val="28"/>
          <w:szCs w:val="28"/>
        </w:rPr>
      </w:pPr>
      <w:r>
        <w:rPr>
          <w:rFonts w:ascii="Times New Roman" w:hAnsi="Times New Roman" w:cs="Times New Roman"/>
          <w:sz w:val="28"/>
          <w:szCs w:val="28"/>
        </w:rPr>
        <w:t xml:space="preserve">В расчёте региональной составляющей, предусмотренной при формировании розничной цены на природный газ, департаментом учтена плата за снабженческо-сбытовые услуги (ПССУ), оказываемые ООО «Газпром межрегионгаз Новосибирск» на территории Новосибирской области, в размере 198,44 руб./1000м3 (без НДС), утвержденная приказом ФАС России от 27.05.2016 № 682/16, без индексации. </w:t>
      </w:r>
    </w:p>
    <w:p w:rsidR="005727C2" w:rsidRDefault="005727C2" w:rsidP="005727C2">
      <w:pPr>
        <w:pStyle w:val="afa"/>
        <w:ind w:firstLine="851"/>
        <w:jc w:val="both"/>
        <w:rPr>
          <w:rFonts w:ascii="Times New Roman" w:hAnsi="Times New Roman" w:cs="Times New Roman"/>
          <w:sz w:val="28"/>
          <w:szCs w:val="28"/>
        </w:rPr>
      </w:pPr>
      <w:r>
        <w:rPr>
          <w:rFonts w:ascii="Times New Roman" w:hAnsi="Times New Roman" w:cs="Times New Roman"/>
          <w:sz w:val="28"/>
          <w:szCs w:val="28"/>
        </w:rPr>
        <w:t xml:space="preserve">Кроме того, в расчёте региональной составляющей, предусмотренной при формировании розничной цены на природный газ, </w:t>
      </w:r>
      <w:r w:rsidR="00364535">
        <w:rPr>
          <w:rFonts w:ascii="Times New Roman" w:hAnsi="Times New Roman" w:cs="Times New Roman"/>
          <w:sz w:val="28"/>
          <w:szCs w:val="28"/>
        </w:rPr>
        <w:t>Д</w:t>
      </w:r>
      <w:r>
        <w:rPr>
          <w:rFonts w:ascii="Times New Roman" w:hAnsi="Times New Roman" w:cs="Times New Roman"/>
          <w:sz w:val="28"/>
          <w:szCs w:val="28"/>
        </w:rPr>
        <w:t xml:space="preserve">епартаментом учтены тарифы на услуги по транспортировке газа по газораспределительным сетям региональных </w:t>
      </w:r>
      <w:r>
        <w:rPr>
          <w:rFonts w:ascii="Times New Roman" w:hAnsi="Times New Roman" w:cs="Times New Roman"/>
          <w:sz w:val="28"/>
          <w:szCs w:val="28"/>
        </w:rPr>
        <w:lastRenderedPageBreak/>
        <w:t>газораспределительных организаций, установленные приказами ФАС России, которые отражены в таблице</w:t>
      </w:r>
      <w:r w:rsidR="00A92E7A">
        <w:rPr>
          <w:rFonts w:ascii="Times New Roman" w:hAnsi="Times New Roman" w:cs="Times New Roman"/>
          <w:sz w:val="28"/>
          <w:szCs w:val="28"/>
        </w:rPr>
        <w:t xml:space="preserve"> 2.3.1</w:t>
      </w:r>
      <w:r>
        <w:rPr>
          <w:rFonts w:ascii="Times New Roman" w:hAnsi="Times New Roman" w:cs="Times New Roman"/>
          <w:sz w:val="28"/>
          <w:szCs w:val="28"/>
        </w:rPr>
        <w:t xml:space="preserve">. </w:t>
      </w:r>
    </w:p>
    <w:p w:rsidR="00364535" w:rsidRDefault="00364535" w:rsidP="005727C2">
      <w:pPr>
        <w:pStyle w:val="afa"/>
        <w:ind w:firstLine="851"/>
        <w:jc w:val="both"/>
        <w:rPr>
          <w:rFonts w:ascii="Times New Roman" w:hAnsi="Times New Roman" w:cs="Times New Roman"/>
          <w:sz w:val="28"/>
          <w:szCs w:val="28"/>
        </w:rPr>
      </w:pPr>
    </w:p>
    <w:p w:rsidR="005727C2" w:rsidRPr="00A92E7A" w:rsidRDefault="00A92E7A" w:rsidP="00A92E7A">
      <w:pPr>
        <w:pStyle w:val="afa"/>
        <w:ind w:firstLine="993"/>
        <w:jc w:val="right"/>
        <w:rPr>
          <w:rFonts w:ascii="Times New Roman" w:hAnsi="Times New Roman" w:cs="Times New Roman"/>
          <w:sz w:val="24"/>
          <w:szCs w:val="24"/>
        </w:rPr>
      </w:pPr>
      <w:r w:rsidRPr="00A92E7A">
        <w:rPr>
          <w:rFonts w:ascii="Times New Roman" w:hAnsi="Times New Roman" w:cs="Times New Roman"/>
          <w:sz w:val="24"/>
          <w:szCs w:val="24"/>
        </w:rPr>
        <w:t>Таблица №</w:t>
      </w:r>
      <w:r>
        <w:rPr>
          <w:rFonts w:ascii="Times New Roman" w:hAnsi="Times New Roman" w:cs="Times New Roman"/>
          <w:sz w:val="24"/>
          <w:szCs w:val="24"/>
        </w:rPr>
        <w:t xml:space="preserve"> </w:t>
      </w:r>
      <w:r w:rsidRPr="00A92E7A">
        <w:rPr>
          <w:rFonts w:ascii="Times New Roman" w:hAnsi="Times New Roman" w:cs="Times New Roman"/>
          <w:sz w:val="24"/>
          <w:szCs w:val="24"/>
        </w:rPr>
        <w:t>2.3.1.</w:t>
      </w:r>
    </w:p>
    <w:tbl>
      <w:tblPr>
        <w:tblW w:w="10221" w:type="dxa"/>
        <w:tblInd w:w="93" w:type="dxa"/>
        <w:tblLook w:val="04A0" w:firstRow="1" w:lastRow="0" w:firstColumn="1" w:lastColumn="0" w:noHBand="0" w:noVBand="1"/>
      </w:tblPr>
      <w:tblGrid>
        <w:gridCol w:w="640"/>
        <w:gridCol w:w="3295"/>
        <w:gridCol w:w="1825"/>
        <w:gridCol w:w="1910"/>
        <w:gridCol w:w="2551"/>
      </w:tblGrid>
      <w:tr w:rsidR="005727C2" w:rsidTr="00A92E7A">
        <w:trPr>
          <w:trHeight w:val="1365"/>
        </w:trPr>
        <w:tc>
          <w:tcPr>
            <w:tcW w:w="640" w:type="dxa"/>
            <w:vMerge w:val="restart"/>
            <w:tcBorders>
              <w:top w:val="single" w:sz="4" w:space="0" w:color="auto"/>
              <w:left w:val="single" w:sz="4" w:space="0" w:color="auto"/>
              <w:bottom w:val="single" w:sz="4" w:space="0" w:color="auto"/>
              <w:right w:val="single" w:sz="4" w:space="0" w:color="auto"/>
            </w:tcBorders>
            <w:noWrap/>
            <w:vAlign w:val="center"/>
            <w:hideMark/>
          </w:tcPr>
          <w:p w:rsidR="005727C2" w:rsidRDefault="005727C2">
            <w:pPr>
              <w:pStyle w:val="afa"/>
              <w:rPr>
                <w:rFonts w:ascii="Times New Roman" w:hAnsi="Times New Roman" w:cs="Times New Roman"/>
              </w:rPr>
            </w:pPr>
            <w:r>
              <w:rPr>
                <w:rFonts w:ascii="Times New Roman" w:hAnsi="Times New Roman" w:cs="Times New Roman"/>
              </w:rPr>
              <w:t>№ пп</w:t>
            </w:r>
          </w:p>
        </w:tc>
        <w:tc>
          <w:tcPr>
            <w:tcW w:w="3295" w:type="dxa"/>
            <w:vMerge w:val="restart"/>
            <w:tcBorders>
              <w:top w:val="single" w:sz="4" w:space="0" w:color="auto"/>
              <w:left w:val="single" w:sz="4" w:space="0" w:color="auto"/>
              <w:bottom w:val="single" w:sz="4" w:space="0" w:color="auto"/>
              <w:right w:val="single" w:sz="4" w:space="0" w:color="auto"/>
            </w:tcBorders>
            <w:vAlign w:val="center"/>
            <w:hideMark/>
          </w:tcPr>
          <w:p w:rsidR="005727C2" w:rsidRDefault="005727C2">
            <w:pPr>
              <w:pStyle w:val="afa"/>
              <w:rPr>
                <w:rFonts w:ascii="Times New Roman" w:hAnsi="Times New Roman" w:cs="Times New Roman"/>
              </w:rPr>
            </w:pPr>
            <w:r>
              <w:rPr>
                <w:rFonts w:ascii="Times New Roman" w:hAnsi="Times New Roman" w:cs="Times New Roman"/>
              </w:rPr>
              <w:t>Наименование ГРО</w:t>
            </w:r>
          </w:p>
        </w:tc>
        <w:tc>
          <w:tcPr>
            <w:tcW w:w="1825" w:type="dxa"/>
            <w:vMerge w:val="restart"/>
            <w:tcBorders>
              <w:top w:val="single" w:sz="4" w:space="0" w:color="auto"/>
              <w:left w:val="single" w:sz="4" w:space="0" w:color="auto"/>
              <w:bottom w:val="single" w:sz="4" w:space="0" w:color="auto"/>
              <w:right w:val="single" w:sz="4" w:space="0" w:color="auto"/>
            </w:tcBorders>
            <w:vAlign w:val="center"/>
            <w:hideMark/>
          </w:tcPr>
          <w:p w:rsidR="005727C2" w:rsidRDefault="005727C2">
            <w:pPr>
              <w:pStyle w:val="afa"/>
              <w:rPr>
                <w:rFonts w:ascii="Times New Roman" w:hAnsi="Times New Roman" w:cs="Times New Roman"/>
              </w:rPr>
            </w:pPr>
            <w:r>
              <w:rPr>
                <w:rFonts w:ascii="Times New Roman" w:hAnsi="Times New Roman" w:cs="Times New Roman"/>
              </w:rPr>
              <w:t xml:space="preserve">Тарифы на услуги по транспортировке газа для населения </w:t>
            </w:r>
          </w:p>
          <w:p w:rsidR="005727C2" w:rsidRDefault="005727C2">
            <w:pPr>
              <w:pStyle w:val="afa"/>
              <w:rPr>
                <w:rFonts w:ascii="Times New Roman" w:hAnsi="Times New Roman" w:cs="Times New Roman"/>
              </w:rPr>
            </w:pPr>
            <w:r>
              <w:rPr>
                <w:rFonts w:ascii="Times New Roman" w:hAnsi="Times New Roman" w:cs="Times New Roman"/>
              </w:rPr>
              <w:t>(без НДС), руб./1000 куб.м</w:t>
            </w:r>
          </w:p>
        </w:tc>
        <w:tc>
          <w:tcPr>
            <w:tcW w:w="1910" w:type="dxa"/>
            <w:vMerge w:val="restart"/>
            <w:tcBorders>
              <w:top w:val="single" w:sz="4" w:space="0" w:color="auto"/>
              <w:left w:val="single" w:sz="4" w:space="0" w:color="auto"/>
              <w:bottom w:val="single" w:sz="4" w:space="0" w:color="auto"/>
              <w:right w:val="single" w:sz="4" w:space="0" w:color="auto"/>
            </w:tcBorders>
            <w:vAlign w:val="center"/>
            <w:hideMark/>
          </w:tcPr>
          <w:p w:rsidR="005727C2" w:rsidRDefault="005727C2">
            <w:pPr>
              <w:pStyle w:val="afa"/>
              <w:rPr>
                <w:rFonts w:ascii="Times New Roman" w:hAnsi="Times New Roman" w:cs="Times New Roman"/>
              </w:rPr>
            </w:pPr>
            <w:r>
              <w:rPr>
                <w:rFonts w:ascii="Times New Roman" w:hAnsi="Times New Roman" w:cs="Times New Roman"/>
              </w:rPr>
              <w:t>Тарифы на услуги по транспортировке газа в транзитном потоке (без НДС), руб./1000 куб.м</w:t>
            </w:r>
          </w:p>
        </w:tc>
        <w:tc>
          <w:tcPr>
            <w:tcW w:w="2551" w:type="dxa"/>
            <w:vMerge w:val="restart"/>
            <w:tcBorders>
              <w:top w:val="single" w:sz="4" w:space="0" w:color="auto"/>
              <w:left w:val="single" w:sz="4" w:space="0" w:color="auto"/>
              <w:bottom w:val="single" w:sz="4" w:space="0" w:color="auto"/>
              <w:right w:val="single" w:sz="4" w:space="0" w:color="auto"/>
            </w:tcBorders>
            <w:vAlign w:val="center"/>
            <w:hideMark/>
          </w:tcPr>
          <w:p w:rsidR="005727C2" w:rsidRDefault="005727C2">
            <w:pPr>
              <w:pStyle w:val="afa"/>
              <w:rPr>
                <w:rFonts w:ascii="Times New Roman" w:hAnsi="Times New Roman" w:cs="Times New Roman"/>
              </w:rPr>
            </w:pPr>
            <w:r>
              <w:rPr>
                <w:rFonts w:ascii="Times New Roman" w:hAnsi="Times New Roman" w:cs="Times New Roman"/>
              </w:rPr>
              <w:t>Приказы ФАС России</w:t>
            </w:r>
          </w:p>
          <w:p w:rsidR="005727C2" w:rsidRDefault="005727C2">
            <w:pPr>
              <w:pStyle w:val="afa"/>
              <w:rPr>
                <w:rFonts w:ascii="Times New Roman" w:hAnsi="Times New Roman" w:cs="Times New Roman"/>
              </w:rPr>
            </w:pPr>
            <w:r>
              <w:rPr>
                <w:rFonts w:ascii="Times New Roman" w:hAnsi="Times New Roman" w:cs="Times New Roman"/>
              </w:rPr>
              <w:t xml:space="preserve"> (до 27 июля 2015 года – приказы ФСТ России)</w:t>
            </w:r>
          </w:p>
        </w:tc>
      </w:tr>
      <w:tr w:rsidR="005727C2" w:rsidTr="00A92E7A">
        <w:trPr>
          <w:trHeight w:val="384"/>
        </w:trPr>
        <w:tc>
          <w:tcPr>
            <w:tcW w:w="0" w:type="auto"/>
            <w:vMerge/>
            <w:tcBorders>
              <w:top w:val="single" w:sz="4" w:space="0" w:color="auto"/>
              <w:left w:val="single" w:sz="4" w:space="0" w:color="auto"/>
              <w:bottom w:val="single" w:sz="4" w:space="0" w:color="auto"/>
              <w:right w:val="single" w:sz="4" w:space="0" w:color="auto"/>
            </w:tcBorders>
            <w:vAlign w:val="center"/>
            <w:hideMark/>
          </w:tcPr>
          <w:p w:rsidR="005727C2" w:rsidRDefault="005727C2">
            <w:pPr>
              <w:spacing w:after="0" w:line="240" w:lineRule="auto"/>
              <w:rPr>
                <w:rFonts w:eastAsiaTheme="minorHAnsi"/>
                <w:lang w:eastAsia="zh-CN"/>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5727C2" w:rsidRDefault="005727C2">
            <w:pPr>
              <w:spacing w:after="0" w:line="240" w:lineRule="auto"/>
              <w:rPr>
                <w:rFonts w:eastAsiaTheme="minorHAnsi"/>
                <w:lang w:eastAsia="zh-CN"/>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5727C2" w:rsidRDefault="005727C2">
            <w:pPr>
              <w:spacing w:after="0" w:line="240" w:lineRule="auto"/>
              <w:rPr>
                <w:rFonts w:eastAsiaTheme="minorHAnsi"/>
                <w:lang w:eastAsia="zh-CN"/>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5727C2" w:rsidRDefault="005727C2">
            <w:pPr>
              <w:spacing w:after="0" w:line="240" w:lineRule="auto"/>
              <w:rPr>
                <w:rFonts w:eastAsiaTheme="minorHAnsi"/>
                <w:lang w:eastAsia="zh-CN"/>
              </w:rPr>
            </w:pPr>
          </w:p>
        </w:tc>
        <w:tc>
          <w:tcPr>
            <w:tcW w:w="2551" w:type="dxa"/>
            <w:vMerge/>
            <w:tcBorders>
              <w:top w:val="single" w:sz="4" w:space="0" w:color="auto"/>
              <w:left w:val="single" w:sz="4" w:space="0" w:color="auto"/>
              <w:bottom w:val="single" w:sz="4" w:space="0" w:color="auto"/>
              <w:right w:val="single" w:sz="4" w:space="0" w:color="auto"/>
            </w:tcBorders>
            <w:vAlign w:val="center"/>
            <w:hideMark/>
          </w:tcPr>
          <w:p w:rsidR="005727C2" w:rsidRDefault="005727C2">
            <w:pPr>
              <w:spacing w:after="0" w:line="240" w:lineRule="auto"/>
              <w:rPr>
                <w:rFonts w:eastAsiaTheme="minorHAnsi"/>
                <w:lang w:eastAsia="zh-CN"/>
              </w:rPr>
            </w:pPr>
          </w:p>
        </w:tc>
      </w:tr>
      <w:tr w:rsidR="005727C2" w:rsidTr="00A92E7A">
        <w:trPr>
          <w:trHeight w:val="323"/>
        </w:trPr>
        <w:tc>
          <w:tcPr>
            <w:tcW w:w="640" w:type="dxa"/>
            <w:tcBorders>
              <w:top w:val="nil"/>
              <w:left w:val="single" w:sz="4" w:space="0" w:color="auto"/>
              <w:bottom w:val="single" w:sz="4" w:space="0" w:color="auto"/>
              <w:right w:val="single" w:sz="4" w:space="0" w:color="auto"/>
            </w:tcBorders>
            <w:noWrap/>
            <w:vAlign w:val="center"/>
            <w:hideMark/>
          </w:tcPr>
          <w:p w:rsidR="005727C2" w:rsidRDefault="005727C2">
            <w:pPr>
              <w:pStyle w:val="afa"/>
              <w:rPr>
                <w:rFonts w:ascii="Times New Roman" w:hAnsi="Times New Roman" w:cs="Times New Roman"/>
              </w:rPr>
            </w:pPr>
            <w:r>
              <w:rPr>
                <w:rFonts w:ascii="Times New Roman" w:hAnsi="Times New Roman" w:cs="Times New Roman"/>
              </w:rPr>
              <w:t>1</w:t>
            </w:r>
          </w:p>
        </w:tc>
        <w:tc>
          <w:tcPr>
            <w:tcW w:w="3295" w:type="dxa"/>
            <w:tcBorders>
              <w:top w:val="nil"/>
              <w:left w:val="nil"/>
              <w:bottom w:val="single" w:sz="4" w:space="0" w:color="auto"/>
              <w:right w:val="single" w:sz="4" w:space="0" w:color="auto"/>
            </w:tcBorders>
            <w:vAlign w:val="center"/>
            <w:hideMark/>
          </w:tcPr>
          <w:p w:rsidR="005727C2" w:rsidRDefault="005727C2">
            <w:pPr>
              <w:pStyle w:val="afa"/>
              <w:rPr>
                <w:rFonts w:ascii="Times New Roman" w:hAnsi="Times New Roman" w:cs="Times New Roman"/>
              </w:rPr>
            </w:pPr>
            <w:r>
              <w:rPr>
                <w:rFonts w:ascii="Times New Roman" w:hAnsi="Times New Roman" w:cs="Times New Roman"/>
              </w:rPr>
              <w:t xml:space="preserve"> ОАО «Городские газовые сети»  </w:t>
            </w:r>
          </w:p>
        </w:tc>
        <w:tc>
          <w:tcPr>
            <w:tcW w:w="1825" w:type="dxa"/>
            <w:tcBorders>
              <w:top w:val="nil"/>
              <w:left w:val="nil"/>
              <w:bottom w:val="single" w:sz="4" w:space="0" w:color="auto"/>
              <w:right w:val="single" w:sz="4" w:space="0" w:color="auto"/>
            </w:tcBorders>
            <w:vAlign w:val="center"/>
            <w:hideMark/>
          </w:tcPr>
          <w:p w:rsidR="005727C2" w:rsidRDefault="005727C2">
            <w:pPr>
              <w:pStyle w:val="afa"/>
              <w:jc w:val="center"/>
              <w:rPr>
                <w:rFonts w:ascii="Times New Roman" w:hAnsi="Times New Roman" w:cs="Times New Roman"/>
              </w:rPr>
            </w:pPr>
            <w:r>
              <w:rPr>
                <w:rFonts w:ascii="Times New Roman" w:hAnsi="Times New Roman" w:cs="Times New Roman"/>
              </w:rPr>
              <w:t>605,98</w:t>
            </w:r>
          </w:p>
        </w:tc>
        <w:tc>
          <w:tcPr>
            <w:tcW w:w="1910" w:type="dxa"/>
            <w:tcBorders>
              <w:top w:val="nil"/>
              <w:left w:val="nil"/>
              <w:bottom w:val="single" w:sz="4" w:space="0" w:color="auto"/>
              <w:right w:val="single" w:sz="4" w:space="0" w:color="auto"/>
            </w:tcBorders>
            <w:vAlign w:val="center"/>
            <w:hideMark/>
          </w:tcPr>
          <w:p w:rsidR="005727C2" w:rsidRDefault="005727C2">
            <w:pPr>
              <w:pStyle w:val="afa"/>
              <w:jc w:val="center"/>
              <w:rPr>
                <w:rFonts w:ascii="Times New Roman" w:hAnsi="Times New Roman" w:cs="Times New Roman"/>
              </w:rPr>
            </w:pPr>
            <w:r>
              <w:rPr>
                <w:rFonts w:ascii="Times New Roman" w:hAnsi="Times New Roman" w:cs="Times New Roman"/>
              </w:rPr>
              <w:t>130,66</w:t>
            </w:r>
          </w:p>
        </w:tc>
        <w:tc>
          <w:tcPr>
            <w:tcW w:w="2551" w:type="dxa"/>
            <w:tcBorders>
              <w:top w:val="nil"/>
              <w:left w:val="nil"/>
              <w:bottom w:val="single" w:sz="4" w:space="0" w:color="auto"/>
              <w:right w:val="single" w:sz="4" w:space="0" w:color="auto"/>
            </w:tcBorders>
            <w:vAlign w:val="center"/>
            <w:hideMark/>
          </w:tcPr>
          <w:p w:rsidR="005727C2" w:rsidRDefault="005727C2">
            <w:pPr>
              <w:pStyle w:val="afa"/>
              <w:rPr>
                <w:rFonts w:ascii="Times New Roman" w:hAnsi="Times New Roman" w:cs="Times New Roman"/>
                <w:sz w:val="20"/>
                <w:szCs w:val="20"/>
              </w:rPr>
            </w:pPr>
            <w:r>
              <w:rPr>
                <w:rFonts w:ascii="Times New Roman" w:hAnsi="Times New Roman" w:cs="Times New Roman"/>
                <w:sz w:val="20"/>
                <w:szCs w:val="20"/>
              </w:rPr>
              <w:t>от 13.05.2019 №578/19</w:t>
            </w:r>
          </w:p>
        </w:tc>
      </w:tr>
      <w:tr w:rsidR="005727C2" w:rsidTr="00A92E7A">
        <w:trPr>
          <w:trHeight w:val="401"/>
        </w:trPr>
        <w:tc>
          <w:tcPr>
            <w:tcW w:w="640" w:type="dxa"/>
            <w:tcBorders>
              <w:top w:val="nil"/>
              <w:left w:val="single" w:sz="4" w:space="0" w:color="auto"/>
              <w:bottom w:val="single" w:sz="4" w:space="0" w:color="auto"/>
              <w:right w:val="single" w:sz="4" w:space="0" w:color="auto"/>
            </w:tcBorders>
            <w:noWrap/>
            <w:vAlign w:val="center"/>
            <w:hideMark/>
          </w:tcPr>
          <w:p w:rsidR="005727C2" w:rsidRDefault="005727C2">
            <w:pPr>
              <w:pStyle w:val="afa"/>
              <w:rPr>
                <w:rFonts w:ascii="Times New Roman" w:hAnsi="Times New Roman" w:cs="Times New Roman"/>
              </w:rPr>
            </w:pPr>
            <w:r>
              <w:rPr>
                <w:rFonts w:ascii="Times New Roman" w:hAnsi="Times New Roman" w:cs="Times New Roman"/>
              </w:rPr>
              <w:t>2</w:t>
            </w:r>
          </w:p>
        </w:tc>
        <w:tc>
          <w:tcPr>
            <w:tcW w:w="3295" w:type="dxa"/>
            <w:tcBorders>
              <w:top w:val="nil"/>
              <w:left w:val="nil"/>
              <w:bottom w:val="single" w:sz="4" w:space="0" w:color="auto"/>
              <w:right w:val="single" w:sz="4" w:space="0" w:color="auto"/>
            </w:tcBorders>
            <w:vAlign w:val="center"/>
            <w:hideMark/>
          </w:tcPr>
          <w:p w:rsidR="005727C2" w:rsidRDefault="005727C2">
            <w:pPr>
              <w:pStyle w:val="afa"/>
              <w:rPr>
                <w:rFonts w:ascii="Times New Roman" w:hAnsi="Times New Roman" w:cs="Times New Roman"/>
              </w:rPr>
            </w:pPr>
            <w:r>
              <w:rPr>
                <w:rFonts w:ascii="Times New Roman" w:hAnsi="Times New Roman" w:cs="Times New Roman"/>
              </w:rPr>
              <w:t>ООО «Промгазсервис»  *)</w:t>
            </w:r>
          </w:p>
        </w:tc>
        <w:tc>
          <w:tcPr>
            <w:tcW w:w="1825" w:type="dxa"/>
            <w:tcBorders>
              <w:top w:val="nil"/>
              <w:left w:val="nil"/>
              <w:bottom w:val="single" w:sz="4" w:space="0" w:color="auto"/>
              <w:right w:val="single" w:sz="4" w:space="0" w:color="auto"/>
            </w:tcBorders>
            <w:vAlign w:val="center"/>
            <w:hideMark/>
          </w:tcPr>
          <w:p w:rsidR="005727C2" w:rsidRDefault="005727C2">
            <w:pPr>
              <w:pStyle w:val="afa"/>
              <w:jc w:val="center"/>
              <w:rPr>
                <w:rFonts w:ascii="Times New Roman" w:hAnsi="Times New Roman" w:cs="Times New Roman"/>
              </w:rPr>
            </w:pPr>
            <w:r>
              <w:rPr>
                <w:rFonts w:ascii="Times New Roman" w:hAnsi="Times New Roman" w:cs="Times New Roman"/>
              </w:rPr>
              <w:t>239,26</w:t>
            </w:r>
          </w:p>
        </w:tc>
        <w:tc>
          <w:tcPr>
            <w:tcW w:w="1910" w:type="dxa"/>
            <w:tcBorders>
              <w:top w:val="nil"/>
              <w:left w:val="nil"/>
              <w:bottom w:val="single" w:sz="4" w:space="0" w:color="auto"/>
              <w:right w:val="single" w:sz="4" w:space="0" w:color="auto"/>
            </w:tcBorders>
            <w:vAlign w:val="center"/>
            <w:hideMark/>
          </w:tcPr>
          <w:p w:rsidR="005727C2" w:rsidRDefault="005727C2">
            <w:pPr>
              <w:pStyle w:val="afa"/>
              <w:jc w:val="center"/>
              <w:rPr>
                <w:rFonts w:ascii="Times New Roman" w:hAnsi="Times New Roman" w:cs="Times New Roman"/>
              </w:rPr>
            </w:pPr>
            <w:r>
              <w:rPr>
                <w:rFonts w:ascii="Times New Roman" w:hAnsi="Times New Roman" w:cs="Times New Roman"/>
              </w:rPr>
              <w:t>25,48</w:t>
            </w:r>
          </w:p>
        </w:tc>
        <w:tc>
          <w:tcPr>
            <w:tcW w:w="2551" w:type="dxa"/>
            <w:tcBorders>
              <w:top w:val="nil"/>
              <w:left w:val="nil"/>
              <w:bottom w:val="single" w:sz="4" w:space="0" w:color="auto"/>
              <w:right w:val="single" w:sz="4" w:space="0" w:color="auto"/>
            </w:tcBorders>
            <w:vAlign w:val="center"/>
            <w:hideMark/>
          </w:tcPr>
          <w:p w:rsidR="005727C2" w:rsidRDefault="005727C2">
            <w:pPr>
              <w:pStyle w:val="afa"/>
              <w:rPr>
                <w:rFonts w:ascii="Times New Roman" w:hAnsi="Times New Roman" w:cs="Times New Roman"/>
                <w:sz w:val="20"/>
                <w:szCs w:val="20"/>
              </w:rPr>
            </w:pPr>
            <w:r>
              <w:rPr>
                <w:rFonts w:ascii="Times New Roman" w:hAnsi="Times New Roman" w:cs="Times New Roman"/>
                <w:sz w:val="20"/>
                <w:szCs w:val="20"/>
              </w:rPr>
              <w:t>от 25.12.2012 №436-э/5</w:t>
            </w:r>
          </w:p>
        </w:tc>
      </w:tr>
      <w:tr w:rsidR="005727C2" w:rsidTr="00A92E7A">
        <w:trPr>
          <w:trHeight w:val="433"/>
        </w:trPr>
        <w:tc>
          <w:tcPr>
            <w:tcW w:w="640" w:type="dxa"/>
            <w:tcBorders>
              <w:top w:val="nil"/>
              <w:left w:val="single" w:sz="4" w:space="0" w:color="auto"/>
              <w:bottom w:val="single" w:sz="4" w:space="0" w:color="auto"/>
              <w:right w:val="single" w:sz="4" w:space="0" w:color="auto"/>
            </w:tcBorders>
            <w:noWrap/>
            <w:vAlign w:val="center"/>
            <w:hideMark/>
          </w:tcPr>
          <w:p w:rsidR="005727C2" w:rsidRDefault="005727C2">
            <w:pPr>
              <w:pStyle w:val="afa"/>
              <w:rPr>
                <w:rFonts w:ascii="Times New Roman" w:hAnsi="Times New Roman" w:cs="Times New Roman"/>
              </w:rPr>
            </w:pPr>
            <w:r>
              <w:rPr>
                <w:rFonts w:ascii="Times New Roman" w:hAnsi="Times New Roman" w:cs="Times New Roman"/>
              </w:rPr>
              <w:t>3</w:t>
            </w:r>
          </w:p>
        </w:tc>
        <w:tc>
          <w:tcPr>
            <w:tcW w:w="3295" w:type="dxa"/>
            <w:tcBorders>
              <w:top w:val="nil"/>
              <w:left w:val="nil"/>
              <w:bottom w:val="single" w:sz="4" w:space="0" w:color="auto"/>
              <w:right w:val="single" w:sz="4" w:space="0" w:color="auto"/>
            </w:tcBorders>
            <w:noWrap/>
            <w:vAlign w:val="center"/>
            <w:hideMark/>
          </w:tcPr>
          <w:p w:rsidR="005727C2" w:rsidRDefault="005727C2">
            <w:pPr>
              <w:pStyle w:val="afa"/>
              <w:rPr>
                <w:rFonts w:ascii="Times New Roman" w:hAnsi="Times New Roman" w:cs="Times New Roman"/>
              </w:rPr>
            </w:pPr>
            <w:r>
              <w:rPr>
                <w:rFonts w:ascii="Times New Roman" w:hAnsi="Times New Roman" w:cs="Times New Roman"/>
              </w:rPr>
              <w:t>ООО «АДС» *)</w:t>
            </w:r>
          </w:p>
        </w:tc>
        <w:tc>
          <w:tcPr>
            <w:tcW w:w="1825" w:type="dxa"/>
            <w:tcBorders>
              <w:top w:val="nil"/>
              <w:left w:val="nil"/>
              <w:bottom w:val="single" w:sz="4" w:space="0" w:color="auto"/>
              <w:right w:val="single" w:sz="4" w:space="0" w:color="auto"/>
            </w:tcBorders>
            <w:vAlign w:val="center"/>
            <w:hideMark/>
          </w:tcPr>
          <w:p w:rsidR="005727C2" w:rsidRDefault="005727C2">
            <w:pPr>
              <w:pStyle w:val="afa"/>
              <w:jc w:val="center"/>
              <w:rPr>
                <w:rFonts w:ascii="Times New Roman" w:hAnsi="Times New Roman" w:cs="Times New Roman"/>
              </w:rPr>
            </w:pPr>
            <w:r>
              <w:rPr>
                <w:rFonts w:ascii="Times New Roman" w:hAnsi="Times New Roman" w:cs="Times New Roman"/>
              </w:rPr>
              <w:t>1170,30</w:t>
            </w:r>
          </w:p>
        </w:tc>
        <w:tc>
          <w:tcPr>
            <w:tcW w:w="1910" w:type="dxa"/>
            <w:tcBorders>
              <w:top w:val="nil"/>
              <w:left w:val="nil"/>
              <w:bottom w:val="single" w:sz="4" w:space="0" w:color="auto"/>
              <w:right w:val="single" w:sz="4" w:space="0" w:color="auto"/>
            </w:tcBorders>
            <w:vAlign w:val="center"/>
            <w:hideMark/>
          </w:tcPr>
          <w:p w:rsidR="005727C2" w:rsidRDefault="005727C2">
            <w:pPr>
              <w:pStyle w:val="afa"/>
              <w:jc w:val="center"/>
              <w:rPr>
                <w:rFonts w:ascii="Times New Roman" w:hAnsi="Times New Roman" w:cs="Times New Roman"/>
              </w:rPr>
            </w:pPr>
            <w:r>
              <w:rPr>
                <w:rFonts w:ascii="Times New Roman" w:hAnsi="Times New Roman" w:cs="Times New Roman"/>
              </w:rPr>
              <w:t>-</w:t>
            </w:r>
          </w:p>
        </w:tc>
        <w:tc>
          <w:tcPr>
            <w:tcW w:w="2551" w:type="dxa"/>
            <w:tcBorders>
              <w:top w:val="nil"/>
              <w:left w:val="nil"/>
              <w:bottom w:val="single" w:sz="4" w:space="0" w:color="auto"/>
              <w:right w:val="single" w:sz="4" w:space="0" w:color="auto"/>
            </w:tcBorders>
            <w:vAlign w:val="center"/>
            <w:hideMark/>
          </w:tcPr>
          <w:p w:rsidR="005727C2" w:rsidRDefault="005727C2">
            <w:pPr>
              <w:pStyle w:val="afa"/>
              <w:rPr>
                <w:rFonts w:ascii="Times New Roman" w:hAnsi="Times New Roman" w:cs="Times New Roman"/>
                <w:sz w:val="20"/>
                <w:szCs w:val="20"/>
              </w:rPr>
            </w:pPr>
            <w:r>
              <w:rPr>
                <w:rFonts w:ascii="Times New Roman" w:hAnsi="Times New Roman" w:cs="Times New Roman"/>
                <w:sz w:val="20"/>
                <w:szCs w:val="20"/>
              </w:rPr>
              <w:t xml:space="preserve"> от 22.01.2013 № 11-э/3</w:t>
            </w:r>
          </w:p>
        </w:tc>
      </w:tr>
      <w:tr w:rsidR="005727C2" w:rsidTr="00A92E7A">
        <w:trPr>
          <w:trHeight w:val="561"/>
        </w:trPr>
        <w:tc>
          <w:tcPr>
            <w:tcW w:w="640" w:type="dxa"/>
            <w:tcBorders>
              <w:top w:val="nil"/>
              <w:left w:val="single" w:sz="4" w:space="0" w:color="auto"/>
              <w:bottom w:val="single" w:sz="4" w:space="0" w:color="auto"/>
              <w:right w:val="single" w:sz="4" w:space="0" w:color="auto"/>
            </w:tcBorders>
            <w:noWrap/>
            <w:vAlign w:val="center"/>
            <w:hideMark/>
          </w:tcPr>
          <w:p w:rsidR="005727C2" w:rsidRDefault="005727C2">
            <w:pPr>
              <w:pStyle w:val="afa"/>
              <w:rPr>
                <w:rFonts w:ascii="Times New Roman" w:hAnsi="Times New Roman" w:cs="Times New Roman"/>
              </w:rPr>
            </w:pPr>
            <w:r>
              <w:rPr>
                <w:rFonts w:ascii="Times New Roman" w:hAnsi="Times New Roman" w:cs="Times New Roman"/>
              </w:rPr>
              <w:t>4</w:t>
            </w:r>
          </w:p>
        </w:tc>
        <w:tc>
          <w:tcPr>
            <w:tcW w:w="3295" w:type="dxa"/>
            <w:tcBorders>
              <w:top w:val="nil"/>
              <w:left w:val="nil"/>
              <w:bottom w:val="single" w:sz="4" w:space="0" w:color="auto"/>
              <w:right w:val="single" w:sz="4" w:space="0" w:color="auto"/>
            </w:tcBorders>
            <w:vAlign w:val="center"/>
            <w:hideMark/>
          </w:tcPr>
          <w:p w:rsidR="005727C2" w:rsidRDefault="005727C2">
            <w:pPr>
              <w:pStyle w:val="afa"/>
              <w:rPr>
                <w:rFonts w:ascii="Times New Roman" w:hAnsi="Times New Roman" w:cs="Times New Roman"/>
              </w:rPr>
            </w:pPr>
            <w:r>
              <w:rPr>
                <w:rFonts w:ascii="Times New Roman" w:hAnsi="Times New Roman" w:cs="Times New Roman"/>
              </w:rPr>
              <w:t>ООО «НПП «СЭЦ»</w:t>
            </w:r>
          </w:p>
        </w:tc>
        <w:tc>
          <w:tcPr>
            <w:tcW w:w="1825" w:type="dxa"/>
            <w:tcBorders>
              <w:top w:val="nil"/>
              <w:left w:val="nil"/>
              <w:bottom w:val="single" w:sz="4" w:space="0" w:color="auto"/>
              <w:right w:val="single" w:sz="4" w:space="0" w:color="auto"/>
            </w:tcBorders>
            <w:vAlign w:val="center"/>
            <w:hideMark/>
          </w:tcPr>
          <w:p w:rsidR="005727C2" w:rsidRDefault="005727C2">
            <w:pPr>
              <w:pStyle w:val="afa"/>
              <w:jc w:val="center"/>
              <w:rPr>
                <w:rFonts w:ascii="Times New Roman" w:hAnsi="Times New Roman" w:cs="Times New Roman"/>
              </w:rPr>
            </w:pPr>
            <w:r>
              <w:rPr>
                <w:rFonts w:ascii="Times New Roman" w:hAnsi="Times New Roman" w:cs="Times New Roman"/>
              </w:rPr>
              <w:t>1225,43</w:t>
            </w:r>
          </w:p>
        </w:tc>
        <w:tc>
          <w:tcPr>
            <w:tcW w:w="1910" w:type="dxa"/>
            <w:tcBorders>
              <w:top w:val="nil"/>
              <w:left w:val="nil"/>
              <w:bottom w:val="single" w:sz="4" w:space="0" w:color="auto"/>
              <w:right w:val="single" w:sz="4" w:space="0" w:color="auto"/>
            </w:tcBorders>
            <w:vAlign w:val="center"/>
            <w:hideMark/>
          </w:tcPr>
          <w:p w:rsidR="005727C2" w:rsidRDefault="005727C2">
            <w:pPr>
              <w:pStyle w:val="afa"/>
              <w:jc w:val="center"/>
              <w:rPr>
                <w:rFonts w:ascii="Times New Roman" w:hAnsi="Times New Roman" w:cs="Times New Roman"/>
              </w:rPr>
            </w:pPr>
            <w:r>
              <w:rPr>
                <w:rFonts w:ascii="Times New Roman" w:hAnsi="Times New Roman" w:cs="Times New Roman"/>
              </w:rPr>
              <w:t>121,68</w:t>
            </w:r>
          </w:p>
        </w:tc>
        <w:tc>
          <w:tcPr>
            <w:tcW w:w="2551" w:type="dxa"/>
            <w:tcBorders>
              <w:top w:val="nil"/>
              <w:left w:val="nil"/>
              <w:bottom w:val="single" w:sz="4" w:space="0" w:color="auto"/>
              <w:right w:val="single" w:sz="4" w:space="0" w:color="auto"/>
            </w:tcBorders>
            <w:vAlign w:val="center"/>
            <w:hideMark/>
          </w:tcPr>
          <w:p w:rsidR="005727C2" w:rsidRDefault="005727C2">
            <w:pPr>
              <w:pStyle w:val="afa"/>
              <w:rPr>
                <w:rFonts w:ascii="Times New Roman" w:hAnsi="Times New Roman" w:cs="Times New Roman"/>
                <w:sz w:val="20"/>
                <w:szCs w:val="20"/>
              </w:rPr>
            </w:pPr>
            <w:r>
              <w:rPr>
                <w:rFonts w:ascii="Times New Roman" w:hAnsi="Times New Roman" w:cs="Times New Roman"/>
                <w:sz w:val="20"/>
                <w:szCs w:val="20"/>
              </w:rPr>
              <w:t>от 28.12.2018 № 1906/18</w:t>
            </w:r>
          </w:p>
        </w:tc>
      </w:tr>
      <w:tr w:rsidR="005727C2" w:rsidTr="00A92E7A">
        <w:trPr>
          <w:trHeight w:val="293"/>
        </w:trPr>
        <w:tc>
          <w:tcPr>
            <w:tcW w:w="640" w:type="dxa"/>
            <w:tcBorders>
              <w:top w:val="nil"/>
              <w:left w:val="single" w:sz="4" w:space="0" w:color="auto"/>
              <w:bottom w:val="single" w:sz="4" w:space="0" w:color="auto"/>
              <w:right w:val="single" w:sz="4" w:space="0" w:color="auto"/>
            </w:tcBorders>
            <w:noWrap/>
            <w:vAlign w:val="center"/>
            <w:hideMark/>
          </w:tcPr>
          <w:p w:rsidR="005727C2" w:rsidRDefault="005727C2">
            <w:pPr>
              <w:pStyle w:val="afa"/>
              <w:rPr>
                <w:rFonts w:ascii="Times New Roman" w:hAnsi="Times New Roman" w:cs="Times New Roman"/>
              </w:rPr>
            </w:pPr>
            <w:r>
              <w:rPr>
                <w:rFonts w:ascii="Times New Roman" w:hAnsi="Times New Roman" w:cs="Times New Roman"/>
              </w:rPr>
              <w:t>5</w:t>
            </w:r>
          </w:p>
        </w:tc>
        <w:tc>
          <w:tcPr>
            <w:tcW w:w="3295" w:type="dxa"/>
            <w:tcBorders>
              <w:top w:val="nil"/>
              <w:left w:val="nil"/>
              <w:bottom w:val="single" w:sz="4" w:space="0" w:color="auto"/>
              <w:right w:val="single" w:sz="4" w:space="0" w:color="auto"/>
            </w:tcBorders>
            <w:vAlign w:val="center"/>
            <w:hideMark/>
          </w:tcPr>
          <w:p w:rsidR="005727C2" w:rsidRDefault="005727C2">
            <w:pPr>
              <w:pStyle w:val="afa"/>
              <w:rPr>
                <w:rFonts w:ascii="Times New Roman" w:hAnsi="Times New Roman" w:cs="Times New Roman"/>
              </w:rPr>
            </w:pPr>
            <w:r>
              <w:rPr>
                <w:rFonts w:ascii="Times New Roman" w:hAnsi="Times New Roman" w:cs="Times New Roman"/>
              </w:rPr>
              <w:t xml:space="preserve">ООО «АльфаГазСтройСервис» </w:t>
            </w:r>
          </w:p>
        </w:tc>
        <w:tc>
          <w:tcPr>
            <w:tcW w:w="1825" w:type="dxa"/>
            <w:tcBorders>
              <w:top w:val="nil"/>
              <w:left w:val="nil"/>
              <w:bottom w:val="single" w:sz="4" w:space="0" w:color="auto"/>
              <w:right w:val="single" w:sz="4" w:space="0" w:color="auto"/>
            </w:tcBorders>
            <w:vAlign w:val="center"/>
            <w:hideMark/>
          </w:tcPr>
          <w:p w:rsidR="005727C2" w:rsidRDefault="005727C2">
            <w:pPr>
              <w:pStyle w:val="afa"/>
              <w:jc w:val="center"/>
              <w:rPr>
                <w:rFonts w:ascii="Times New Roman" w:hAnsi="Times New Roman" w:cs="Times New Roman"/>
              </w:rPr>
            </w:pPr>
            <w:r>
              <w:rPr>
                <w:rFonts w:ascii="Times New Roman" w:hAnsi="Times New Roman" w:cs="Times New Roman"/>
              </w:rPr>
              <w:t>547,06</w:t>
            </w:r>
          </w:p>
        </w:tc>
        <w:tc>
          <w:tcPr>
            <w:tcW w:w="1910" w:type="dxa"/>
            <w:tcBorders>
              <w:top w:val="nil"/>
              <w:left w:val="nil"/>
              <w:bottom w:val="single" w:sz="4" w:space="0" w:color="auto"/>
              <w:right w:val="single" w:sz="4" w:space="0" w:color="auto"/>
            </w:tcBorders>
            <w:vAlign w:val="center"/>
            <w:hideMark/>
          </w:tcPr>
          <w:p w:rsidR="005727C2" w:rsidRDefault="005727C2">
            <w:pPr>
              <w:pStyle w:val="afa"/>
              <w:jc w:val="center"/>
              <w:rPr>
                <w:rFonts w:ascii="Times New Roman" w:hAnsi="Times New Roman" w:cs="Times New Roman"/>
              </w:rPr>
            </w:pPr>
            <w:r>
              <w:rPr>
                <w:rFonts w:ascii="Times New Roman" w:hAnsi="Times New Roman" w:cs="Times New Roman"/>
              </w:rPr>
              <w:t>3,51</w:t>
            </w:r>
          </w:p>
        </w:tc>
        <w:tc>
          <w:tcPr>
            <w:tcW w:w="2551" w:type="dxa"/>
            <w:tcBorders>
              <w:top w:val="nil"/>
              <w:left w:val="nil"/>
              <w:bottom w:val="single" w:sz="4" w:space="0" w:color="auto"/>
              <w:right w:val="single" w:sz="4" w:space="0" w:color="auto"/>
            </w:tcBorders>
            <w:vAlign w:val="center"/>
            <w:hideMark/>
          </w:tcPr>
          <w:p w:rsidR="005727C2" w:rsidRDefault="005727C2">
            <w:pPr>
              <w:pStyle w:val="afa"/>
              <w:rPr>
                <w:rFonts w:ascii="Times New Roman" w:hAnsi="Times New Roman" w:cs="Times New Roman"/>
                <w:sz w:val="20"/>
                <w:szCs w:val="20"/>
              </w:rPr>
            </w:pPr>
            <w:r>
              <w:rPr>
                <w:rFonts w:ascii="Times New Roman" w:hAnsi="Times New Roman" w:cs="Times New Roman"/>
                <w:sz w:val="20"/>
                <w:szCs w:val="20"/>
              </w:rPr>
              <w:t>от 23.04.2014 № 88-э/1</w:t>
            </w:r>
          </w:p>
        </w:tc>
      </w:tr>
      <w:tr w:rsidR="005727C2" w:rsidTr="00A92E7A">
        <w:trPr>
          <w:trHeight w:val="283"/>
        </w:trPr>
        <w:tc>
          <w:tcPr>
            <w:tcW w:w="640" w:type="dxa"/>
            <w:tcBorders>
              <w:top w:val="nil"/>
              <w:left w:val="single" w:sz="4" w:space="0" w:color="auto"/>
              <w:bottom w:val="single" w:sz="4" w:space="0" w:color="auto"/>
              <w:right w:val="single" w:sz="4" w:space="0" w:color="auto"/>
            </w:tcBorders>
            <w:noWrap/>
            <w:vAlign w:val="center"/>
            <w:hideMark/>
          </w:tcPr>
          <w:p w:rsidR="005727C2" w:rsidRDefault="005727C2">
            <w:pPr>
              <w:pStyle w:val="afa"/>
              <w:rPr>
                <w:rFonts w:ascii="Times New Roman" w:hAnsi="Times New Roman" w:cs="Times New Roman"/>
              </w:rPr>
            </w:pPr>
            <w:r>
              <w:rPr>
                <w:rFonts w:ascii="Times New Roman" w:hAnsi="Times New Roman" w:cs="Times New Roman"/>
              </w:rPr>
              <w:t>6</w:t>
            </w:r>
          </w:p>
        </w:tc>
        <w:tc>
          <w:tcPr>
            <w:tcW w:w="3295" w:type="dxa"/>
            <w:tcBorders>
              <w:top w:val="nil"/>
              <w:left w:val="nil"/>
              <w:bottom w:val="single" w:sz="4" w:space="0" w:color="auto"/>
              <w:right w:val="single" w:sz="4" w:space="0" w:color="auto"/>
            </w:tcBorders>
            <w:vAlign w:val="center"/>
            <w:hideMark/>
          </w:tcPr>
          <w:p w:rsidR="005727C2" w:rsidRDefault="005727C2">
            <w:pPr>
              <w:pStyle w:val="afa"/>
              <w:rPr>
                <w:rFonts w:ascii="Times New Roman" w:hAnsi="Times New Roman" w:cs="Times New Roman"/>
              </w:rPr>
            </w:pPr>
            <w:r>
              <w:rPr>
                <w:rFonts w:ascii="Times New Roman" w:hAnsi="Times New Roman" w:cs="Times New Roman"/>
              </w:rPr>
              <w:t xml:space="preserve">ООО «Новосибирскоблгаз» </w:t>
            </w:r>
          </w:p>
        </w:tc>
        <w:tc>
          <w:tcPr>
            <w:tcW w:w="1825" w:type="dxa"/>
            <w:tcBorders>
              <w:top w:val="nil"/>
              <w:left w:val="nil"/>
              <w:bottom w:val="single" w:sz="4" w:space="0" w:color="auto"/>
              <w:right w:val="single" w:sz="4" w:space="0" w:color="auto"/>
            </w:tcBorders>
            <w:vAlign w:val="center"/>
            <w:hideMark/>
          </w:tcPr>
          <w:p w:rsidR="005727C2" w:rsidRDefault="005727C2">
            <w:pPr>
              <w:pStyle w:val="afa"/>
              <w:jc w:val="center"/>
              <w:rPr>
                <w:rFonts w:ascii="Times New Roman" w:hAnsi="Times New Roman" w:cs="Times New Roman"/>
              </w:rPr>
            </w:pPr>
            <w:r>
              <w:rPr>
                <w:rFonts w:ascii="Times New Roman" w:hAnsi="Times New Roman" w:cs="Times New Roman"/>
              </w:rPr>
              <w:t>1161,46</w:t>
            </w:r>
          </w:p>
        </w:tc>
        <w:tc>
          <w:tcPr>
            <w:tcW w:w="1910" w:type="dxa"/>
            <w:tcBorders>
              <w:top w:val="nil"/>
              <w:left w:val="nil"/>
              <w:bottom w:val="single" w:sz="4" w:space="0" w:color="auto"/>
              <w:right w:val="single" w:sz="4" w:space="0" w:color="auto"/>
            </w:tcBorders>
            <w:vAlign w:val="center"/>
            <w:hideMark/>
          </w:tcPr>
          <w:p w:rsidR="005727C2" w:rsidRDefault="005727C2">
            <w:pPr>
              <w:pStyle w:val="afa"/>
              <w:jc w:val="center"/>
              <w:rPr>
                <w:rFonts w:ascii="Times New Roman" w:hAnsi="Times New Roman" w:cs="Times New Roman"/>
              </w:rPr>
            </w:pPr>
            <w:r>
              <w:rPr>
                <w:rFonts w:ascii="Times New Roman" w:hAnsi="Times New Roman" w:cs="Times New Roman"/>
              </w:rPr>
              <w:t>427,90</w:t>
            </w:r>
          </w:p>
        </w:tc>
        <w:tc>
          <w:tcPr>
            <w:tcW w:w="2551" w:type="dxa"/>
            <w:tcBorders>
              <w:top w:val="nil"/>
              <w:left w:val="nil"/>
              <w:bottom w:val="single" w:sz="4" w:space="0" w:color="auto"/>
              <w:right w:val="single" w:sz="4" w:space="0" w:color="auto"/>
            </w:tcBorders>
            <w:vAlign w:val="center"/>
            <w:hideMark/>
          </w:tcPr>
          <w:p w:rsidR="005727C2" w:rsidRDefault="005727C2">
            <w:pPr>
              <w:pStyle w:val="afa"/>
              <w:rPr>
                <w:rFonts w:ascii="Times New Roman" w:hAnsi="Times New Roman" w:cs="Times New Roman"/>
                <w:sz w:val="20"/>
                <w:szCs w:val="20"/>
              </w:rPr>
            </w:pPr>
            <w:r>
              <w:rPr>
                <w:rFonts w:ascii="Times New Roman" w:hAnsi="Times New Roman" w:cs="Times New Roman"/>
                <w:sz w:val="20"/>
                <w:szCs w:val="20"/>
              </w:rPr>
              <w:t xml:space="preserve"> от 13.05.2019 № 578/19</w:t>
            </w:r>
          </w:p>
        </w:tc>
      </w:tr>
      <w:tr w:rsidR="005727C2" w:rsidTr="00A92E7A">
        <w:trPr>
          <w:trHeight w:val="198"/>
        </w:trPr>
        <w:tc>
          <w:tcPr>
            <w:tcW w:w="640" w:type="dxa"/>
            <w:vMerge w:val="restart"/>
            <w:tcBorders>
              <w:top w:val="nil"/>
              <w:left w:val="single" w:sz="4" w:space="0" w:color="auto"/>
              <w:bottom w:val="single" w:sz="4" w:space="0" w:color="auto"/>
              <w:right w:val="single" w:sz="4" w:space="0" w:color="auto"/>
            </w:tcBorders>
            <w:noWrap/>
            <w:vAlign w:val="center"/>
            <w:hideMark/>
          </w:tcPr>
          <w:p w:rsidR="005727C2" w:rsidRDefault="005727C2">
            <w:pPr>
              <w:pStyle w:val="afa"/>
              <w:rPr>
                <w:rFonts w:ascii="Times New Roman" w:hAnsi="Times New Roman" w:cs="Times New Roman"/>
              </w:rPr>
            </w:pPr>
            <w:r>
              <w:rPr>
                <w:rFonts w:ascii="Times New Roman" w:hAnsi="Times New Roman" w:cs="Times New Roman"/>
              </w:rPr>
              <w:t>7</w:t>
            </w:r>
          </w:p>
        </w:tc>
        <w:tc>
          <w:tcPr>
            <w:tcW w:w="3295" w:type="dxa"/>
            <w:vMerge w:val="restart"/>
            <w:tcBorders>
              <w:top w:val="nil"/>
              <w:left w:val="nil"/>
              <w:bottom w:val="single" w:sz="4" w:space="0" w:color="auto"/>
              <w:right w:val="single" w:sz="4" w:space="0" w:color="auto"/>
            </w:tcBorders>
            <w:vAlign w:val="center"/>
          </w:tcPr>
          <w:p w:rsidR="005727C2" w:rsidRDefault="005727C2">
            <w:pPr>
              <w:pStyle w:val="afa"/>
              <w:rPr>
                <w:rFonts w:ascii="Times New Roman" w:hAnsi="Times New Roman" w:cs="Times New Roman"/>
              </w:rPr>
            </w:pPr>
            <w:r>
              <w:rPr>
                <w:rFonts w:ascii="Times New Roman" w:hAnsi="Times New Roman" w:cs="Times New Roman"/>
              </w:rPr>
              <w:t>ООО «Газпром газораспределение Томск» </w:t>
            </w:r>
          </w:p>
          <w:p w:rsidR="005727C2" w:rsidRDefault="005727C2">
            <w:pPr>
              <w:pStyle w:val="afa"/>
              <w:rPr>
                <w:rFonts w:ascii="Times New Roman" w:hAnsi="Times New Roman" w:cs="Times New Roman"/>
              </w:rPr>
            </w:pPr>
          </w:p>
        </w:tc>
        <w:tc>
          <w:tcPr>
            <w:tcW w:w="1825" w:type="dxa"/>
            <w:tcBorders>
              <w:top w:val="nil"/>
              <w:left w:val="nil"/>
              <w:bottom w:val="single" w:sz="4" w:space="0" w:color="auto"/>
              <w:right w:val="single" w:sz="4" w:space="0" w:color="auto"/>
            </w:tcBorders>
            <w:vAlign w:val="center"/>
            <w:hideMark/>
          </w:tcPr>
          <w:p w:rsidR="005727C2" w:rsidRDefault="005727C2">
            <w:pPr>
              <w:pStyle w:val="afa"/>
              <w:jc w:val="center"/>
              <w:rPr>
                <w:rFonts w:ascii="Times New Roman" w:hAnsi="Times New Roman" w:cs="Times New Roman"/>
              </w:rPr>
            </w:pPr>
            <w:r>
              <w:rPr>
                <w:rFonts w:ascii="Times New Roman" w:hAnsi="Times New Roman" w:cs="Times New Roman"/>
              </w:rPr>
              <w:t>245,39</w:t>
            </w:r>
          </w:p>
        </w:tc>
        <w:tc>
          <w:tcPr>
            <w:tcW w:w="1910" w:type="dxa"/>
            <w:tcBorders>
              <w:top w:val="single" w:sz="4" w:space="0" w:color="auto"/>
              <w:left w:val="nil"/>
              <w:bottom w:val="single" w:sz="4" w:space="0" w:color="auto"/>
              <w:right w:val="single" w:sz="4" w:space="0" w:color="auto"/>
            </w:tcBorders>
            <w:vAlign w:val="center"/>
            <w:hideMark/>
          </w:tcPr>
          <w:p w:rsidR="005727C2" w:rsidRDefault="005727C2">
            <w:pPr>
              <w:pStyle w:val="afa"/>
              <w:jc w:val="center"/>
              <w:rPr>
                <w:rFonts w:ascii="Times New Roman" w:hAnsi="Times New Roman" w:cs="Times New Roman"/>
              </w:rPr>
            </w:pPr>
            <w:r>
              <w:rPr>
                <w:rFonts w:ascii="Times New Roman" w:hAnsi="Times New Roman" w:cs="Times New Roman"/>
              </w:rPr>
              <w:t>3,80</w:t>
            </w:r>
          </w:p>
        </w:tc>
        <w:tc>
          <w:tcPr>
            <w:tcW w:w="2551" w:type="dxa"/>
            <w:vMerge w:val="restart"/>
            <w:tcBorders>
              <w:top w:val="nil"/>
              <w:left w:val="nil"/>
              <w:bottom w:val="single" w:sz="4" w:space="0" w:color="auto"/>
              <w:right w:val="single" w:sz="4" w:space="0" w:color="auto"/>
            </w:tcBorders>
            <w:vAlign w:val="center"/>
            <w:hideMark/>
          </w:tcPr>
          <w:p w:rsidR="005727C2" w:rsidRDefault="005727C2">
            <w:pPr>
              <w:pStyle w:val="afa"/>
              <w:rPr>
                <w:rFonts w:ascii="Times New Roman" w:hAnsi="Times New Roman" w:cs="Times New Roman"/>
                <w:sz w:val="20"/>
                <w:szCs w:val="20"/>
              </w:rPr>
            </w:pPr>
            <w:r>
              <w:rPr>
                <w:rFonts w:ascii="Times New Roman" w:hAnsi="Times New Roman" w:cs="Times New Roman"/>
                <w:sz w:val="20"/>
                <w:szCs w:val="20"/>
              </w:rPr>
              <w:t>от 13.05.2019 № 578/19</w:t>
            </w:r>
          </w:p>
        </w:tc>
      </w:tr>
      <w:tr w:rsidR="005727C2" w:rsidTr="00A92E7A">
        <w:trPr>
          <w:trHeight w:val="260"/>
        </w:trPr>
        <w:tc>
          <w:tcPr>
            <w:tcW w:w="0" w:type="auto"/>
            <w:vMerge/>
            <w:tcBorders>
              <w:top w:val="nil"/>
              <w:left w:val="single" w:sz="4" w:space="0" w:color="auto"/>
              <w:bottom w:val="single" w:sz="4" w:space="0" w:color="auto"/>
              <w:right w:val="single" w:sz="4" w:space="0" w:color="auto"/>
            </w:tcBorders>
            <w:vAlign w:val="center"/>
            <w:hideMark/>
          </w:tcPr>
          <w:p w:rsidR="005727C2" w:rsidRDefault="005727C2">
            <w:pPr>
              <w:spacing w:after="0" w:line="240" w:lineRule="auto"/>
              <w:rPr>
                <w:rFonts w:eastAsiaTheme="minorHAnsi"/>
                <w:lang w:eastAsia="zh-CN"/>
              </w:rPr>
            </w:pPr>
          </w:p>
        </w:tc>
        <w:tc>
          <w:tcPr>
            <w:tcW w:w="0" w:type="auto"/>
            <w:vMerge/>
            <w:tcBorders>
              <w:top w:val="nil"/>
              <w:left w:val="nil"/>
              <w:bottom w:val="single" w:sz="4" w:space="0" w:color="auto"/>
              <w:right w:val="single" w:sz="4" w:space="0" w:color="auto"/>
            </w:tcBorders>
            <w:vAlign w:val="center"/>
            <w:hideMark/>
          </w:tcPr>
          <w:p w:rsidR="005727C2" w:rsidRDefault="005727C2">
            <w:pPr>
              <w:spacing w:after="0" w:line="240" w:lineRule="auto"/>
              <w:rPr>
                <w:rFonts w:eastAsiaTheme="minorHAnsi"/>
                <w:lang w:eastAsia="zh-CN"/>
              </w:rPr>
            </w:pPr>
          </w:p>
        </w:tc>
        <w:tc>
          <w:tcPr>
            <w:tcW w:w="1825" w:type="dxa"/>
            <w:tcBorders>
              <w:top w:val="single" w:sz="4" w:space="0" w:color="auto"/>
              <w:left w:val="nil"/>
              <w:bottom w:val="single" w:sz="4" w:space="0" w:color="auto"/>
              <w:right w:val="single" w:sz="4" w:space="0" w:color="auto"/>
            </w:tcBorders>
            <w:vAlign w:val="center"/>
            <w:hideMark/>
          </w:tcPr>
          <w:p w:rsidR="005727C2" w:rsidRDefault="005727C2">
            <w:pPr>
              <w:pStyle w:val="afa"/>
              <w:jc w:val="center"/>
              <w:rPr>
                <w:rFonts w:ascii="Times New Roman" w:hAnsi="Times New Roman" w:cs="Times New Roman"/>
              </w:rPr>
            </w:pPr>
            <w:r>
              <w:rPr>
                <w:rFonts w:ascii="Times New Roman" w:hAnsi="Times New Roman" w:cs="Times New Roman"/>
              </w:rPr>
              <w:t>1039,02</w:t>
            </w:r>
          </w:p>
        </w:tc>
        <w:tc>
          <w:tcPr>
            <w:tcW w:w="1910" w:type="dxa"/>
            <w:tcBorders>
              <w:top w:val="single" w:sz="4" w:space="0" w:color="auto"/>
              <w:left w:val="nil"/>
              <w:bottom w:val="single" w:sz="4" w:space="0" w:color="auto"/>
              <w:right w:val="single" w:sz="4" w:space="0" w:color="auto"/>
            </w:tcBorders>
            <w:vAlign w:val="center"/>
            <w:hideMark/>
          </w:tcPr>
          <w:p w:rsidR="005727C2" w:rsidRDefault="005727C2">
            <w:pPr>
              <w:pStyle w:val="afa"/>
              <w:jc w:val="center"/>
              <w:rPr>
                <w:rFonts w:ascii="Times New Roman" w:hAnsi="Times New Roman" w:cs="Times New Roman"/>
              </w:rPr>
            </w:pPr>
            <w:r>
              <w:rPr>
                <w:rFonts w:ascii="Times New Roman" w:hAnsi="Times New Roman" w:cs="Times New Roman"/>
              </w:rPr>
              <w:t>114,95</w:t>
            </w:r>
          </w:p>
        </w:tc>
        <w:tc>
          <w:tcPr>
            <w:tcW w:w="2551" w:type="dxa"/>
            <w:vMerge/>
            <w:tcBorders>
              <w:top w:val="nil"/>
              <w:left w:val="nil"/>
              <w:bottom w:val="single" w:sz="4" w:space="0" w:color="auto"/>
              <w:right w:val="single" w:sz="4" w:space="0" w:color="auto"/>
            </w:tcBorders>
            <w:vAlign w:val="center"/>
            <w:hideMark/>
          </w:tcPr>
          <w:p w:rsidR="005727C2" w:rsidRDefault="005727C2">
            <w:pPr>
              <w:spacing w:after="0" w:line="240" w:lineRule="auto"/>
              <w:rPr>
                <w:rFonts w:eastAsiaTheme="minorHAnsi"/>
                <w:sz w:val="20"/>
                <w:szCs w:val="20"/>
                <w:lang w:eastAsia="zh-CN"/>
              </w:rPr>
            </w:pPr>
          </w:p>
        </w:tc>
      </w:tr>
      <w:tr w:rsidR="005727C2" w:rsidTr="00A92E7A">
        <w:trPr>
          <w:trHeight w:val="278"/>
        </w:trPr>
        <w:tc>
          <w:tcPr>
            <w:tcW w:w="0" w:type="auto"/>
            <w:vMerge/>
            <w:tcBorders>
              <w:top w:val="nil"/>
              <w:left w:val="single" w:sz="4" w:space="0" w:color="auto"/>
              <w:bottom w:val="single" w:sz="4" w:space="0" w:color="auto"/>
              <w:right w:val="single" w:sz="4" w:space="0" w:color="auto"/>
            </w:tcBorders>
            <w:vAlign w:val="center"/>
            <w:hideMark/>
          </w:tcPr>
          <w:p w:rsidR="005727C2" w:rsidRDefault="005727C2">
            <w:pPr>
              <w:spacing w:after="0" w:line="240" w:lineRule="auto"/>
              <w:rPr>
                <w:rFonts w:eastAsiaTheme="minorHAnsi"/>
                <w:lang w:eastAsia="zh-CN"/>
              </w:rPr>
            </w:pPr>
          </w:p>
        </w:tc>
        <w:tc>
          <w:tcPr>
            <w:tcW w:w="0" w:type="auto"/>
            <w:vMerge/>
            <w:tcBorders>
              <w:top w:val="nil"/>
              <w:left w:val="nil"/>
              <w:bottom w:val="single" w:sz="4" w:space="0" w:color="auto"/>
              <w:right w:val="single" w:sz="4" w:space="0" w:color="auto"/>
            </w:tcBorders>
            <w:vAlign w:val="center"/>
            <w:hideMark/>
          </w:tcPr>
          <w:p w:rsidR="005727C2" w:rsidRDefault="005727C2">
            <w:pPr>
              <w:spacing w:after="0" w:line="240" w:lineRule="auto"/>
              <w:rPr>
                <w:rFonts w:eastAsiaTheme="minorHAnsi"/>
                <w:lang w:eastAsia="zh-CN"/>
              </w:rPr>
            </w:pPr>
          </w:p>
        </w:tc>
        <w:tc>
          <w:tcPr>
            <w:tcW w:w="1825" w:type="dxa"/>
            <w:tcBorders>
              <w:top w:val="single" w:sz="4" w:space="0" w:color="auto"/>
              <w:left w:val="nil"/>
              <w:bottom w:val="single" w:sz="4" w:space="0" w:color="auto"/>
              <w:right w:val="single" w:sz="4" w:space="0" w:color="auto"/>
            </w:tcBorders>
            <w:vAlign w:val="center"/>
            <w:hideMark/>
          </w:tcPr>
          <w:p w:rsidR="005727C2" w:rsidRDefault="005727C2">
            <w:pPr>
              <w:pStyle w:val="afa"/>
              <w:jc w:val="center"/>
              <w:rPr>
                <w:rFonts w:ascii="Times New Roman" w:hAnsi="Times New Roman" w:cs="Times New Roman"/>
              </w:rPr>
            </w:pPr>
            <w:r>
              <w:rPr>
                <w:rFonts w:ascii="Times New Roman" w:hAnsi="Times New Roman" w:cs="Times New Roman"/>
              </w:rPr>
              <w:t>289,15</w:t>
            </w:r>
          </w:p>
        </w:tc>
        <w:tc>
          <w:tcPr>
            <w:tcW w:w="1910" w:type="dxa"/>
            <w:tcBorders>
              <w:top w:val="single" w:sz="4" w:space="0" w:color="auto"/>
              <w:left w:val="nil"/>
              <w:bottom w:val="single" w:sz="4" w:space="0" w:color="auto"/>
              <w:right w:val="single" w:sz="4" w:space="0" w:color="auto"/>
            </w:tcBorders>
            <w:vAlign w:val="center"/>
            <w:hideMark/>
          </w:tcPr>
          <w:p w:rsidR="005727C2" w:rsidRDefault="005727C2">
            <w:pPr>
              <w:pStyle w:val="afa"/>
              <w:jc w:val="center"/>
              <w:rPr>
                <w:rFonts w:ascii="Times New Roman" w:hAnsi="Times New Roman" w:cs="Times New Roman"/>
              </w:rPr>
            </w:pPr>
            <w:r>
              <w:rPr>
                <w:rFonts w:ascii="Times New Roman" w:hAnsi="Times New Roman" w:cs="Times New Roman"/>
              </w:rPr>
              <w:t>95,55</w:t>
            </w:r>
          </w:p>
        </w:tc>
        <w:tc>
          <w:tcPr>
            <w:tcW w:w="2551" w:type="dxa"/>
            <w:vMerge/>
            <w:tcBorders>
              <w:top w:val="nil"/>
              <w:left w:val="nil"/>
              <w:bottom w:val="single" w:sz="4" w:space="0" w:color="auto"/>
              <w:right w:val="single" w:sz="4" w:space="0" w:color="auto"/>
            </w:tcBorders>
            <w:vAlign w:val="center"/>
            <w:hideMark/>
          </w:tcPr>
          <w:p w:rsidR="005727C2" w:rsidRDefault="005727C2">
            <w:pPr>
              <w:spacing w:after="0" w:line="240" w:lineRule="auto"/>
              <w:rPr>
                <w:rFonts w:eastAsiaTheme="minorHAnsi"/>
                <w:sz w:val="20"/>
                <w:szCs w:val="20"/>
                <w:lang w:eastAsia="zh-CN"/>
              </w:rPr>
            </w:pPr>
          </w:p>
        </w:tc>
      </w:tr>
      <w:tr w:rsidR="005727C2" w:rsidTr="00A92E7A">
        <w:trPr>
          <w:trHeight w:val="521"/>
        </w:trPr>
        <w:tc>
          <w:tcPr>
            <w:tcW w:w="640" w:type="dxa"/>
            <w:tcBorders>
              <w:top w:val="nil"/>
              <w:left w:val="single" w:sz="4" w:space="0" w:color="auto"/>
              <w:bottom w:val="single" w:sz="4" w:space="0" w:color="auto"/>
              <w:right w:val="single" w:sz="4" w:space="0" w:color="auto"/>
            </w:tcBorders>
            <w:noWrap/>
            <w:vAlign w:val="center"/>
            <w:hideMark/>
          </w:tcPr>
          <w:p w:rsidR="005727C2" w:rsidRDefault="005727C2">
            <w:pPr>
              <w:pStyle w:val="afa"/>
              <w:rPr>
                <w:rFonts w:ascii="Times New Roman" w:hAnsi="Times New Roman" w:cs="Times New Roman"/>
              </w:rPr>
            </w:pPr>
            <w:r>
              <w:rPr>
                <w:rFonts w:ascii="Times New Roman" w:hAnsi="Times New Roman" w:cs="Times New Roman"/>
              </w:rPr>
              <w:t>8</w:t>
            </w:r>
          </w:p>
        </w:tc>
        <w:tc>
          <w:tcPr>
            <w:tcW w:w="3295" w:type="dxa"/>
            <w:tcBorders>
              <w:top w:val="nil"/>
              <w:left w:val="nil"/>
              <w:bottom w:val="single" w:sz="4" w:space="0" w:color="auto"/>
              <w:right w:val="single" w:sz="4" w:space="0" w:color="auto"/>
            </w:tcBorders>
            <w:vAlign w:val="center"/>
            <w:hideMark/>
          </w:tcPr>
          <w:p w:rsidR="005727C2" w:rsidRDefault="005727C2">
            <w:pPr>
              <w:pStyle w:val="afa"/>
              <w:rPr>
                <w:rFonts w:ascii="Times New Roman" w:hAnsi="Times New Roman" w:cs="Times New Roman"/>
              </w:rPr>
            </w:pPr>
            <w:r>
              <w:rPr>
                <w:rFonts w:ascii="Times New Roman" w:hAnsi="Times New Roman" w:cs="Times New Roman"/>
              </w:rPr>
              <w:t>ФГУП «УЭВ»</w:t>
            </w:r>
          </w:p>
        </w:tc>
        <w:tc>
          <w:tcPr>
            <w:tcW w:w="1825" w:type="dxa"/>
            <w:tcBorders>
              <w:top w:val="nil"/>
              <w:left w:val="nil"/>
              <w:bottom w:val="single" w:sz="4" w:space="0" w:color="auto"/>
              <w:right w:val="single" w:sz="4" w:space="0" w:color="auto"/>
            </w:tcBorders>
            <w:vAlign w:val="center"/>
            <w:hideMark/>
          </w:tcPr>
          <w:p w:rsidR="005727C2" w:rsidRDefault="005727C2">
            <w:pPr>
              <w:pStyle w:val="afa"/>
              <w:jc w:val="center"/>
              <w:rPr>
                <w:rFonts w:ascii="Times New Roman" w:hAnsi="Times New Roman" w:cs="Times New Roman"/>
              </w:rPr>
            </w:pPr>
            <w:r>
              <w:rPr>
                <w:rFonts w:ascii="Times New Roman" w:hAnsi="Times New Roman" w:cs="Times New Roman"/>
              </w:rPr>
              <w:t>121,04</w:t>
            </w:r>
          </w:p>
        </w:tc>
        <w:tc>
          <w:tcPr>
            <w:tcW w:w="1910" w:type="dxa"/>
            <w:tcBorders>
              <w:top w:val="nil"/>
              <w:left w:val="nil"/>
              <w:bottom w:val="single" w:sz="4" w:space="0" w:color="auto"/>
              <w:right w:val="single" w:sz="4" w:space="0" w:color="auto"/>
            </w:tcBorders>
            <w:vAlign w:val="center"/>
            <w:hideMark/>
          </w:tcPr>
          <w:p w:rsidR="005727C2" w:rsidRDefault="005727C2">
            <w:pPr>
              <w:pStyle w:val="afa"/>
              <w:jc w:val="center"/>
              <w:rPr>
                <w:rFonts w:ascii="Times New Roman" w:hAnsi="Times New Roman" w:cs="Times New Roman"/>
              </w:rPr>
            </w:pPr>
            <w:r>
              <w:rPr>
                <w:rFonts w:ascii="Times New Roman" w:hAnsi="Times New Roman" w:cs="Times New Roman"/>
              </w:rPr>
              <w:t>6,88</w:t>
            </w:r>
          </w:p>
        </w:tc>
        <w:tc>
          <w:tcPr>
            <w:tcW w:w="2551" w:type="dxa"/>
            <w:tcBorders>
              <w:top w:val="nil"/>
              <w:left w:val="nil"/>
              <w:bottom w:val="single" w:sz="4" w:space="0" w:color="auto"/>
              <w:right w:val="single" w:sz="4" w:space="0" w:color="auto"/>
            </w:tcBorders>
            <w:vAlign w:val="center"/>
            <w:hideMark/>
          </w:tcPr>
          <w:p w:rsidR="005727C2" w:rsidRDefault="005727C2">
            <w:pPr>
              <w:pStyle w:val="afa"/>
              <w:rPr>
                <w:rFonts w:ascii="Times New Roman" w:hAnsi="Times New Roman" w:cs="Times New Roman"/>
                <w:sz w:val="20"/>
                <w:szCs w:val="20"/>
              </w:rPr>
            </w:pPr>
            <w:r>
              <w:rPr>
                <w:rFonts w:ascii="Times New Roman" w:hAnsi="Times New Roman" w:cs="Times New Roman"/>
                <w:sz w:val="20"/>
                <w:szCs w:val="20"/>
              </w:rPr>
              <w:t xml:space="preserve">от 19.11.2018 № 1600/18 </w:t>
            </w:r>
          </w:p>
        </w:tc>
      </w:tr>
      <w:tr w:rsidR="005727C2" w:rsidTr="00A92E7A">
        <w:trPr>
          <w:trHeight w:val="585"/>
        </w:trPr>
        <w:tc>
          <w:tcPr>
            <w:tcW w:w="640" w:type="dxa"/>
            <w:tcBorders>
              <w:top w:val="nil"/>
              <w:left w:val="single" w:sz="4" w:space="0" w:color="auto"/>
              <w:bottom w:val="single" w:sz="4" w:space="0" w:color="auto"/>
              <w:right w:val="single" w:sz="4" w:space="0" w:color="auto"/>
            </w:tcBorders>
            <w:noWrap/>
            <w:vAlign w:val="center"/>
            <w:hideMark/>
          </w:tcPr>
          <w:p w:rsidR="005727C2" w:rsidRDefault="005727C2">
            <w:pPr>
              <w:pStyle w:val="afa"/>
              <w:rPr>
                <w:rFonts w:ascii="Times New Roman" w:hAnsi="Times New Roman" w:cs="Times New Roman"/>
              </w:rPr>
            </w:pPr>
            <w:r>
              <w:rPr>
                <w:rFonts w:ascii="Times New Roman" w:hAnsi="Times New Roman" w:cs="Times New Roman"/>
              </w:rPr>
              <w:t>9</w:t>
            </w:r>
          </w:p>
        </w:tc>
        <w:tc>
          <w:tcPr>
            <w:tcW w:w="3295" w:type="dxa"/>
            <w:tcBorders>
              <w:top w:val="nil"/>
              <w:left w:val="nil"/>
              <w:bottom w:val="single" w:sz="4" w:space="0" w:color="auto"/>
              <w:right w:val="single" w:sz="4" w:space="0" w:color="auto"/>
            </w:tcBorders>
            <w:vAlign w:val="center"/>
            <w:hideMark/>
          </w:tcPr>
          <w:p w:rsidR="005727C2" w:rsidRDefault="005727C2">
            <w:pPr>
              <w:pStyle w:val="afa"/>
              <w:rPr>
                <w:rFonts w:ascii="Times New Roman" w:hAnsi="Times New Roman" w:cs="Times New Roman"/>
              </w:rPr>
            </w:pPr>
            <w:r>
              <w:rPr>
                <w:rFonts w:ascii="Times New Roman" w:hAnsi="Times New Roman" w:cs="Times New Roman"/>
              </w:rPr>
              <w:t>АО «Новосибирский механический завод «Искра»</w:t>
            </w:r>
          </w:p>
        </w:tc>
        <w:tc>
          <w:tcPr>
            <w:tcW w:w="1825" w:type="dxa"/>
            <w:tcBorders>
              <w:top w:val="nil"/>
              <w:left w:val="nil"/>
              <w:bottom w:val="single" w:sz="4" w:space="0" w:color="auto"/>
              <w:right w:val="single" w:sz="4" w:space="0" w:color="auto"/>
            </w:tcBorders>
            <w:vAlign w:val="center"/>
            <w:hideMark/>
          </w:tcPr>
          <w:p w:rsidR="005727C2" w:rsidRDefault="005727C2">
            <w:pPr>
              <w:pStyle w:val="afa"/>
              <w:jc w:val="center"/>
              <w:rPr>
                <w:rFonts w:ascii="Times New Roman" w:hAnsi="Times New Roman" w:cs="Times New Roman"/>
              </w:rPr>
            </w:pPr>
            <w:r>
              <w:rPr>
                <w:rFonts w:ascii="Times New Roman" w:hAnsi="Times New Roman" w:cs="Times New Roman"/>
              </w:rPr>
              <w:t>-</w:t>
            </w:r>
          </w:p>
        </w:tc>
        <w:tc>
          <w:tcPr>
            <w:tcW w:w="1910" w:type="dxa"/>
            <w:tcBorders>
              <w:top w:val="nil"/>
              <w:left w:val="nil"/>
              <w:bottom w:val="single" w:sz="4" w:space="0" w:color="auto"/>
              <w:right w:val="single" w:sz="4" w:space="0" w:color="auto"/>
            </w:tcBorders>
            <w:vAlign w:val="center"/>
            <w:hideMark/>
          </w:tcPr>
          <w:p w:rsidR="005727C2" w:rsidRDefault="005727C2">
            <w:pPr>
              <w:pStyle w:val="afa"/>
              <w:jc w:val="center"/>
              <w:rPr>
                <w:rFonts w:ascii="Times New Roman" w:hAnsi="Times New Roman" w:cs="Times New Roman"/>
              </w:rPr>
            </w:pPr>
            <w:r>
              <w:rPr>
                <w:rFonts w:ascii="Times New Roman" w:hAnsi="Times New Roman" w:cs="Times New Roman"/>
              </w:rPr>
              <w:t>66,26</w:t>
            </w:r>
          </w:p>
        </w:tc>
        <w:tc>
          <w:tcPr>
            <w:tcW w:w="2551" w:type="dxa"/>
            <w:tcBorders>
              <w:top w:val="nil"/>
              <w:left w:val="nil"/>
              <w:bottom w:val="single" w:sz="4" w:space="0" w:color="auto"/>
              <w:right w:val="single" w:sz="4" w:space="0" w:color="auto"/>
            </w:tcBorders>
            <w:vAlign w:val="center"/>
            <w:hideMark/>
          </w:tcPr>
          <w:p w:rsidR="005727C2" w:rsidRDefault="005727C2">
            <w:pPr>
              <w:pStyle w:val="afa"/>
              <w:rPr>
                <w:rFonts w:ascii="Times New Roman" w:hAnsi="Times New Roman" w:cs="Times New Roman"/>
                <w:sz w:val="20"/>
                <w:szCs w:val="20"/>
              </w:rPr>
            </w:pPr>
            <w:r>
              <w:rPr>
                <w:rFonts w:ascii="Times New Roman" w:hAnsi="Times New Roman" w:cs="Times New Roman"/>
                <w:sz w:val="20"/>
                <w:szCs w:val="20"/>
              </w:rPr>
              <w:t>от 19.06.2018 № 833/18</w:t>
            </w:r>
          </w:p>
        </w:tc>
      </w:tr>
      <w:tr w:rsidR="005727C2" w:rsidTr="00A92E7A">
        <w:trPr>
          <w:trHeight w:val="523"/>
        </w:trPr>
        <w:tc>
          <w:tcPr>
            <w:tcW w:w="640" w:type="dxa"/>
            <w:tcBorders>
              <w:top w:val="nil"/>
              <w:left w:val="single" w:sz="4" w:space="0" w:color="auto"/>
              <w:bottom w:val="single" w:sz="4" w:space="0" w:color="auto"/>
              <w:right w:val="single" w:sz="4" w:space="0" w:color="auto"/>
            </w:tcBorders>
            <w:noWrap/>
            <w:vAlign w:val="center"/>
            <w:hideMark/>
          </w:tcPr>
          <w:p w:rsidR="005727C2" w:rsidRDefault="005727C2">
            <w:pPr>
              <w:pStyle w:val="afa"/>
              <w:rPr>
                <w:rFonts w:ascii="Times New Roman" w:hAnsi="Times New Roman" w:cs="Times New Roman"/>
              </w:rPr>
            </w:pPr>
            <w:r>
              <w:rPr>
                <w:rFonts w:ascii="Times New Roman" w:hAnsi="Times New Roman" w:cs="Times New Roman"/>
              </w:rPr>
              <w:t>10</w:t>
            </w:r>
          </w:p>
        </w:tc>
        <w:tc>
          <w:tcPr>
            <w:tcW w:w="3295" w:type="dxa"/>
            <w:tcBorders>
              <w:top w:val="nil"/>
              <w:left w:val="nil"/>
              <w:bottom w:val="single" w:sz="4" w:space="0" w:color="auto"/>
              <w:right w:val="single" w:sz="4" w:space="0" w:color="auto"/>
            </w:tcBorders>
            <w:vAlign w:val="center"/>
            <w:hideMark/>
          </w:tcPr>
          <w:p w:rsidR="005727C2" w:rsidRDefault="005727C2">
            <w:pPr>
              <w:pStyle w:val="afa"/>
              <w:rPr>
                <w:rFonts w:ascii="Times New Roman" w:hAnsi="Times New Roman" w:cs="Times New Roman"/>
              </w:rPr>
            </w:pPr>
            <w:r>
              <w:rPr>
                <w:rFonts w:ascii="Times New Roman" w:hAnsi="Times New Roman" w:cs="Times New Roman"/>
              </w:rPr>
              <w:t xml:space="preserve">ООО «Техногаз» *) </w:t>
            </w:r>
          </w:p>
        </w:tc>
        <w:tc>
          <w:tcPr>
            <w:tcW w:w="1825" w:type="dxa"/>
            <w:tcBorders>
              <w:top w:val="nil"/>
              <w:left w:val="nil"/>
              <w:bottom w:val="single" w:sz="4" w:space="0" w:color="auto"/>
              <w:right w:val="single" w:sz="4" w:space="0" w:color="auto"/>
            </w:tcBorders>
            <w:vAlign w:val="center"/>
            <w:hideMark/>
          </w:tcPr>
          <w:p w:rsidR="005727C2" w:rsidRDefault="005727C2">
            <w:pPr>
              <w:pStyle w:val="afa"/>
              <w:jc w:val="center"/>
              <w:rPr>
                <w:rFonts w:ascii="Times New Roman" w:hAnsi="Times New Roman" w:cs="Times New Roman"/>
              </w:rPr>
            </w:pPr>
            <w:r>
              <w:rPr>
                <w:rFonts w:ascii="Times New Roman" w:hAnsi="Times New Roman" w:cs="Times New Roman"/>
              </w:rPr>
              <w:t>1097,07</w:t>
            </w:r>
          </w:p>
        </w:tc>
        <w:tc>
          <w:tcPr>
            <w:tcW w:w="1910" w:type="dxa"/>
            <w:tcBorders>
              <w:top w:val="nil"/>
              <w:left w:val="nil"/>
              <w:bottom w:val="single" w:sz="4" w:space="0" w:color="auto"/>
              <w:right w:val="single" w:sz="4" w:space="0" w:color="auto"/>
            </w:tcBorders>
            <w:vAlign w:val="center"/>
            <w:hideMark/>
          </w:tcPr>
          <w:p w:rsidR="005727C2" w:rsidRDefault="005727C2">
            <w:pPr>
              <w:pStyle w:val="afa"/>
              <w:jc w:val="center"/>
              <w:rPr>
                <w:rFonts w:ascii="Times New Roman" w:hAnsi="Times New Roman" w:cs="Times New Roman"/>
              </w:rPr>
            </w:pPr>
            <w:r>
              <w:rPr>
                <w:rFonts w:ascii="Times New Roman" w:hAnsi="Times New Roman" w:cs="Times New Roman"/>
              </w:rPr>
              <w:t>303,45</w:t>
            </w:r>
          </w:p>
        </w:tc>
        <w:tc>
          <w:tcPr>
            <w:tcW w:w="2551" w:type="dxa"/>
            <w:tcBorders>
              <w:top w:val="nil"/>
              <w:left w:val="nil"/>
              <w:bottom w:val="single" w:sz="4" w:space="0" w:color="auto"/>
              <w:right w:val="single" w:sz="4" w:space="0" w:color="auto"/>
            </w:tcBorders>
            <w:vAlign w:val="center"/>
            <w:hideMark/>
          </w:tcPr>
          <w:p w:rsidR="005727C2" w:rsidRDefault="005727C2">
            <w:pPr>
              <w:pStyle w:val="afa"/>
              <w:rPr>
                <w:rFonts w:ascii="Times New Roman" w:hAnsi="Times New Roman" w:cs="Times New Roman"/>
                <w:sz w:val="20"/>
                <w:szCs w:val="20"/>
              </w:rPr>
            </w:pPr>
            <w:r>
              <w:rPr>
                <w:rFonts w:ascii="Times New Roman" w:hAnsi="Times New Roman" w:cs="Times New Roman"/>
                <w:sz w:val="20"/>
                <w:szCs w:val="20"/>
              </w:rPr>
              <w:t>от 13.05.2019 № 578/19</w:t>
            </w:r>
          </w:p>
        </w:tc>
      </w:tr>
      <w:tr w:rsidR="005727C2" w:rsidTr="00A92E7A">
        <w:trPr>
          <w:trHeight w:val="417"/>
        </w:trPr>
        <w:tc>
          <w:tcPr>
            <w:tcW w:w="640" w:type="dxa"/>
            <w:tcBorders>
              <w:top w:val="nil"/>
              <w:left w:val="single" w:sz="4" w:space="0" w:color="auto"/>
              <w:bottom w:val="single" w:sz="4" w:space="0" w:color="auto"/>
              <w:right w:val="single" w:sz="4" w:space="0" w:color="auto"/>
            </w:tcBorders>
            <w:noWrap/>
            <w:vAlign w:val="center"/>
            <w:hideMark/>
          </w:tcPr>
          <w:p w:rsidR="005727C2" w:rsidRDefault="005727C2">
            <w:pPr>
              <w:pStyle w:val="afa"/>
              <w:rPr>
                <w:rFonts w:ascii="Times New Roman" w:hAnsi="Times New Roman" w:cs="Times New Roman"/>
              </w:rPr>
            </w:pPr>
            <w:r>
              <w:rPr>
                <w:rFonts w:ascii="Times New Roman" w:hAnsi="Times New Roman" w:cs="Times New Roman"/>
              </w:rPr>
              <w:t>11</w:t>
            </w:r>
          </w:p>
        </w:tc>
        <w:tc>
          <w:tcPr>
            <w:tcW w:w="3295" w:type="dxa"/>
            <w:tcBorders>
              <w:top w:val="nil"/>
              <w:left w:val="nil"/>
              <w:bottom w:val="single" w:sz="4" w:space="0" w:color="auto"/>
              <w:right w:val="single" w:sz="4" w:space="0" w:color="auto"/>
            </w:tcBorders>
            <w:vAlign w:val="center"/>
            <w:hideMark/>
          </w:tcPr>
          <w:p w:rsidR="005727C2" w:rsidRDefault="005727C2">
            <w:pPr>
              <w:pStyle w:val="afa"/>
              <w:rPr>
                <w:rFonts w:ascii="Times New Roman" w:hAnsi="Times New Roman" w:cs="Times New Roman"/>
              </w:rPr>
            </w:pPr>
            <w:r>
              <w:rPr>
                <w:rFonts w:ascii="Times New Roman" w:hAnsi="Times New Roman" w:cs="Times New Roman"/>
              </w:rPr>
              <w:t>ООО «ТеплоГазСервис»*)</w:t>
            </w:r>
          </w:p>
        </w:tc>
        <w:tc>
          <w:tcPr>
            <w:tcW w:w="1825" w:type="dxa"/>
            <w:tcBorders>
              <w:top w:val="nil"/>
              <w:left w:val="nil"/>
              <w:bottom w:val="single" w:sz="4" w:space="0" w:color="auto"/>
              <w:right w:val="single" w:sz="4" w:space="0" w:color="auto"/>
            </w:tcBorders>
            <w:vAlign w:val="center"/>
            <w:hideMark/>
          </w:tcPr>
          <w:p w:rsidR="005727C2" w:rsidRDefault="005727C2">
            <w:pPr>
              <w:pStyle w:val="afa"/>
              <w:jc w:val="center"/>
              <w:rPr>
                <w:rFonts w:ascii="Times New Roman" w:hAnsi="Times New Roman" w:cs="Times New Roman"/>
              </w:rPr>
            </w:pPr>
            <w:r>
              <w:rPr>
                <w:rFonts w:ascii="Times New Roman" w:hAnsi="Times New Roman" w:cs="Times New Roman"/>
              </w:rPr>
              <w:t>559,14</w:t>
            </w:r>
          </w:p>
        </w:tc>
        <w:tc>
          <w:tcPr>
            <w:tcW w:w="1910" w:type="dxa"/>
            <w:tcBorders>
              <w:top w:val="nil"/>
              <w:left w:val="nil"/>
              <w:bottom w:val="single" w:sz="4" w:space="0" w:color="auto"/>
              <w:right w:val="single" w:sz="4" w:space="0" w:color="auto"/>
            </w:tcBorders>
            <w:vAlign w:val="center"/>
            <w:hideMark/>
          </w:tcPr>
          <w:p w:rsidR="005727C2" w:rsidRDefault="005727C2">
            <w:pPr>
              <w:pStyle w:val="afa"/>
              <w:jc w:val="center"/>
              <w:rPr>
                <w:rFonts w:ascii="Times New Roman" w:hAnsi="Times New Roman" w:cs="Times New Roman"/>
              </w:rPr>
            </w:pPr>
            <w:r>
              <w:rPr>
                <w:rFonts w:ascii="Times New Roman" w:hAnsi="Times New Roman" w:cs="Times New Roman"/>
              </w:rPr>
              <w:t>108,1</w:t>
            </w:r>
          </w:p>
        </w:tc>
        <w:tc>
          <w:tcPr>
            <w:tcW w:w="2551" w:type="dxa"/>
            <w:tcBorders>
              <w:top w:val="nil"/>
              <w:left w:val="nil"/>
              <w:bottom w:val="single" w:sz="4" w:space="0" w:color="auto"/>
              <w:right w:val="single" w:sz="4" w:space="0" w:color="auto"/>
            </w:tcBorders>
            <w:vAlign w:val="center"/>
            <w:hideMark/>
          </w:tcPr>
          <w:p w:rsidR="005727C2" w:rsidRDefault="005727C2">
            <w:pPr>
              <w:pStyle w:val="afa"/>
              <w:rPr>
                <w:rFonts w:ascii="Times New Roman" w:hAnsi="Times New Roman" w:cs="Times New Roman"/>
                <w:sz w:val="20"/>
                <w:szCs w:val="20"/>
              </w:rPr>
            </w:pPr>
            <w:r>
              <w:rPr>
                <w:rFonts w:ascii="Times New Roman" w:hAnsi="Times New Roman" w:cs="Times New Roman"/>
                <w:sz w:val="20"/>
                <w:szCs w:val="20"/>
              </w:rPr>
              <w:t>от 16.06.2015 № 235-э/1</w:t>
            </w:r>
          </w:p>
        </w:tc>
      </w:tr>
      <w:tr w:rsidR="005727C2" w:rsidTr="00A92E7A">
        <w:trPr>
          <w:trHeight w:val="509"/>
        </w:trPr>
        <w:tc>
          <w:tcPr>
            <w:tcW w:w="640" w:type="dxa"/>
            <w:tcBorders>
              <w:top w:val="nil"/>
              <w:left w:val="single" w:sz="4" w:space="0" w:color="auto"/>
              <w:bottom w:val="single" w:sz="4" w:space="0" w:color="auto"/>
              <w:right w:val="single" w:sz="4" w:space="0" w:color="auto"/>
            </w:tcBorders>
            <w:noWrap/>
            <w:vAlign w:val="center"/>
            <w:hideMark/>
          </w:tcPr>
          <w:p w:rsidR="005727C2" w:rsidRDefault="005727C2">
            <w:pPr>
              <w:pStyle w:val="afa"/>
              <w:rPr>
                <w:rFonts w:ascii="Times New Roman" w:hAnsi="Times New Roman" w:cs="Times New Roman"/>
              </w:rPr>
            </w:pPr>
            <w:r>
              <w:rPr>
                <w:rFonts w:ascii="Times New Roman" w:hAnsi="Times New Roman" w:cs="Times New Roman"/>
              </w:rPr>
              <w:t>12</w:t>
            </w:r>
          </w:p>
        </w:tc>
        <w:tc>
          <w:tcPr>
            <w:tcW w:w="3295" w:type="dxa"/>
            <w:tcBorders>
              <w:top w:val="nil"/>
              <w:left w:val="nil"/>
              <w:bottom w:val="single" w:sz="4" w:space="0" w:color="auto"/>
              <w:right w:val="single" w:sz="4" w:space="0" w:color="auto"/>
            </w:tcBorders>
            <w:vAlign w:val="center"/>
            <w:hideMark/>
          </w:tcPr>
          <w:p w:rsidR="005727C2" w:rsidRDefault="005727C2">
            <w:pPr>
              <w:pStyle w:val="afa"/>
              <w:rPr>
                <w:rFonts w:ascii="Times New Roman" w:hAnsi="Times New Roman" w:cs="Times New Roman"/>
              </w:rPr>
            </w:pPr>
            <w:r>
              <w:rPr>
                <w:rFonts w:ascii="Times New Roman" w:hAnsi="Times New Roman" w:cs="Times New Roman"/>
              </w:rPr>
              <w:t>ООО «Фортуна+»*)</w:t>
            </w:r>
          </w:p>
        </w:tc>
        <w:tc>
          <w:tcPr>
            <w:tcW w:w="1825" w:type="dxa"/>
            <w:tcBorders>
              <w:top w:val="nil"/>
              <w:left w:val="nil"/>
              <w:bottom w:val="single" w:sz="4" w:space="0" w:color="auto"/>
              <w:right w:val="single" w:sz="4" w:space="0" w:color="auto"/>
            </w:tcBorders>
            <w:vAlign w:val="center"/>
            <w:hideMark/>
          </w:tcPr>
          <w:p w:rsidR="005727C2" w:rsidRDefault="005727C2">
            <w:pPr>
              <w:pStyle w:val="afa"/>
              <w:jc w:val="center"/>
              <w:rPr>
                <w:rFonts w:ascii="Times New Roman" w:hAnsi="Times New Roman" w:cs="Times New Roman"/>
              </w:rPr>
            </w:pPr>
            <w:r>
              <w:rPr>
                <w:rFonts w:ascii="Times New Roman" w:hAnsi="Times New Roman" w:cs="Times New Roman"/>
              </w:rPr>
              <w:t>1135,27</w:t>
            </w:r>
          </w:p>
        </w:tc>
        <w:tc>
          <w:tcPr>
            <w:tcW w:w="1910" w:type="dxa"/>
            <w:tcBorders>
              <w:top w:val="nil"/>
              <w:left w:val="nil"/>
              <w:bottom w:val="single" w:sz="4" w:space="0" w:color="auto"/>
              <w:right w:val="single" w:sz="4" w:space="0" w:color="auto"/>
            </w:tcBorders>
            <w:vAlign w:val="center"/>
            <w:hideMark/>
          </w:tcPr>
          <w:p w:rsidR="005727C2" w:rsidRDefault="005727C2">
            <w:pPr>
              <w:pStyle w:val="afa"/>
              <w:jc w:val="center"/>
              <w:rPr>
                <w:rFonts w:ascii="Times New Roman" w:hAnsi="Times New Roman" w:cs="Times New Roman"/>
              </w:rPr>
            </w:pPr>
            <w:r>
              <w:rPr>
                <w:rFonts w:ascii="Times New Roman" w:hAnsi="Times New Roman" w:cs="Times New Roman"/>
              </w:rPr>
              <w:t>132,62</w:t>
            </w:r>
          </w:p>
        </w:tc>
        <w:tc>
          <w:tcPr>
            <w:tcW w:w="2551" w:type="dxa"/>
            <w:tcBorders>
              <w:top w:val="nil"/>
              <w:left w:val="nil"/>
              <w:bottom w:val="single" w:sz="4" w:space="0" w:color="auto"/>
              <w:right w:val="single" w:sz="4" w:space="0" w:color="auto"/>
            </w:tcBorders>
            <w:vAlign w:val="center"/>
            <w:hideMark/>
          </w:tcPr>
          <w:p w:rsidR="005727C2" w:rsidRDefault="005727C2">
            <w:pPr>
              <w:pStyle w:val="afa"/>
              <w:rPr>
                <w:rFonts w:ascii="Times New Roman" w:hAnsi="Times New Roman" w:cs="Times New Roman"/>
                <w:sz w:val="20"/>
                <w:szCs w:val="20"/>
              </w:rPr>
            </w:pPr>
            <w:r>
              <w:rPr>
                <w:rFonts w:ascii="Times New Roman" w:hAnsi="Times New Roman" w:cs="Times New Roman"/>
                <w:sz w:val="20"/>
                <w:szCs w:val="20"/>
              </w:rPr>
              <w:t>от 22.07.2016 № 1028/16</w:t>
            </w:r>
          </w:p>
        </w:tc>
      </w:tr>
      <w:tr w:rsidR="005727C2" w:rsidTr="00A92E7A">
        <w:trPr>
          <w:trHeight w:val="338"/>
        </w:trPr>
        <w:tc>
          <w:tcPr>
            <w:tcW w:w="640" w:type="dxa"/>
            <w:tcBorders>
              <w:top w:val="nil"/>
              <w:left w:val="single" w:sz="4" w:space="0" w:color="auto"/>
              <w:bottom w:val="single" w:sz="4" w:space="0" w:color="auto"/>
              <w:right w:val="single" w:sz="4" w:space="0" w:color="auto"/>
            </w:tcBorders>
            <w:noWrap/>
            <w:vAlign w:val="center"/>
            <w:hideMark/>
          </w:tcPr>
          <w:p w:rsidR="005727C2" w:rsidRDefault="005727C2">
            <w:pPr>
              <w:pStyle w:val="afa"/>
              <w:rPr>
                <w:rFonts w:ascii="Times New Roman" w:hAnsi="Times New Roman" w:cs="Times New Roman"/>
              </w:rPr>
            </w:pPr>
            <w:r>
              <w:rPr>
                <w:rFonts w:ascii="Times New Roman" w:hAnsi="Times New Roman" w:cs="Times New Roman"/>
              </w:rPr>
              <w:t>13</w:t>
            </w:r>
          </w:p>
        </w:tc>
        <w:tc>
          <w:tcPr>
            <w:tcW w:w="3295" w:type="dxa"/>
            <w:tcBorders>
              <w:top w:val="nil"/>
              <w:left w:val="nil"/>
              <w:bottom w:val="single" w:sz="4" w:space="0" w:color="auto"/>
              <w:right w:val="single" w:sz="4" w:space="0" w:color="auto"/>
            </w:tcBorders>
            <w:vAlign w:val="center"/>
            <w:hideMark/>
          </w:tcPr>
          <w:p w:rsidR="005727C2" w:rsidRDefault="005727C2">
            <w:pPr>
              <w:pStyle w:val="afa"/>
              <w:rPr>
                <w:rFonts w:ascii="Times New Roman" w:hAnsi="Times New Roman" w:cs="Times New Roman"/>
              </w:rPr>
            </w:pPr>
            <w:r>
              <w:rPr>
                <w:rFonts w:ascii="Times New Roman" w:hAnsi="Times New Roman" w:cs="Times New Roman"/>
              </w:rPr>
              <w:t>ПК «Толмачевский» *)</w:t>
            </w:r>
          </w:p>
        </w:tc>
        <w:tc>
          <w:tcPr>
            <w:tcW w:w="1825" w:type="dxa"/>
            <w:tcBorders>
              <w:top w:val="nil"/>
              <w:left w:val="nil"/>
              <w:bottom w:val="single" w:sz="4" w:space="0" w:color="auto"/>
              <w:right w:val="single" w:sz="4" w:space="0" w:color="auto"/>
            </w:tcBorders>
            <w:vAlign w:val="center"/>
            <w:hideMark/>
          </w:tcPr>
          <w:p w:rsidR="005727C2" w:rsidRDefault="005727C2">
            <w:pPr>
              <w:pStyle w:val="afa"/>
              <w:jc w:val="center"/>
              <w:rPr>
                <w:rFonts w:ascii="Times New Roman" w:hAnsi="Times New Roman" w:cs="Times New Roman"/>
              </w:rPr>
            </w:pPr>
            <w:r>
              <w:rPr>
                <w:rFonts w:ascii="Times New Roman" w:hAnsi="Times New Roman" w:cs="Times New Roman"/>
              </w:rPr>
              <w:t>919,69</w:t>
            </w:r>
          </w:p>
        </w:tc>
        <w:tc>
          <w:tcPr>
            <w:tcW w:w="1910" w:type="dxa"/>
            <w:tcBorders>
              <w:top w:val="nil"/>
              <w:left w:val="nil"/>
              <w:bottom w:val="single" w:sz="4" w:space="0" w:color="auto"/>
              <w:right w:val="single" w:sz="4" w:space="0" w:color="auto"/>
            </w:tcBorders>
            <w:vAlign w:val="center"/>
            <w:hideMark/>
          </w:tcPr>
          <w:p w:rsidR="005727C2" w:rsidRDefault="005727C2">
            <w:pPr>
              <w:pStyle w:val="afa"/>
              <w:jc w:val="center"/>
              <w:rPr>
                <w:rFonts w:ascii="Times New Roman" w:hAnsi="Times New Roman" w:cs="Times New Roman"/>
              </w:rPr>
            </w:pPr>
            <w:r>
              <w:rPr>
                <w:rFonts w:ascii="Times New Roman" w:hAnsi="Times New Roman" w:cs="Times New Roman"/>
              </w:rPr>
              <w:t>-</w:t>
            </w:r>
          </w:p>
        </w:tc>
        <w:tc>
          <w:tcPr>
            <w:tcW w:w="2551" w:type="dxa"/>
            <w:tcBorders>
              <w:top w:val="nil"/>
              <w:left w:val="nil"/>
              <w:bottom w:val="single" w:sz="4" w:space="0" w:color="auto"/>
              <w:right w:val="single" w:sz="4" w:space="0" w:color="auto"/>
            </w:tcBorders>
            <w:vAlign w:val="center"/>
            <w:hideMark/>
          </w:tcPr>
          <w:p w:rsidR="005727C2" w:rsidRDefault="005727C2">
            <w:pPr>
              <w:pStyle w:val="afa"/>
              <w:rPr>
                <w:rFonts w:ascii="Times New Roman" w:hAnsi="Times New Roman" w:cs="Times New Roman"/>
                <w:sz w:val="20"/>
                <w:szCs w:val="20"/>
              </w:rPr>
            </w:pPr>
            <w:r>
              <w:rPr>
                <w:rFonts w:ascii="Times New Roman" w:hAnsi="Times New Roman" w:cs="Times New Roman"/>
                <w:sz w:val="20"/>
                <w:szCs w:val="20"/>
              </w:rPr>
              <w:t>от 12.09.2016 № 1279/16</w:t>
            </w:r>
          </w:p>
        </w:tc>
      </w:tr>
      <w:tr w:rsidR="005727C2" w:rsidTr="00A92E7A">
        <w:trPr>
          <w:trHeight w:val="413"/>
        </w:trPr>
        <w:tc>
          <w:tcPr>
            <w:tcW w:w="640" w:type="dxa"/>
            <w:tcBorders>
              <w:top w:val="nil"/>
              <w:left w:val="single" w:sz="4" w:space="0" w:color="auto"/>
              <w:bottom w:val="single" w:sz="4" w:space="0" w:color="auto"/>
              <w:right w:val="single" w:sz="4" w:space="0" w:color="auto"/>
            </w:tcBorders>
            <w:noWrap/>
            <w:vAlign w:val="center"/>
            <w:hideMark/>
          </w:tcPr>
          <w:p w:rsidR="005727C2" w:rsidRDefault="005727C2">
            <w:pPr>
              <w:pStyle w:val="afa"/>
              <w:rPr>
                <w:rFonts w:ascii="Times New Roman" w:hAnsi="Times New Roman" w:cs="Times New Roman"/>
              </w:rPr>
            </w:pPr>
            <w:r>
              <w:rPr>
                <w:rFonts w:ascii="Times New Roman" w:hAnsi="Times New Roman" w:cs="Times New Roman"/>
              </w:rPr>
              <w:t>14</w:t>
            </w:r>
          </w:p>
        </w:tc>
        <w:tc>
          <w:tcPr>
            <w:tcW w:w="3295" w:type="dxa"/>
            <w:tcBorders>
              <w:top w:val="nil"/>
              <w:left w:val="nil"/>
              <w:bottom w:val="single" w:sz="4" w:space="0" w:color="auto"/>
              <w:right w:val="single" w:sz="4" w:space="0" w:color="auto"/>
            </w:tcBorders>
            <w:vAlign w:val="center"/>
            <w:hideMark/>
          </w:tcPr>
          <w:p w:rsidR="005727C2" w:rsidRDefault="005727C2">
            <w:pPr>
              <w:pStyle w:val="afa"/>
              <w:rPr>
                <w:rFonts w:ascii="Times New Roman" w:hAnsi="Times New Roman" w:cs="Times New Roman"/>
              </w:rPr>
            </w:pPr>
            <w:r>
              <w:rPr>
                <w:rFonts w:ascii="Times New Roman" w:hAnsi="Times New Roman" w:cs="Times New Roman"/>
              </w:rPr>
              <w:t>ООО «Стимул»</w:t>
            </w:r>
          </w:p>
        </w:tc>
        <w:tc>
          <w:tcPr>
            <w:tcW w:w="1825" w:type="dxa"/>
            <w:tcBorders>
              <w:top w:val="nil"/>
              <w:left w:val="nil"/>
              <w:bottom w:val="single" w:sz="4" w:space="0" w:color="auto"/>
              <w:right w:val="single" w:sz="4" w:space="0" w:color="auto"/>
            </w:tcBorders>
            <w:vAlign w:val="center"/>
            <w:hideMark/>
          </w:tcPr>
          <w:p w:rsidR="005727C2" w:rsidRDefault="005727C2">
            <w:pPr>
              <w:pStyle w:val="afa"/>
              <w:jc w:val="center"/>
              <w:rPr>
                <w:rFonts w:ascii="Times New Roman" w:hAnsi="Times New Roman" w:cs="Times New Roman"/>
              </w:rPr>
            </w:pPr>
            <w:r>
              <w:rPr>
                <w:rFonts w:ascii="Times New Roman" w:hAnsi="Times New Roman" w:cs="Times New Roman"/>
              </w:rPr>
              <w:t>1010,77</w:t>
            </w:r>
          </w:p>
        </w:tc>
        <w:tc>
          <w:tcPr>
            <w:tcW w:w="1910" w:type="dxa"/>
            <w:tcBorders>
              <w:top w:val="nil"/>
              <w:left w:val="nil"/>
              <w:bottom w:val="single" w:sz="4" w:space="0" w:color="auto"/>
              <w:right w:val="single" w:sz="4" w:space="0" w:color="auto"/>
            </w:tcBorders>
            <w:vAlign w:val="center"/>
            <w:hideMark/>
          </w:tcPr>
          <w:p w:rsidR="005727C2" w:rsidRDefault="005727C2">
            <w:pPr>
              <w:pStyle w:val="afa"/>
              <w:jc w:val="center"/>
              <w:rPr>
                <w:rFonts w:ascii="Times New Roman" w:hAnsi="Times New Roman" w:cs="Times New Roman"/>
              </w:rPr>
            </w:pPr>
            <w:r>
              <w:rPr>
                <w:rFonts w:ascii="Times New Roman" w:hAnsi="Times New Roman" w:cs="Times New Roman"/>
              </w:rPr>
              <w:t>954,21</w:t>
            </w:r>
          </w:p>
        </w:tc>
        <w:tc>
          <w:tcPr>
            <w:tcW w:w="2551" w:type="dxa"/>
            <w:tcBorders>
              <w:top w:val="nil"/>
              <w:left w:val="nil"/>
              <w:bottom w:val="single" w:sz="4" w:space="0" w:color="auto"/>
              <w:right w:val="single" w:sz="4" w:space="0" w:color="auto"/>
            </w:tcBorders>
            <w:vAlign w:val="center"/>
            <w:hideMark/>
          </w:tcPr>
          <w:p w:rsidR="005727C2" w:rsidRDefault="005727C2">
            <w:pPr>
              <w:pStyle w:val="afa"/>
              <w:rPr>
                <w:rFonts w:ascii="Times New Roman" w:hAnsi="Times New Roman" w:cs="Times New Roman"/>
                <w:sz w:val="20"/>
                <w:szCs w:val="20"/>
              </w:rPr>
            </w:pPr>
            <w:r>
              <w:rPr>
                <w:rFonts w:ascii="Times New Roman" w:hAnsi="Times New Roman" w:cs="Times New Roman"/>
                <w:sz w:val="20"/>
                <w:szCs w:val="20"/>
              </w:rPr>
              <w:t>от 19.11.2018 № 1599/18</w:t>
            </w:r>
          </w:p>
        </w:tc>
      </w:tr>
      <w:tr w:rsidR="005727C2" w:rsidTr="00A92E7A">
        <w:trPr>
          <w:trHeight w:val="1095"/>
        </w:trPr>
        <w:tc>
          <w:tcPr>
            <w:tcW w:w="10221" w:type="dxa"/>
            <w:gridSpan w:val="5"/>
            <w:vAlign w:val="center"/>
          </w:tcPr>
          <w:p w:rsidR="005727C2" w:rsidRDefault="005727C2">
            <w:pPr>
              <w:pStyle w:val="afa"/>
              <w:rPr>
                <w:rFonts w:ascii="Times New Roman" w:hAnsi="Times New Roman" w:cs="Times New Roman"/>
                <w:bCs/>
                <w:i/>
              </w:rPr>
            </w:pPr>
            <w:r>
              <w:rPr>
                <w:rFonts w:ascii="Times New Roman" w:hAnsi="Times New Roman" w:cs="Times New Roman"/>
                <w:b/>
                <w:bCs/>
                <w:i/>
              </w:rPr>
              <w:t xml:space="preserve">*) </w:t>
            </w:r>
            <w:r>
              <w:rPr>
                <w:rFonts w:ascii="Times New Roman" w:hAnsi="Times New Roman" w:cs="Times New Roman"/>
                <w:i/>
              </w:rPr>
              <w:t>Тарифы налогом на добавленную стоимость не облагаются. Организации применяют упрощенную систему налогообложения в соответствии со статьей 346.11 главы 26.2 части II НК РФ.</w:t>
            </w:r>
          </w:p>
          <w:p w:rsidR="005727C2" w:rsidRDefault="005727C2">
            <w:pPr>
              <w:pStyle w:val="afa"/>
              <w:rPr>
                <w:rFonts w:ascii="Times New Roman" w:hAnsi="Times New Roman" w:cs="Times New Roman"/>
                <w:b/>
                <w:bCs/>
                <w:i/>
                <w:highlight w:val="yellow"/>
              </w:rPr>
            </w:pPr>
          </w:p>
        </w:tc>
      </w:tr>
    </w:tbl>
    <w:p w:rsidR="005727C2" w:rsidRDefault="005727C2" w:rsidP="005727C2">
      <w:pPr>
        <w:pStyle w:val="afa"/>
        <w:ind w:firstLine="851"/>
        <w:jc w:val="both"/>
        <w:rPr>
          <w:rFonts w:ascii="Times New Roman" w:hAnsi="Times New Roman" w:cs="Times New Roman"/>
          <w:sz w:val="28"/>
          <w:szCs w:val="28"/>
        </w:rPr>
      </w:pPr>
      <w:r>
        <w:rPr>
          <w:rFonts w:ascii="Times New Roman" w:hAnsi="Times New Roman" w:cs="Times New Roman"/>
          <w:sz w:val="28"/>
          <w:szCs w:val="28"/>
        </w:rPr>
        <w:t>В целях соблюдения среднего индекса изменения размера вносимой гражданами платы за коммунальные услуги, утвержденного распоряжением Правительства Российской Федерации от 15.11.2018 № 2490-р по Новосибирской области в разме</w:t>
      </w:r>
      <w:r w:rsidR="00364535">
        <w:rPr>
          <w:rFonts w:ascii="Times New Roman" w:hAnsi="Times New Roman" w:cs="Times New Roman"/>
          <w:sz w:val="28"/>
          <w:szCs w:val="28"/>
        </w:rPr>
        <w:t>ре 3,2 % (с 1 июля 2019 года), Д</w:t>
      </w:r>
      <w:r>
        <w:rPr>
          <w:rFonts w:ascii="Times New Roman" w:hAnsi="Times New Roman" w:cs="Times New Roman"/>
          <w:sz w:val="28"/>
          <w:szCs w:val="28"/>
        </w:rPr>
        <w:t>епартаментом установлены с 1 июля 2019 года розничные цены на природный газ для населения с ростом относительно ранее действующих цен на 3,2 % в размерах, указанных в таблице</w:t>
      </w:r>
      <w:r w:rsidR="00A92E7A">
        <w:rPr>
          <w:rFonts w:ascii="Times New Roman" w:hAnsi="Times New Roman" w:cs="Times New Roman"/>
          <w:sz w:val="28"/>
          <w:szCs w:val="28"/>
        </w:rPr>
        <w:t xml:space="preserve"> № 2.3.2</w:t>
      </w:r>
      <w:r>
        <w:rPr>
          <w:rFonts w:ascii="Times New Roman" w:hAnsi="Times New Roman" w:cs="Times New Roman"/>
          <w:sz w:val="28"/>
          <w:szCs w:val="28"/>
        </w:rPr>
        <w:t xml:space="preserve"> .</w:t>
      </w:r>
    </w:p>
    <w:p w:rsidR="00A92E7A" w:rsidRDefault="00A92E7A" w:rsidP="005727C2">
      <w:pPr>
        <w:pStyle w:val="afa"/>
        <w:ind w:firstLine="851"/>
        <w:jc w:val="both"/>
        <w:rPr>
          <w:rFonts w:ascii="Times New Roman" w:hAnsi="Times New Roman" w:cs="Times New Roman"/>
          <w:sz w:val="28"/>
          <w:szCs w:val="28"/>
        </w:rPr>
      </w:pPr>
    </w:p>
    <w:p w:rsidR="00364535" w:rsidRDefault="00364535" w:rsidP="005727C2">
      <w:pPr>
        <w:pStyle w:val="afa"/>
        <w:ind w:firstLine="851"/>
        <w:jc w:val="both"/>
        <w:rPr>
          <w:rFonts w:ascii="Times New Roman" w:hAnsi="Times New Roman" w:cs="Times New Roman"/>
          <w:sz w:val="28"/>
          <w:szCs w:val="28"/>
        </w:rPr>
      </w:pPr>
    </w:p>
    <w:p w:rsidR="00364535" w:rsidRDefault="00364535" w:rsidP="005727C2">
      <w:pPr>
        <w:pStyle w:val="afa"/>
        <w:ind w:firstLine="851"/>
        <w:jc w:val="both"/>
        <w:rPr>
          <w:rFonts w:ascii="Times New Roman" w:hAnsi="Times New Roman" w:cs="Times New Roman"/>
          <w:sz w:val="28"/>
          <w:szCs w:val="28"/>
        </w:rPr>
      </w:pPr>
    </w:p>
    <w:p w:rsidR="00364535" w:rsidRDefault="00364535" w:rsidP="005727C2">
      <w:pPr>
        <w:pStyle w:val="afa"/>
        <w:ind w:firstLine="851"/>
        <w:jc w:val="both"/>
        <w:rPr>
          <w:rFonts w:ascii="Times New Roman" w:hAnsi="Times New Roman" w:cs="Times New Roman"/>
          <w:sz w:val="28"/>
          <w:szCs w:val="28"/>
        </w:rPr>
      </w:pPr>
    </w:p>
    <w:p w:rsidR="00364535" w:rsidRDefault="00364535" w:rsidP="005727C2">
      <w:pPr>
        <w:pStyle w:val="afa"/>
        <w:ind w:firstLine="851"/>
        <w:jc w:val="both"/>
        <w:rPr>
          <w:rFonts w:ascii="Times New Roman" w:hAnsi="Times New Roman" w:cs="Times New Roman"/>
          <w:sz w:val="28"/>
          <w:szCs w:val="28"/>
        </w:rPr>
      </w:pPr>
    </w:p>
    <w:p w:rsidR="00364535" w:rsidRDefault="00364535" w:rsidP="005727C2">
      <w:pPr>
        <w:pStyle w:val="afa"/>
        <w:ind w:firstLine="851"/>
        <w:jc w:val="both"/>
        <w:rPr>
          <w:rFonts w:ascii="Times New Roman" w:hAnsi="Times New Roman" w:cs="Times New Roman"/>
          <w:sz w:val="28"/>
          <w:szCs w:val="28"/>
        </w:rPr>
      </w:pPr>
    </w:p>
    <w:p w:rsidR="00364535" w:rsidRDefault="00364535" w:rsidP="005727C2">
      <w:pPr>
        <w:pStyle w:val="afa"/>
        <w:ind w:firstLine="851"/>
        <w:jc w:val="both"/>
        <w:rPr>
          <w:rFonts w:ascii="Times New Roman" w:hAnsi="Times New Roman" w:cs="Times New Roman"/>
          <w:sz w:val="28"/>
          <w:szCs w:val="28"/>
        </w:rPr>
      </w:pPr>
    </w:p>
    <w:p w:rsidR="005727C2" w:rsidRPr="00A92E7A" w:rsidRDefault="00A92E7A" w:rsidP="00A92E7A">
      <w:pPr>
        <w:pStyle w:val="afa"/>
        <w:ind w:firstLine="709"/>
        <w:rPr>
          <w:rFonts w:ascii="Times New Roman" w:hAnsi="Times New Roman" w:cs="Times New Roman"/>
          <w:sz w:val="24"/>
          <w:szCs w:val="24"/>
        </w:rPr>
      </w:pPr>
      <w:r w:rsidRPr="00A92E7A">
        <w:rPr>
          <w:rFonts w:ascii="Times New Roman" w:hAnsi="Times New Roman" w:cs="Times New Roman"/>
          <w:sz w:val="24"/>
          <w:szCs w:val="24"/>
        </w:rPr>
        <w:lastRenderedPageBreak/>
        <w:t>Таблица №2.3.2.</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333"/>
        <w:gridCol w:w="1904"/>
        <w:gridCol w:w="1985"/>
        <w:gridCol w:w="1637"/>
      </w:tblGrid>
      <w:tr w:rsidR="005727C2" w:rsidTr="005727C2">
        <w:trPr>
          <w:trHeight w:val="756"/>
        </w:trPr>
        <w:tc>
          <w:tcPr>
            <w:tcW w:w="4333" w:type="dxa"/>
            <w:vMerge w:val="restart"/>
            <w:tcBorders>
              <w:top w:val="single" w:sz="4" w:space="0" w:color="auto"/>
              <w:left w:val="single" w:sz="4" w:space="0" w:color="auto"/>
              <w:bottom w:val="single" w:sz="4" w:space="0" w:color="auto"/>
              <w:right w:val="single" w:sz="4" w:space="0" w:color="auto"/>
            </w:tcBorders>
            <w:vAlign w:val="center"/>
            <w:hideMark/>
          </w:tcPr>
          <w:p w:rsidR="005727C2" w:rsidRDefault="005727C2">
            <w:pPr>
              <w:pStyle w:val="afa"/>
              <w:rPr>
                <w:rFonts w:ascii="Times New Roman" w:hAnsi="Times New Roman" w:cs="Times New Roman"/>
              </w:rPr>
            </w:pPr>
            <w:r>
              <w:rPr>
                <w:rFonts w:ascii="Times New Roman" w:hAnsi="Times New Roman" w:cs="Times New Roman"/>
              </w:rPr>
              <w:t xml:space="preserve">Направления использования газа </w:t>
            </w:r>
          </w:p>
        </w:tc>
        <w:tc>
          <w:tcPr>
            <w:tcW w:w="5526" w:type="dxa"/>
            <w:gridSpan w:val="3"/>
            <w:tcBorders>
              <w:top w:val="single" w:sz="4" w:space="0" w:color="auto"/>
              <w:left w:val="single" w:sz="4" w:space="0" w:color="auto"/>
              <w:bottom w:val="single" w:sz="4" w:space="0" w:color="auto"/>
              <w:right w:val="single" w:sz="4" w:space="0" w:color="auto"/>
            </w:tcBorders>
            <w:hideMark/>
          </w:tcPr>
          <w:p w:rsidR="005727C2" w:rsidRDefault="005727C2">
            <w:pPr>
              <w:pStyle w:val="afa"/>
              <w:rPr>
                <w:rFonts w:ascii="Times New Roman" w:hAnsi="Times New Roman" w:cs="Times New Roman"/>
              </w:rPr>
            </w:pPr>
            <w:r>
              <w:rPr>
                <w:rFonts w:ascii="Times New Roman" w:hAnsi="Times New Roman" w:cs="Times New Roman"/>
              </w:rPr>
              <w:t>Розничные цены на газ природный, реализуемый населению (с учётом НДС), руб./1000 м</w:t>
            </w:r>
            <w:r>
              <w:rPr>
                <w:rFonts w:ascii="Times New Roman" w:hAnsi="Times New Roman" w:cs="Times New Roman"/>
                <w:vertAlign w:val="superscript"/>
              </w:rPr>
              <w:t>3</w:t>
            </w:r>
          </w:p>
          <w:p w:rsidR="005727C2" w:rsidRDefault="005727C2">
            <w:pPr>
              <w:pStyle w:val="afa"/>
              <w:rPr>
                <w:rFonts w:ascii="Times New Roman" w:hAnsi="Times New Roman" w:cs="Times New Roman"/>
                <w:i/>
              </w:rPr>
            </w:pPr>
            <w:r>
              <w:rPr>
                <w:rFonts w:ascii="Times New Roman" w:hAnsi="Times New Roman" w:cs="Times New Roman"/>
                <w:i/>
              </w:rPr>
              <w:t>индекс роста цены к предыдущей цене</w:t>
            </w:r>
          </w:p>
        </w:tc>
      </w:tr>
      <w:tr w:rsidR="005727C2" w:rsidTr="005727C2">
        <w:trPr>
          <w:trHeight w:val="645"/>
        </w:trPr>
        <w:tc>
          <w:tcPr>
            <w:tcW w:w="0" w:type="auto"/>
            <w:vMerge/>
            <w:tcBorders>
              <w:top w:val="single" w:sz="4" w:space="0" w:color="auto"/>
              <w:left w:val="single" w:sz="4" w:space="0" w:color="auto"/>
              <w:bottom w:val="single" w:sz="4" w:space="0" w:color="auto"/>
              <w:right w:val="single" w:sz="4" w:space="0" w:color="auto"/>
            </w:tcBorders>
            <w:vAlign w:val="center"/>
            <w:hideMark/>
          </w:tcPr>
          <w:p w:rsidR="005727C2" w:rsidRDefault="005727C2">
            <w:pPr>
              <w:spacing w:after="0" w:line="240" w:lineRule="auto"/>
              <w:rPr>
                <w:rFonts w:eastAsiaTheme="minorHAnsi"/>
                <w:lang w:eastAsia="zh-CN"/>
              </w:rPr>
            </w:pPr>
          </w:p>
        </w:tc>
        <w:tc>
          <w:tcPr>
            <w:tcW w:w="1904" w:type="dxa"/>
            <w:tcBorders>
              <w:top w:val="single" w:sz="4" w:space="0" w:color="auto"/>
              <w:left w:val="single" w:sz="4" w:space="0" w:color="auto"/>
              <w:bottom w:val="single" w:sz="4" w:space="0" w:color="auto"/>
              <w:right w:val="single" w:sz="4" w:space="0" w:color="auto"/>
            </w:tcBorders>
            <w:hideMark/>
          </w:tcPr>
          <w:p w:rsidR="005727C2" w:rsidRDefault="005727C2">
            <w:pPr>
              <w:pStyle w:val="afa"/>
              <w:rPr>
                <w:rFonts w:ascii="Times New Roman" w:hAnsi="Times New Roman" w:cs="Times New Roman"/>
              </w:rPr>
            </w:pPr>
            <w:r>
              <w:rPr>
                <w:rFonts w:ascii="Times New Roman" w:hAnsi="Times New Roman" w:cs="Times New Roman"/>
              </w:rPr>
              <w:t xml:space="preserve">с 1 июля 2018 г. </w:t>
            </w:r>
          </w:p>
          <w:p w:rsidR="005727C2" w:rsidRDefault="005727C2">
            <w:pPr>
              <w:pStyle w:val="afa"/>
              <w:rPr>
                <w:rFonts w:ascii="Times New Roman" w:hAnsi="Times New Roman" w:cs="Times New Roman"/>
              </w:rPr>
            </w:pPr>
            <w:r>
              <w:rPr>
                <w:rFonts w:ascii="Times New Roman" w:hAnsi="Times New Roman" w:cs="Times New Roman"/>
              </w:rPr>
              <w:t>по 31 декабря 2018 г.</w:t>
            </w:r>
          </w:p>
        </w:tc>
        <w:tc>
          <w:tcPr>
            <w:tcW w:w="1985" w:type="dxa"/>
            <w:tcBorders>
              <w:top w:val="single" w:sz="4" w:space="0" w:color="auto"/>
              <w:left w:val="single" w:sz="4" w:space="0" w:color="auto"/>
              <w:bottom w:val="single" w:sz="4" w:space="0" w:color="auto"/>
              <w:right w:val="single" w:sz="4" w:space="0" w:color="auto"/>
            </w:tcBorders>
            <w:vAlign w:val="center"/>
            <w:hideMark/>
          </w:tcPr>
          <w:p w:rsidR="005727C2" w:rsidRDefault="005727C2">
            <w:pPr>
              <w:pStyle w:val="afa"/>
              <w:rPr>
                <w:rFonts w:ascii="Times New Roman" w:hAnsi="Times New Roman" w:cs="Times New Roman"/>
              </w:rPr>
            </w:pPr>
            <w:r>
              <w:rPr>
                <w:rFonts w:ascii="Times New Roman" w:hAnsi="Times New Roman" w:cs="Times New Roman"/>
              </w:rPr>
              <w:t>с 1января 2019 г.</w:t>
            </w:r>
          </w:p>
          <w:p w:rsidR="005727C2" w:rsidRDefault="005727C2">
            <w:pPr>
              <w:pStyle w:val="afa"/>
              <w:rPr>
                <w:rFonts w:ascii="Times New Roman" w:hAnsi="Times New Roman" w:cs="Times New Roman"/>
              </w:rPr>
            </w:pPr>
            <w:r>
              <w:rPr>
                <w:rFonts w:ascii="Times New Roman" w:hAnsi="Times New Roman" w:cs="Times New Roman"/>
              </w:rPr>
              <w:t>по 30 июня 2019г.</w:t>
            </w:r>
          </w:p>
        </w:tc>
        <w:tc>
          <w:tcPr>
            <w:tcW w:w="1637" w:type="dxa"/>
            <w:tcBorders>
              <w:top w:val="single" w:sz="4" w:space="0" w:color="auto"/>
              <w:left w:val="single" w:sz="4" w:space="0" w:color="auto"/>
              <w:bottom w:val="single" w:sz="4" w:space="0" w:color="auto"/>
              <w:right w:val="single" w:sz="4" w:space="0" w:color="auto"/>
            </w:tcBorders>
            <w:vAlign w:val="center"/>
            <w:hideMark/>
          </w:tcPr>
          <w:p w:rsidR="005727C2" w:rsidRDefault="005727C2">
            <w:pPr>
              <w:pStyle w:val="afa"/>
              <w:rPr>
                <w:rFonts w:ascii="Times New Roman" w:hAnsi="Times New Roman" w:cs="Times New Roman"/>
              </w:rPr>
            </w:pPr>
            <w:r>
              <w:rPr>
                <w:rFonts w:ascii="Times New Roman" w:hAnsi="Times New Roman" w:cs="Times New Roman"/>
              </w:rPr>
              <w:t>с 1 июля</w:t>
            </w:r>
          </w:p>
          <w:p w:rsidR="005727C2" w:rsidRDefault="005727C2">
            <w:pPr>
              <w:pStyle w:val="afa"/>
              <w:rPr>
                <w:rFonts w:ascii="Times New Roman" w:hAnsi="Times New Roman" w:cs="Times New Roman"/>
              </w:rPr>
            </w:pPr>
            <w:r>
              <w:rPr>
                <w:rFonts w:ascii="Times New Roman" w:hAnsi="Times New Roman" w:cs="Times New Roman"/>
              </w:rPr>
              <w:t>2019г. по 30 июня 2020г.</w:t>
            </w:r>
          </w:p>
        </w:tc>
      </w:tr>
      <w:tr w:rsidR="005727C2" w:rsidTr="005727C2">
        <w:trPr>
          <w:trHeight w:val="1404"/>
        </w:trPr>
        <w:tc>
          <w:tcPr>
            <w:tcW w:w="4333" w:type="dxa"/>
            <w:vMerge w:val="restart"/>
            <w:tcBorders>
              <w:top w:val="single" w:sz="4" w:space="0" w:color="auto"/>
              <w:left w:val="single" w:sz="4" w:space="0" w:color="auto"/>
              <w:bottom w:val="single" w:sz="4" w:space="0" w:color="auto"/>
              <w:right w:val="single" w:sz="4" w:space="0" w:color="auto"/>
            </w:tcBorders>
            <w:hideMark/>
          </w:tcPr>
          <w:p w:rsidR="005727C2" w:rsidRDefault="005727C2">
            <w:pPr>
              <w:pStyle w:val="afa"/>
              <w:rPr>
                <w:rFonts w:ascii="Times New Roman" w:hAnsi="Times New Roman" w:cs="Times New Roman"/>
              </w:rPr>
            </w:pPr>
            <w:r>
              <w:rPr>
                <w:rFonts w:ascii="Times New Roman" w:hAnsi="Times New Roman" w:cs="Times New Roman"/>
              </w:rPr>
              <w:t>- на приготовление пищи и нагрев воды с использованием газовой плиты (в отсутствие других направлений использования газа).</w:t>
            </w:r>
          </w:p>
          <w:p w:rsidR="005727C2" w:rsidRDefault="005727C2">
            <w:pPr>
              <w:pStyle w:val="afa"/>
              <w:rPr>
                <w:rFonts w:ascii="Times New Roman" w:hAnsi="Times New Roman" w:cs="Times New Roman"/>
              </w:rPr>
            </w:pPr>
            <w:r>
              <w:rPr>
                <w:rFonts w:ascii="Times New Roman" w:hAnsi="Times New Roman" w:cs="Times New Roman"/>
              </w:rPr>
              <w:t>- на нагрев воды с использованием газового водонагревателя при отсутствии центрального горячего водоснабжения (в отсутствие других направлений использования газа).</w:t>
            </w:r>
          </w:p>
          <w:p w:rsidR="005727C2" w:rsidRDefault="005727C2">
            <w:pPr>
              <w:pStyle w:val="afa"/>
              <w:rPr>
                <w:rFonts w:ascii="Times New Roman" w:hAnsi="Times New Roman" w:cs="Times New Roman"/>
              </w:rPr>
            </w:pPr>
            <w:r>
              <w:rPr>
                <w:rFonts w:ascii="Times New Roman" w:hAnsi="Times New Roman" w:cs="Times New Roman"/>
              </w:rPr>
              <w:t>- на приготовление пищи и нагрев воды с использованием газовой плиты и нагрев воды с использованием газового водонагревателя при отсутствии центрального горячего водоснабжения (в отсутствие других направлений использования газа).</w:t>
            </w:r>
          </w:p>
        </w:tc>
        <w:tc>
          <w:tcPr>
            <w:tcW w:w="1904" w:type="dxa"/>
            <w:tcBorders>
              <w:top w:val="single" w:sz="4" w:space="0" w:color="auto"/>
              <w:left w:val="single" w:sz="4" w:space="0" w:color="auto"/>
              <w:bottom w:val="single" w:sz="4" w:space="0" w:color="auto"/>
              <w:right w:val="single" w:sz="4" w:space="0" w:color="auto"/>
            </w:tcBorders>
            <w:vAlign w:val="center"/>
            <w:hideMark/>
          </w:tcPr>
          <w:p w:rsidR="005727C2" w:rsidRDefault="005727C2">
            <w:pPr>
              <w:pStyle w:val="afa"/>
              <w:jc w:val="center"/>
              <w:rPr>
                <w:rFonts w:ascii="Times New Roman" w:hAnsi="Times New Roman" w:cs="Times New Roman"/>
                <w:b/>
              </w:rPr>
            </w:pPr>
            <w:r>
              <w:rPr>
                <w:rFonts w:ascii="Times New Roman" w:hAnsi="Times New Roman" w:cs="Times New Roman"/>
                <w:b/>
              </w:rPr>
              <w:t>5 835,0</w:t>
            </w:r>
          </w:p>
        </w:tc>
        <w:tc>
          <w:tcPr>
            <w:tcW w:w="1985" w:type="dxa"/>
            <w:tcBorders>
              <w:top w:val="single" w:sz="4" w:space="0" w:color="auto"/>
              <w:left w:val="single" w:sz="4" w:space="0" w:color="auto"/>
              <w:bottom w:val="single" w:sz="4" w:space="0" w:color="auto"/>
              <w:right w:val="single" w:sz="4" w:space="0" w:color="auto"/>
            </w:tcBorders>
            <w:vAlign w:val="center"/>
            <w:hideMark/>
          </w:tcPr>
          <w:p w:rsidR="005727C2" w:rsidRDefault="005727C2">
            <w:pPr>
              <w:pStyle w:val="afa"/>
              <w:jc w:val="center"/>
              <w:rPr>
                <w:rFonts w:ascii="Times New Roman" w:hAnsi="Times New Roman" w:cs="Times New Roman"/>
                <w:b/>
              </w:rPr>
            </w:pPr>
            <w:r>
              <w:rPr>
                <w:rFonts w:ascii="Times New Roman" w:hAnsi="Times New Roman" w:cs="Times New Roman"/>
                <w:b/>
              </w:rPr>
              <w:t>5 934,0</w:t>
            </w:r>
          </w:p>
        </w:tc>
        <w:tc>
          <w:tcPr>
            <w:tcW w:w="1637" w:type="dxa"/>
            <w:tcBorders>
              <w:top w:val="single" w:sz="4" w:space="0" w:color="auto"/>
              <w:left w:val="single" w:sz="4" w:space="0" w:color="auto"/>
              <w:bottom w:val="single" w:sz="4" w:space="0" w:color="auto"/>
              <w:right w:val="single" w:sz="4" w:space="0" w:color="auto"/>
            </w:tcBorders>
            <w:vAlign w:val="center"/>
            <w:hideMark/>
          </w:tcPr>
          <w:p w:rsidR="005727C2" w:rsidRDefault="005727C2">
            <w:pPr>
              <w:pStyle w:val="afa"/>
              <w:jc w:val="center"/>
              <w:rPr>
                <w:rFonts w:ascii="Times New Roman" w:hAnsi="Times New Roman" w:cs="Times New Roman"/>
                <w:b/>
              </w:rPr>
            </w:pPr>
            <w:r>
              <w:rPr>
                <w:rFonts w:ascii="Times New Roman" w:hAnsi="Times New Roman" w:cs="Times New Roman"/>
                <w:b/>
              </w:rPr>
              <w:t>6 124,0</w:t>
            </w:r>
          </w:p>
        </w:tc>
      </w:tr>
      <w:tr w:rsidR="005727C2" w:rsidTr="005727C2">
        <w:trPr>
          <w:trHeight w:val="51"/>
        </w:trPr>
        <w:tc>
          <w:tcPr>
            <w:tcW w:w="0" w:type="auto"/>
            <w:vMerge/>
            <w:tcBorders>
              <w:top w:val="single" w:sz="4" w:space="0" w:color="auto"/>
              <w:left w:val="single" w:sz="4" w:space="0" w:color="auto"/>
              <w:bottom w:val="single" w:sz="4" w:space="0" w:color="auto"/>
              <w:right w:val="single" w:sz="4" w:space="0" w:color="auto"/>
            </w:tcBorders>
            <w:vAlign w:val="center"/>
            <w:hideMark/>
          </w:tcPr>
          <w:p w:rsidR="005727C2" w:rsidRDefault="005727C2">
            <w:pPr>
              <w:spacing w:after="0" w:line="240" w:lineRule="auto"/>
              <w:rPr>
                <w:rFonts w:eastAsiaTheme="minorHAnsi"/>
                <w:lang w:eastAsia="zh-CN"/>
              </w:rPr>
            </w:pPr>
          </w:p>
        </w:tc>
        <w:tc>
          <w:tcPr>
            <w:tcW w:w="1904" w:type="dxa"/>
            <w:tcBorders>
              <w:top w:val="single" w:sz="4" w:space="0" w:color="auto"/>
              <w:left w:val="single" w:sz="4" w:space="0" w:color="auto"/>
              <w:bottom w:val="single" w:sz="4" w:space="0" w:color="auto"/>
              <w:right w:val="single" w:sz="4" w:space="0" w:color="auto"/>
            </w:tcBorders>
            <w:vAlign w:val="center"/>
          </w:tcPr>
          <w:p w:rsidR="005727C2" w:rsidRDefault="005727C2">
            <w:pPr>
              <w:pStyle w:val="afa"/>
              <w:jc w:val="center"/>
              <w:rPr>
                <w:rFonts w:ascii="Times New Roman" w:hAnsi="Times New Roman" w:cs="Times New Roman"/>
                <w:i/>
              </w:rPr>
            </w:pPr>
          </w:p>
        </w:tc>
        <w:tc>
          <w:tcPr>
            <w:tcW w:w="1985" w:type="dxa"/>
            <w:tcBorders>
              <w:top w:val="single" w:sz="4" w:space="0" w:color="auto"/>
              <w:left w:val="single" w:sz="4" w:space="0" w:color="auto"/>
              <w:bottom w:val="single" w:sz="4" w:space="0" w:color="auto"/>
              <w:right w:val="single" w:sz="4" w:space="0" w:color="auto"/>
            </w:tcBorders>
            <w:vAlign w:val="center"/>
            <w:hideMark/>
          </w:tcPr>
          <w:p w:rsidR="005727C2" w:rsidRDefault="005727C2">
            <w:pPr>
              <w:pStyle w:val="afa"/>
              <w:jc w:val="center"/>
              <w:rPr>
                <w:rFonts w:ascii="Times New Roman" w:hAnsi="Times New Roman" w:cs="Times New Roman"/>
                <w:i/>
              </w:rPr>
            </w:pPr>
            <w:r>
              <w:rPr>
                <w:rFonts w:ascii="Times New Roman" w:hAnsi="Times New Roman" w:cs="Times New Roman"/>
                <w:i/>
              </w:rPr>
              <w:t>101,7%</w:t>
            </w:r>
          </w:p>
        </w:tc>
        <w:tc>
          <w:tcPr>
            <w:tcW w:w="1637" w:type="dxa"/>
            <w:tcBorders>
              <w:top w:val="single" w:sz="4" w:space="0" w:color="auto"/>
              <w:left w:val="single" w:sz="4" w:space="0" w:color="auto"/>
              <w:bottom w:val="single" w:sz="4" w:space="0" w:color="auto"/>
              <w:right w:val="single" w:sz="4" w:space="0" w:color="auto"/>
            </w:tcBorders>
            <w:vAlign w:val="center"/>
            <w:hideMark/>
          </w:tcPr>
          <w:p w:rsidR="005727C2" w:rsidRDefault="005727C2">
            <w:pPr>
              <w:pStyle w:val="afa"/>
              <w:jc w:val="center"/>
              <w:rPr>
                <w:rFonts w:ascii="Times New Roman" w:hAnsi="Times New Roman" w:cs="Times New Roman"/>
                <w:i/>
              </w:rPr>
            </w:pPr>
            <w:r>
              <w:rPr>
                <w:rFonts w:ascii="Times New Roman" w:hAnsi="Times New Roman" w:cs="Times New Roman"/>
                <w:i/>
              </w:rPr>
              <w:t>103,2%</w:t>
            </w:r>
          </w:p>
        </w:tc>
      </w:tr>
      <w:tr w:rsidR="005727C2" w:rsidTr="005727C2">
        <w:trPr>
          <w:trHeight w:val="905"/>
        </w:trPr>
        <w:tc>
          <w:tcPr>
            <w:tcW w:w="4333" w:type="dxa"/>
            <w:vMerge w:val="restart"/>
            <w:tcBorders>
              <w:top w:val="single" w:sz="4" w:space="0" w:color="auto"/>
              <w:left w:val="single" w:sz="4" w:space="0" w:color="auto"/>
              <w:bottom w:val="single" w:sz="4" w:space="0" w:color="auto"/>
              <w:right w:val="single" w:sz="4" w:space="0" w:color="auto"/>
            </w:tcBorders>
            <w:hideMark/>
          </w:tcPr>
          <w:p w:rsidR="005727C2" w:rsidRDefault="005727C2">
            <w:pPr>
              <w:pStyle w:val="afa"/>
              <w:rPr>
                <w:rFonts w:ascii="Times New Roman" w:hAnsi="Times New Roman" w:cs="Times New Roman"/>
              </w:rPr>
            </w:pPr>
            <w:r>
              <w:rPr>
                <w:rFonts w:ascii="Times New Roman" w:hAnsi="Times New Roman" w:cs="Times New Roman"/>
              </w:rPr>
              <w:t xml:space="preserve">- на отопление с одновременным использованием газа на другие цели (кроме отопления и (или) выработки электрической энергии с использованием котельных всех типов и (или) иного оборудования, находящихся в общей долевой собственности собственников помещений в многоквартирных домах); </w:t>
            </w:r>
          </w:p>
          <w:p w:rsidR="005727C2" w:rsidRDefault="005727C2">
            <w:pPr>
              <w:pStyle w:val="afa"/>
              <w:rPr>
                <w:rFonts w:ascii="Times New Roman" w:hAnsi="Times New Roman" w:cs="Times New Roman"/>
              </w:rPr>
            </w:pPr>
            <w:r>
              <w:rPr>
                <w:rFonts w:ascii="Times New Roman" w:hAnsi="Times New Roman" w:cs="Times New Roman"/>
              </w:rPr>
              <w:t>- на отопление и (или) выработку электрической энергии с использованием котельных всех типов и (или) иного оборудования, находящихся в общей долевой собственности собственников помещений в многоквартирных домах</w:t>
            </w:r>
          </w:p>
        </w:tc>
        <w:tc>
          <w:tcPr>
            <w:tcW w:w="1904" w:type="dxa"/>
            <w:tcBorders>
              <w:top w:val="single" w:sz="4" w:space="0" w:color="auto"/>
              <w:left w:val="single" w:sz="4" w:space="0" w:color="auto"/>
              <w:bottom w:val="single" w:sz="4" w:space="0" w:color="auto"/>
              <w:right w:val="single" w:sz="4" w:space="0" w:color="auto"/>
            </w:tcBorders>
            <w:vAlign w:val="center"/>
            <w:hideMark/>
          </w:tcPr>
          <w:p w:rsidR="005727C2" w:rsidRDefault="005727C2">
            <w:pPr>
              <w:pStyle w:val="afa"/>
              <w:jc w:val="center"/>
              <w:rPr>
                <w:rFonts w:ascii="Times New Roman" w:hAnsi="Times New Roman" w:cs="Times New Roman"/>
                <w:b/>
              </w:rPr>
            </w:pPr>
            <w:r>
              <w:rPr>
                <w:rFonts w:ascii="Times New Roman" w:hAnsi="Times New Roman" w:cs="Times New Roman"/>
                <w:b/>
              </w:rPr>
              <w:t>5 026,0</w:t>
            </w:r>
          </w:p>
        </w:tc>
        <w:tc>
          <w:tcPr>
            <w:tcW w:w="1985" w:type="dxa"/>
            <w:tcBorders>
              <w:top w:val="single" w:sz="4" w:space="0" w:color="auto"/>
              <w:left w:val="single" w:sz="4" w:space="0" w:color="auto"/>
              <w:bottom w:val="single" w:sz="4" w:space="0" w:color="auto"/>
              <w:right w:val="single" w:sz="4" w:space="0" w:color="auto"/>
            </w:tcBorders>
            <w:vAlign w:val="center"/>
            <w:hideMark/>
          </w:tcPr>
          <w:p w:rsidR="005727C2" w:rsidRDefault="005727C2">
            <w:pPr>
              <w:pStyle w:val="afa"/>
              <w:jc w:val="center"/>
              <w:rPr>
                <w:rFonts w:ascii="Times New Roman" w:hAnsi="Times New Roman" w:cs="Times New Roman"/>
                <w:b/>
              </w:rPr>
            </w:pPr>
            <w:r>
              <w:rPr>
                <w:rFonts w:ascii="Times New Roman" w:hAnsi="Times New Roman" w:cs="Times New Roman"/>
                <w:b/>
              </w:rPr>
              <w:t>5 111,0</w:t>
            </w:r>
          </w:p>
        </w:tc>
        <w:tc>
          <w:tcPr>
            <w:tcW w:w="1637" w:type="dxa"/>
            <w:tcBorders>
              <w:top w:val="single" w:sz="4" w:space="0" w:color="auto"/>
              <w:left w:val="single" w:sz="4" w:space="0" w:color="auto"/>
              <w:bottom w:val="single" w:sz="4" w:space="0" w:color="auto"/>
              <w:right w:val="single" w:sz="4" w:space="0" w:color="auto"/>
            </w:tcBorders>
            <w:vAlign w:val="center"/>
            <w:hideMark/>
          </w:tcPr>
          <w:p w:rsidR="005727C2" w:rsidRDefault="005727C2">
            <w:pPr>
              <w:pStyle w:val="afa"/>
              <w:jc w:val="center"/>
              <w:rPr>
                <w:rFonts w:ascii="Times New Roman" w:hAnsi="Times New Roman" w:cs="Times New Roman"/>
                <w:b/>
              </w:rPr>
            </w:pPr>
            <w:r>
              <w:rPr>
                <w:rFonts w:ascii="Times New Roman" w:hAnsi="Times New Roman" w:cs="Times New Roman"/>
                <w:b/>
              </w:rPr>
              <w:t>5 274,0</w:t>
            </w:r>
          </w:p>
        </w:tc>
      </w:tr>
      <w:tr w:rsidR="005727C2" w:rsidTr="005727C2">
        <w:trPr>
          <w:trHeight w:val="759"/>
        </w:trPr>
        <w:tc>
          <w:tcPr>
            <w:tcW w:w="0" w:type="auto"/>
            <w:vMerge/>
            <w:tcBorders>
              <w:top w:val="single" w:sz="4" w:space="0" w:color="auto"/>
              <w:left w:val="single" w:sz="4" w:space="0" w:color="auto"/>
              <w:bottom w:val="single" w:sz="4" w:space="0" w:color="auto"/>
              <w:right w:val="single" w:sz="4" w:space="0" w:color="auto"/>
            </w:tcBorders>
            <w:vAlign w:val="center"/>
            <w:hideMark/>
          </w:tcPr>
          <w:p w:rsidR="005727C2" w:rsidRDefault="005727C2">
            <w:pPr>
              <w:spacing w:after="0" w:line="240" w:lineRule="auto"/>
              <w:rPr>
                <w:rFonts w:eastAsiaTheme="minorHAnsi"/>
                <w:lang w:eastAsia="zh-CN"/>
              </w:rPr>
            </w:pPr>
          </w:p>
        </w:tc>
        <w:tc>
          <w:tcPr>
            <w:tcW w:w="1904" w:type="dxa"/>
            <w:tcBorders>
              <w:top w:val="single" w:sz="4" w:space="0" w:color="auto"/>
              <w:left w:val="single" w:sz="4" w:space="0" w:color="auto"/>
              <w:bottom w:val="single" w:sz="4" w:space="0" w:color="auto"/>
              <w:right w:val="single" w:sz="4" w:space="0" w:color="auto"/>
            </w:tcBorders>
            <w:vAlign w:val="center"/>
          </w:tcPr>
          <w:p w:rsidR="005727C2" w:rsidRDefault="005727C2">
            <w:pPr>
              <w:pStyle w:val="afa"/>
              <w:jc w:val="center"/>
              <w:rPr>
                <w:rFonts w:ascii="Times New Roman" w:hAnsi="Times New Roman" w:cs="Times New Roman"/>
                <w:i/>
              </w:rPr>
            </w:pPr>
          </w:p>
        </w:tc>
        <w:tc>
          <w:tcPr>
            <w:tcW w:w="1985" w:type="dxa"/>
            <w:tcBorders>
              <w:top w:val="single" w:sz="4" w:space="0" w:color="auto"/>
              <w:left w:val="single" w:sz="4" w:space="0" w:color="auto"/>
              <w:bottom w:val="single" w:sz="4" w:space="0" w:color="auto"/>
              <w:right w:val="single" w:sz="4" w:space="0" w:color="auto"/>
            </w:tcBorders>
            <w:vAlign w:val="center"/>
            <w:hideMark/>
          </w:tcPr>
          <w:p w:rsidR="005727C2" w:rsidRDefault="005727C2">
            <w:pPr>
              <w:pStyle w:val="afa"/>
              <w:jc w:val="center"/>
              <w:rPr>
                <w:rFonts w:ascii="Times New Roman" w:hAnsi="Times New Roman" w:cs="Times New Roman"/>
                <w:i/>
              </w:rPr>
            </w:pPr>
            <w:r>
              <w:rPr>
                <w:rFonts w:ascii="Times New Roman" w:hAnsi="Times New Roman" w:cs="Times New Roman"/>
                <w:i/>
              </w:rPr>
              <w:t>101,7%</w:t>
            </w:r>
          </w:p>
        </w:tc>
        <w:tc>
          <w:tcPr>
            <w:tcW w:w="1637" w:type="dxa"/>
            <w:tcBorders>
              <w:top w:val="single" w:sz="4" w:space="0" w:color="auto"/>
              <w:left w:val="single" w:sz="4" w:space="0" w:color="auto"/>
              <w:bottom w:val="single" w:sz="4" w:space="0" w:color="auto"/>
              <w:right w:val="single" w:sz="4" w:space="0" w:color="auto"/>
            </w:tcBorders>
            <w:vAlign w:val="center"/>
            <w:hideMark/>
          </w:tcPr>
          <w:p w:rsidR="005727C2" w:rsidRDefault="005727C2">
            <w:pPr>
              <w:pStyle w:val="afa"/>
              <w:jc w:val="center"/>
              <w:rPr>
                <w:rFonts w:ascii="Times New Roman" w:hAnsi="Times New Roman" w:cs="Times New Roman"/>
                <w:i/>
              </w:rPr>
            </w:pPr>
            <w:r>
              <w:rPr>
                <w:rFonts w:ascii="Times New Roman" w:hAnsi="Times New Roman" w:cs="Times New Roman"/>
                <w:i/>
              </w:rPr>
              <w:t>103,2%</w:t>
            </w:r>
          </w:p>
        </w:tc>
      </w:tr>
      <w:tr w:rsidR="005727C2" w:rsidTr="005727C2">
        <w:trPr>
          <w:trHeight w:val="759"/>
        </w:trPr>
        <w:tc>
          <w:tcPr>
            <w:tcW w:w="4333" w:type="dxa"/>
            <w:tcBorders>
              <w:top w:val="single" w:sz="4" w:space="0" w:color="auto"/>
              <w:left w:val="single" w:sz="4" w:space="0" w:color="auto"/>
              <w:bottom w:val="single" w:sz="4" w:space="0" w:color="auto"/>
              <w:right w:val="single" w:sz="4" w:space="0" w:color="auto"/>
            </w:tcBorders>
            <w:vAlign w:val="center"/>
            <w:hideMark/>
          </w:tcPr>
          <w:p w:rsidR="005727C2" w:rsidRDefault="005727C2">
            <w:pPr>
              <w:pStyle w:val="afa"/>
              <w:rPr>
                <w:rFonts w:ascii="Times New Roman" w:hAnsi="Times New Roman" w:cs="Times New Roman"/>
              </w:rPr>
            </w:pPr>
            <w:r>
              <w:rPr>
                <w:rFonts w:ascii="Times New Roman" w:hAnsi="Times New Roman" w:cs="Times New Roman"/>
              </w:rPr>
              <w:t>Приказ департамента по тарифам Новосибирской области</w:t>
            </w:r>
          </w:p>
        </w:tc>
        <w:tc>
          <w:tcPr>
            <w:tcW w:w="1904" w:type="dxa"/>
            <w:tcBorders>
              <w:top w:val="single" w:sz="4" w:space="0" w:color="auto"/>
              <w:left w:val="single" w:sz="4" w:space="0" w:color="auto"/>
              <w:bottom w:val="single" w:sz="4" w:space="0" w:color="auto"/>
              <w:right w:val="single" w:sz="4" w:space="0" w:color="auto"/>
            </w:tcBorders>
            <w:vAlign w:val="center"/>
            <w:hideMark/>
          </w:tcPr>
          <w:p w:rsidR="005727C2" w:rsidRDefault="005727C2">
            <w:pPr>
              <w:pStyle w:val="afa"/>
              <w:rPr>
                <w:rFonts w:ascii="Times New Roman" w:hAnsi="Times New Roman" w:cs="Times New Roman"/>
              </w:rPr>
            </w:pPr>
            <w:r>
              <w:rPr>
                <w:rFonts w:ascii="Times New Roman" w:hAnsi="Times New Roman" w:cs="Times New Roman"/>
              </w:rPr>
              <w:t xml:space="preserve">от 20.06.2018 </w:t>
            </w:r>
          </w:p>
          <w:p w:rsidR="005727C2" w:rsidRDefault="005727C2">
            <w:pPr>
              <w:pStyle w:val="afa"/>
              <w:rPr>
                <w:rFonts w:ascii="Times New Roman" w:hAnsi="Times New Roman" w:cs="Times New Roman"/>
              </w:rPr>
            </w:pPr>
            <w:r>
              <w:rPr>
                <w:rFonts w:ascii="Times New Roman" w:hAnsi="Times New Roman" w:cs="Times New Roman"/>
              </w:rPr>
              <w:t>№ 135-Г</w:t>
            </w:r>
          </w:p>
        </w:tc>
        <w:tc>
          <w:tcPr>
            <w:tcW w:w="1985" w:type="dxa"/>
            <w:tcBorders>
              <w:top w:val="single" w:sz="4" w:space="0" w:color="auto"/>
              <w:left w:val="single" w:sz="4" w:space="0" w:color="auto"/>
              <w:bottom w:val="single" w:sz="4" w:space="0" w:color="auto"/>
              <w:right w:val="single" w:sz="4" w:space="0" w:color="auto"/>
            </w:tcBorders>
            <w:vAlign w:val="center"/>
            <w:hideMark/>
          </w:tcPr>
          <w:p w:rsidR="005727C2" w:rsidRDefault="005727C2">
            <w:pPr>
              <w:pStyle w:val="afa"/>
              <w:rPr>
                <w:rFonts w:ascii="Times New Roman" w:hAnsi="Times New Roman" w:cs="Times New Roman"/>
              </w:rPr>
            </w:pPr>
            <w:r>
              <w:rPr>
                <w:rFonts w:ascii="Times New Roman" w:hAnsi="Times New Roman" w:cs="Times New Roman"/>
              </w:rPr>
              <w:t xml:space="preserve">от 13.12.2018 </w:t>
            </w:r>
          </w:p>
          <w:p w:rsidR="005727C2" w:rsidRDefault="005727C2">
            <w:pPr>
              <w:pStyle w:val="afa"/>
              <w:rPr>
                <w:rFonts w:ascii="Times New Roman" w:hAnsi="Times New Roman" w:cs="Times New Roman"/>
              </w:rPr>
            </w:pPr>
            <w:r>
              <w:rPr>
                <w:rFonts w:ascii="Times New Roman" w:hAnsi="Times New Roman" w:cs="Times New Roman"/>
              </w:rPr>
              <w:t>№ 758-Г</w:t>
            </w:r>
          </w:p>
        </w:tc>
        <w:tc>
          <w:tcPr>
            <w:tcW w:w="1637" w:type="dxa"/>
            <w:tcBorders>
              <w:top w:val="single" w:sz="4" w:space="0" w:color="auto"/>
              <w:left w:val="single" w:sz="4" w:space="0" w:color="auto"/>
              <w:bottom w:val="single" w:sz="4" w:space="0" w:color="auto"/>
              <w:right w:val="single" w:sz="4" w:space="0" w:color="auto"/>
            </w:tcBorders>
            <w:vAlign w:val="center"/>
            <w:hideMark/>
          </w:tcPr>
          <w:p w:rsidR="005727C2" w:rsidRDefault="005727C2">
            <w:pPr>
              <w:pStyle w:val="afa"/>
              <w:rPr>
                <w:rFonts w:ascii="Times New Roman" w:hAnsi="Times New Roman" w:cs="Times New Roman"/>
              </w:rPr>
            </w:pPr>
            <w:r>
              <w:rPr>
                <w:rFonts w:ascii="Times New Roman" w:hAnsi="Times New Roman" w:cs="Times New Roman"/>
              </w:rPr>
              <w:t xml:space="preserve">от 16.06.2019 </w:t>
            </w:r>
          </w:p>
          <w:p w:rsidR="005727C2" w:rsidRDefault="005727C2">
            <w:pPr>
              <w:pStyle w:val="afa"/>
              <w:rPr>
                <w:rFonts w:ascii="Times New Roman" w:hAnsi="Times New Roman" w:cs="Times New Roman"/>
              </w:rPr>
            </w:pPr>
            <w:r>
              <w:rPr>
                <w:rFonts w:ascii="Times New Roman" w:hAnsi="Times New Roman" w:cs="Times New Roman"/>
              </w:rPr>
              <w:t>№ 174-Г</w:t>
            </w:r>
          </w:p>
        </w:tc>
      </w:tr>
    </w:tbl>
    <w:p w:rsidR="005727C2" w:rsidRDefault="005727C2" w:rsidP="005727C2">
      <w:pPr>
        <w:pStyle w:val="afa"/>
        <w:ind w:firstLine="851"/>
        <w:jc w:val="both"/>
        <w:rPr>
          <w:rFonts w:ascii="Times New Roman" w:hAnsi="Times New Roman" w:cs="Times New Roman"/>
          <w:sz w:val="28"/>
          <w:szCs w:val="28"/>
        </w:rPr>
      </w:pPr>
    </w:p>
    <w:p w:rsidR="005727C2" w:rsidRDefault="005727C2" w:rsidP="005727C2">
      <w:pPr>
        <w:pStyle w:val="afa"/>
        <w:ind w:firstLine="851"/>
        <w:jc w:val="both"/>
        <w:rPr>
          <w:rFonts w:ascii="Times New Roman" w:hAnsi="Times New Roman" w:cs="Times New Roman"/>
          <w:sz w:val="28"/>
          <w:szCs w:val="28"/>
        </w:rPr>
      </w:pPr>
      <w:r>
        <w:rPr>
          <w:rFonts w:ascii="Times New Roman" w:hAnsi="Times New Roman" w:cs="Times New Roman"/>
          <w:sz w:val="28"/>
          <w:szCs w:val="28"/>
        </w:rPr>
        <w:t xml:space="preserve">Соблюдение </w:t>
      </w:r>
      <w:r w:rsidR="00364535">
        <w:rPr>
          <w:rFonts w:ascii="Times New Roman" w:hAnsi="Times New Roman" w:cs="Times New Roman"/>
          <w:sz w:val="28"/>
          <w:szCs w:val="28"/>
        </w:rPr>
        <w:t>Д</w:t>
      </w:r>
      <w:r>
        <w:rPr>
          <w:rFonts w:ascii="Times New Roman" w:hAnsi="Times New Roman" w:cs="Times New Roman"/>
          <w:sz w:val="28"/>
          <w:szCs w:val="28"/>
        </w:rPr>
        <w:t>епартаментом среднего индекса изменения размера вносимой гражданами платы за коммунальные услуги согласуется с принципом удовлетворения платежеспособного спроса на газ, закрепленным в статье 20 Федерального закона от 31.03.1999 № 69-ФЗ «О газоснабжении в Российской Федерации».</w:t>
      </w:r>
    </w:p>
    <w:p w:rsidR="005727C2" w:rsidRDefault="005727C2" w:rsidP="005727C2">
      <w:pPr>
        <w:pStyle w:val="afa"/>
        <w:ind w:firstLine="142"/>
        <w:jc w:val="both"/>
        <w:rPr>
          <w:rFonts w:ascii="Times New Roman" w:hAnsi="Times New Roman" w:cs="Times New Roman"/>
          <w:b/>
          <w:i/>
          <w:sz w:val="28"/>
          <w:szCs w:val="28"/>
        </w:rPr>
      </w:pPr>
    </w:p>
    <w:p w:rsidR="005727C2" w:rsidRPr="00A92E7A" w:rsidRDefault="005727C2" w:rsidP="00364535">
      <w:pPr>
        <w:pStyle w:val="afa"/>
        <w:numPr>
          <w:ilvl w:val="2"/>
          <w:numId w:val="8"/>
        </w:numPr>
        <w:ind w:hanging="153"/>
        <w:jc w:val="both"/>
        <w:rPr>
          <w:rFonts w:ascii="Times New Roman" w:hAnsi="Times New Roman" w:cs="Times New Roman"/>
          <w:b/>
          <w:sz w:val="28"/>
          <w:szCs w:val="28"/>
        </w:rPr>
      </w:pPr>
      <w:r w:rsidRPr="00A92E7A">
        <w:rPr>
          <w:rFonts w:ascii="Times New Roman" w:hAnsi="Times New Roman" w:cs="Times New Roman"/>
          <w:b/>
          <w:sz w:val="28"/>
          <w:szCs w:val="28"/>
        </w:rPr>
        <w:t>Показатели надежности и качества услуг по транспортировке газа по газораспределительным сетям</w:t>
      </w:r>
    </w:p>
    <w:p w:rsidR="005727C2" w:rsidRDefault="005727C2" w:rsidP="005727C2">
      <w:pPr>
        <w:pStyle w:val="afa"/>
        <w:ind w:firstLine="993"/>
        <w:jc w:val="both"/>
        <w:rPr>
          <w:rFonts w:ascii="Times New Roman" w:hAnsi="Times New Roman" w:cs="Times New Roman"/>
          <w:sz w:val="28"/>
          <w:szCs w:val="28"/>
        </w:rPr>
      </w:pPr>
      <w:r>
        <w:rPr>
          <w:rFonts w:ascii="Times New Roman" w:hAnsi="Times New Roman" w:cs="Times New Roman"/>
          <w:sz w:val="28"/>
          <w:szCs w:val="28"/>
        </w:rPr>
        <w:t xml:space="preserve">В соответствии с требованиями Правил определения показателей надежности и качества услуг по транспортировке газа по газораспределительным сетям, утвержденных постановлением Правительства Российской Федерации от 18.10.2014 № 1074, и в соответствии с Методикой расчета плановых и фактических показателей надежности и качества услуг по транспортировке газа по газораспределительным сетям, утвержденной приказом Минэнерго России от </w:t>
      </w:r>
      <w:r>
        <w:rPr>
          <w:rFonts w:ascii="Times New Roman" w:hAnsi="Times New Roman" w:cs="Times New Roman"/>
          <w:sz w:val="28"/>
          <w:szCs w:val="28"/>
        </w:rPr>
        <w:lastRenderedPageBreak/>
        <w:t xml:space="preserve">15.12.2014 № 926, приказом </w:t>
      </w:r>
      <w:r w:rsidR="00364535">
        <w:rPr>
          <w:rFonts w:ascii="Times New Roman" w:hAnsi="Times New Roman" w:cs="Times New Roman"/>
          <w:sz w:val="28"/>
          <w:szCs w:val="28"/>
        </w:rPr>
        <w:t>Д</w:t>
      </w:r>
      <w:r>
        <w:rPr>
          <w:rFonts w:ascii="Times New Roman" w:hAnsi="Times New Roman" w:cs="Times New Roman"/>
          <w:sz w:val="28"/>
          <w:szCs w:val="28"/>
        </w:rPr>
        <w:t xml:space="preserve">епартамента от 18.06.2019 № 175-Г определены фактические значения показателей надежности и качества услуг по транспортировке газа по газораспределительным сетям за 2018 год для 15 газораспределительных организаций. Приказом </w:t>
      </w:r>
      <w:r w:rsidR="00364535">
        <w:rPr>
          <w:rFonts w:ascii="Times New Roman" w:hAnsi="Times New Roman" w:cs="Times New Roman"/>
          <w:sz w:val="28"/>
          <w:szCs w:val="28"/>
        </w:rPr>
        <w:t>Д</w:t>
      </w:r>
      <w:r>
        <w:rPr>
          <w:rFonts w:ascii="Times New Roman" w:hAnsi="Times New Roman" w:cs="Times New Roman"/>
          <w:sz w:val="28"/>
          <w:szCs w:val="28"/>
        </w:rPr>
        <w:t>епартамента от 13.08.2019  № 226-Г установлены плановые показатели надежности и качества услуг по транспортировке газа по газораспределительным сетям на долгосрочный период регулирования 2019-2023 годов для 2 газораспределительных организаций ООО «Стимул» и ООО «Энергосети Сибири».</w:t>
      </w:r>
    </w:p>
    <w:p w:rsidR="005727C2" w:rsidRDefault="005727C2" w:rsidP="005727C2">
      <w:pPr>
        <w:pStyle w:val="afa"/>
        <w:ind w:firstLine="851"/>
        <w:jc w:val="both"/>
        <w:rPr>
          <w:rFonts w:ascii="Times New Roman" w:hAnsi="Times New Roman" w:cs="Times New Roman"/>
          <w:b/>
          <w:i/>
          <w:sz w:val="28"/>
          <w:szCs w:val="28"/>
        </w:rPr>
      </w:pPr>
    </w:p>
    <w:p w:rsidR="005727C2" w:rsidRPr="00A92E7A" w:rsidRDefault="005727C2" w:rsidP="00364535">
      <w:pPr>
        <w:pStyle w:val="afa"/>
        <w:numPr>
          <w:ilvl w:val="2"/>
          <w:numId w:val="8"/>
        </w:numPr>
        <w:ind w:hanging="153"/>
        <w:jc w:val="both"/>
        <w:rPr>
          <w:rFonts w:ascii="Times New Roman" w:hAnsi="Times New Roman" w:cs="Times New Roman"/>
          <w:b/>
          <w:sz w:val="28"/>
          <w:szCs w:val="28"/>
        </w:rPr>
      </w:pPr>
      <w:r w:rsidRPr="00A92E7A">
        <w:rPr>
          <w:rFonts w:ascii="Times New Roman" w:hAnsi="Times New Roman" w:cs="Times New Roman"/>
          <w:b/>
          <w:sz w:val="28"/>
          <w:szCs w:val="28"/>
        </w:rPr>
        <w:t>Сжиженный газ для населения</w:t>
      </w:r>
    </w:p>
    <w:p w:rsidR="005727C2" w:rsidRDefault="005727C2" w:rsidP="005727C2">
      <w:pPr>
        <w:pStyle w:val="afa"/>
        <w:ind w:firstLine="851"/>
        <w:jc w:val="both"/>
        <w:rPr>
          <w:rFonts w:ascii="Times New Roman" w:hAnsi="Times New Roman" w:cs="Times New Roman"/>
          <w:sz w:val="28"/>
          <w:szCs w:val="28"/>
        </w:rPr>
      </w:pPr>
      <w:r>
        <w:rPr>
          <w:rFonts w:ascii="Times New Roman" w:hAnsi="Times New Roman" w:cs="Times New Roman"/>
          <w:sz w:val="28"/>
          <w:szCs w:val="28"/>
        </w:rPr>
        <w:t xml:space="preserve">Сжиженный газ реализуется населению, проживающему на территории Новосибирской области, региональной газораспределительной организацией ООО «Новосибирскоблгаз» (ОГРН 1075475004241, ИНН 5433168404),   уполномоченной реализовывать сжиженный углеводородный газ для бытовых нужд населения. </w:t>
      </w:r>
    </w:p>
    <w:p w:rsidR="005727C2" w:rsidRDefault="005727C2" w:rsidP="005727C2">
      <w:pPr>
        <w:pStyle w:val="afa"/>
        <w:ind w:firstLine="851"/>
        <w:jc w:val="both"/>
        <w:rPr>
          <w:rFonts w:ascii="Times New Roman" w:hAnsi="Times New Roman" w:cs="Times New Roman"/>
          <w:sz w:val="28"/>
          <w:szCs w:val="28"/>
        </w:rPr>
      </w:pPr>
      <w:r>
        <w:rPr>
          <w:rFonts w:ascii="Times New Roman" w:hAnsi="Times New Roman" w:cs="Times New Roman"/>
          <w:sz w:val="28"/>
          <w:szCs w:val="28"/>
        </w:rPr>
        <w:t>На 2020 год предельные (максимальные) розничные цены на газ сжиженный, реализуемый населению для бытовых нужд, установлены департаментом в соответствии с требованиями Методических указаний № 129-э/2, с ростом относительно ранее действующих цен на 4,9 %, в целях соблюдения среднего индекса изменения размера вносимой гражданами платы за коммунальные услуги, утвержденного распоряжением Правительства Российской Федерации от 29.10.2019 № 2556-р для Новосибирской области на 2020 год (4,9% с 01.07.2020).</w:t>
      </w:r>
    </w:p>
    <w:p w:rsidR="005727C2" w:rsidRDefault="005727C2" w:rsidP="005727C2">
      <w:pPr>
        <w:pStyle w:val="afa"/>
        <w:ind w:firstLine="851"/>
        <w:jc w:val="both"/>
        <w:rPr>
          <w:rFonts w:ascii="Times New Roman" w:hAnsi="Times New Roman" w:cs="Times New Roman"/>
          <w:sz w:val="28"/>
          <w:szCs w:val="28"/>
        </w:rPr>
      </w:pPr>
      <w:r>
        <w:rPr>
          <w:rFonts w:ascii="Times New Roman" w:hAnsi="Times New Roman" w:cs="Times New Roman"/>
          <w:sz w:val="28"/>
          <w:szCs w:val="28"/>
        </w:rPr>
        <w:t>Увеличение розничной цены на сжиженный газ обусловлено ростом расходов на покупку сжиженного газа (оплата за газ поставщику) на 13,7 % в связи с тем, что постановлением Правительства Российской Федерации от 30.11.2018 № 1442 «Об изменении и признании утратившими силу некоторых актов Правительства Российской Федерации по вопросам государственного регулирования цен на газ» признано утратившим силу постановление Правительства Российской Федерации от 15.04.1995 № 332 «О мерах по упорядочению государственного регулирования цен на газ и сырье для его производства» и, в связи с этим, с 18 декабря 2018 года государственное регулирование оптовых цен на сжиженный газа для бытовых нужд населения прекращено.</w:t>
      </w:r>
    </w:p>
    <w:p w:rsidR="005727C2" w:rsidRDefault="005727C2" w:rsidP="005727C2">
      <w:pPr>
        <w:pStyle w:val="afa"/>
        <w:ind w:firstLine="851"/>
        <w:jc w:val="both"/>
        <w:rPr>
          <w:rFonts w:ascii="Times New Roman" w:hAnsi="Times New Roman" w:cs="Times New Roman"/>
          <w:sz w:val="28"/>
          <w:szCs w:val="28"/>
        </w:rPr>
      </w:pPr>
      <w:r>
        <w:rPr>
          <w:rFonts w:ascii="Times New Roman" w:hAnsi="Times New Roman" w:cs="Times New Roman"/>
          <w:sz w:val="28"/>
          <w:szCs w:val="28"/>
        </w:rPr>
        <w:t>Розничные цены, действующие с 1 января 2020 года по 31 декабря 2020 года, а также соответствующий приказ департамента указаны в  таблице</w:t>
      </w:r>
      <w:r w:rsidR="00A92E7A">
        <w:rPr>
          <w:rFonts w:ascii="Times New Roman" w:hAnsi="Times New Roman" w:cs="Times New Roman"/>
          <w:sz w:val="28"/>
          <w:szCs w:val="28"/>
        </w:rPr>
        <w:t xml:space="preserve"> № 2.3.4</w:t>
      </w:r>
      <w:r>
        <w:rPr>
          <w:rFonts w:ascii="Times New Roman" w:hAnsi="Times New Roman" w:cs="Times New Roman"/>
          <w:sz w:val="28"/>
          <w:szCs w:val="28"/>
        </w:rPr>
        <w:t>.</w:t>
      </w:r>
    </w:p>
    <w:p w:rsidR="005727C2" w:rsidRPr="00A92E7A" w:rsidRDefault="00A92E7A" w:rsidP="005727C2">
      <w:pPr>
        <w:pStyle w:val="afa"/>
        <w:ind w:firstLine="851"/>
        <w:jc w:val="both"/>
        <w:rPr>
          <w:rFonts w:ascii="Times New Roman" w:hAnsi="Times New Roman" w:cs="Times New Roman"/>
          <w:sz w:val="24"/>
          <w:szCs w:val="24"/>
        </w:rPr>
      </w:pPr>
      <w:r w:rsidRPr="00A92E7A">
        <w:rPr>
          <w:rFonts w:ascii="Times New Roman" w:hAnsi="Times New Roman" w:cs="Times New Roman"/>
          <w:sz w:val="24"/>
          <w:szCs w:val="24"/>
        </w:rPr>
        <w:t>Таблица № 2.3.4</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505"/>
        <w:gridCol w:w="2024"/>
        <w:gridCol w:w="1710"/>
        <w:gridCol w:w="2620"/>
      </w:tblGrid>
      <w:tr w:rsidR="005727C2" w:rsidTr="005727C2">
        <w:tc>
          <w:tcPr>
            <w:tcW w:w="3505" w:type="dxa"/>
            <w:vMerge w:val="restart"/>
            <w:tcBorders>
              <w:top w:val="single" w:sz="4" w:space="0" w:color="auto"/>
              <w:left w:val="single" w:sz="4" w:space="0" w:color="auto"/>
              <w:bottom w:val="single" w:sz="4" w:space="0" w:color="auto"/>
              <w:right w:val="single" w:sz="4" w:space="0" w:color="auto"/>
            </w:tcBorders>
            <w:vAlign w:val="center"/>
            <w:hideMark/>
          </w:tcPr>
          <w:p w:rsidR="005727C2" w:rsidRDefault="005727C2" w:rsidP="00364535">
            <w:pPr>
              <w:spacing w:after="0" w:line="240" w:lineRule="auto"/>
              <w:jc w:val="center"/>
              <w:rPr>
                <w:lang w:eastAsia="en-US"/>
              </w:rPr>
            </w:pPr>
            <w:r>
              <w:rPr>
                <w:sz w:val="22"/>
                <w:szCs w:val="22"/>
                <w:lang w:eastAsia="en-US"/>
              </w:rPr>
              <w:tab/>
              <w:t>Категории</w:t>
            </w:r>
          </w:p>
        </w:tc>
        <w:tc>
          <w:tcPr>
            <w:tcW w:w="3734" w:type="dxa"/>
            <w:gridSpan w:val="2"/>
            <w:tcBorders>
              <w:top w:val="single" w:sz="4" w:space="0" w:color="auto"/>
              <w:left w:val="single" w:sz="4" w:space="0" w:color="auto"/>
              <w:bottom w:val="single" w:sz="4" w:space="0" w:color="auto"/>
              <w:right w:val="single" w:sz="4" w:space="0" w:color="auto"/>
            </w:tcBorders>
            <w:hideMark/>
          </w:tcPr>
          <w:p w:rsidR="005727C2" w:rsidRDefault="005727C2" w:rsidP="00364535">
            <w:pPr>
              <w:spacing w:after="0" w:line="240" w:lineRule="auto"/>
              <w:jc w:val="center"/>
              <w:rPr>
                <w:lang w:eastAsia="en-US"/>
              </w:rPr>
            </w:pPr>
            <w:r>
              <w:rPr>
                <w:sz w:val="22"/>
                <w:szCs w:val="22"/>
                <w:lang w:eastAsia="en-US"/>
              </w:rPr>
              <w:t>Предельные максимальные уровни розничных цен на сжиженный газ для бытовых нужд (с НДС)</w:t>
            </w:r>
          </w:p>
        </w:tc>
        <w:tc>
          <w:tcPr>
            <w:tcW w:w="2620" w:type="dxa"/>
            <w:vMerge w:val="restart"/>
            <w:tcBorders>
              <w:top w:val="single" w:sz="4" w:space="0" w:color="auto"/>
              <w:left w:val="single" w:sz="4" w:space="0" w:color="auto"/>
              <w:bottom w:val="single" w:sz="4" w:space="0" w:color="auto"/>
              <w:right w:val="single" w:sz="4" w:space="0" w:color="auto"/>
            </w:tcBorders>
            <w:vAlign w:val="center"/>
            <w:hideMark/>
          </w:tcPr>
          <w:p w:rsidR="005727C2" w:rsidRDefault="005727C2" w:rsidP="00364535">
            <w:pPr>
              <w:spacing w:after="0" w:line="240" w:lineRule="auto"/>
              <w:jc w:val="center"/>
              <w:rPr>
                <w:lang w:eastAsia="en-US"/>
              </w:rPr>
            </w:pPr>
            <w:r>
              <w:rPr>
                <w:lang w:eastAsia="en-US"/>
              </w:rPr>
              <w:t>Приказ департамента по тарифам Новосибирской области</w:t>
            </w:r>
          </w:p>
        </w:tc>
      </w:tr>
      <w:tr w:rsidR="005727C2" w:rsidTr="005727C2">
        <w:trPr>
          <w:trHeight w:val="430"/>
        </w:trPr>
        <w:tc>
          <w:tcPr>
            <w:tcW w:w="0" w:type="auto"/>
            <w:vMerge/>
            <w:tcBorders>
              <w:top w:val="single" w:sz="4" w:space="0" w:color="auto"/>
              <w:left w:val="single" w:sz="4" w:space="0" w:color="auto"/>
              <w:bottom w:val="single" w:sz="4" w:space="0" w:color="auto"/>
              <w:right w:val="single" w:sz="4" w:space="0" w:color="auto"/>
            </w:tcBorders>
            <w:vAlign w:val="center"/>
            <w:hideMark/>
          </w:tcPr>
          <w:p w:rsidR="005727C2" w:rsidRDefault="005727C2" w:rsidP="00364535">
            <w:pPr>
              <w:spacing w:after="0" w:line="240" w:lineRule="auto"/>
              <w:rPr>
                <w:lang w:eastAsia="en-US"/>
              </w:rPr>
            </w:pPr>
          </w:p>
        </w:tc>
        <w:tc>
          <w:tcPr>
            <w:tcW w:w="2024" w:type="dxa"/>
            <w:tcBorders>
              <w:top w:val="single" w:sz="4" w:space="0" w:color="auto"/>
              <w:left w:val="single" w:sz="4" w:space="0" w:color="auto"/>
              <w:bottom w:val="single" w:sz="4" w:space="0" w:color="auto"/>
              <w:right w:val="single" w:sz="4" w:space="0" w:color="auto"/>
            </w:tcBorders>
            <w:hideMark/>
          </w:tcPr>
          <w:p w:rsidR="005727C2" w:rsidRDefault="005727C2" w:rsidP="00364535">
            <w:pPr>
              <w:spacing w:after="0" w:line="240" w:lineRule="auto"/>
              <w:jc w:val="center"/>
              <w:rPr>
                <w:lang w:eastAsia="en-US"/>
              </w:rPr>
            </w:pPr>
            <w:r>
              <w:rPr>
                <w:sz w:val="22"/>
                <w:szCs w:val="22"/>
                <w:lang w:eastAsia="en-US"/>
              </w:rPr>
              <w:t>с 1 января по 30 июня  2020 г.</w:t>
            </w:r>
          </w:p>
        </w:tc>
        <w:tc>
          <w:tcPr>
            <w:tcW w:w="1710" w:type="dxa"/>
            <w:tcBorders>
              <w:top w:val="single" w:sz="4" w:space="0" w:color="auto"/>
              <w:left w:val="single" w:sz="4" w:space="0" w:color="auto"/>
              <w:bottom w:val="single" w:sz="4" w:space="0" w:color="auto"/>
              <w:right w:val="single" w:sz="4" w:space="0" w:color="auto"/>
            </w:tcBorders>
            <w:hideMark/>
          </w:tcPr>
          <w:p w:rsidR="005727C2" w:rsidRDefault="005727C2" w:rsidP="00364535">
            <w:pPr>
              <w:spacing w:after="0" w:line="240" w:lineRule="auto"/>
              <w:jc w:val="center"/>
              <w:rPr>
                <w:lang w:eastAsia="en-US"/>
              </w:rPr>
            </w:pPr>
            <w:r>
              <w:rPr>
                <w:sz w:val="22"/>
                <w:szCs w:val="22"/>
                <w:lang w:eastAsia="en-US"/>
              </w:rPr>
              <w:t>с 1 июля  по 31 декабря 2020 г.</w:t>
            </w: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5727C2" w:rsidRDefault="005727C2" w:rsidP="00364535">
            <w:pPr>
              <w:spacing w:after="0" w:line="240" w:lineRule="auto"/>
              <w:rPr>
                <w:lang w:eastAsia="en-US"/>
              </w:rPr>
            </w:pPr>
          </w:p>
        </w:tc>
      </w:tr>
      <w:tr w:rsidR="005727C2" w:rsidTr="005727C2">
        <w:trPr>
          <w:trHeight w:val="843"/>
        </w:trPr>
        <w:tc>
          <w:tcPr>
            <w:tcW w:w="3505" w:type="dxa"/>
            <w:tcBorders>
              <w:top w:val="single" w:sz="4" w:space="0" w:color="auto"/>
              <w:left w:val="single" w:sz="4" w:space="0" w:color="auto"/>
              <w:bottom w:val="single" w:sz="4" w:space="0" w:color="auto"/>
              <w:right w:val="single" w:sz="4" w:space="0" w:color="auto"/>
            </w:tcBorders>
            <w:vAlign w:val="center"/>
            <w:hideMark/>
          </w:tcPr>
          <w:p w:rsidR="005727C2" w:rsidRDefault="005727C2" w:rsidP="00364535">
            <w:pPr>
              <w:spacing w:after="0" w:line="240" w:lineRule="auto"/>
              <w:rPr>
                <w:lang w:eastAsia="en-US"/>
              </w:rPr>
            </w:pPr>
            <w:r>
              <w:rPr>
                <w:sz w:val="22"/>
                <w:szCs w:val="22"/>
                <w:lang w:eastAsia="en-US"/>
              </w:rPr>
              <w:t>Сжиженный газ, реализуемый в баллонах без доставки до потребителя  (руб./кг)</w:t>
            </w:r>
          </w:p>
        </w:tc>
        <w:tc>
          <w:tcPr>
            <w:tcW w:w="2024" w:type="dxa"/>
            <w:tcBorders>
              <w:top w:val="single" w:sz="4" w:space="0" w:color="auto"/>
              <w:left w:val="single" w:sz="4" w:space="0" w:color="auto"/>
              <w:bottom w:val="single" w:sz="4" w:space="0" w:color="auto"/>
              <w:right w:val="single" w:sz="4" w:space="0" w:color="auto"/>
            </w:tcBorders>
            <w:vAlign w:val="center"/>
            <w:hideMark/>
          </w:tcPr>
          <w:p w:rsidR="005727C2" w:rsidRDefault="005727C2" w:rsidP="00364535">
            <w:pPr>
              <w:spacing w:after="0" w:line="240" w:lineRule="auto"/>
              <w:jc w:val="center"/>
              <w:rPr>
                <w:b/>
                <w:lang w:eastAsia="en-US"/>
              </w:rPr>
            </w:pPr>
            <w:r>
              <w:rPr>
                <w:b/>
                <w:sz w:val="22"/>
                <w:szCs w:val="22"/>
                <w:lang w:eastAsia="en-US"/>
              </w:rPr>
              <w:t>34,27</w:t>
            </w:r>
          </w:p>
        </w:tc>
        <w:tc>
          <w:tcPr>
            <w:tcW w:w="1710" w:type="dxa"/>
            <w:tcBorders>
              <w:top w:val="single" w:sz="4" w:space="0" w:color="auto"/>
              <w:left w:val="single" w:sz="4" w:space="0" w:color="auto"/>
              <w:bottom w:val="single" w:sz="4" w:space="0" w:color="auto"/>
              <w:right w:val="single" w:sz="4" w:space="0" w:color="auto"/>
            </w:tcBorders>
            <w:vAlign w:val="center"/>
            <w:hideMark/>
          </w:tcPr>
          <w:p w:rsidR="005727C2" w:rsidRDefault="005727C2" w:rsidP="00364535">
            <w:pPr>
              <w:spacing w:after="0" w:line="240" w:lineRule="auto"/>
              <w:jc w:val="center"/>
              <w:rPr>
                <w:b/>
                <w:lang w:eastAsia="en-US"/>
              </w:rPr>
            </w:pPr>
            <w:r>
              <w:rPr>
                <w:b/>
                <w:sz w:val="22"/>
                <w:szCs w:val="22"/>
                <w:lang w:eastAsia="en-US"/>
              </w:rPr>
              <w:t>35,95</w:t>
            </w:r>
          </w:p>
        </w:tc>
        <w:tc>
          <w:tcPr>
            <w:tcW w:w="2620" w:type="dxa"/>
            <w:vMerge w:val="restart"/>
            <w:tcBorders>
              <w:top w:val="single" w:sz="4" w:space="0" w:color="auto"/>
              <w:left w:val="single" w:sz="4" w:space="0" w:color="auto"/>
              <w:bottom w:val="single" w:sz="4" w:space="0" w:color="auto"/>
              <w:right w:val="single" w:sz="4" w:space="0" w:color="auto"/>
            </w:tcBorders>
            <w:vAlign w:val="center"/>
            <w:hideMark/>
          </w:tcPr>
          <w:p w:rsidR="005727C2" w:rsidRDefault="005727C2" w:rsidP="00364535">
            <w:pPr>
              <w:spacing w:after="0" w:line="240" w:lineRule="auto"/>
              <w:jc w:val="center"/>
              <w:rPr>
                <w:b/>
                <w:lang w:eastAsia="en-US"/>
              </w:rPr>
            </w:pPr>
            <w:r>
              <w:rPr>
                <w:sz w:val="22"/>
                <w:szCs w:val="22"/>
                <w:lang w:eastAsia="en-US"/>
              </w:rPr>
              <w:t xml:space="preserve">от 19.11.2019 № 423-Г «Об установлении розничных цен на сжиженный газ, реализуемый Обществом с ограниченной ответственностью «Новосибирскоблгаз» населению для бытовых </w:t>
            </w:r>
            <w:r>
              <w:rPr>
                <w:sz w:val="22"/>
                <w:szCs w:val="22"/>
                <w:lang w:eastAsia="en-US"/>
              </w:rPr>
              <w:lastRenderedPageBreak/>
              <w:t>нужд», на 2020 год</w:t>
            </w:r>
          </w:p>
        </w:tc>
      </w:tr>
      <w:tr w:rsidR="005727C2" w:rsidTr="005727C2">
        <w:trPr>
          <w:trHeight w:val="827"/>
        </w:trPr>
        <w:tc>
          <w:tcPr>
            <w:tcW w:w="3505" w:type="dxa"/>
            <w:tcBorders>
              <w:top w:val="single" w:sz="4" w:space="0" w:color="auto"/>
              <w:left w:val="single" w:sz="4" w:space="0" w:color="auto"/>
              <w:bottom w:val="single" w:sz="4" w:space="0" w:color="auto"/>
              <w:right w:val="single" w:sz="4" w:space="0" w:color="auto"/>
            </w:tcBorders>
            <w:vAlign w:val="center"/>
            <w:hideMark/>
          </w:tcPr>
          <w:p w:rsidR="005727C2" w:rsidRDefault="005727C2" w:rsidP="00364535">
            <w:pPr>
              <w:spacing w:after="0" w:line="240" w:lineRule="auto"/>
              <w:rPr>
                <w:lang w:eastAsia="en-US"/>
              </w:rPr>
            </w:pPr>
            <w:r>
              <w:rPr>
                <w:sz w:val="22"/>
                <w:szCs w:val="22"/>
                <w:lang w:eastAsia="en-US"/>
              </w:rPr>
              <w:t>Сжиженный газ, реализуемый в баллонах с доставкой до потребителя  (руб./кг)</w:t>
            </w:r>
          </w:p>
        </w:tc>
        <w:tc>
          <w:tcPr>
            <w:tcW w:w="2024" w:type="dxa"/>
            <w:tcBorders>
              <w:top w:val="single" w:sz="4" w:space="0" w:color="auto"/>
              <w:left w:val="single" w:sz="4" w:space="0" w:color="auto"/>
              <w:bottom w:val="single" w:sz="4" w:space="0" w:color="auto"/>
              <w:right w:val="single" w:sz="4" w:space="0" w:color="auto"/>
            </w:tcBorders>
            <w:vAlign w:val="center"/>
            <w:hideMark/>
          </w:tcPr>
          <w:p w:rsidR="005727C2" w:rsidRDefault="005727C2" w:rsidP="00364535">
            <w:pPr>
              <w:spacing w:after="0" w:line="240" w:lineRule="auto"/>
              <w:jc w:val="center"/>
              <w:rPr>
                <w:b/>
                <w:lang w:eastAsia="en-US"/>
              </w:rPr>
            </w:pPr>
            <w:r>
              <w:rPr>
                <w:b/>
                <w:sz w:val="22"/>
                <w:szCs w:val="22"/>
                <w:lang w:eastAsia="en-US"/>
              </w:rPr>
              <w:t>44,85</w:t>
            </w:r>
          </w:p>
        </w:tc>
        <w:tc>
          <w:tcPr>
            <w:tcW w:w="1710" w:type="dxa"/>
            <w:tcBorders>
              <w:top w:val="single" w:sz="4" w:space="0" w:color="auto"/>
              <w:left w:val="single" w:sz="4" w:space="0" w:color="auto"/>
              <w:bottom w:val="single" w:sz="4" w:space="0" w:color="auto"/>
              <w:right w:val="single" w:sz="4" w:space="0" w:color="auto"/>
            </w:tcBorders>
            <w:vAlign w:val="center"/>
            <w:hideMark/>
          </w:tcPr>
          <w:p w:rsidR="005727C2" w:rsidRDefault="005727C2" w:rsidP="00364535">
            <w:pPr>
              <w:spacing w:after="0" w:line="240" w:lineRule="auto"/>
              <w:jc w:val="center"/>
              <w:rPr>
                <w:b/>
                <w:lang w:eastAsia="en-US"/>
              </w:rPr>
            </w:pPr>
            <w:r>
              <w:rPr>
                <w:b/>
                <w:sz w:val="22"/>
                <w:szCs w:val="22"/>
                <w:lang w:eastAsia="en-US"/>
              </w:rPr>
              <w:t>47,04</w:t>
            </w: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5727C2" w:rsidRDefault="005727C2" w:rsidP="00364535">
            <w:pPr>
              <w:spacing w:after="0" w:line="240" w:lineRule="auto"/>
              <w:rPr>
                <w:b/>
                <w:lang w:eastAsia="en-US"/>
              </w:rPr>
            </w:pPr>
          </w:p>
        </w:tc>
      </w:tr>
      <w:tr w:rsidR="005727C2" w:rsidTr="005727C2">
        <w:trPr>
          <w:trHeight w:val="421"/>
        </w:trPr>
        <w:tc>
          <w:tcPr>
            <w:tcW w:w="3505" w:type="dxa"/>
            <w:tcBorders>
              <w:top w:val="single" w:sz="4" w:space="0" w:color="auto"/>
              <w:left w:val="single" w:sz="4" w:space="0" w:color="auto"/>
              <w:bottom w:val="single" w:sz="4" w:space="0" w:color="auto"/>
              <w:right w:val="single" w:sz="4" w:space="0" w:color="auto"/>
            </w:tcBorders>
            <w:vAlign w:val="center"/>
            <w:hideMark/>
          </w:tcPr>
          <w:p w:rsidR="005727C2" w:rsidRDefault="005727C2" w:rsidP="00364535">
            <w:pPr>
              <w:spacing w:after="0" w:line="240" w:lineRule="auto"/>
              <w:rPr>
                <w:lang w:eastAsia="en-US"/>
              </w:rPr>
            </w:pPr>
            <w:r>
              <w:rPr>
                <w:sz w:val="22"/>
                <w:szCs w:val="22"/>
                <w:lang w:eastAsia="en-US"/>
              </w:rPr>
              <w:t>Сжиженный газ, реализуемый из групповых газовых резервуарных установок  (руб./кг)</w:t>
            </w:r>
          </w:p>
        </w:tc>
        <w:tc>
          <w:tcPr>
            <w:tcW w:w="2024" w:type="dxa"/>
            <w:tcBorders>
              <w:top w:val="single" w:sz="4" w:space="0" w:color="auto"/>
              <w:left w:val="single" w:sz="4" w:space="0" w:color="auto"/>
              <w:bottom w:val="single" w:sz="4" w:space="0" w:color="auto"/>
              <w:right w:val="single" w:sz="4" w:space="0" w:color="auto"/>
            </w:tcBorders>
            <w:vAlign w:val="center"/>
            <w:hideMark/>
          </w:tcPr>
          <w:p w:rsidR="005727C2" w:rsidRDefault="005727C2" w:rsidP="00364535">
            <w:pPr>
              <w:spacing w:after="0" w:line="240" w:lineRule="auto"/>
              <w:jc w:val="center"/>
              <w:rPr>
                <w:b/>
                <w:lang w:eastAsia="en-US"/>
              </w:rPr>
            </w:pPr>
            <w:r>
              <w:rPr>
                <w:b/>
                <w:sz w:val="22"/>
                <w:szCs w:val="22"/>
                <w:lang w:eastAsia="en-US"/>
              </w:rPr>
              <w:t>38,05</w:t>
            </w:r>
          </w:p>
        </w:tc>
        <w:tc>
          <w:tcPr>
            <w:tcW w:w="1710" w:type="dxa"/>
            <w:tcBorders>
              <w:top w:val="single" w:sz="4" w:space="0" w:color="auto"/>
              <w:left w:val="single" w:sz="4" w:space="0" w:color="auto"/>
              <w:bottom w:val="single" w:sz="4" w:space="0" w:color="auto"/>
              <w:right w:val="single" w:sz="4" w:space="0" w:color="auto"/>
            </w:tcBorders>
            <w:vAlign w:val="center"/>
            <w:hideMark/>
          </w:tcPr>
          <w:p w:rsidR="005727C2" w:rsidRDefault="005727C2" w:rsidP="00364535">
            <w:pPr>
              <w:spacing w:after="0" w:line="240" w:lineRule="auto"/>
              <w:jc w:val="center"/>
              <w:rPr>
                <w:b/>
                <w:lang w:eastAsia="en-US"/>
              </w:rPr>
            </w:pPr>
            <w:r>
              <w:rPr>
                <w:b/>
                <w:sz w:val="22"/>
                <w:szCs w:val="22"/>
                <w:lang w:eastAsia="en-US"/>
              </w:rPr>
              <w:t>39,91</w:t>
            </w: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5727C2" w:rsidRDefault="005727C2" w:rsidP="00364535">
            <w:pPr>
              <w:spacing w:after="0" w:line="240" w:lineRule="auto"/>
              <w:rPr>
                <w:b/>
                <w:lang w:eastAsia="en-US"/>
              </w:rPr>
            </w:pPr>
          </w:p>
        </w:tc>
      </w:tr>
      <w:tr w:rsidR="005727C2" w:rsidTr="005727C2">
        <w:trPr>
          <w:trHeight w:val="704"/>
        </w:trPr>
        <w:tc>
          <w:tcPr>
            <w:tcW w:w="3505" w:type="dxa"/>
            <w:tcBorders>
              <w:top w:val="single" w:sz="4" w:space="0" w:color="auto"/>
              <w:left w:val="single" w:sz="4" w:space="0" w:color="auto"/>
              <w:bottom w:val="single" w:sz="4" w:space="0" w:color="auto"/>
              <w:right w:val="single" w:sz="4" w:space="0" w:color="auto"/>
            </w:tcBorders>
            <w:vAlign w:val="center"/>
            <w:hideMark/>
          </w:tcPr>
          <w:p w:rsidR="005727C2" w:rsidRDefault="005727C2" w:rsidP="00364535">
            <w:pPr>
              <w:spacing w:after="0" w:line="240" w:lineRule="auto"/>
              <w:rPr>
                <w:lang w:eastAsia="en-US"/>
              </w:rPr>
            </w:pPr>
            <w:r>
              <w:rPr>
                <w:sz w:val="22"/>
                <w:szCs w:val="22"/>
                <w:lang w:eastAsia="en-US"/>
              </w:rPr>
              <w:lastRenderedPageBreak/>
              <w:t>Сжиженный газ, реализуемый из групповых газовых резервуарных установок при наличии приборов учета (руб./куб.м)</w:t>
            </w:r>
          </w:p>
        </w:tc>
        <w:tc>
          <w:tcPr>
            <w:tcW w:w="2024" w:type="dxa"/>
            <w:tcBorders>
              <w:top w:val="single" w:sz="4" w:space="0" w:color="auto"/>
              <w:left w:val="single" w:sz="4" w:space="0" w:color="auto"/>
              <w:bottom w:val="single" w:sz="4" w:space="0" w:color="auto"/>
              <w:right w:val="single" w:sz="4" w:space="0" w:color="auto"/>
            </w:tcBorders>
            <w:vAlign w:val="center"/>
            <w:hideMark/>
          </w:tcPr>
          <w:p w:rsidR="005727C2" w:rsidRDefault="005727C2" w:rsidP="00364535">
            <w:pPr>
              <w:spacing w:after="0" w:line="240" w:lineRule="auto"/>
              <w:jc w:val="center"/>
              <w:rPr>
                <w:b/>
                <w:lang w:eastAsia="en-US"/>
              </w:rPr>
            </w:pPr>
            <w:r>
              <w:rPr>
                <w:b/>
                <w:sz w:val="22"/>
                <w:szCs w:val="22"/>
                <w:lang w:eastAsia="en-US"/>
              </w:rPr>
              <w:t>83,71</w:t>
            </w:r>
          </w:p>
        </w:tc>
        <w:tc>
          <w:tcPr>
            <w:tcW w:w="1710" w:type="dxa"/>
            <w:tcBorders>
              <w:top w:val="single" w:sz="4" w:space="0" w:color="auto"/>
              <w:left w:val="single" w:sz="4" w:space="0" w:color="auto"/>
              <w:bottom w:val="single" w:sz="4" w:space="0" w:color="auto"/>
              <w:right w:val="single" w:sz="4" w:space="0" w:color="auto"/>
            </w:tcBorders>
            <w:vAlign w:val="center"/>
            <w:hideMark/>
          </w:tcPr>
          <w:p w:rsidR="005727C2" w:rsidRDefault="005727C2" w:rsidP="00364535">
            <w:pPr>
              <w:spacing w:after="0" w:line="240" w:lineRule="auto"/>
              <w:jc w:val="center"/>
              <w:rPr>
                <w:b/>
                <w:lang w:eastAsia="en-US"/>
              </w:rPr>
            </w:pPr>
            <w:r>
              <w:rPr>
                <w:b/>
                <w:sz w:val="22"/>
                <w:szCs w:val="22"/>
                <w:lang w:eastAsia="en-US"/>
              </w:rPr>
              <w:t>87,80</w:t>
            </w: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5727C2" w:rsidRDefault="005727C2" w:rsidP="00364535">
            <w:pPr>
              <w:spacing w:after="0" w:line="240" w:lineRule="auto"/>
              <w:rPr>
                <w:b/>
                <w:lang w:eastAsia="en-US"/>
              </w:rPr>
            </w:pPr>
          </w:p>
        </w:tc>
      </w:tr>
    </w:tbl>
    <w:p w:rsidR="005727C2" w:rsidRDefault="005727C2" w:rsidP="005727C2">
      <w:pPr>
        <w:pStyle w:val="a8"/>
        <w:rPr>
          <w:rFonts w:eastAsia="MS Mincho"/>
          <w:b/>
          <w:szCs w:val="28"/>
        </w:rPr>
      </w:pPr>
    </w:p>
    <w:p w:rsidR="005727C2" w:rsidRPr="00A92E7A" w:rsidRDefault="005727C2" w:rsidP="00F93C07">
      <w:pPr>
        <w:pStyle w:val="ConsPlusNormal"/>
        <w:numPr>
          <w:ilvl w:val="2"/>
          <w:numId w:val="8"/>
        </w:numPr>
        <w:ind w:hanging="11"/>
        <w:jc w:val="both"/>
        <w:rPr>
          <w:rFonts w:ascii="Times New Roman" w:hAnsi="Times New Roman" w:cs="Times New Roman"/>
          <w:b/>
          <w:sz w:val="28"/>
          <w:szCs w:val="28"/>
        </w:rPr>
      </w:pPr>
      <w:r w:rsidRPr="00A92E7A">
        <w:rPr>
          <w:rFonts w:ascii="Times New Roman" w:hAnsi="Times New Roman" w:cs="Times New Roman"/>
          <w:b/>
          <w:sz w:val="28"/>
          <w:szCs w:val="28"/>
        </w:rPr>
        <w:t>Плата за технологическое присоединение газоиспользующего оборудования к газораспределительным сетям</w:t>
      </w:r>
    </w:p>
    <w:p w:rsidR="005727C2" w:rsidRDefault="005727C2" w:rsidP="005727C2">
      <w:pPr>
        <w:pStyle w:val="ConsPlusNormal"/>
        <w:ind w:firstLine="993"/>
        <w:jc w:val="both"/>
        <w:rPr>
          <w:rFonts w:ascii="Times New Roman" w:hAnsi="Times New Roman" w:cs="Times New Roman"/>
          <w:sz w:val="28"/>
          <w:szCs w:val="28"/>
        </w:rPr>
      </w:pPr>
      <w:r>
        <w:rPr>
          <w:rFonts w:ascii="Times New Roman" w:hAnsi="Times New Roman" w:cs="Times New Roman"/>
          <w:sz w:val="28"/>
          <w:szCs w:val="28"/>
        </w:rPr>
        <w:t xml:space="preserve"> В 2019 году отделом подготовлено </w:t>
      </w:r>
      <w:r>
        <w:rPr>
          <w:rFonts w:ascii="Times New Roman" w:hAnsi="Times New Roman" w:cs="Times New Roman"/>
          <w:color w:val="000000" w:themeColor="text1"/>
          <w:sz w:val="28"/>
          <w:szCs w:val="28"/>
          <w:shd w:val="clear" w:color="auto" w:fill="FFFFFF" w:themeFill="background1"/>
        </w:rPr>
        <w:t>43</w:t>
      </w:r>
      <w:r>
        <w:rPr>
          <w:rFonts w:ascii="Times New Roman" w:hAnsi="Times New Roman" w:cs="Times New Roman"/>
          <w:color w:val="000000" w:themeColor="text1"/>
          <w:sz w:val="28"/>
          <w:szCs w:val="28"/>
        </w:rPr>
        <w:t xml:space="preserve"> экспертных </w:t>
      </w:r>
      <w:r>
        <w:rPr>
          <w:rFonts w:ascii="Times New Roman" w:hAnsi="Times New Roman" w:cs="Times New Roman"/>
          <w:sz w:val="28"/>
          <w:szCs w:val="28"/>
        </w:rPr>
        <w:t xml:space="preserve">заключения, на основании которых </w:t>
      </w:r>
      <w:r w:rsidR="00364535">
        <w:rPr>
          <w:rFonts w:ascii="Times New Roman" w:hAnsi="Times New Roman" w:cs="Times New Roman"/>
          <w:sz w:val="28"/>
          <w:szCs w:val="28"/>
        </w:rPr>
        <w:t>П</w:t>
      </w:r>
      <w:r>
        <w:rPr>
          <w:rFonts w:ascii="Times New Roman" w:hAnsi="Times New Roman" w:cs="Times New Roman"/>
          <w:sz w:val="28"/>
          <w:szCs w:val="28"/>
        </w:rPr>
        <w:t>равлением департамента приняты решения по установлению платы за технологическое присоединение газоиспользующего оборудования к сетям газораспределения.</w:t>
      </w:r>
    </w:p>
    <w:p w:rsidR="00F93C07" w:rsidRDefault="00F93C07" w:rsidP="005727C2">
      <w:pPr>
        <w:pStyle w:val="ConsPlusNormal"/>
        <w:ind w:firstLine="993"/>
        <w:jc w:val="both"/>
        <w:rPr>
          <w:rFonts w:ascii="Times New Roman" w:hAnsi="Times New Roman" w:cs="Times New Roman"/>
          <w:sz w:val="28"/>
          <w:szCs w:val="28"/>
        </w:rPr>
      </w:pPr>
    </w:p>
    <w:p w:rsidR="005727C2" w:rsidRPr="007C37C8" w:rsidRDefault="005727C2" w:rsidP="00F93C07">
      <w:pPr>
        <w:pStyle w:val="afa"/>
        <w:ind w:firstLine="709"/>
        <w:jc w:val="both"/>
        <w:rPr>
          <w:rFonts w:ascii="Times New Roman" w:hAnsi="Times New Roman" w:cs="Times New Roman"/>
          <w:b/>
          <w:i/>
          <w:sz w:val="28"/>
          <w:szCs w:val="28"/>
        </w:rPr>
      </w:pPr>
      <w:r>
        <w:rPr>
          <w:rFonts w:ascii="Times New Roman" w:hAnsi="Times New Roman" w:cs="Times New Roman"/>
          <w:b/>
          <w:i/>
          <w:sz w:val="28"/>
          <w:szCs w:val="28"/>
        </w:rPr>
        <w:t xml:space="preserve">2.3.6.1. </w:t>
      </w:r>
      <w:r w:rsidRPr="007C37C8">
        <w:rPr>
          <w:rFonts w:ascii="Times New Roman" w:hAnsi="Times New Roman" w:cs="Times New Roman"/>
          <w:b/>
          <w:i/>
          <w:sz w:val="28"/>
          <w:szCs w:val="28"/>
        </w:rPr>
        <w:t>Установление платы за технологическое присоединение по индивидуальным проектам</w:t>
      </w:r>
    </w:p>
    <w:p w:rsidR="005727C2" w:rsidRDefault="005727C2" w:rsidP="005727C2">
      <w:pPr>
        <w:pStyle w:val="afa"/>
        <w:ind w:firstLine="851"/>
        <w:jc w:val="both"/>
        <w:rPr>
          <w:rFonts w:ascii="Times New Roman" w:hAnsi="Times New Roman" w:cs="Times New Roman"/>
          <w:sz w:val="28"/>
          <w:szCs w:val="28"/>
        </w:rPr>
      </w:pPr>
      <w:r>
        <w:rPr>
          <w:rFonts w:ascii="Times New Roman" w:hAnsi="Times New Roman" w:cs="Times New Roman"/>
          <w:sz w:val="28"/>
          <w:szCs w:val="28"/>
        </w:rPr>
        <w:t xml:space="preserve">В 2019 году </w:t>
      </w:r>
      <w:r w:rsidR="00364535">
        <w:rPr>
          <w:rFonts w:ascii="Times New Roman" w:hAnsi="Times New Roman" w:cs="Times New Roman"/>
          <w:sz w:val="28"/>
          <w:szCs w:val="28"/>
        </w:rPr>
        <w:t>Д</w:t>
      </w:r>
      <w:r>
        <w:rPr>
          <w:rFonts w:ascii="Times New Roman" w:hAnsi="Times New Roman" w:cs="Times New Roman"/>
          <w:sz w:val="28"/>
          <w:szCs w:val="28"/>
        </w:rPr>
        <w:t xml:space="preserve">епартаментом установлены </w:t>
      </w:r>
      <w:r w:rsidR="00A92E7A">
        <w:rPr>
          <w:rFonts w:ascii="Times New Roman" w:hAnsi="Times New Roman" w:cs="Times New Roman"/>
          <w:sz w:val="28"/>
          <w:szCs w:val="28"/>
        </w:rPr>
        <w:t xml:space="preserve">32 </w:t>
      </w:r>
      <w:r>
        <w:rPr>
          <w:rFonts w:ascii="Times New Roman" w:hAnsi="Times New Roman" w:cs="Times New Roman"/>
          <w:sz w:val="28"/>
          <w:szCs w:val="28"/>
        </w:rPr>
        <w:t>платы за технологическое присоединение к газораспределительным се</w:t>
      </w:r>
      <w:r w:rsidR="00F93C07">
        <w:rPr>
          <w:rFonts w:ascii="Times New Roman" w:hAnsi="Times New Roman" w:cs="Times New Roman"/>
          <w:sz w:val="28"/>
          <w:szCs w:val="28"/>
        </w:rPr>
        <w:t>тям по индивидуальным проектам. Указанные приказы размещены  на официальном сайте Департамента в сети Интернет в разделе «тарифы» –› «плата за подключение к сетям газоснабжения» -«2019» (</w:t>
      </w:r>
      <w:r w:rsidR="00F93C07" w:rsidRPr="00F93C07">
        <w:rPr>
          <w:rFonts w:ascii="Times New Roman" w:hAnsi="Times New Roman" w:cs="Times New Roman"/>
          <w:sz w:val="28"/>
          <w:szCs w:val="28"/>
        </w:rPr>
        <w:t>https://tarif.nso.ru/page/369</w:t>
      </w:r>
      <w:r w:rsidR="00F93C07">
        <w:rPr>
          <w:rFonts w:ascii="Times New Roman" w:hAnsi="Times New Roman" w:cs="Times New Roman"/>
          <w:sz w:val="28"/>
          <w:szCs w:val="28"/>
        </w:rPr>
        <w:t>).</w:t>
      </w:r>
    </w:p>
    <w:p w:rsidR="005727C2" w:rsidRPr="007C37C8" w:rsidRDefault="007C37C8" w:rsidP="007C37C8">
      <w:pPr>
        <w:pStyle w:val="afa"/>
        <w:ind w:firstLine="851"/>
        <w:jc w:val="center"/>
        <w:rPr>
          <w:rFonts w:ascii="Times New Roman" w:hAnsi="Times New Roman" w:cs="Times New Roman"/>
          <w:sz w:val="24"/>
          <w:szCs w:val="24"/>
        </w:rPr>
      </w:pPr>
      <w:r>
        <w:rPr>
          <w:rFonts w:ascii="Times New Roman" w:hAnsi="Times New Roman" w:cs="Times New Roman"/>
          <w:sz w:val="24"/>
          <w:szCs w:val="24"/>
        </w:rPr>
        <w:t xml:space="preserve">                                                                                                         </w:t>
      </w:r>
    </w:p>
    <w:p w:rsidR="005727C2" w:rsidRPr="003D2783" w:rsidRDefault="005727C2" w:rsidP="005727C2">
      <w:pPr>
        <w:pStyle w:val="afa"/>
        <w:ind w:firstLine="709"/>
        <w:jc w:val="both"/>
        <w:rPr>
          <w:rFonts w:ascii="Times New Roman" w:hAnsi="Times New Roman" w:cs="Times New Roman"/>
          <w:b/>
          <w:i/>
          <w:sz w:val="28"/>
          <w:szCs w:val="28"/>
        </w:rPr>
      </w:pPr>
      <w:r>
        <w:rPr>
          <w:rFonts w:ascii="Times New Roman" w:hAnsi="Times New Roman" w:cs="Times New Roman"/>
          <w:b/>
          <w:i/>
          <w:sz w:val="28"/>
          <w:szCs w:val="28"/>
        </w:rPr>
        <w:t>2.3.6.</w:t>
      </w:r>
      <w:r w:rsidR="007C37C8">
        <w:rPr>
          <w:rFonts w:ascii="Times New Roman" w:hAnsi="Times New Roman" w:cs="Times New Roman"/>
          <w:b/>
          <w:i/>
          <w:sz w:val="28"/>
          <w:szCs w:val="28"/>
        </w:rPr>
        <w:t>2</w:t>
      </w:r>
      <w:r>
        <w:rPr>
          <w:rFonts w:ascii="Times New Roman" w:hAnsi="Times New Roman" w:cs="Times New Roman"/>
          <w:b/>
          <w:i/>
          <w:sz w:val="28"/>
          <w:szCs w:val="28"/>
        </w:rPr>
        <w:t xml:space="preserve">. </w:t>
      </w:r>
      <w:r w:rsidRPr="003D2783">
        <w:rPr>
          <w:rFonts w:ascii="Times New Roman" w:hAnsi="Times New Roman" w:cs="Times New Roman"/>
          <w:b/>
          <w:i/>
          <w:sz w:val="28"/>
          <w:szCs w:val="28"/>
        </w:rPr>
        <w:t>Установление платы за технологическое присоединение газоиспользующего оборудования к газораспределительным сетям и стандартизированных тарифных ставок, определяющих её величину</w:t>
      </w:r>
    </w:p>
    <w:p w:rsidR="005727C2" w:rsidRDefault="005727C2" w:rsidP="005727C2">
      <w:pPr>
        <w:pStyle w:val="afa"/>
        <w:ind w:firstLine="709"/>
        <w:jc w:val="both"/>
        <w:rPr>
          <w:rFonts w:ascii="Times New Roman" w:hAnsi="Times New Roman" w:cs="Times New Roman"/>
          <w:sz w:val="28"/>
          <w:szCs w:val="28"/>
        </w:rPr>
      </w:pPr>
      <w:r>
        <w:rPr>
          <w:rFonts w:ascii="Times New Roman" w:hAnsi="Times New Roman" w:cs="Times New Roman"/>
          <w:sz w:val="28"/>
          <w:szCs w:val="28"/>
        </w:rPr>
        <w:t xml:space="preserve">Размеры платы за технологическое присоединение газоиспользующего оборудования к газораспределительным сетям стандартизированных тарифных ставок, определяющих её величину, </w:t>
      </w:r>
      <w:r w:rsidR="00F93C07">
        <w:rPr>
          <w:rFonts w:ascii="Times New Roman" w:hAnsi="Times New Roman" w:cs="Times New Roman"/>
          <w:sz w:val="28"/>
          <w:szCs w:val="28"/>
        </w:rPr>
        <w:t xml:space="preserve">на  2019 и 2020 годы  </w:t>
      </w:r>
      <w:r>
        <w:rPr>
          <w:rFonts w:ascii="Times New Roman" w:hAnsi="Times New Roman" w:cs="Times New Roman"/>
          <w:sz w:val="28"/>
          <w:szCs w:val="28"/>
        </w:rPr>
        <w:t xml:space="preserve">установлены </w:t>
      </w:r>
      <w:r w:rsidR="00F93C07">
        <w:rPr>
          <w:rFonts w:ascii="Times New Roman" w:hAnsi="Times New Roman" w:cs="Times New Roman"/>
          <w:sz w:val="28"/>
          <w:szCs w:val="28"/>
        </w:rPr>
        <w:t xml:space="preserve">соответствующими </w:t>
      </w:r>
      <w:r>
        <w:rPr>
          <w:rFonts w:ascii="Times New Roman" w:hAnsi="Times New Roman" w:cs="Times New Roman"/>
          <w:sz w:val="28"/>
          <w:szCs w:val="28"/>
        </w:rPr>
        <w:t xml:space="preserve">приказами </w:t>
      </w:r>
      <w:r w:rsidR="00F93C07">
        <w:rPr>
          <w:rFonts w:ascii="Times New Roman" w:hAnsi="Times New Roman" w:cs="Times New Roman"/>
          <w:sz w:val="28"/>
          <w:szCs w:val="28"/>
        </w:rPr>
        <w:t>Д</w:t>
      </w:r>
      <w:r>
        <w:rPr>
          <w:rFonts w:ascii="Times New Roman" w:hAnsi="Times New Roman" w:cs="Times New Roman"/>
          <w:sz w:val="28"/>
          <w:szCs w:val="28"/>
        </w:rPr>
        <w:t>епартамента</w:t>
      </w:r>
      <w:r w:rsidR="00F93C07">
        <w:rPr>
          <w:rFonts w:ascii="Times New Roman" w:hAnsi="Times New Roman" w:cs="Times New Roman"/>
          <w:sz w:val="28"/>
          <w:szCs w:val="28"/>
        </w:rPr>
        <w:t xml:space="preserve"> и </w:t>
      </w:r>
      <w:r w:rsidR="007C37C8">
        <w:rPr>
          <w:rFonts w:ascii="Times New Roman" w:hAnsi="Times New Roman" w:cs="Times New Roman"/>
          <w:sz w:val="28"/>
          <w:szCs w:val="28"/>
        </w:rPr>
        <w:t>размещены на официальном сайте Департамента в разделе «тарифы» –› «плата за подключение к сетям газоснабжения» (</w:t>
      </w:r>
      <w:r w:rsidR="007C37C8" w:rsidRPr="007C37C8">
        <w:rPr>
          <w:rFonts w:ascii="Times New Roman" w:hAnsi="Times New Roman" w:cs="Times New Roman"/>
          <w:sz w:val="28"/>
          <w:szCs w:val="28"/>
        </w:rPr>
        <w:t>https://tarif.nso.ru/page/297</w:t>
      </w:r>
      <w:r w:rsidR="007C37C8">
        <w:rPr>
          <w:rFonts w:ascii="Times New Roman" w:hAnsi="Times New Roman" w:cs="Times New Roman"/>
          <w:sz w:val="28"/>
          <w:szCs w:val="28"/>
        </w:rPr>
        <w:t>).</w:t>
      </w:r>
    </w:p>
    <w:p w:rsidR="005727C2" w:rsidRDefault="005727C2" w:rsidP="005727C2">
      <w:pPr>
        <w:spacing w:after="0" w:line="240" w:lineRule="auto"/>
        <w:ind w:firstLine="900"/>
        <w:jc w:val="both"/>
        <w:rPr>
          <w:sz w:val="28"/>
          <w:szCs w:val="28"/>
        </w:rPr>
      </w:pPr>
    </w:p>
    <w:p w:rsidR="00943F22" w:rsidRDefault="00943F22" w:rsidP="00F93C07">
      <w:pPr>
        <w:pStyle w:val="a5"/>
        <w:spacing w:after="0" w:line="360" w:lineRule="auto"/>
        <w:ind w:firstLine="426"/>
        <w:rPr>
          <w:szCs w:val="32"/>
        </w:rPr>
      </w:pPr>
      <w:r w:rsidRPr="009E5BF7">
        <w:rPr>
          <w:szCs w:val="32"/>
        </w:rPr>
        <w:t>2.4. Водоснабжение и водоотведение</w:t>
      </w:r>
    </w:p>
    <w:p w:rsidR="00A94728" w:rsidRDefault="00A94728" w:rsidP="00F93C07">
      <w:pPr>
        <w:pStyle w:val="a5"/>
        <w:spacing w:after="0" w:line="360" w:lineRule="auto"/>
        <w:ind w:firstLine="567"/>
        <w:rPr>
          <w:sz w:val="28"/>
        </w:rPr>
      </w:pPr>
      <w:r>
        <w:rPr>
          <w:szCs w:val="32"/>
        </w:rPr>
        <w:t xml:space="preserve">   </w:t>
      </w:r>
      <w:r w:rsidRPr="00A94728">
        <w:rPr>
          <w:sz w:val="28"/>
        </w:rPr>
        <w:t>2.4.1. Тарифное регулирование в 2019 году.</w:t>
      </w:r>
    </w:p>
    <w:p w:rsidR="000E6A73" w:rsidRPr="00E06C7A" w:rsidRDefault="000E6A73" w:rsidP="00E06C7A">
      <w:pPr>
        <w:pStyle w:val="afa"/>
        <w:ind w:firstLine="709"/>
        <w:jc w:val="both"/>
        <w:rPr>
          <w:rFonts w:ascii="Times New Roman" w:hAnsi="Times New Roman" w:cs="Times New Roman"/>
          <w:sz w:val="28"/>
          <w:szCs w:val="28"/>
        </w:rPr>
      </w:pPr>
      <w:r w:rsidRPr="00E06C7A">
        <w:rPr>
          <w:rFonts w:ascii="Times New Roman" w:hAnsi="Times New Roman" w:cs="Times New Roman"/>
          <w:sz w:val="28"/>
          <w:szCs w:val="28"/>
        </w:rPr>
        <w:t>Отдел регулирования</w:t>
      </w:r>
      <w:r w:rsidR="003A409C" w:rsidRPr="00E06C7A">
        <w:rPr>
          <w:rFonts w:ascii="Times New Roman" w:hAnsi="Times New Roman" w:cs="Times New Roman"/>
          <w:sz w:val="28"/>
          <w:szCs w:val="28"/>
        </w:rPr>
        <w:t xml:space="preserve"> водоснабжения и водоотведения Д</w:t>
      </w:r>
      <w:r w:rsidRPr="00E06C7A">
        <w:rPr>
          <w:rFonts w:ascii="Times New Roman" w:hAnsi="Times New Roman" w:cs="Times New Roman"/>
          <w:sz w:val="28"/>
          <w:szCs w:val="28"/>
        </w:rPr>
        <w:t>епартамента</w:t>
      </w:r>
      <w:r w:rsidR="00A94728" w:rsidRPr="00E06C7A">
        <w:rPr>
          <w:rFonts w:ascii="Times New Roman" w:hAnsi="Times New Roman" w:cs="Times New Roman"/>
          <w:sz w:val="28"/>
          <w:szCs w:val="28"/>
        </w:rPr>
        <w:t>,</w:t>
      </w:r>
      <w:r w:rsidRPr="00E06C7A">
        <w:rPr>
          <w:rFonts w:ascii="Times New Roman" w:hAnsi="Times New Roman" w:cs="Times New Roman"/>
          <w:sz w:val="28"/>
          <w:szCs w:val="28"/>
        </w:rPr>
        <w:t xml:space="preserve"> </w:t>
      </w:r>
      <w:r w:rsidR="00953A4D" w:rsidRPr="00E06C7A">
        <w:rPr>
          <w:rFonts w:ascii="Times New Roman" w:hAnsi="Times New Roman" w:cs="Times New Roman"/>
          <w:sz w:val="28"/>
          <w:szCs w:val="28"/>
        </w:rPr>
        <w:t>о</w:t>
      </w:r>
      <w:r w:rsidRPr="00E06C7A">
        <w:rPr>
          <w:rFonts w:ascii="Times New Roman" w:hAnsi="Times New Roman" w:cs="Times New Roman"/>
          <w:sz w:val="28"/>
          <w:szCs w:val="28"/>
        </w:rPr>
        <w:t>существляя</w:t>
      </w:r>
      <w:r w:rsidR="00953A4D" w:rsidRPr="00E06C7A">
        <w:rPr>
          <w:rFonts w:ascii="Times New Roman" w:hAnsi="Times New Roman" w:cs="Times New Roman"/>
          <w:sz w:val="28"/>
          <w:szCs w:val="28"/>
        </w:rPr>
        <w:t xml:space="preserve"> свои </w:t>
      </w:r>
      <w:r w:rsidRPr="00E06C7A">
        <w:rPr>
          <w:rFonts w:ascii="Times New Roman" w:hAnsi="Times New Roman" w:cs="Times New Roman"/>
          <w:sz w:val="28"/>
          <w:szCs w:val="28"/>
        </w:rPr>
        <w:t>полномочия в области регулирования тарифов в сфере водоснабжения и водоотведения</w:t>
      </w:r>
      <w:r w:rsidR="00A94728" w:rsidRPr="00E06C7A">
        <w:rPr>
          <w:rFonts w:ascii="Times New Roman" w:hAnsi="Times New Roman" w:cs="Times New Roman"/>
          <w:sz w:val="28"/>
          <w:szCs w:val="28"/>
        </w:rPr>
        <w:t>,</w:t>
      </w:r>
      <w:r w:rsidRPr="00E06C7A">
        <w:rPr>
          <w:rFonts w:ascii="Times New Roman" w:hAnsi="Times New Roman" w:cs="Times New Roman"/>
          <w:sz w:val="28"/>
          <w:szCs w:val="28"/>
        </w:rPr>
        <w:t xml:space="preserve"> </w:t>
      </w:r>
      <w:r w:rsidR="00953A4D" w:rsidRPr="00E06C7A">
        <w:rPr>
          <w:rFonts w:ascii="Times New Roman" w:hAnsi="Times New Roman" w:cs="Times New Roman"/>
          <w:sz w:val="28"/>
          <w:szCs w:val="28"/>
        </w:rPr>
        <w:t xml:space="preserve"> руководствовался: </w:t>
      </w:r>
      <w:r w:rsidR="003A409C" w:rsidRPr="00E06C7A">
        <w:rPr>
          <w:rFonts w:ascii="Times New Roman" w:hAnsi="Times New Roman" w:cs="Times New Roman"/>
          <w:sz w:val="28"/>
          <w:szCs w:val="28"/>
        </w:rPr>
        <w:t xml:space="preserve">  </w:t>
      </w:r>
      <w:r w:rsidRPr="00E06C7A">
        <w:rPr>
          <w:rFonts w:ascii="Times New Roman" w:hAnsi="Times New Roman" w:cs="Times New Roman"/>
          <w:sz w:val="28"/>
          <w:szCs w:val="28"/>
        </w:rPr>
        <w:t xml:space="preserve">Федеральным законом от 07.12.2011 № 416-ФЗ «О водоснабжении и водоотведении»; постановлением Правительства Российской Федерации от 13.05.2013 № 406 «О государственном регулировании тарифов в сфере водоснабжения и водоотведения»; приказом ФСТ России от 27.12.2013 № 1746-э «Об утверждении Методических указаний по расчету регулируемых тарифов в сфере водоснабжения и водоотведения»; постановлением Правительства Российской Федерации от 29.07.2013 № 641 «Об инвестиционных и производственных программах организаций, осуществляющих деятельность в сфере водоснабжения и водоотведения» и другими действующими нормативными правовыми актами Российской Федерации в области государственного регулирования цен (тарифов) в сфере водоснабжения и водоотведения. </w:t>
      </w:r>
      <w:r w:rsidR="003A409C" w:rsidRPr="00E06C7A">
        <w:rPr>
          <w:rFonts w:ascii="Times New Roman" w:hAnsi="Times New Roman" w:cs="Times New Roman"/>
          <w:sz w:val="28"/>
          <w:szCs w:val="28"/>
        </w:rPr>
        <w:t>А также</w:t>
      </w:r>
      <w:r w:rsidR="00953A4D" w:rsidRPr="00E06C7A">
        <w:rPr>
          <w:rFonts w:ascii="Times New Roman" w:hAnsi="Times New Roman" w:cs="Times New Roman"/>
          <w:sz w:val="28"/>
          <w:szCs w:val="28"/>
        </w:rPr>
        <w:t xml:space="preserve"> использовал в своей работе </w:t>
      </w:r>
      <w:r w:rsidR="003A409C" w:rsidRPr="00E06C7A">
        <w:rPr>
          <w:rFonts w:ascii="Times New Roman" w:hAnsi="Times New Roman" w:cs="Times New Roman"/>
          <w:sz w:val="28"/>
          <w:szCs w:val="28"/>
        </w:rPr>
        <w:t>результат</w:t>
      </w:r>
      <w:r w:rsidR="00953A4D" w:rsidRPr="00E06C7A">
        <w:rPr>
          <w:rFonts w:ascii="Times New Roman" w:hAnsi="Times New Roman" w:cs="Times New Roman"/>
          <w:sz w:val="28"/>
          <w:szCs w:val="28"/>
        </w:rPr>
        <w:t xml:space="preserve">ы </w:t>
      </w:r>
      <w:r w:rsidRPr="00E06C7A">
        <w:rPr>
          <w:rFonts w:ascii="Times New Roman" w:hAnsi="Times New Roman" w:cs="Times New Roman"/>
          <w:sz w:val="28"/>
          <w:szCs w:val="28"/>
        </w:rPr>
        <w:t xml:space="preserve">проведенных </w:t>
      </w:r>
      <w:r w:rsidR="003A409C" w:rsidRPr="00E06C7A">
        <w:rPr>
          <w:rFonts w:ascii="Times New Roman" w:hAnsi="Times New Roman" w:cs="Times New Roman"/>
          <w:sz w:val="28"/>
          <w:szCs w:val="28"/>
        </w:rPr>
        <w:t xml:space="preserve"> Департаментом </w:t>
      </w:r>
      <w:r w:rsidRPr="00E06C7A">
        <w:rPr>
          <w:rFonts w:ascii="Times New Roman" w:hAnsi="Times New Roman" w:cs="Times New Roman"/>
          <w:sz w:val="28"/>
          <w:szCs w:val="28"/>
        </w:rPr>
        <w:t xml:space="preserve">проверок (в </w:t>
      </w:r>
      <w:r w:rsidRPr="00E06C7A">
        <w:rPr>
          <w:rFonts w:ascii="Times New Roman" w:hAnsi="Times New Roman" w:cs="Times New Roman"/>
          <w:sz w:val="28"/>
          <w:szCs w:val="28"/>
        </w:rPr>
        <w:lastRenderedPageBreak/>
        <w:t>том числе совместно с органами прокуратуры)</w:t>
      </w:r>
      <w:r w:rsidR="003A409C" w:rsidRPr="00E06C7A">
        <w:rPr>
          <w:rFonts w:ascii="Times New Roman" w:hAnsi="Times New Roman" w:cs="Times New Roman"/>
          <w:sz w:val="28"/>
          <w:szCs w:val="28"/>
        </w:rPr>
        <w:t xml:space="preserve"> и </w:t>
      </w:r>
      <w:r w:rsidRPr="00E06C7A">
        <w:rPr>
          <w:rFonts w:ascii="Times New Roman" w:hAnsi="Times New Roman" w:cs="Times New Roman"/>
          <w:sz w:val="28"/>
          <w:szCs w:val="28"/>
        </w:rPr>
        <w:t>анализа технико-экономических и финансовых показателей организаций, осуществляющих регулируемую деятельность,</w:t>
      </w:r>
      <w:r w:rsidR="003A409C" w:rsidRPr="00E06C7A">
        <w:rPr>
          <w:rFonts w:ascii="Times New Roman" w:hAnsi="Times New Roman" w:cs="Times New Roman"/>
          <w:sz w:val="28"/>
          <w:szCs w:val="28"/>
        </w:rPr>
        <w:t xml:space="preserve"> за </w:t>
      </w:r>
      <w:r w:rsidRPr="00E06C7A">
        <w:rPr>
          <w:rFonts w:ascii="Times New Roman" w:hAnsi="Times New Roman" w:cs="Times New Roman"/>
          <w:sz w:val="28"/>
          <w:szCs w:val="28"/>
        </w:rPr>
        <w:t xml:space="preserve">  период</w:t>
      </w:r>
      <w:r w:rsidR="00FC3BDB" w:rsidRPr="00E06C7A">
        <w:rPr>
          <w:rFonts w:ascii="Times New Roman" w:hAnsi="Times New Roman" w:cs="Times New Roman"/>
          <w:sz w:val="28"/>
          <w:szCs w:val="28"/>
        </w:rPr>
        <w:t>ы</w:t>
      </w:r>
      <w:r w:rsidR="003A409C" w:rsidRPr="00E06C7A">
        <w:rPr>
          <w:rFonts w:ascii="Times New Roman" w:hAnsi="Times New Roman" w:cs="Times New Roman"/>
          <w:sz w:val="28"/>
          <w:szCs w:val="28"/>
        </w:rPr>
        <w:t xml:space="preserve"> </w:t>
      </w:r>
      <w:r w:rsidRPr="00E06C7A">
        <w:rPr>
          <w:rFonts w:ascii="Times New Roman" w:hAnsi="Times New Roman" w:cs="Times New Roman"/>
          <w:sz w:val="28"/>
          <w:szCs w:val="28"/>
        </w:rPr>
        <w:t xml:space="preserve"> предшествующи</w:t>
      </w:r>
      <w:r w:rsidR="00FC3BDB" w:rsidRPr="00E06C7A">
        <w:rPr>
          <w:rFonts w:ascii="Times New Roman" w:hAnsi="Times New Roman" w:cs="Times New Roman"/>
          <w:sz w:val="28"/>
          <w:szCs w:val="28"/>
        </w:rPr>
        <w:t>е</w:t>
      </w:r>
      <w:r w:rsidRPr="00E06C7A">
        <w:rPr>
          <w:rFonts w:ascii="Times New Roman" w:hAnsi="Times New Roman" w:cs="Times New Roman"/>
          <w:sz w:val="28"/>
          <w:szCs w:val="28"/>
        </w:rPr>
        <w:t xml:space="preserve"> регулируемому</w:t>
      </w:r>
      <w:r w:rsidR="003A409C" w:rsidRPr="00E06C7A">
        <w:rPr>
          <w:rFonts w:ascii="Times New Roman" w:hAnsi="Times New Roman" w:cs="Times New Roman"/>
          <w:sz w:val="28"/>
          <w:szCs w:val="28"/>
        </w:rPr>
        <w:t xml:space="preserve"> периоду</w:t>
      </w:r>
      <w:r w:rsidRPr="00E06C7A">
        <w:rPr>
          <w:rFonts w:ascii="Times New Roman" w:hAnsi="Times New Roman" w:cs="Times New Roman"/>
          <w:sz w:val="28"/>
          <w:szCs w:val="28"/>
        </w:rPr>
        <w:t>.</w:t>
      </w:r>
    </w:p>
    <w:p w:rsidR="00B97ADF" w:rsidRPr="00E06C7A" w:rsidRDefault="000E6A73" w:rsidP="00E06C7A">
      <w:pPr>
        <w:pStyle w:val="afa"/>
        <w:ind w:firstLine="709"/>
        <w:jc w:val="both"/>
        <w:rPr>
          <w:rFonts w:ascii="Times New Roman" w:hAnsi="Times New Roman" w:cs="Times New Roman"/>
          <w:sz w:val="28"/>
          <w:szCs w:val="28"/>
        </w:rPr>
      </w:pPr>
      <w:r w:rsidRPr="00E06C7A">
        <w:rPr>
          <w:rFonts w:ascii="Times New Roman" w:hAnsi="Times New Roman" w:cs="Times New Roman"/>
          <w:sz w:val="28"/>
          <w:szCs w:val="28"/>
        </w:rPr>
        <w:t xml:space="preserve">В соответствии </w:t>
      </w:r>
      <w:r w:rsidR="00147717" w:rsidRPr="00E06C7A">
        <w:rPr>
          <w:rFonts w:ascii="Times New Roman" w:hAnsi="Times New Roman" w:cs="Times New Roman"/>
          <w:sz w:val="28"/>
          <w:szCs w:val="28"/>
        </w:rPr>
        <w:t xml:space="preserve"> с </w:t>
      </w:r>
      <w:r w:rsidRPr="00E06C7A">
        <w:rPr>
          <w:rFonts w:ascii="Times New Roman" w:hAnsi="Times New Roman" w:cs="Times New Roman"/>
          <w:sz w:val="28"/>
          <w:szCs w:val="28"/>
        </w:rPr>
        <w:t>Регламент</w:t>
      </w:r>
      <w:r w:rsidR="00147717" w:rsidRPr="00E06C7A">
        <w:rPr>
          <w:rFonts w:ascii="Times New Roman" w:hAnsi="Times New Roman" w:cs="Times New Roman"/>
          <w:sz w:val="28"/>
          <w:szCs w:val="28"/>
        </w:rPr>
        <w:t>ом</w:t>
      </w:r>
      <w:r w:rsidRPr="00E06C7A">
        <w:rPr>
          <w:rFonts w:ascii="Times New Roman" w:hAnsi="Times New Roman" w:cs="Times New Roman"/>
          <w:sz w:val="28"/>
          <w:szCs w:val="28"/>
        </w:rPr>
        <w:t xml:space="preserve"> установления регулируемых тарифов в сфере водоснабжения и водоотведения, утверждённ</w:t>
      </w:r>
      <w:r w:rsidR="00147717" w:rsidRPr="00E06C7A">
        <w:rPr>
          <w:rFonts w:ascii="Times New Roman" w:hAnsi="Times New Roman" w:cs="Times New Roman"/>
          <w:sz w:val="28"/>
          <w:szCs w:val="28"/>
        </w:rPr>
        <w:t xml:space="preserve">ым </w:t>
      </w:r>
      <w:r w:rsidR="003A409C" w:rsidRPr="00E06C7A">
        <w:rPr>
          <w:rFonts w:ascii="Times New Roman" w:hAnsi="Times New Roman" w:cs="Times New Roman"/>
          <w:sz w:val="28"/>
          <w:szCs w:val="28"/>
        </w:rPr>
        <w:t>п</w:t>
      </w:r>
      <w:r w:rsidRPr="00E06C7A">
        <w:rPr>
          <w:rFonts w:ascii="Times New Roman" w:hAnsi="Times New Roman" w:cs="Times New Roman"/>
          <w:sz w:val="28"/>
          <w:szCs w:val="28"/>
        </w:rPr>
        <w:t>риказом ФСТ России от 16.07.2014 № 1154-э, предусматривающ</w:t>
      </w:r>
      <w:r w:rsidR="00615BF6" w:rsidRPr="00E06C7A">
        <w:rPr>
          <w:rFonts w:ascii="Times New Roman" w:hAnsi="Times New Roman" w:cs="Times New Roman"/>
          <w:sz w:val="28"/>
          <w:szCs w:val="28"/>
        </w:rPr>
        <w:t>ий</w:t>
      </w:r>
      <w:r w:rsidRPr="00E06C7A">
        <w:rPr>
          <w:rFonts w:ascii="Times New Roman" w:hAnsi="Times New Roman" w:cs="Times New Roman"/>
          <w:sz w:val="28"/>
          <w:szCs w:val="28"/>
        </w:rPr>
        <w:t xml:space="preserve"> порядок регистрации, принятия к рассмотрению и выдачи отказов в рассмотрении</w:t>
      </w:r>
      <w:r w:rsidR="00615BF6" w:rsidRPr="00E06C7A">
        <w:rPr>
          <w:rFonts w:ascii="Times New Roman" w:hAnsi="Times New Roman" w:cs="Times New Roman"/>
          <w:sz w:val="28"/>
          <w:szCs w:val="28"/>
        </w:rPr>
        <w:t xml:space="preserve">, сроки рассмотрения </w:t>
      </w:r>
      <w:r w:rsidRPr="00E06C7A">
        <w:rPr>
          <w:rFonts w:ascii="Times New Roman" w:hAnsi="Times New Roman" w:cs="Times New Roman"/>
          <w:sz w:val="28"/>
          <w:szCs w:val="28"/>
        </w:rPr>
        <w:t>заявлений об установлении цен (тарифов)</w:t>
      </w:r>
      <w:r w:rsidR="00615BF6" w:rsidRPr="00E06C7A">
        <w:rPr>
          <w:rFonts w:ascii="Times New Roman" w:hAnsi="Times New Roman" w:cs="Times New Roman"/>
          <w:sz w:val="28"/>
          <w:szCs w:val="28"/>
        </w:rPr>
        <w:t xml:space="preserve">, </w:t>
      </w:r>
      <w:r w:rsidR="003A409C" w:rsidRPr="00E06C7A">
        <w:rPr>
          <w:rFonts w:ascii="Times New Roman" w:hAnsi="Times New Roman" w:cs="Times New Roman"/>
          <w:sz w:val="28"/>
          <w:szCs w:val="28"/>
        </w:rPr>
        <w:t>Д</w:t>
      </w:r>
      <w:r w:rsidRPr="00E06C7A">
        <w:rPr>
          <w:rFonts w:ascii="Times New Roman" w:hAnsi="Times New Roman" w:cs="Times New Roman"/>
          <w:sz w:val="28"/>
          <w:szCs w:val="28"/>
        </w:rPr>
        <w:t xml:space="preserve">епартаментом </w:t>
      </w:r>
      <w:r w:rsidR="00615BF6" w:rsidRPr="00E06C7A">
        <w:rPr>
          <w:rFonts w:ascii="Times New Roman" w:hAnsi="Times New Roman" w:cs="Times New Roman"/>
          <w:sz w:val="28"/>
          <w:szCs w:val="28"/>
        </w:rPr>
        <w:t xml:space="preserve"> в 2019 году </w:t>
      </w:r>
      <w:r w:rsidRPr="00E06C7A">
        <w:rPr>
          <w:rFonts w:ascii="Times New Roman" w:hAnsi="Times New Roman" w:cs="Times New Roman"/>
          <w:sz w:val="28"/>
          <w:szCs w:val="28"/>
        </w:rPr>
        <w:t>пров</w:t>
      </w:r>
      <w:r w:rsidR="003A409C" w:rsidRPr="00E06C7A">
        <w:rPr>
          <w:rFonts w:ascii="Times New Roman" w:hAnsi="Times New Roman" w:cs="Times New Roman"/>
          <w:sz w:val="28"/>
          <w:szCs w:val="28"/>
        </w:rPr>
        <w:t>едено</w:t>
      </w:r>
      <w:r w:rsidRPr="00E06C7A">
        <w:rPr>
          <w:rFonts w:ascii="Times New Roman" w:hAnsi="Times New Roman" w:cs="Times New Roman"/>
          <w:sz w:val="28"/>
          <w:szCs w:val="28"/>
        </w:rPr>
        <w:t xml:space="preserve"> </w:t>
      </w:r>
      <w:r w:rsidR="00B97ADF" w:rsidRPr="00E06C7A">
        <w:rPr>
          <w:rFonts w:ascii="Times New Roman" w:hAnsi="Times New Roman" w:cs="Times New Roman"/>
          <w:sz w:val="28"/>
          <w:szCs w:val="28"/>
        </w:rPr>
        <w:t>725</w:t>
      </w:r>
      <w:r w:rsidR="003A409C" w:rsidRPr="00E06C7A">
        <w:rPr>
          <w:rFonts w:ascii="Times New Roman" w:hAnsi="Times New Roman" w:cs="Times New Roman"/>
          <w:sz w:val="28"/>
          <w:szCs w:val="28"/>
        </w:rPr>
        <w:t xml:space="preserve"> </w:t>
      </w:r>
      <w:r w:rsidRPr="00E06C7A">
        <w:rPr>
          <w:rFonts w:ascii="Times New Roman" w:hAnsi="Times New Roman" w:cs="Times New Roman"/>
          <w:sz w:val="28"/>
          <w:szCs w:val="28"/>
        </w:rPr>
        <w:t xml:space="preserve"> </w:t>
      </w:r>
      <w:r w:rsidR="00B97ADF" w:rsidRPr="00E06C7A">
        <w:rPr>
          <w:rFonts w:ascii="Times New Roman" w:hAnsi="Times New Roman" w:cs="Times New Roman"/>
          <w:sz w:val="28"/>
          <w:szCs w:val="28"/>
        </w:rPr>
        <w:t xml:space="preserve">экспертиз </w:t>
      </w:r>
      <w:r w:rsidRPr="00E06C7A">
        <w:rPr>
          <w:rFonts w:ascii="Times New Roman" w:hAnsi="Times New Roman" w:cs="Times New Roman"/>
          <w:sz w:val="28"/>
          <w:szCs w:val="28"/>
        </w:rPr>
        <w:t>материалов по установлению (корректировке)</w:t>
      </w:r>
      <w:r w:rsidR="00B97ADF" w:rsidRPr="00E06C7A">
        <w:rPr>
          <w:rFonts w:ascii="Times New Roman" w:hAnsi="Times New Roman" w:cs="Times New Roman"/>
          <w:sz w:val="28"/>
          <w:szCs w:val="28"/>
        </w:rPr>
        <w:t xml:space="preserve">. </w:t>
      </w:r>
    </w:p>
    <w:p w:rsidR="000E6A73" w:rsidRDefault="000E6A73" w:rsidP="00E06C7A">
      <w:pPr>
        <w:pStyle w:val="afa"/>
        <w:ind w:firstLine="709"/>
        <w:jc w:val="both"/>
        <w:rPr>
          <w:rFonts w:ascii="Times New Roman" w:hAnsi="Times New Roman"/>
          <w:sz w:val="28"/>
          <w:szCs w:val="28"/>
        </w:rPr>
      </w:pPr>
      <w:r w:rsidRPr="00E06C7A">
        <w:rPr>
          <w:rFonts w:ascii="Times New Roman" w:hAnsi="Times New Roman" w:cs="Times New Roman"/>
          <w:sz w:val="28"/>
          <w:szCs w:val="28"/>
        </w:rPr>
        <w:t xml:space="preserve">Для организаций, осуществляющих водоснабжение и водоотведение, </w:t>
      </w:r>
      <w:r w:rsidR="00B97ADF" w:rsidRPr="00E06C7A">
        <w:rPr>
          <w:rFonts w:ascii="Times New Roman" w:hAnsi="Times New Roman" w:cs="Times New Roman"/>
          <w:sz w:val="28"/>
          <w:szCs w:val="28"/>
        </w:rPr>
        <w:t xml:space="preserve">Департаментом, </w:t>
      </w:r>
      <w:r w:rsidR="006E7D14" w:rsidRPr="00E06C7A">
        <w:rPr>
          <w:rFonts w:ascii="Times New Roman" w:hAnsi="Times New Roman" w:cs="Times New Roman"/>
          <w:sz w:val="28"/>
          <w:szCs w:val="28"/>
        </w:rPr>
        <w:t xml:space="preserve">утверждено </w:t>
      </w:r>
      <w:r w:rsidR="00B97ADF" w:rsidRPr="00E06C7A">
        <w:rPr>
          <w:rFonts w:ascii="Times New Roman" w:hAnsi="Times New Roman" w:cs="Times New Roman"/>
          <w:sz w:val="28"/>
          <w:szCs w:val="28"/>
        </w:rPr>
        <w:t>699</w:t>
      </w:r>
      <w:r w:rsidRPr="00E06C7A">
        <w:rPr>
          <w:rFonts w:ascii="Times New Roman" w:hAnsi="Times New Roman" w:cs="Times New Roman"/>
          <w:sz w:val="28"/>
          <w:szCs w:val="28"/>
        </w:rPr>
        <w:t xml:space="preserve"> производственны</w:t>
      </w:r>
      <w:r w:rsidR="00B97ADF" w:rsidRPr="00E06C7A">
        <w:rPr>
          <w:rFonts w:ascii="Times New Roman" w:hAnsi="Times New Roman" w:cs="Times New Roman"/>
          <w:sz w:val="28"/>
          <w:szCs w:val="28"/>
        </w:rPr>
        <w:t>х</w:t>
      </w:r>
      <w:r w:rsidRPr="00FC3BDB">
        <w:rPr>
          <w:rFonts w:ascii="Times New Roman" w:hAnsi="Times New Roman"/>
          <w:sz w:val="28"/>
          <w:szCs w:val="28"/>
        </w:rPr>
        <w:t xml:space="preserve"> программ</w:t>
      </w:r>
      <w:r w:rsidR="006E7D14" w:rsidRPr="00FC3BDB">
        <w:rPr>
          <w:rFonts w:ascii="Times New Roman" w:hAnsi="Times New Roman"/>
          <w:sz w:val="28"/>
          <w:szCs w:val="28"/>
        </w:rPr>
        <w:t xml:space="preserve"> и</w:t>
      </w:r>
      <w:r>
        <w:rPr>
          <w:rFonts w:ascii="Times New Roman" w:hAnsi="Times New Roman"/>
          <w:sz w:val="28"/>
          <w:szCs w:val="28"/>
        </w:rPr>
        <w:t xml:space="preserve"> </w:t>
      </w:r>
      <w:r w:rsidR="006E7D14" w:rsidRPr="00FC3BDB">
        <w:rPr>
          <w:rFonts w:ascii="Times New Roman" w:hAnsi="Times New Roman"/>
          <w:sz w:val="28"/>
          <w:szCs w:val="28"/>
        </w:rPr>
        <w:t>установлено</w:t>
      </w:r>
      <w:r w:rsidR="006E7D14">
        <w:rPr>
          <w:rFonts w:ascii="Times New Roman" w:hAnsi="Times New Roman"/>
          <w:sz w:val="28"/>
          <w:szCs w:val="28"/>
        </w:rPr>
        <w:t xml:space="preserve"> </w:t>
      </w:r>
      <w:r>
        <w:rPr>
          <w:rFonts w:ascii="Times New Roman" w:hAnsi="Times New Roman"/>
          <w:sz w:val="28"/>
          <w:szCs w:val="28"/>
        </w:rPr>
        <w:t>509 тарифов в сфере холодного водоснабжения,</w:t>
      </w:r>
      <w:r w:rsidRPr="00FC3BDB">
        <w:rPr>
          <w:rFonts w:ascii="Times New Roman" w:hAnsi="Times New Roman"/>
          <w:sz w:val="28"/>
          <w:szCs w:val="28"/>
        </w:rPr>
        <w:t xml:space="preserve"> </w:t>
      </w:r>
      <w:r>
        <w:rPr>
          <w:rFonts w:ascii="Times New Roman" w:hAnsi="Times New Roman"/>
          <w:sz w:val="28"/>
          <w:szCs w:val="28"/>
        </w:rPr>
        <w:t>121 тариф в сфере водоотведения и 69 тарифов в сфере горячего водоснабжения, 21 тариф на подключение к системам централизованного водоснабжения, 5 тарифов на подключение к системам централизованного водоотведения.</w:t>
      </w:r>
      <w:r w:rsidR="006E7D14">
        <w:rPr>
          <w:rFonts w:ascii="Times New Roman" w:hAnsi="Times New Roman"/>
          <w:sz w:val="28"/>
          <w:szCs w:val="28"/>
        </w:rPr>
        <w:t xml:space="preserve"> А также </w:t>
      </w:r>
      <w:r>
        <w:rPr>
          <w:rFonts w:ascii="Times New Roman" w:hAnsi="Times New Roman"/>
          <w:sz w:val="28"/>
          <w:szCs w:val="28"/>
        </w:rPr>
        <w:t xml:space="preserve"> установлено 4 индивидуальных платы за подключение к системам централизованного водоснабжения, 11 индивидуальных плат за подключение к системам централизованного водоотведения.</w:t>
      </w:r>
    </w:p>
    <w:p w:rsidR="00FC3BDB" w:rsidRPr="003D2783" w:rsidRDefault="003D2783" w:rsidP="003D2783">
      <w:pPr>
        <w:pStyle w:val="afa"/>
        <w:ind w:firstLine="709"/>
        <w:jc w:val="both"/>
        <w:rPr>
          <w:rFonts w:ascii="Times New Roman" w:hAnsi="Times New Roman" w:cs="Times New Roman"/>
          <w:sz w:val="28"/>
          <w:szCs w:val="28"/>
        </w:rPr>
      </w:pPr>
      <w:r>
        <w:rPr>
          <w:sz w:val="28"/>
          <w:szCs w:val="28"/>
        </w:rPr>
        <w:t xml:space="preserve"> </w:t>
      </w:r>
      <w:r w:rsidR="000E6A73" w:rsidRPr="003D2783">
        <w:rPr>
          <w:rFonts w:ascii="Times New Roman" w:hAnsi="Times New Roman" w:cs="Times New Roman"/>
          <w:sz w:val="28"/>
          <w:szCs w:val="28"/>
        </w:rPr>
        <w:t xml:space="preserve">Тарифы в сфере водоснабжения и водоотведения (за исключением тарифов на подключение (технологическое присоединение) установлены </w:t>
      </w:r>
      <w:r w:rsidR="00FC3BDB" w:rsidRPr="003D2783">
        <w:rPr>
          <w:rFonts w:ascii="Times New Roman" w:hAnsi="Times New Roman" w:cs="Times New Roman"/>
          <w:sz w:val="28"/>
          <w:szCs w:val="28"/>
        </w:rPr>
        <w:t xml:space="preserve">с календарной разбивкой по полугодиям при условии непревышения величины указанных тарифов без учета налога на добавленную стоимость в первом полугодии </w:t>
      </w:r>
      <w:r w:rsidR="00FA3DB0" w:rsidRPr="003D2783">
        <w:rPr>
          <w:rFonts w:ascii="Times New Roman" w:hAnsi="Times New Roman" w:cs="Times New Roman"/>
          <w:sz w:val="28"/>
          <w:szCs w:val="28"/>
        </w:rPr>
        <w:t xml:space="preserve">2020 года </w:t>
      </w:r>
      <w:r w:rsidR="00FC3BDB" w:rsidRPr="003D2783">
        <w:rPr>
          <w:rFonts w:ascii="Times New Roman" w:hAnsi="Times New Roman" w:cs="Times New Roman"/>
          <w:sz w:val="28"/>
          <w:szCs w:val="28"/>
        </w:rPr>
        <w:t>над величиной соответствующих тарифов без учета налога на добавленную стоимость во втором полугодии предшествующего годового периода регулирования</w:t>
      </w:r>
      <w:r w:rsidR="00FA3DB0" w:rsidRPr="003D2783">
        <w:rPr>
          <w:rFonts w:ascii="Times New Roman" w:hAnsi="Times New Roman" w:cs="Times New Roman"/>
          <w:sz w:val="28"/>
          <w:szCs w:val="28"/>
        </w:rPr>
        <w:t xml:space="preserve"> (2019 год) </w:t>
      </w:r>
      <w:r w:rsidR="00FC3BDB" w:rsidRPr="003D2783">
        <w:rPr>
          <w:rFonts w:ascii="Times New Roman" w:hAnsi="Times New Roman" w:cs="Times New Roman"/>
          <w:sz w:val="28"/>
          <w:szCs w:val="28"/>
        </w:rPr>
        <w:t xml:space="preserve"> по состоянию на 31 декабря.</w:t>
      </w:r>
    </w:p>
    <w:p w:rsidR="000E6A73" w:rsidRPr="00E06C7A" w:rsidRDefault="00FC3BDB" w:rsidP="00E06C7A">
      <w:pPr>
        <w:pStyle w:val="afa"/>
        <w:ind w:firstLine="709"/>
        <w:jc w:val="both"/>
        <w:rPr>
          <w:rFonts w:ascii="Times New Roman" w:hAnsi="Times New Roman"/>
          <w:sz w:val="28"/>
          <w:szCs w:val="28"/>
        </w:rPr>
      </w:pPr>
      <w:r w:rsidRPr="00E06C7A">
        <w:rPr>
          <w:rFonts w:ascii="Times New Roman" w:hAnsi="Times New Roman"/>
          <w:sz w:val="28"/>
          <w:szCs w:val="28"/>
        </w:rPr>
        <w:t xml:space="preserve"> </w:t>
      </w:r>
      <w:r w:rsidR="000E6A73" w:rsidRPr="00E06C7A">
        <w:rPr>
          <w:rFonts w:ascii="Times New Roman" w:hAnsi="Times New Roman"/>
          <w:sz w:val="28"/>
          <w:szCs w:val="28"/>
        </w:rPr>
        <w:t xml:space="preserve">Тарифы </w:t>
      </w:r>
      <w:r w:rsidR="00FA3DB0" w:rsidRPr="00E06C7A">
        <w:rPr>
          <w:rFonts w:ascii="Times New Roman" w:hAnsi="Times New Roman"/>
          <w:sz w:val="28"/>
          <w:szCs w:val="28"/>
        </w:rPr>
        <w:t xml:space="preserve">для регулируемых организаций на </w:t>
      </w:r>
      <w:r w:rsidR="000E6A73" w:rsidRPr="00E06C7A">
        <w:rPr>
          <w:rFonts w:ascii="Times New Roman" w:hAnsi="Times New Roman"/>
          <w:sz w:val="28"/>
          <w:szCs w:val="28"/>
        </w:rPr>
        <w:t>2020</w:t>
      </w:r>
      <w:r w:rsidR="00FA3DB0" w:rsidRPr="00E06C7A">
        <w:rPr>
          <w:rFonts w:ascii="Times New Roman" w:hAnsi="Times New Roman"/>
          <w:sz w:val="28"/>
          <w:szCs w:val="28"/>
        </w:rPr>
        <w:t xml:space="preserve"> год установлены с применением следующих  методов регулирования</w:t>
      </w:r>
      <w:r w:rsidR="000E6A73" w:rsidRPr="00E06C7A">
        <w:rPr>
          <w:rFonts w:ascii="Times New Roman" w:hAnsi="Times New Roman"/>
          <w:sz w:val="28"/>
          <w:szCs w:val="28"/>
        </w:rPr>
        <w:t>:</w:t>
      </w:r>
    </w:p>
    <w:p w:rsidR="000E6A73" w:rsidRPr="00E06C7A" w:rsidRDefault="00FA3DB0" w:rsidP="00E06C7A">
      <w:pPr>
        <w:pStyle w:val="afa"/>
        <w:ind w:firstLine="709"/>
        <w:jc w:val="both"/>
        <w:rPr>
          <w:rFonts w:ascii="Times New Roman" w:hAnsi="Times New Roman"/>
          <w:sz w:val="28"/>
          <w:szCs w:val="28"/>
        </w:rPr>
      </w:pPr>
      <w:r w:rsidRPr="00E06C7A">
        <w:rPr>
          <w:rFonts w:ascii="Times New Roman" w:hAnsi="Times New Roman"/>
          <w:sz w:val="28"/>
          <w:szCs w:val="28"/>
        </w:rPr>
        <w:t xml:space="preserve">- </w:t>
      </w:r>
      <w:r w:rsidR="000E6A73" w:rsidRPr="00E06C7A">
        <w:rPr>
          <w:rFonts w:ascii="Times New Roman" w:hAnsi="Times New Roman"/>
          <w:sz w:val="28"/>
          <w:szCs w:val="28"/>
        </w:rPr>
        <w:t>метод</w:t>
      </w:r>
      <w:r w:rsidR="00953A4D" w:rsidRPr="00E06C7A">
        <w:rPr>
          <w:rFonts w:ascii="Times New Roman" w:hAnsi="Times New Roman"/>
          <w:sz w:val="28"/>
          <w:szCs w:val="28"/>
        </w:rPr>
        <w:t>а</w:t>
      </w:r>
      <w:r w:rsidR="000E6A73" w:rsidRPr="00E06C7A">
        <w:rPr>
          <w:rFonts w:ascii="Times New Roman" w:hAnsi="Times New Roman"/>
          <w:sz w:val="28"/>
          <w:szCs w:val="28"/>
        </w:rPr>
        <w:t xml:space="preserve"> индексации с учетом </w:t>
      </w:r>
      <w:r w:rsidRPr="00E06C7A">
        <w:rPr>
          <w:rFonts w:ascii="Times New Roman" w:hAnsi="Times New Roman"/>
          <w:sz w:val="28"/>
          <w:szCs w:val="28"/>
        </w:rPr>
        <w:t xml:space="preserve">индекса потребительских цен (далее – </w:t>
      </w:r>
      <w:r w:rsidR="000E6A73" w:rsidRPr="00E06C7A">
        <w:rPr>
          <w:rFonts w:ascii="Times New Roman" w:hAnsi="Times New Roman"/>
          <w:sz w:val="28"/>
          <w:szCs w:val="28"/>
        </w:rPr>
        <w:t>ИПЦ</w:t>
      </w:r>
      <w:r w:rsidRPr="00E06C7A">
        <w:rPr>
          <w:rFonts w:ascii="Times New Roman" w:hAnsi="Times New Roman"/>
          <w:sz w:val="28"/>
          <w:szCs w:val="28"/>
        </w:rPr>
        <w:t xml:space="preserve">) </w:t>
      </w:r>
      <w:r w:rsidR="000E6A73" w:rsidRPr="00E06C7A">
        <w:rPr>
          <w:rFonts w:ascii="Times New Roman" w:hAnsi="Times New Roman"/>
          <w:sz w:val="28"/>
          <w:szCs w:val="28"/>
        </w:rPr>
        <w:t xml:space="preserve"> и </w:t>
      </w:r>
      <w:r w:rsidRPr="00E06C7A">
        <w:rPr>
          <w:rFonts w:ascii="Times New Roman" w:hAnsi="Times New Roman"/>
          <w:sz w:val="28"/>
          <w:szCs w:val="28"/>
        </w:rPr>
        <w:t xml:space="preserve">индексов цен производителей (промышленных) </w:t>
      </w:r>
      <w:r w:rsidR="000E6A73" w:rsidRPr="00E06C7A">
        <w:rPr>
          <w:rFonts w:ascii="Times New Roman" w:hAnsi="Times New Roman"/>
          <w:sz w:val="28"/>
          <w:szCs w:val="28"/>
        </w:rPr>
        <w:t>ИЦП по Прогнозу социально-экономического развития России на 2020 год и плановый период 2021-2024 годов от 24.09.2019</w:t>
      </w:r>
      <w:r w:rsidR="00953A4D" w:rsidRPr="00E06C7A">
        <w:rPr>
          <w:rFonts w:ascii="Times New Roman" w:hAnsi="Times New Roman"/>
          <w:sz w:val="28"/>
          <w:szCs w:val="28"/>
        </w:rPr>
        <w:t xml:space="preserve"> (далее – Прогноз СЭР РФ), </w:t>
      </w:r>
      <w:r w:rsidRPr="00E06C7A">
        <w:rPr>
          <w:rFonts w:ascii="Times New Roman" w:hAnsi="Times New Roman"/>
          <w:sz w:val="28"/>
          <w:szCs w:val="28"/>
        </w:rPr>
        <w:t>для 503 организаций</w:t>
      </w:r>
      <w:r w:rsidR="000E6A73" w:rsidRPr="00E06C7A">
        <w:rPr>
          <w:rFonts w:ascii="Times New Roman" w:hAnsi="Times New Roman"/>
          <w:sz w:val="28"/>
          <w:szCs w:val="28"/>
        </w:rPr>
        <w:t>;</w:t>
      </w:r>
    </w:p>
    <w:p w:rsidR="000E6A73" w:rsidRPr="00E06C7A" w:rsidRDefault="000E6A73" w:rsidP="00E06C7A">
      <w:pPr>
        <w:pStyle w:val="afa"/>
        <w:ind w:firstLine="709"/>
        <w:jc w:val="both"/>
        <w:rPr>
          <w:rFonts w:ascii="Times New Roman" w:hAnsi="Times New Roman"/>
          <w:sz w:val="28"/>
          <w:szCs w:val="28"/>
        </w:rPr>
      </w:pPr>
      <w:r w:rsidRPr="00E06C7A">
        <w:rPr>
          <w:rFonts w:ascii="Times New Roman" w:hAnsi="Times New Roman"/>
          <w:sz w:val="28"/>
          <w:szCs w:val="28"/>
        </w:rPr>
        <w:t>- метод</w:t>
      </w:r>
      <w:r w:rsidR="00953A4D" w:rsidRPr="00E06C7A">
        <w:rPr>
          <w:rFonts w:ascii="Times New Roman" w:hAnsi="Times New Roman"/>
          <w:sz w:val="28"/>
          <w:szCs w:val="28"/>
        </w:rPr>
        <w:t>а</w:t>
      </w:r>
      <w:r w:rsidRPr="00E06C7A">
        <w:rPr>
          <w:rFonts w:ascii="Times New Roman" w:hAnsi="Times New Roman"/>
          <w:sz w:val="28"/>
          <w:szCs w:val="28"/>
        </w:rPr>
        <w:t xml:space="preserve"> сравнения аналогов (впервые, в связи с изменением действующего законодательства</w:t>
      </w:r>
      <w:r w:rsidR="00953A4D" w:rsidRPr="00E06C7A">
        <w:rPr>
          <w:rFonts w:ascii="Times New Roman" w:hAnsi="Times New Roman"/>
          <w:sz w:val="28"/>
          <w:szCs w:val="28"/>
        </w:rPr>
        <w:t xml:space="preserve"> Российской Федерации</w:t>
      </w:r>
      <w:r w:rsidRPr="00E06C7A">
        <w:rPr>
          <w:rFonts w:ascii="Times New Roman" w:hAnsi="Times New Roman"/>
          <w:sz w:val="28"/>
          <w:szCs w:val="28"/>
        </w:rPr>
        <w:t>)</w:t>
      </w:r>
      <w:r w:rsidR="00953A4D" w:rsidRPr="00E06C7A">
        <w:rPr>
          <w:rFonts w:ascii="Times New Roman" w:hAnsi="Times New Roman"/>
          <w:sz w:val="28"/>
          <w:szCs w:val="28"/>
        </w:rPr>
        <w:t xml:space="preserve">  для 55 организаций</w:t>
      </w:r>
      <w:r w:rsidRPr="00E06C7A">
        <w:rPr>
          <w:rFonts w:ascii="Times New Roman" w:hAnsi="Times New Roman"/>
          <w:sz w:val="28"/>
          <w:szCs w:val="28"/>
        </w:rPr>
        <w:t>.</w:t>
      </w:r>
    </w:p>
    <w:p w:rsidR="00953A4D" w:rsidRPr="004911B6" w:rsidRDefault="004911B6" w:rsidP="004911B6">
      <w:pPr>
        <w:spacing w:after="0"/>
        <w:ind w:firstLine="567"/>
        <w:jc w:val="right"/>
        <w:rPr>
          <w:rFonts w:eastAsia="Times New Roman"/>
        </w:rPr>
      </w:pPr>
      <w:r w:rsidRPr="004911B6">
        <w:rPr>
          <w:rFonts w:eastAsia="Times New Roman"/>
        </w:rPr>
        <w:t>Таблица №2.4.1</w:t>
      </w:r>
    </w:p>
    <w:tbl>
      <w:tblPr>
        <w:tblW w:w="1031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495"/>
        <w:gridCol w:w="2410"/>
        <w:gridCol w:w="2409"/>
      </w:tblGrid>
      <w:tr w:rsidR="000E6A73" w:rsidTr="000E6A73">
        <w:tc>
          <w:tcPr>
            <w:tcW w:w="5495" w:type="dxa"/>
            <w:tcBorders>
              <w:top w:val="single" w:sz="4" w:space="0" w:color="auto"/>
              <w:left w:val="single" w:sz="4" w:space="0" w:color="auto"/>
              <w:bottom w:val="single" w:sz="4" w:space="0" w:color="auto"/>
              <w:right w:val="single" w:sz="4" w:space="0" w:color="auto"/>
            </w:tcBorders>
            <w:hideMark/>
          </w:tcPr>
          <w:p w:rsidR="000E6A73" w:rsidRDefault="000E6A73" w:rsidP="00F93C07">
            <w:pPr>
              <w:spacing w:after="0" w:line="240" w:lineRule="auto"/>
              <w:jc w:val="center"/>
              <w:rPr>
                <w:rFonts w:eastAsia="Calibri"/>
                <w:lang w:eastAsia="en-US"/>
              </w:rPr>
            </w:pPr>
            <w:r>
              <w:rPr>
                <w:rFonts w:eastAsia="Calibri"/>
                <w:szCs w:val="22"/>
                <w:lang w:eastAsia="en-US"/>
              </w:rPr>
              <w:t xml:space="preserve">Индексы по Прогнозу </w:t>
            </w:r>
            <w:r w:rsidR="00953A4D">
              <w:rPr>
                <w:rFonts w:eastAsiaTheme="minorHAnsi"/>
                <w:sz w:val="28"/>
                <w:szCs w:val="28"/>
                <w:lang w:eastAsia="en-US"/>
              </w:rPr>
              <w:t>СЭР РФ</w:t>
            </w:r>
          </w:p>
        </w:tc>
        <w:tc>
          <w:tcPr>
            <w:tcW w:w="2410" w:type="dxa"/>
            <w:tcBorders>
              <w:top w:val="single" w:sz="4" w:space="0" w:color="auto"/>
              <w:left w:val="single" w:sz="4" w:space="0" w:color="auto"/>
              <w:bottom w:val="single" w:sz="4" w:space="0" w:color="auto"/>
              <w:right w:val="single" w:sz="4" w:space="0" w:color="auto"/>
            </w:tcBorders>
            <w:hideMark/>
          </w:tcPr>
          <w:p w:rsidR="000E6A73" w:rsidRDefault="000E6A73" w:rsidP="00F93C07">
            <w:pPr>
              <w:spacing w:after="0" w:line="240" w:lineRule="auto"/>
              <w:jc w:val="center"/>
              <w:rPr>
                <w:rFonts w:eastAsia="Calibri"/>
                <w:lang w:eastAsia="en-US"/>
              </w:rPr>
            </w:pPr>
            <w:r>
              <w:rPr>
                <w:rFonts w:eastAsia="Calibri"/>
                <w:szCs w:val="22"/>
                <w:lang w:eastAsia="en-US"/>
              </w:rPr>
              <w:t>на 2019 год, %</w:t>
            </w:r>
          </w:p>
        </w:tc>
        <w:tc>
          <w:tcPr>
            <w:tcW w:w="2409" w:type="dxa"/>
            <w:tcBorders>
              <w:top w:val="single" w:sz="4" w:space="0" w:color="auto"/>
              <w:left w:val="single" w:sz="4" w:space="0" w:color="auto"/>
              <w:bottom w:val="single" w:sz="4" w:space="0" w:color="auto"/>
              <w:right w:val="single" w:sz="4" w:space="0" w:color="auto"/>
            </w:tcBorders>
            <w:hideMark/>
          </w:tcPr>
          <w:p w:rsidR="000E6A73" w:rsidRDefault="000E6A73" w:rsidP="00F93C07">
            <w:pPr>
              <w:spacing w:after="0" w:line="240" w:lineRule="auto"/>
              <w:jc w:val="center"/>
              <w:rPr>
                <w:rFonts w:eastAsia="Calibri"/>
                <w:lang w:eastAsia="en-US"/>
              </w:rPr>
            </w:pPr>
            <w:r>
              <w:rPr>
                <w:rFonts w:eastAsia="Calibri"/>
                <w:szCs w:val="22"/>
                <w:lang w:eastAsia="en-US"/>
              </w:rPr>
              <w:t>на 2020 год, %</w:t>
            </w:r>
          </w:p>
        </w:tc>
      </w:tr>
      <w:tr w:rsidR="000E6A73" w:rsidTr="000E6A73">
        <w:tc>
          <w:tcPr>
            <w:tcW w:w="5495" w:type="dxa"/>
            <w:tcBorders>
              <w:top w:val="single" w:sz="4" w:space="0" w:color="auto"/>
              <w:left w:val="single" w:sz="4" w:space="0" w:color="auto"/>
              <w:bottom w:val="single" w:sz="4" w:space="0" w:color="auto"/>
              <w:right w:val="single" w:sz="4" w:space="0" w:color="auto"/>
            </w:tcBorders>
            <w:hideMark/>
          </w:tcPr>
          <w:p w:rsidR="000E6A73" w:rsidRDefault="000E6A73" w:rsidP="00F93C07">
            <w:pPr>
              <w:spacing w:after="0" w:line="240" w:lineRule="auto"/>
              <w:jc w:val="center"/>
              <w:rPr>
                <w:rFonts w:eastAsia="Calibri"/>
                <w:highlight w:val="yellow"/>
                <w:lang w:eastAsia="en-US"/>
              </w:rPr>
            </w:pPr>
            <w:r>
              <w:rPr>
                <w:rFonts w:eastAsia="Calibri"/>
                <w:szCs w:val="22"/>
                <w:lang w:eastAsia="en-US"/>
              </w:rPr>
              <w:t>ИПЦ</w:t>
            </w:r>
          </w:p>
        </w:tc>
        <w:tc>
          <w:tcPr>
            <w:tcW w:w="2410" w:type="dxa"/>
            <w:tcBorders>
              <w:top w:val="single" w:sz="4" w:space="0" w:color="auto"/>
              <w:left w:val="single" w:sz="4" w:space="0" w:color="auto"/>
              <w:bottom w:val="single" w:sz="4" w:space="0" w:color="auto"/>
              <w:right w:val="single" w:sz="4" w:space="0" w:color="auto"/>
            </w:tcBorders>
            <w:hideMark/>
          </w:tcPr>
          <w:p w:rsidR="000E6A73" w:rsidRDefault="000E6A73" w:rsidP="00F93C07">
            <w:pPr>
              <w:spacing w:after="0" w:line="240" w:lineRule="auto"/>
              <w:ind w:firstLine="4"/>
              <w:jc w:val="center"/>
              <w:rPr>
                <w:rFonts w:eastAsia="Calibri"/>
                <w:highlight w:val="yellow"/>
                <w:lang w:eastAsia="en-US"/>
              </w:rPr>
            </w:pPr>
            <w:r>
              <w:rPr>
                <w:rFonts w:eastAsia="Calibri"/>
                <w:szCs w:val="22"/>
                <w:lang w:eastAsia="en-US"/>
              </w:rPr>
              <w:t>104,7</w:t>
            </w:r>
          </w:p>
        </w:tc>
        <w:tc>
          <w:tcPr>
            <w:tcW w:w="2409" w:type="dxa"/>
            <w:tcBorders>
              <w:top w:val="single" w:sz="4" w:space="0" w:color="auto"/>
              <w:left w:val="single" w:sz="4" w:space="0" w:color="auto"/>
              <w:bottom w:val="single" w:sz="4" w:space="0" w:color="auto"/>
              <w:right w:val="single" w:sz="4" w:space="0" w:color="auto"/>
            </w:tcBorders>
            <w:hideMark/>
          </w:tcPr>
          <w:p w:rsidR="000E6A73" w:rsidRDefault="000E6A73" w:rsidP="00F93C07">
            <w:pPr>
              <w:spacing w:after="0" w:line="240" w:lineRule="auto"/>
              <w:ind w:firstLine="4"/>
              <w:jc w:val="center"/>
              <w:rPr>
                <w:rFonts w:eastAsia="Calibri"/>
                <w:highlight w:val="yellow"/>
                <w:lang w:eastAsia="en-US"/>
              </w:rPr>
            </w:pPr>
            <w:r>
              <w:rPr>
                <w:rFonts w:eastAsia="Calibri"/>
                <w:szCs w:val="22"/>
                <w:lang w:eastAsia="en-US"/>
              </w:rPr>
              <w:t>103,0</w:t>
            </w:r>
          </w:p>
        </w:tc>
      </w:tr>
      <w:tr w:rsidR="000E6A73" w:rsidTr="000E6A73">
        <w:tc>
          <w:tcPr>
            <w:tcW w:w="5495" w:type="dxa"/>
            <w:tcBorders>
              <w:top w:val="single" w:sz="4" w:space="0" w:color="auto"/>
              <w:left w:val="single" w:sz="4" w:space="0" w:color="auto"/>
              <w:bottom w:val="single" w:sz="4" w:space="0" w:color="auto"/>
              <w:right w:val="single" w:sz="4" w:space="0" w:color="auto"/>
            </w:tcBorders>
            <w:hideMark/>
          </w:tcPr>
          <w:p w:rsidR="000E6A73" w:rsidRDefault="000E6A73" w:rsidP="00F93C07">
            <w:pPr>
              <w:spacing w:after="0" w:line="240" w:lineRule="auto"/>
              <w:jc w:val="center"/>
              <w:rPr>
                <w:rFonts w:eastAsia="Calibri"/>
                <w:lang w:eastAsia="en-US"/>
              </w:rPr>
            </w:pPr>
            <w:r>
              <w:rPr>
                <w:rFonts w:eastAsia="Calibri"/>
                <w:szCs w:val="22"/>
                <w:lang w:eastAsia="en-US"/>
              </w:rPr>
              <w:t>Электроэнергия, ИЦП</w:t>
            </w:r>
          </w:p>
        </w:tc>
        <w:tc>
          <w:tcPr>
            <w:tcW w:w="2410" w:type="dxa"/>
            <w:tcBorders>
              <w:top w:val="single" w:sz="4" w:space="0" w:color="auto"/>
              <w:left w:val="single" w:sz="4" w:space="0" w:color="auto"/>
              <w:bottom w:val="single" w:sz="4" w:space="0" w:color="auto"/>
              <w:right w:val="single" w:sz="4" w:space="0" w:color="auto"/>
            </w:tcBorders>
            <w:hideMark/>
          </w:tcPr>
          <w:p w:rsidR="000E6A73" w:rsidRDefault="000E6A73" w:rsidP="00F93C07">
            <w:pPr>
              <w:spacing w:after="0" w:line="240" w:lineRule="auto"/>
              <w:ind w:firstLine="4"/>
              <w:jc w:val="center"/>
              <w:rPr>
                <w:rFonts w:eastAsia="Calibri"/>
                <w:highlight w:val="yellow"/>
                <w:lang w:eastAsia="en-US"/>
              </w:rPr>
            </w:pPr>
            <w:r>
              <w:rPr>
                <w:rFonts w:eastAsia="Calibri"/>
                <w:szCs w:val="22"/>
                <w:lang w:eastAsia="en-US"/>
              </w:rPr>
              <w:t>105,4</w:t>
            </w:r>
          </w:p>
        </w:tc>
        <w:tc>
          <w:tcPr>
            <w:tcW w:w="2409" w:type="dxa"/>
            <w:tcBorders>
              <w:top w:val="single" w:sz="4" w:space="0" w:color="auto"/>
              <w:left w:val="single" w:sz="4" w:space="0" w:color="auto"/>
              <w:bottom w:val="single" w:sz="4" w:space="0" w:color="auto"/>
              <w:right w:val="single" w:sz="4" w:space="0" w:color="auto"/>
            </w:tcBorders>
            <w:hideMark/>
          </w:tcPr>
          <w:p w:rsidR="000E6A73" w:rsidRDefault="000E6A73" w:rsidP="00F93C07">
            <w:pPr>
              <w:spacing w:after="0" w:line="240" w:lineRule="auto"/>
              <w:ind w:firstLine="4"/>
              <w:jc w:val="center"/>
              <w:rPr>
                <w:rFonts w:eastAsia="Calibri"/>
                <w:lang w:eastAsia="en-US"/>
              </w:rPr>
            </w:pPr>
            <w:r>
              <w:rPr>
                <w:rFonts w:eastAsia="Calibri"/>
                <w:szCs w:val="22"/>
                <w:lang w:eastAsia="en-US"/>
              </w:rPr>
              <w:t>104,8</w:t>
            </w:r>
          </w:p>
        </w:tc>
      </w:tr>
    </w:tbl>
    <w:p w:rsidR="00F93C07" w:rsidRDefault="00F93C07" w:rsidP="00E06C7A">
      <w:pPr>
        <w:spacing w:after="0" w:line="240" w:lineRule="auto"/>
        <w:ind w:firstLine="567"/>
        <w:jc w:val="both"/>
        <w:rPr>
          <w:rFonts w:eastAsiaTheme="minorHAnsi" w:cs="Calibri"/>
          <w:sz w:val="28"/>
          <w:szCs w:val="28"/>
          <w:lang w:eastAsia="zh-CN"/>
        </w:rPr>
      </w:pPr>
    </w:p>
    <w:p w:rsidR="000E6A73" w:rsidRPr="00E06C7A" w:rsidRDefault="000E6A73" w:rsidP="00E06C7A">
      <w:pPr>
        <w:spacing w:after="0" w:line="240" w:lineRule="auto"/>
        <w:ind w:firstLine="567"/>
        <w:jc w:val="both"/>
        <w:rPr>
          <w:rFonts w:eastAsiaTheme="minorHAnsi" w:cs="Calibri"/>
          <w:sz w:val="28"/>
          <w:szCs w:val="28"/>
          <w:lang w:eastAsia="zh-CN"/>
        </w:rPr>
      </w:pPr>
      <w:r w:rsidRPr="00E06C7A">
        <w:rPr>
          <w:rFonts w:eastAsiaTheme="minorHAnsi" w:cs="Calibri"/>
          <w:sz w:val="28"/>
          <w:szCs w:val="28"/>
          <w:lang w:eastAsia="zh-CN"/>
        </w:rPr>
        <w:t>Индекс изменения размера вносимой гражданами платы за коммунальные услуги установлен для Новосибирской области в размере 4,9%, в соответствии с распоряжением Правительства Российской Федерации от 29.10.2019 №2556-р.</w:t>
      </w:r>
    </w:p>
    <w:p w:rsidR="00F93C07" w:rsidRDefault="00F93C07" w:rsidP="00E06C7A">
      <w:pPr>
        <w:pStyle w:val="a6"/>
        <w:tabs>
          <w:tab w:val="left" w:pos="1134"/>
        </w:tabs>
        <w:autoSpaceDE w:val="0"/>
        <w:autoSpaceDN w:val="0"/>
        <w:adjustRightInd w:val="0"/>
        <w:spacing w:after="0" w:line="240" w:lineRule="auto"/>
        <w:ind w:left="0" w:firstLine="567"/>
        <w:jc w:val="both"/>
        <w:rPr>
          <w:rFonts w:ascii="Times New Roman" w:eastAsiaTheme="minorHAnsi" w:hAnsi="Times New Roman" w:cs="Calibri"/>
          <w:sz w:val="28"/>
          <w:szCs w:val="28"/>
          <w:lang w:eastAsia="zh-CN"/>
        </w:rPr>
      </w:pPr>
    </w:p>
    <w:p w:rsidR="00F93C07" w:rsidRDefault="000E6A73" w:rsidP="00E06C7A">
      <w:pPr>
        <w:pStyle w:val="a6"/>
        <w:tabs>
          <w:tab w:val="left" w:pos="1134"/>
        </w:tabs>
        <w:autoSpaceDE w:val="0"/>
        <w:autoSpaceDN w:val="0"/>
        <w:adjustRightInd w:val="0"/>
        <w:spacing w:after="0" w:line="240" w:lineRule="auto"/>
        <w:ind w:left="0" w:firstLine="567"/>
        <w:jc w:val="both"/>
        <w:rPr>
          <w:rFonts w:ascii="Times New Roman" w:hAnsi="Times New Roman"/>
          <w:sz w:val="28"/>
          <w:szCs w:val="28"/>
        </w:rPr>
      </w:pPr>
      <w:r w:rsidRPr="00E06C7A">
        <w:rPr>
          <w:rFonts w:ascii="Times New Roman" w:eastAsiaTheme="minorHAnsi" w:hAnsi="Times New Roman" w:cs="Calibri"/>
          <w:sz w:val="28"/>
          <w:szCs w:val="28"/>
          <w:lang w:eastAsia="zh-CN"/>
        </w:rPr>
        <w:t xml:space="preserve">При этом тарифы </w:t>
      </w:r>
      <w:r w:rsidR="00E06C7A" w:rsidRPr="00E06C7A">
        <w:rPr>
          <w:rFonts w:ascii="Times New Roman" w:eastAsiaTheme="minorHAnsi" w:hAnsi="Times New Roman" w:cs="Calibri"/>
          <w:sz w:val="28"/>
          <w:szCs w:val="28"/>
          <w:lang w:eastAsia="zh-CN"/>
        </w:rPr>
        <w:t>на территории Новосибирской области Департаментом</w:t>
      </w:r>
      <w:r w:rsidR="00E06C7A">
        <w:rPr>
          <w:rFonts w:ascii="Times New Roman" w:hAnsi="Times New Roman"/>
          <w:sz w:val="28"/>
          <w:szCs w:val="28"/>
        </w:rPr>
        <w:t xml:space="preserve">  </w:t>
      </w:r>
      <w:r>
        <w:rPr>
          <w:rFonts w:ascii="Times New Roman" w:hAnsi="Times New Roman"/>
          <w:sz w:val="28"/>
          <w:szCs w:val="28"/>
        </w:rPr>
        <w:t>установлены</w:t>
      </w:r>
      <w:r w:rsidR="00E06C7A">
        <w:rPr>
          <w:rFonts w:ascii="Times New Roman" w:hAnsi="Times New Roman"/>
          <w:sz w:val="28"/>
          <w:szCs w:val="28"/>
        </w:rPr>
        <w:t xml:space="preserve"> </w:t>
      </w:r>
      <w:r w:rsidR="004911B6">
        <w:rPr>
          <w:rFonts w:ascii="Times New Roman" w:hAnsi="Times New Roman"/>
          <w:sz w:val="28"/>
          <w:szCs w:val="28"/>
        </w:rPr>
        <w:t xml:space="preserve">  </w:t>
      </w:r>
      <w:r w:rsidR="00E06C7A" w:rsidRPr="00E06C7A">
        <w:rPr>
          <w:rFonts w:ascii="Times New Roman" w:eastAsiaTheme="minorHAnsi" w:hAnsi="Times New Roman" w:cs="Calibri"/>
          <w:sz w:val="28"/>
          <w:szCs w:val="28"/>
          <w:lang w:eastAsia="zh-CN"/>
        </w:rPr>
        <w:t>на 2020 год</w:t>
      </w:r>
      <w:r w:rsidR="004911B6">
        <w:rPr>
          <w:rFonts w:ascii="Times New Roman" w:hAnsi="Times New Roman"/>
          <w:sz w:val="28"/>
          <w:szCs w:val="28"/>
        </w:rPr>
        <w:t xml:space="preserve">  </w:t>
      </w:r>
      <w:r w:rsidR="00E06C7A">
        <w:rPr>
          <w:rFonts w:ascii="Times New Roman" w:hAnsi="Times New Roman"/>
          <w:sz w:val="28"/>
          <w:szCs w:val="28"/>
        </w:rPr>
        <w:t>со следующей динамикой:</w:t>
      </w:r>
      <w:r w:rsidR="004911B6">
        <w:rPr>
          <w:rFonts w:ascii="Times New Roman" w:hAnsi="Times New Roman"/>
          <w:sz w:val="28"/>
          <w:szCs w:val="28"/>
        </w:rPr>
        <w:t xml:space="preserve">   </w:t>
      </w:r>
    </w:p>
    <w:p w:rsidR="00F93C07" w:rsidRDefault="00F93C07" w:rsidP="00E06C7A">
      <w:pPr>
        <w:pStyle w:val="a6"/>
        <w:tabs>
          <w:tab w:val="left" w:pos="1134"/>
        </w:tabs>
        <w:autoSpaceDE w:val="0"/>
        <w:autoSpaceDN w:val="0"/>
        <w:adjustRightInd w:val="0"/>
        <w:spacing w:after="0" w:line="240" w:lineRule="auto"/>
        <w:ind w:left="0" w:firstLine="567"/>
        <w:jc w:val="both"/>
        <w:rPr>
          <w:rFonts w:ascii="Times New Roman" w:hAnsi="Times New Roman"/>
          <w:sz w:val="28"/>
          <w:szCs w:val="28"/>
        </w:rPr>
      </w:pPr>
    </w:p>
    <w:p w:rsidR="00F93C07" w:rsidRDefault="00F93C07" w:rsidP="00E06C7A">
      <w:pPr>
        <w:pStyle w:val="a6"/>
        <w:tabs>
          <w:tab w:val="left" w:pos="1134"/>
        </w:tabs>
        <w:autoSpaceDE w:val="0"/>
        <w:autoSpaceDN w:val="0"/>
        <w:adjustRightInd w:val="0"/>
        <w:spacing w:after="0" w:line="240" w:lineRule="auto"/>
        <w:ind w:left="0" w:firstLine="567"/>
        <w:jc w:val="both"/>
        <w:rPr>
          <w:rFonts w:ascii="Times New Roman" w:hAnsi="Times New Roman"/>
          <w:sz w:val="28"/>
          <w:szCs w:val="28"/>
        </w:rPr>
      </w:pPr>
    </w:p>
    <w:p w:rsidR="00185C71" w:rsidRDefault="00185C71" w:rsidP="00E06C7A">
      <w:pPr>
        <w:pStyle w:val="a6"/>
        <w:tabs>
          <w:tab w:val="left" w:pos="1134"/>
        </w:tabs>
        <w:autoSpaceDE w:val="0"/>
        <w:autoSpaceDN w:val="0"/>
        <w:adjustRightInd w:val="0"/>
        <w:spacing w:after="0" w:line="240" w:lineRule="auto"/>
        <w:ind w:left="0" w:firstLine="567"/>
        <w:jc w:val="both"/>
        <w:rPr>
          <w:rFonts w:ascii="Times New Roman" w:hAnsi="Times New Roman"/>
          <w:sz w:val="28"/>
          <w:szCs w:val="28"/>
        </w:rPr>
      </w:pPr>
    </w:p>
    <w:p w:rsidR="00E06C7A" w:rsidRDefault="004911B6" w:rsidP="00E06C7A">
      <w:pPr>
        <w:pStyle w:val="a6"/>
        <w:tabs>
          <w:tab w:val="left" w:pos="1134"/>
        </w:tabs>
        <w:autoSpaceDE w:val="0"/>
        <w:autoSpaceDN w:val="0"/>
        <w:adjustRightInd w:val="0"/>
        <w:spacing w:after="0" w:line="240" w:lineRule="auto"/>
        <w:ind w:left="0" w:firstLine="567"/>
        <w:jc w:val="both"/>
        <w:rPr>
          <w:rFonts w:ascii="Times New Roman" w:hAnsi="Times New Roman"/>
          <w:sz w:val="28"/>
          <w:szCs w:val="28"/>
        </w:rPr>
      </w:pPr>
      <w:r>
        <w:rPr>
          <w:rFonts w:ascii="Times New Roman" w:hAnsi="Times New Roman"/>
          <w:sz w:val="28"/>
          <w:szCs w:val="28"/>
        </w:rPr>
        <w:t xml:space="preserve">                     </w:t>
      </w:r>
    </w:p>
    <w:p w:rsidR="000E6A73" w:rsidRDefault="004911B6" w:rsidP="00E06C7A">
      <w:pPr>
        <w:pStyle w:val="a6"/>
        <w:tabs>
          <w:tab w:val="left" w:pos="1134"/>
        </w:tabs>
        <w:autoSpaceDE w:val="0"/>
        <w:autoSpaceDN w:val="0"/>
        <w:adjustRightInd w:val="0"/>
        <w:spacing w:after="0"/>
        <w:ind w:left="0" w:firstLine="567"/>
        <w:jc w:val="right"/>
        <w:rPr>
          <w:rFonts w:ascii="Times New Roman" w:hAnsi="Times New Roman"/>
          <w:sz w:val="28"/>
          <w:szCs w:val="28"/>
        </w:rPr>
      </w:pPr>
      <w:r>
        <w:rPr>
          <w:rFonts w:ascii="Times New Roman" w:hAnsi="Times New Roman"/>
          <w:sz w:val="28"/>
          <w:szCs w:val="28"/>
        </w:rPr>
        <w:lastRenderedPageBreak/>
        <w:t xml:space="preserve">      </w:t>
      </w:r>
      <w:r w:rsidRPr="004911B6">
        <w:rPr>
          <w:rFonts w:ascii="Times New Roman" w:hAnsi="Times New Roman"/>
          <w:sz w:val="24"/>
          <w:szCs w:val="24"/>
        </w:rPr>
        <w:t>Таблица №2.4.2</w:t>
      </w:r>
    </w:p>
    <w:tbl>
      <w:tblPr>
        <w:tblW w:w="10206"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402"/>
        <w:gridCol w:w="3402"/>
        <w:gridCol w:w="3402"/>
      </w:tblGrid>
      <w:tr w:rsidR="000E6A73" w:rsidTr="000E6A73">
        <w:tc>
          <w:tcPr>
            <w:tcW w:w="3402" w:type="dxa"/>
            <w:tcBorders>
              <w:top w:val="single" w:sz="4" w:space="0" w:color="auto"/>
              <w:left w:val="single" w:sz="4" w:space="0" w:color="auto"/>
              <w:bottom w:val="single" w:sz="4" w:space="0" w:color="auto"/>
              <w:right w:val="single" w:sz="4" w:space="0" w:color="auto"/>
            </w:tcBorders>
            <w:hideMark/>
          </w:tcPr>
          <w:p w:rsidR="000E6A73" w:rsidRPr="00E06C7A" w:rsidRDefault="000E6A73">
            <w:pPr>
              <w:pStyle w:val="af"/>
              <w:spacing w:before="0" w:after="0"/>
              <w:ind w:firstLine="0"/>
              <w:jc w:val="center"/>
              <w:rPr>
                <w:rFonts w:ascii="Times New Roman" w:hAnsi="Times New Roman"/>
                <w:b/>
              </w:rPr>
            </w:pPr>
            <w:r w:rsidRPr="00E06C7A">
              <w:rPr>
                <w:rFonts w:ascii="Times New Roman" w:hAnsi="Times New Roman"/>
                <w:b/>
              </w:rPr>
              <w:t>Холодное водоснабжение</w:t>
            </w:r>
          </w:p>
        </w:tc>
        <w:tc>
          <w:tcPr>
            <w:tcW w:w="3402" w:type="dxa"/>
            <w:tcBorders>
              <w:top w:val="single" w:sz="4" w:space="0" w:color="auto"/>
              <w:left w:val="single" w:sz="4" w:space="0" w:color="auto"/>
              <w:bottom w:val="single" w:sz="4" w:space="0" w:color="auto"/>
              <w:right w:val="single" w:sz="4" w:space="0" w:color="auto"/>
            </w:tcBorders>
            <w:hideMark/>
          </w:tcPr>
          <w:p w:rsidR="000E6A73" w:rsidRPr="00E06C7A" w:rsidRDefault="000E6A73">
            <w:pPr>
              <w:pStyle w:val="af"/>
              <w:spacing w:before="0" w:after="0"/>
              <w:ind w:firstLine="0"/>
              <w:jc w:val="center"/>
              <w:rPr>
                <w:rFonts w:ascii="Times New Roman" w:hAnsi="Times New Roman"/>
                <w:b/>
              </w:rPr>
            </w:pPr>
            <w:r w:rsidRPr="00E06C7A">
              <w:rPr>
                <w:rFonts w:ascii="Times New Roman" w:hAnsi="Times New Roman"/>
                <w:b/>
              </w:rPr>
              <w:t>Водоотведение</w:t>
            </w:r>
          </w:p>
        </w:tc>
        <w:tc>
          <w:tcPr>
            <w:tcW w:w="3402" w:type="dxa"/>
            <w:tcBorders>
              <w:top w:val="single" w:sz="4" w:space="0" w:color="auto"/>
              <w:left w:val="single" w:sz="4" w:space="0" w:color="auto"/>
              <w:bottom w:val="single" w:sz="4" w:space="0" w:color="auto"/>
              <w:right w:val="single" w:sz="4" w:space="0" w:color="auto"/>
            </w:tcBorders>
            <w:hideMark/>
          </w:tcPr>
          <w:p w:rsidR="000E6A73" w:rsidRPr="00E06C7A" w:rsidRDefault="000E6A73">
            <w:pPr>
              <w:pStyle w:val="af"/>
              <w:spacing w:before="0" w:after="0"/>
              <w:ind w:firstLine="0"/>
              <w:jc w:val="center"/>
              <w:rPr>
                <w:rFonts w:ascii="Times New Roman" w:hAnsi="Times New Roman"/>
                <w:b/>
              </w:rPr>
            </w:pPr>
            <w:r w:rsidRPr="00E06C7A">
              <w:rPr>
                <w:rFonts w:ascii="Times New Roman" w:hAnsi="Times New Roman"/>
                <w:b/>
              </w:rPr>
              <w:t>Горячее водоснабжение</w:t>
            </w:r>
          </w:p>
        </w:tc>
      </w:tr>
      <w:tr w:rsidR="000E6A73" w:rsidTr="000E6A73">
        <w:tc>
          <w:tcPr>
            <w:tcW w:w="3402" w:type="dxa"/>
            <w:tcBorders>
              <w:top w:val="single" w:sz="4" w:space="0" w:color="auto"/>
              <w:left w:val="single" w:sz="4" w:space="0" w:color="auto"/>
              <w:bottom w:val="single" w:sz="4" w:space="0" w:color="auto"/>
              <w:right w:val="single" w:sz="4" w:space="0" w:color="auto"/>
            </w:tcBorders>
            <w:hideMark/>
          </w:tcPr>
          <w:p w:rsidR="000E6A73" w:rsidRDefault="000E6A73">
            <w:pPr>
              <w:pStyle w:val="af"/>
              <w:spacing w:before="0" w:after="0"/>
              <w:ind w:firstLine="0"/>
              <w:jc w:val="both"/>
              <w:rPr>
                <w:rFonts w:ascii="Times New Roman" w:hAnsi="Times New Roman"/>
              </w:rPr>
            </w:pPr>
            <w:r>
              <w:rPr>
                <w:rFonts w:ascii="Times New Roman" w:hAnsi="Times New Roman"/>
              </w:rPr>
              <w:t>Всего тарифов – 509, в т. ч.:</w:t>
            </w:r>
          </w:p>
        </w:tc>
        <w:tc>
          <w:tcPr>
            <w:tcW w:w="3402" w:type="dxa"/>
            <w:tcBorders>
              <w:top w:val="single" w:sz="4" w:space="0" w:color="auto"/>
              <w:left w:val="single" w:sz="4" w:space="0" w:color="auto"/>
              <w:bottom w:val="single" w:sz="4" w:space="0" w:color="auto"/>
              <w:right w:val="single" w:sz="4" w:space="0" w:color="auto"/>
            </w:tcBorders>
            <w:hideMark/>
          </w:tcPr>
          <w:p w:rsidR="000E6A73" w:rsidRDefault="000E6A73">
            <w:pPr>
              <w:pStyle w:val="af"/>
              <w:spacing w:before="0" w:after="0"/>
              <w:ind w:firstLine="0"/>
              <w:jc w:val="both"/>
              <w:rPr>
                <w:rFonts w:ascii="Times New Roman" w:hAnsi="Times New Roman"/>
              </w:rPr>
            </w:pPr>
            <w:r>
              <w:rPr>
                <w:rFonts w:ascii="Times New Roman" w:hAnsi="Times New Roman"/>
              </w:rPr>
              <w:t>Всего тарифов – 121, в т. ч.:</w:t>
            </w:r>
          </w:p>
        </w:tc>
        <w:tc>
          <w:tcPr>
            <w:tcW w:w="3402" w:type="dxa"/>
            <w:tcBorders>
              <w:top w:val="single" w:sz="4" w:space="0" w:color="auto"/>
              <w:left w:val="single" w:sz="4" w:space="0" w:color="auto"/>
              <w:bottom w:val="single" w:sz="4" w:space="0" w:color="auto"/>
              <w:right w:val="single" w:sz="4" w:space="0" w:color="auto"/>
            </w:tcBorders>
            <w:hideMark/>
          </w:tcPr>
          <w:p w:rsidR="000E6A73" w:rsidRDefault="000E6A73">
            <w:pPr>
              <w:pStyle w:val="af"/>
              <w:spacing w:before="0" w:after="0"/>
              <w:ind w:firstLine="0"/>
              <w:jc w:val="both"/>
              <w:rPr>
                <w:rFonts w:ascii="Times New Roman" w:hAnsi="Times New Roman"/>
              </w:rPr>
            </w:pPr>
            <w:r>
              <w:rPr>
                <w:rFonts w:ascii="Times New Roman" w:hAnsi="Times New Roman"/>
              </w:rPr>
              <w:t>Всего тарифов – 69, в т. ч.:</w:t>
            </w:r>
          </w:p>
        </w:tc>
      </w:tr>
      <w:tr w:rsidR="000E6A73" w:rsidTr="000E6A73">
        <w:tc>
          <w:tcPr>
            <w:tcW w:w="3402" w:type="dxa"/>
            <w:tcBorders>
              <w:top w:val="single" w:sz="4" w:space="0" w:color="auto"/>
              <w:left w:val="single" w:sz="4" w:space="0" w:color="auto"/>
              <w:bottom w:val="single" w:sz="4" w:space="0" w:color="auto"/>
              <w:right w:val="single" w:sz="4" w:space="0" w:color="auto"/>
            </w:tcBorders>
            <w:hideMark/>
          </w:tcPr>
          <w:p w:rsidR="000E6A73" w:rsidRDefault="000E6A73" w:rsidP="00953A4D">
            <w:pPr>
              <w:pStyle w:val="af"/>
              <w:spacing w:before="0" w:after="0"/>
              <w:ind w:firstLine="0"/>
              <w:jc w:val="both"/>
              <w:rPr>
                <w:rFonts w:ascii="Times New Roman" w:hAnsi="Times New Roman"/>
              </w:rPr>
            </w:pPr>
            <w:r>
              <w:rPr>
                <w:rFonts w:ascii="Times New Roman" w:hAnsi="Times New Roman"/>
              </w:rPr>
              <w:t>со снижением с 01.01.2020 -</w:t>
            </w:r>
            <w:r w:rsidR="00953A4D">
              <w:rPr>
                <w:rFonts w:ascii="Times New Roman" w:hAnsi="Times New Roman"/>
              </w:rPr>
              <w:t xml:space="preserve"> </w:t>
            </w:r>
            <w:r>
              <w:rPr>
                <w:rFonts w:ascii="Times New Roman" w:hAnsi="Times New Roman"/>
              </w:rPr>
              <w:t>7</w:t>
            </w:r>
          </w:p>
        </w:tc>
        <w:tc>
          <w:tcPr>
            <w:tcW w:w="3402" w:type="dxa"/>
            <w:tcBorders>
              <w:top w:val="single" w:sz="4" w:space="0" w:color="auto"/>
              <w:left w:val="single" w:sz="4" w:space="0" w:color="auto"/>
              <w:bottom w:val="single" w:sz="4" w:space="0" w:color="auto"/>
              <w:right w:val="single" w:sz="4" w:space="0" w:color="auto"/>
            </w:tcBorders>
            <w:hideMark/>
          </w:tcPr>
          <w:p w:rsidR="000E6A73" w:rsidRDefault="000E6A73">
            <w:pPr>
              <w:pStyle w:val="af"/>
              <w:spacing w:before="0" w:after="0"/>
              <w:ind w:firstLine="0"/>
              <w:jc w:val="both"/>
              <w:rPr>
                <w:rFonts w:ascii="Times New Roman" w:hAnsi="Times New Roman"/>
              </w:rPr>
            </w:pPr>
            <w:r>
              <w:rPr>
                <w:rFonts w:ascii="Times New Roman" w:hAnsi="Times New Roman"/>
              </w:rPr>
              <w:t>со снижением с 01.01.2020 - 6</w:t>
            </w:r>
          </w:p>
        </w:tc>
        <w:tc>
          <w:tcPr>
            <w:tcW w:w="3402" w:type="dxa"/>
            <w:tcBorders>
              <w:top w:val="single" w:sz="4" w:space="0" w:color="auto"/>
              <w:left w:val="single" w:sz="4" w:space="0" w:color="auto"/>
              <w:bottom w:val="single" w:sz="4" w:space="0" w:color="auto"/>
              <w:right w:val="single" w:sz="4" w:space="0" w:color="auto"/>
            </w:tcBorders>
            <w:hideMark/>
          </w:tcPr>
          <w:p w:rsidR="000E6A73" w:rsidRDefault="000E6A73">
            <w:pPr>
              <w:pStyle w:val="af"/>
              <w:spacing w:before="0" w:after="0"/>
              <w:ind w:firstLine="0"/>
              <w:jc w:val="both"/>
              <w:rPr>
                <w:rFonts w:ascii="Times New Roman" w:hAnsi="Times New Roman"/>
              </w:rPr>
            </w:pPr>
            <w:r>
              <w:rPr>
                <w:rFonts w:ascii="Times New Roman" w:hAnsi="Times New Roman"/>
              </w:rPr>
              <w:t>со снижением с 01.01.2020 - 0</w:t>
            </w:r>
          </w:p>
        </w:tc>
      </w:tr>
      <w:tr w:rsidR="000E6A73" w:rsidTr="000E6A73">
        <w:tc>
          <w:tcPr>
            <w:tcW w:w="3402" w:type="dxa"/>
            <w:tcBorders>
              <w:top w:val="single" w:sz="4" w:space="0" w:color="auto"/>
              <w:left w:val="single" w:sz="4" w:space="0" w:color="auto"/>
              <w:bottom w:val="single" w:sz="4" w:space="0" w:color="auto"/>
              <w:right w:val="single" w:sz="4" w:space="0" w:color="auto"/>
            </w:tcBorders>
            <w:hideMark/>
          </w:tcPr>
          <w:p w:rsidR="000E6A73" w:rsidRDefault="000E6A73">
            <w:pPr>
              <w:pStyle w:val="af"/>
              <w:spacing w:before="0" w:after="0"/>
              <w:ind w:firstLine="0"/>
              <w:jc w:val="both"/>
              <w:rPr>
                <w:rFonts w:ascii="Times New Roman" w:hAnsi="Times New Roman"/>
              </w:rPr>
            </w:pPr>
            <w:r>
              <w:rPr>
                <w:rFonts w:ascii="Times New Roman" w:hAnsi="Times New Roman"/>
              </w:rPr>
              <w:t>на прежнем уровне с 01.07.2020 - 50</w:t>
            </w:r>
          </w:p>
        </w:tc>
        <w:tc>
          <w:tcPr>
            <w:tcW w:w="3402" w:type="dxa"/>
            <w:tcBorders>
              <w:top w:val="single" w:sz="4" w:space="0" w:color="auto"/>
              <w:left w:val="single" w:sz="4" w:space="0" w:color="auto"/>
              <w:bottom w:val="single" w:sz="4" w:space="0" w:color="auto"/>
              <w:right w:val="single" w:sz="4" w:space="0" w:color="auto"/>
            </w:tcBorders>
            <w:hideMark/>
          </w:tcPr>
          <w:p w:rsidR="000E6A73" w:rsidRDefault="000E6A73">
            <w:pPr>
              <w:pStyle w:val="af"/>
              <w:spacing w:before="0" w:after="0"/>
              <w:ind w:firstLine="0"/>
              <w:jc w:val="both"/>
              <w:rPr>
                <w:rFonts w:ascii="Times New Roman" w:hAnsi="Times New Roman"/>
              </w:rPr>
            </w:pPr>
            <w:r>
              <w:rPr>
                <w:rFonts w:ascii="Times New Roman" w:hAnsi="Times New Roman"/>
              </w:rPr>
              <w:t xml:space="preserve">на прежнем уровне с 01.07.2020 - 35 </w:t>
            </w:r>
          </w:p>
        </w:tc>
        <w:tc>
          <w:tcPr>
            <w:tcW w:w="3402" w:type="dxa"/>
            <w:tcBorders>
              <w:top w:val="single" w:sz="4" w:space="0" w:color="auto"/>
              <w:left w:val="single" w:sz="4" w:space="0" w:color="auto"/>
              <w:bottom w:val="single" w:sz="4" w:space="0" w:color="auto"/>
              <w:right w:val="single" w:sz="4" w:space="0" w:color="auto"/>
            </w:tcBorders>
            <w:hideMark/>
          </w:tcPr>
          <w:p w:rsidR="000E6A73" w:rsidRDefault="000E6A73">
            <w:pPr>
              <w:pStyle w:val="af"/>
              <w:spacing w:before="0" w:after="0"/>
              <w:ind w:firstLine="0"/>
              <w:jc w:val="both"/>
              <w:rPr>
                <w:rFonts w:ascii="Times New Roman" w:hAnsi="Times New Roman"/>
              </w:rPr>
            </w:pPr>
            <w:r>
              <w:rPr>
                <w:rFonts w:ascii="Times New Roman" w:hAnsi="Times New Roman"/>
              </w:rPr>
              <w:t>на прежнем уровне с 01.07.2018 - 0</w:t>
            </w:r>
          </w:p>
        </w:tc>
      </w:tr>
      <w:tr w:rsidR="000E6A73" w:rsidTr="000E6A73">
        <w:tc>
          <w:tcPr>
            <w:tcW w:w="3402" w:type="dxa"/>
            <w:tcBorders>
              <w:top w:val="single" w:sz="4" w:space="0" w:color="auto"/>
              <w:left w:val="single" w:sz="4" w:space="0" w:color="auto"/>
              <w:bottom w:val="single" w:sz="4" w:space="0" w:color="auto"/>
              <w:right w:val="single" w:sz="4" w:space="0" w:color="auto"/>
            </w:tcBorders>
            <w:hideMark/>
          </w:tcPr>
          <w:p w:rsidR="000E6A73" w:rsidRDefault="000E6A73">
            <w:pPr>
              <w:pStyle w:val="af"/>
              <w:spacing w:before="0" w:after="0"/>
              <w:ind w:firstLine="0"/>
              <w:jc w:val="both"/>
              <w:rPr>
                <w:rFonts w:ascii="Times New Roman" w:hAnsi="Times New Roman"/>
              </w:rPr>
            </w:pPr>
            <w:r>
              <w:rPr>
                <w:rFonts w:ascii="Times New Roman" w:hAnsi="Times New Roman"/>
              </w:rPr>
              <w:t>с ростом с 01.07.2020 - 452</w:t>
            </w:r>
          </w:p>
        </w:tc>
        <w:tc>
          <w:tcPr>
            <w:tcW w:w="3402" w:type="dxa"/>
            <w:tcBorders>
              <w:top w:val="single" w:sz="4" w:space="0" w:color="auto"/>
              <w:left w:val="single" w:sz="4" w:space="0" w:color="auto"/>
              <w:bottom w:val="single" w:sz="4" w:space="0" w:color="auto"/>
              <w:right w:val="single" w:sz="4" w:space="0" w:color="auto"/>
            </w:tcBorders>
            <w:hideMark/>
          </w:tcPr>
          <w:p w:rsidR="000E6A73" w:rsidRDefault="000E6A73">
            <w:pPr>
              <w:pStyle w:val="af"/>
              <w:spacing w:before="0" w:after="0"/>
              <w:ind w:firstLine="0"/>
              <w:jc w:val="both"/>
              <w:rPr>
                <w:rFonts w:ascii="Times New Roman" w:hAnsi="Times New Roman"/>
              </w:rPr>
            </w:pPr>
            <w:r>
              <w:rPr>
                <w:rFonts w:ascii="Times New Roman" w:hAnsi="Times New Roman"/>
              </w:rPr>
              <w:t xml:space="preserve"> с ростом с 01.07.2020 - 80</w:t>
            </w:r>
          </w:p>
        </w:tc>
        <w:tc>
          <w:tcPr>
            <w:tcW w:w="3402" w:type="dxa"/>
            <w:tcBorders>
              <w:top w:val="single" w:sz="4" w:space="0" w:color="auto"/>
              <w:left w:val="single" w:sz="4" w:space="0" w:color="auto"/>
              <w:bottom w:val="single" w:sz="4" w:space="0" w:color="auto"/>
              <w:right w:val="single" w:sz="4" w:space="0" w:color="auto"/>
            </w:tcBorders>
            <w:hideMark/>
          </w:tcPr>
          <w:p w:rsidR="000E6A73" w:rsidRDefault="000E6A73">
            <w:pPr>
              <w:pStyle w:val="af"/>
              <w:spacing w:before="0" w:after="0"/>
              <w:ind w:firstLine="0"/>
              <w:jc w:val="both"/>
              <w:rPr>
                <w:rFonts w:ascii="Times New Roman" w:hAnsi="Times New Roman"/>
              </w:rPr>
            </w:pPr>
            <w:r>
              <w:rPr>
                <w:rFonts w:ascii="Times New Roman" w:hAnsi="Times New Roman"/>
              </w:rPr>
              <w:t xml:space="preserve"> с ростом с 01.07.2020 - 69</w:t>
            </w:r>
          </w:p>
        </w:tc>
      </w:tr>
    </w:tbl>
    <w:p w:rsidR="00E06C7A" w:rsidRDefault="00E06C7A" w:rsidP="00E06C7A">
      <w:pPr>
        <w:spacing w:after="0" w:line="240" w:lineRule="auto"/>
        <w:ind w:firstLine="567"/>
        <w:jc w:val="both"/>
        <w:rPr>
          <w:sz w:val="28"/>
          <w:szCs w:val="28"/>
        </w:rPr>
      </w:pPr>
    </w:p>
    <w:p w:rsidR="000E6A73" w:rsidRDefault="00953A4D" w:rsidP="00E06C7A">
      <w:pPr>
        <w:spacing w:after="0" w:line="240" w:lineRule="auto"/>
        <w:ind w:firstLine="567"/>
        <w:jc w:val="both"/>
        <w:rPr>
          <w:sz w:val="28"/>
          <w:szCs w:val="28"/>
        </w:rPr>
      </w:pPr>
      <w:r>
        <w:rPr>
          <w:sz w:val="28"/>
          <w:szCs w:val="28"/>
        </w:rPr>
        <w:t>Рост тарифов</w:t>
      </w:r>
      <w:r w:rsidR="000E6A73">
        <w:rPr>
          <w:sz w:val="28"/>
          <w:szCs w:val="28"/>
        </w:rPr>
        <w:t xml:space="preserve"> в сфере водоснабжения и водоотведения в среднем по Новосибирской области составил:</w:t>
      </w:r>
    </w:p>
    <w:p w:rsidR="000E6A73" w:rsidRDefault="000E6A73" w:rsidP="00E06C7A">
      <w:pPr>
        <w:spacing w:after="0" w:line="240" w:lineRule="auto"/>
        <w:ind w:firstLine="567"/>
        <w:jc w:val="both"/>
        <w:rPr>
          <w:sz w:val="28"/>
          <w:szCs w:val="28"/>
        </w:rPr>
      </w:pPr>
      <w:r>
        <w:rPr>
          <w:sz w:val="28"/>
          <w:szCs w:val="28"/>
        </w:rPr>
        <w:t>- холодное водоснабжение      104,63%;</w:t>
      </w:r>
    </w:p>
    <w:p w:rsidR="000E6A73" w:rsidRDefault="000E6A73" w:rsidP="00E06C7A">
      <w:pPr>
        <w:spacing w:after="0" w:line="240" w:lineRule="auto"/>
        <w:ind w:firstLine="567"/>
        <w:jc w:val="both"/>
        <w:rPr>
          <w:sz w:val="28"/>
          <w:szCs w:val="28"/>
        </w:rPr>
      </w:pPr>
      <w:r>
        <w:rPr>
          <w:sz w:val="28"/>
          <w:szCs w:val="28"/>
        </w:rPr>
        <w:t>- горячее водоснабжение         105,60%;</w:t>
      </w:r>
    </w:p>
    <w:p w:rsidR="000E6A73" w:rsidRDefault="000E6A73" w:rsidP="00E06C7A">
      <w:pPr>
        <w:spacing w:after="0" w:line="240" w:lineRule="auto"/>
        <w:ind w:firstLine="567"/>
        <w:jc w:val="both"/>
        <w:rPr>
          <w:sz w:val="28"/>
          <w:szCs w:val="28"/>
        </w:rPr>
      </w:pPr>
      <w:r>
        <w:rPr>
          <w:sz w:val="28"/>
          <w:szCs w:val="28"/>
        </w:rPr>
        <w:t xml:space="preserve">- водоотведение                      </w:t>
      </w:r>
      <w:r w:rsidR="00A94728">
        <w:rPr>
          <w:sz w:val="28"/>
          <w:szCs w:val="28"/>
        </w:rPr>
        <w:t xml:space="preserve"> </w:t>
      </w:r>
      <w:r>
        <w:rPr>
          <w:sz w:val="28"/>
          <w:szCs w:val="28"/>
        </w:rPr>
        <w:t xml:space="preserve"> 105,50 %.</w:t>
      </w:r>
    </w:p>
    <w:p w:rsidR="00A94728" w:rsidRDefault="00A94728" w:rsidP="00A94728">
      <w:pPr>
        <w:pStyle w:val="af"/>
        <w:spacing w:before="0" w:after="0" w:line="276" w:lineRule="auto"/>
        <w:ind w:firstLine="0"/>
        <w:jc w:val="both"/>
        <w:outlineLvl w:val="0"/>
        <w:rPr>
          <w:rFonts w:ascii="Times New Roman" w:hAnsi="Times New Roman"/>
          <w:b/>
          <w:sz w:val="28"/>
          <w:szCs w:val="28"/>
        </w:rPr>
      </w:pPr>
      <w:r>
        <w:rPr>
          <w:rFonts w:ascii="Times New Roman" w:hAnsi="Times New Roman"/>
          <w:sz w:val="28"/>
          <w:szCs w:val="28"/>
        </w:rPr>
        <w:t xml:space="preserve">         </w:t>
      </w:r>
      <w:r w:rsidRPr="00A94728">
        <w:rPr>
          <w:rFonts w:ascii="Times New Roman" w:hAnsi="Times New Roman"/>
          <w:b/>
          <w:sz w:val="28"/>
          <w:szCs w:val="28"/>
        </w:rPr>
        <w:t>2.4.2.</w:t>
      </w:r>
      <w:r>
        <w:rPr>
          <w:rFonts w:ascii="Times New Roman" w:hAnsi="Times New Roman"/>
          <w:sz w:val="28"/>
          <w:szCs w:val="28"/>
        </w:rPr>
        <w:t xml:space="preserve"> </w:t>
      </w:r>
      <w:r w:rsidRPr="00A94728">
        <w:rPr>
          <w:rFonts w:ascii="Times New Roman" w:hAnsi="Times New Roman"/>
          <w:b/>
          <w:sz w:val="28"/>
          <w:szCs w:val="28"/>
        </w:rPr>
        <w:t>Тарифное регулирование гарантирующе</w:t>
      </w:r>
      <w:r w:rsidR="004911B6">
        <w:rPr>
          <w:rFonts w:ascii="Times New Roman" w:hAnsi="Times New Roman"/>
          <w:b/>
          <w:sz w:val="28"/>
          <w:szCs w:val="28"/>
        </w:rPr>
        <w:t>й</w:t>
      </w:r>
      <w:r w:rsidRPr="00A94728">
        <w:rPr>
          <w:rFonts w:ascii="Times New Roman" w:hAnsi="Times New Roman"/>
          <w:b/>
          <w:sz w:val="28"/>
          <w:szCs w:val="28"/>
        </w:rPr>
        <w:t xml:space="preserve"> </w:t>
      </w:r>
      <w:r w:rsidR="004911B6">
        <w:rPr>
          <w:rFonts w:ascii="Times New Roman" w:hAnsi="Times New Roman"/>
          <w:b/>
          <w:sz w:val="28"/>
          <w:szCs w:val="28"/>
        </w:rPr>
        <w:t xml:space="preserve">организации - </w:t>
      </w:r>
      <w:r w:rsidR="000E6A73" w:rsidRPr="00A94728">
        <w:rPr>
          <w:rFonts w:ascii="Times New Roman" w:hAnsi="Times New Roman"/>
          <w:b/>
          <w:sz w:val="28"/>
          <w:szCs w:val="28"/>
        </w:rPr>
        <w:t xml:space="preserve">МУП г. Новосибирска «ГОРВОДОКАНАЛ» </w:t>
      </w:r>
      <w:r w:rsidRPr="00A94728">
        <w:rPr>
          <w:rFonts w:ascii="Times New Roman" w:hAnsi="Times New Roman"/>
          <w:b/>
          <w:sz w:val="28"/>
          <w:szCs w:val="28"/>
        </w:rPr>
        <w:t xml:space="preserve"> осуществляюще</w:t>
      </w:r>
      <w:r w:rsidR="004911B6">
        <w:rPr>
          <w:rFonts w:ascii="Times New Roman" w:hAnsi="Times New Roman"/>
          <w:b/>
          <w:sz w:val="28"/>
          <w:szCs w:val="28"/>
        </w:rPr>
        <w:t>й</w:t>
      </w:r>
      <w:r w:rsidRPr="00A94728">
        <w:rPr>
          <w:rFonts w:ascii="Times New Roman" w:hAnsi="Times New Roman"/>
          <w:b/>
          <w:sz w:val="28"/>
          <w:szCs w:val="28"/>
        </w:rPr>
        <w:t xml:space="preserve"> деятельность на территории</w:t>
      </w:r>
      <w:r>
        <w:rPr>
          <w:rFonts w:ascii="Times New Roman" w:hAnsi="Times New Roman"/>
          <w:b/>
          <w:sz w:val="28"/>
          <w:szCs w:val="28"/>
        </w:rPr>
        <w:t xml:space="preserve"> города Новосибирска и</w:t>
      </w:r>
      <w:r w:rsidRPr="00A94728">
        <w:rPr>
          <w:rFonts w:ascii="Times New Roman" w:hAnsi="Times New Roman"/>
          <w:b/>
          <w:sz w:val="28"/>
          <w:szCs w:val="28"/>
        </w:rPr>
        <w:t xml:space="preserve"> Новосибирской области.</w:t>
      </w:r>
    </w:p>
    <w:p w:rsidR="000E6A73" w:rsidRDefault="00A94728" w:rsidP="00A94728">
      <w:pPr>
        <w:pStyle w:val="af"/>
        <w:spacing w:before="0" w:after="0" w:line="276" w:lineRule="auto"/>
        <w:ind w:firstLine="0"/>
        <w:jc w:val="both"/>
        <w:outlineLvl w:val="0"/>
        <w:rPr>
          <w:rFonts w:ascii="Times New Roman" w:hAnsi="Times New Roman"/>
          <w:sz w:val="28"/>
          <w:szCs w:val="28"/>
        </w:rPr>
      </w:pPr>
      <w:r>
        <w:rPr>
          <w:rFonts w:ascii="Times New Roman" w:hAnsi="Times New Roman"/>
          <w:sz w:val="28"/>
          <w:szCs w:val="28"/>
        </w:rPr>
        <w:t xml:space="preserve"> </w:t>
      </w:r>
      <w:r w:rsidR="00953A4D">
        <w:rPr>
          <w:rFonts w:ascii="Times New Roman" w:hAnsi="Times New Roman"/>
          <w:sz w:val="28"/>
          <w:szCs w:val="28"/>
        </w:rPr>
        <w:t xml:space="preserve"> </w:t>
      </w:r>
      <w:r>
        <w:rPr>
          <w:rFonts w:ascii="Times New Roman" w:hAnsi="Times New Roman"/>
          <w:sz w:val="28"/>
          <w:szCs w:val="28"/>
        </w:rPr>
        <w:t xml:space="preserve">      Департаментом на 2020 год </w:t>
      </w:r>
      <w:r w:rsidRPr="00A94728">
        <w:rPr>
          <w:rFonts w:ascii="Times New Roman" w:hAnsi="Times New Roman"/>
          <w:sz w:val="28"/>
          <w:szCs w:val="28"/>
        </w:rPr>
        <w:t>МУП г. Новосибирска «ГОРВОДОКАНАЛ»</w:t>
      </w:r>
      <w:r w:rsidRPr="00A94728">
        <w:rPr>
          <w:rFonts w:ascii="Times New Roman" w:hAnsi="Times New Roman"/>
          <w:b/>
          <w:sz w:val="28"/>
          <w:szCs w:val="28"/>
        </w:rPr>
        <w:t xml:space="preserve">  </w:t>
      </w:r>
      <w:r w:rsidR="000E6A73">
        <w:rPr>
          <w:rFonts w:ascii="Times New Roman" w:hAnsi="Times New Roman"/>
          <w:sz w:val="28"/>
          <w:szCs w:val="28"/>
        </w:rPr>
        <w:t>установлены следующие тарифы (с НДС):</w:t>
      </w:r>
      <w:r w:rsidR="004911B6">
        <w:rPr>
          <w:rFonts w:ascii="Times New Roman" w:hAnsi="Times New Roman"/>
          <w:sz w:val="28"/>
          <w:szCs w:val="28"/>
        </w:rPr>
        <w:t xml:space="preserve">     </w:t>
      </w:r>
    </w:p>
    <w:p w:rsidR="004911B6" w:rsidRPr="004911B6" w:rsidRDefault="004911B6" w:rsidP="004911B6">
      <w:pPr>
        <w:pStyle w:val="af"/>
        <w:spacing w:before="0" w:after="0" w:line="276" w:lineRule="auto"/>
        <w:ind w:firstLine="0"/>
        <w:jc w:val="right"/>
        <w:outlineLvl w:val="0"/>
        <w:rPr>
          <w:rFonts w:ascii="Times New Roman" w:hAnsi="Times New Roman"/>
          <w:u w:val="single"/>
        </w:rPr>
      </w:pPr>
      <w:r w:rsidRPr="004911B6">
        <w:rPr>
          <w:rFonts w:ascii="Times New Roman" w:hAnsi="Times New Roman"/>
        </w:rPr>
        <w:t>Таблица №2.4.3</w:t>
      </w:r>
    </w:p>
    <w:tbl>
      <w:tblPr>
        <w:tblW w:w="10347"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4962"/>
        <w:gridCol w:w="851"/>
        <w:gridCol w:w="1133"/>
        <w:gridCol w:w="1134"/>
        <w:gridCol w:w="1134"/>
        <w:gridCol w:w="1133"/>
      </w:tblGrid>
      <w:tr w:rsidR="000E6A73" w:rsidTr="004911B6">
        <w:trPr>
          <w:trHeight w:val="181"/>
        </w:trPr>
        <w:tc>
          <w:tcPr>
            <w:tcW w:w="4962" w:type="dxa"/>
            <w:tcBorders>
              <w:top w:val="single" w:sz="4" w:space="0" w:color="auto"/>
              <w:left w:val="single" w:sz="4" w:space="0" w:color="auto"/>
              <w:bottom w:val="single" w:sz="4" w:space="0" w:color="auto"/>
              <w:right w:val="single" w:sz="4" w:space="0" w:color="auto"/>
            </w:tcBorders>
            <w:vAlign w:val="center"/>
            <w:hideMark/>
          </w:tcPr>
          <w:p w:rsidR="000E6A73" w:rsidRDefault="000E6A73" w:rsidP="00F93C07">
            <w:pPr>
              <w:spacing w:after="0" w:line="240" w:lineRule="auto"/>
              <w:jc w:val="center"/>
              <w:rPr>
                <w:sz w:val="20"/>
                <w:szCs w:val="20"/>
              </w:rPr>
            </w:pPr>
            <w:r>
              <w:rPr>
                <w:sz w:val="20"/>
                <w:szCs w:val="20"/>
              </w:rPr>
              <w:t>Наименование тарифа</w:t>
            </w:r>
          </w:p>
        </w:tc>
        <w:tc>
          <w:tcPr>
            <w:tcW w:w="851" w:type="dxa"/>
            <w:tcBorders>
              <w:top w:val="single" w:sz="4" w:space="0" w:color="auto"/>
              <w:left w:val="single" w:sz="4" w:space="0" w:color="auto"/>
              <w:bottom w:val="single" w:sz="4" w:space="0" w:color="auto"/>
              <w:right w:val="single" w:sz="4" w:space="0" w:color="auto"/>
            </w:tcBorders>
            <w:vAlign w:val="center"/>
            <w:hideMark/>
          </w:tcPr>
          <w:p w:rsidR="000E6A73" w:rsidRDefault="000E6A73" w:rsidP="00F93C07">
            <w:pPr>
              <w:spacing w:after="0" w:line="240" w:lineRule="auto"/>
              <w:jc w:val="center"/>
              <w:rPr>
                <w:sz w:val="20"/>
                <w:szCs w:val="20"/>
              </w:rPr>
            </w:pPr>
            <w:r>
              <w:rPr>
                <w:sz w:val="20"/>
                <w:szCs w:val="20"/>
              </w:rPr>
              <w:t>Ед. изм.</w:t>
            </w:r>
          </w:p>
        </w:tc>
        <w:tc>
          <w:tcPr>
            <w:tcW w:w="1133" w:type="dxa"/>
            <w:tcBorders>
              <w:top w:val="single" w:sz="4" w:space="0" w:color="auto"/>
              <w:left w:val="single" w:sz="4" w:space="0" w:color="auto"/>
              <w:bottom w:val="single" w:sz="4" w:space="0" w:color="auto"/>
              <w:right w:val="single" w:sz="4" w:space="0" w:color="auto"/>
            </w:tcBorders>
            <w:vAlign w:val="center"/>
            <w:hideMark/>
          </w:tcPr>
          <w:p w:rsidR="000E6A73" w:rsidRDefault="000E6A73" w:rsidP="00F93C07">
            <w:pPr>
              <w:spacing w:after="0" w:line="240" w:lineRule="auto"/>
              <w:jc w:val="center"/>
              <w:rPr>
                <w:sz w:val="20"/>
                <w:szCs w:val="20"/>
              </w:rPr>
            </w:pPr>
            <w:r>
              <w:rPr>
                <w:sz w:val="20"/>
                <w:szCs w:val="20"/>
              </w:rPr>
              <w:t>с 01.07.19</w:t>
            </w:r>
          </w:p>
        </w:tc>
        <w:tc>
          <w:tcPr>
            <w:tcW w:w="1134" w:type="dxa"/>
            <w:tcBorders>
              <w:top w:val="single" w:sz="4" w:space="0" w:color="auto"/>
              <w:left w:val="single" w:sz="4" w:space="0" w:color="auto"/>
              <w:bottom w:val="single" w:sz="4" w:space="0" w:color="auto"/>
              <w:right w:val="single" w:sz="4" w:space="0" w:color="auto"/>
            </w:tcBorders>
            <w:vAlign w:val="center"/>
            <w:hideMark/>
          </w:tcPr>
          <w:p w:rsidR="000E6A73" w:rsidRDefault="000E6A73" w:rsidP="00F93C07">
            <w:pPr>
              <w:spacing w:after="0" w:line="240" w:lineRule="auto"/>
              <w:jc w:val="center"/>
              <w:rPr>
                <w:sz w:val="20"/>
                <w:szCs w:val="20"/>
              </w:rPr>
            </w:pPr>
            <w:r>
              <w:rPr>
                <w:sz w:val="20"/>
                <w:szCs w:val="20"/>
              </w:rPr>
              <w:t>с 01.01.20</w:t>
            </w:r>
          </w:p>
        </w:tc>
        <w:tc>
          <w:tcPr>
            <w:tcW w:w="1134" w:type="dxa"/>
            <w:tcBorders>
              <w:top w:val="single" w:sz="4" w:space="0" w:color="auto"/>
              <w:left w:val="single" w:sz="4" w:space="0" w:color="auto"/>
              <w:bottom w:val="single" w:sz="4" w:space="0" w:color="auto"/>
              <w:right w:val="single" w:sz="4" w:space="0" w:color="auto"/>
            </w:tcBorders>
            <w:vAlign w:val="center"/>
            <w:hideMark/>
          </w:tcPr>
          <w:p w:rsidR="000E6A73" w:rsidRDefault="000E6A73" w:rsidP="00F93C07">
            <w:pPr>
              <w:spacing w:after="0" w:line="240" w:lineRule="auto"/>
              <w:jc w:val="center"/>
              <w:rPr>
                <w:sz w:val="20"/>
                <w:szCs w:val="20"/>
              </w:rPr>
            </w:pPr>
            <w:r>
              <w:rPr>
                <w:sz w:val="20"/>
                <w:szCs w:val="20"/>
              </w:rPr>
              <w:t>с 01.07.20</w:t>
            </w:r>
          </w:p>
        </w:tc>
        <w:tc>
          <w:tcPr>
            <w:tcW w:w="1133" w:type="dxa"/>
            <w:tcBorders>
              <w:top w:val="single" w:sz="4" w:space="0" w:color="auto"/>
              <w:left w:val="single" w:sz="4" w:space="0" w:color="auto"/>
              <w:bottom w:val="single" w:sz="4" w:space="0" w:color="auto"/>
              <w:right w:val="single" w:sz="4" w:space="0" w:color="auto"/>
            </w:tcBorders>
            <w:vAlign w:val="center"/>
            <w:hideMark/>
          </w:tcPr>
          <w:p w:rsidR="000E6A73" w:rsidRDefault="000E6A73" w:rsidP="00F93C07">
            <w:pPr>
              <w:spacing w:after="0" w:line="240" w:lineRule="auto"/>
              <w:jc w:val="center"/>
              <w:rPr>
                <w:i/>
                <w:sz w:val="20"/>
                <w:szCs w:val="20"/>
              </w:rPr>
            </w:pPr>
            <w:r>
              <w:rPr>
                <w:i/>
                <w:sz w:val="20"/>
                <w:szCs w:val="20"/>
              </w:rPr>
              <w:t>% откл.</w:t>
            </w:r>
          </w:p>
        </w:tc>
      </w:tr>
      <w:tr w:rsidR="000E6A73" w:rsidTr="004911B6">
        <w:trPr>
          <w:trHeight w:val="131"/>
        </w:trPr>
        <w:tc>
          <w:tcPr>
            <w:tcW w:w="10347" w:type="dxa"/>
            <w:gridSpan w:val="6"/>
            <w:tcBorders>
              <w:top w:val="single" w:sz="4" w:space="0" w:color="auto"/>
              <w:left w:val="single" w:sz="4" w:space="0" w:color="auto"/>
              <w:bottom w:val="single" w:sz="4" w:space="0" w:color="auto"/>
              <w:right w:val="single" w:sz="4" w:space="0" w:color="auto"/>
            </w:tcBorders>
            <w:hideMark/>
          </w:tcPr>
          <w:p w:rsidR="000E6A73" w:rsidRDefault="000E6A73" w:rsidP="00F93C07">
            <w:pPr>
              <w:spacing w:after="0" w:line="240" w:lineRule="auto"/>
              <w:jc w:val="center"/>
              <w:rPr>
                <w:i/>
                <w:sz w:val="20"/>
                <w:szCs w:val="20"/>
              </w:rPr>
            </w:pPr>
            <w:r>
              <w:rPr>
                <w:b/>
                <w:i/>
                <w:sz w:val="20"/>
                <w:szCs w:val="20"/>
              </w:rPr>
              <w:t>г. Новосибирск</w:t>
            </w:r>
          </w:p>
        </w:tc>
      </w:tr>
      <w:tr w:rsidR="000E6A73" w:rsidTr="004911B6">
        <w:trPr>
          <w:trHeight w:val="177"/>
        </w:trPr>
        <w:tc>
          <w:tcPr>
            <w:tcW w:w="4962" w:type="dxa"/>
            <w:tcBorders>
              <w:top w:val="single" w:sz="4" w:space="0" w:color="auto"/>
              <w:left w:val="single" w:sz="4" w:space="0" w:color="auto"/>
              <w:bottom w:val="single" w:sz="4" w:space="0" w:color="auto"/>
              <w:right w:val="single" w:sz="4" w:space="0" w:color="auto"/>
            </w:tcBorders>
            <w:hideMark/>
          </w:tcPr>
          <w:p w:rsidR="000E6A73" w:rsidRDefault="000E6A73" w:rsidP="00F93C07">
            <w:pPr>
              <w:spacing w:after="0" w:line="240" w:lineRule="auto"/>
              <w:rPr>
                <w:sz w:val="20"/>
                <w:szCs w:val="20"/>
              </w:rPr>
            </w:pPr>
            <w:r>
              <w:rPr>
                <w:sz w:val="20"/>
                <w:szCs w:val="20"/>
              </w:rPr>
              <w:t>холодная вода</w:t>
            </w:r>
          </w:p>
        </w:tc>
        <w:tc>
          <w:tcPr>
            <w:tcW w:w="851" w:type="dxa"/>
            <w:tcBorders>
              <w:top w:val="single" w:sz="4" w:space="0" w:color="auto"/>
              <w:left w:val="single" w:sz="4" w:space="0" w:color="auto"/>
              <w:bottom w:val="single" w:sz="4" w:space="0" w:color="auto"/>
              <w:right w:val="single" w:sz="4" w:space="0" w:color="auto"/>
            </w:tcBorders>
            <w:vAlign w:val="center"/>
            <w:hideMark/>
          </w:tcPr>
          <w:p w:rsidR="000E6A73" w:rsidRDefault="000E6A73" w:rsidP="00F93C07">
            <w:pPr>
              <w:spacing w:after="0" w:line="240" w:lineRule="auto"/>
              <w:jc w:val="center"/>
              <w:rPr>
                <w:sz w:val="20"/>
                <w:szCs w:val="20"/>
              </w:rPr>
            </w:pPr>
            <w:r>
              <w:rPr>
                <w:sz w:val="20"/>
                <w:szCs w:val="20"/>
              </w:rPr>
              <w:t>руб./м</w:t>
            </w:r>
            <w:r>
              <w:rPr>
                <w:sz w:val="20"/>
                <w:szCs w:val="20"/>
                <w:vertAlign w:val="superscript"/>
              </w:rPr>
              <w:t>3</w:t>
            </w:r>
          </w:p>
        </w:tc>
        <w:tc>
          <w:tcPr>
            <w:tcW w:w="1133" w:type="dxa"/>
            <w:tcBorders>
              <w:top w:val="single" w:sz="4" w:space="0" w:color="auto"/>
              <w:left w:val="single" w:sz="4" w:space="0" w:color="auto"/>
              <w:bottom w:val="single" w:sz="4" w:space="0" w:color="auto"/>
              <w:right w:val="single" w:sz="4" w:space="0" w:color="auto"/>
            </w:tcBorders>
            <w:vAlign w:val="center"/>
            <w:hideMark/>
          </w:tcPr>
          <w:p w:rsidR="000E6A73" w:rsidRDefault="000E6A73" w:rsidP="00F93C07">
            <w:pPr>
              <w:spacing w:after="0" w:line="240" w:lineRule="auto"/>
              <w:jc w:val="center"/>
              <w:rPr>
                <w:sz w:val="20"/>
                <w:szCs w:val="20"/>
              </w:rPr>
            </w:pPr>
            <w:r>
              <w:rPr>
                <w:sz w:val="20"/>
                <w:szCs w:val="20"/>
              </w:rPr>
              <w:t>18,56</w:t>
            </w:r>
          </w:p>
        </w:tc>
        <w:tc>
          <w:tcPr>
            <w:tcW w:w="1134" w:type="dxa"/>
            <w:tcBorders>
              <w:top w:val="single" w:sz="4" w:space="0" w:color="auto"/>
              <w:left w:val="single" w:sz="4" w:space="0" w:color="auto"/>
              <w:bottom w:val="single" w:sz="4" w:space="0" w:color="auto"/>
              <w:right w:val="single" w:sz="4" w:space="0" w:color="auto"/>
            </w:tcBorders>
            <w:vAlign w:val="center"/>
            <w:hideMark/>
          </w:tcPr>
          <w:p w:rsidR="000E6A73" w:rsidRDefault="000E6A73" w:rsidP="00F93C07">
            <w:pPr>
              <w:spacing w:after="0" w:line="240" w:lineRule="auto"/>
              <w:jc w:val="center"/>
              <w:rPr>
                <w:sz w:val="20"/>
                <w:szCs w:val="20"/>
              </w:rPr>
            </w:pPr>
            <w:r>
              <w:rPr>
                <w:sz w:val="20"/>
                <w:szCs w:val="20"/>
              </w:rPr>
              <w:t>18,56</w:t>
            </w:r>
          </w:p>
        </w:tc>
        <w:tc>
          <w:tcPr>
            <w:tcW w:w="1134" w:type="dxa"/>
            <w:tcBorders>
              <w:top w:val="single" w:sz="4" w:space="0" w:color="auto"/>
              <w:left w:val="single" w:sz="4" w:space="0" w:color="auto"/>
              <w:bottom w:val="single" w:sz="4" w:space="0" w:color="auto"/>
              <w:right w:val="single" w:sz="4" w:space="0" w:color="auto"/>
            </w:tcBorders>
            <w:vAlign w:val="center"/>
            <w:hideMark/>
          </w:tcPr>
          <w:p w:rsidR="000E6A73" w:rsidRDefault="000E6A73" w:rsidP="00F93C07">
            <w:pPr>
              <w:spacing w:after="0" w:line="240" w:lineRule="auto"/>
              <w:jc w:val="center"/>
              <w:rPr>
                <w:sz w:val="20"/>
                <w:szCs w:val="20"/>
              </w:rPr>
            </w:pPr>
            <w:r>
              <w:rPr>
                <w:sz w:val="20"/>
                <w:szCs w:val="20"/>
              </w:rPr>
              <w:t>19,46</w:t>
            </w:r>
          </w:p>
        </w:tc>
        <w:tc>
          <w:tcPr>
            <w:tcW w:w="1133" w:type="dxa"/>
            <w:tcBorders>
              <w:top w:val="single" w:sz="4" w:space="0" w:color="auto"/>
              <w:left w:val="single" w:sz="4" w:space="0" w:color="auto"/>
              <w:bottom w:val="single" w:sz="4" w:space="0" w:color="auto"/>
              <w:right w:val="single" w:sz="4" w:space="0" w:color="auto"/>
            </w:tcBorders>
            <w:vAlign w:val="center"/>
            <w:hideMark/>
          </w:tcPr>
          <w:p w:rsidR="000E6A73" w:rsidRDefault="000E6A73" w:rsidP="00F93C07">
            <w:pPr>
              <w:spacing w:after="0" w:line="240" w:lineRule="auto"/>
              <w:jc w:val="center"/>
              <w:rPr>
                <w:i/>
                <w:sz w:val="20"/>
                <w:szCs w:val="20"/>
              </w:rPr>
            </w:pPr>
            <w:r>
              <w:rPr>
                <w:i/>
                <w:sz w:val="20"/>
                <w:szCs w:val="20"/>
              </w:rPr>
              <w:t>104,85</w:t>
            </w:r>
          </w:p>
        </w:tc>
      </w:tr>
      <w:tr w:rsidR="000E6A73" w:rsidTr="004911B6">
        <w:trPr>
          <w:trHeight w:val="223"/>
        </w:trPr>
        <w:tc>
          <w:tcPr>
            <w:tcW w:w="4962" w:type="dxa"/>
            <w:tcBorders>
              <w:top w:val="single" w:sz="4" w:space="0" w:color="auto"/>
              <w:left w:val="single" w:sz="4" w:space="0" w:color="auto"/>
              <w:bottom w:val="single" w:sz="4" w:space="0" w:color="auto"/>
              <w:right w:val="single" w:sz="4" w:space="0" w:color="auto"/>
            </w:tcBorders>
            <w:hideMark/>
          </w:tcPr>
          <w:p w:rsidR="000E6A73" w:rsidRDefault="000E6A73" w:rsidP="00F93C07">
            <w:pPr>
              <w:spacing w:after="0" w:line="240" w:lineRule="auto"/>
              <w:rPr>
                <w:sz w:val="20"/>
                <w:szCs w:val="20"/>
              </w:rPr>
            </w:pPr>
            <w:r>
              <w:rPr>
                <w:sz w:val="20"/>
                <w:szCs w:val="20"/>
              </w:rPr>
              <w:t>водоотведение</w:t>
            </w:r>
          </w:p>
        </w:tc>
        <w:tc>
          <w:tcPr>
            <w:tcW w:w="851" w:type="dxa"/>
            <w:tcBorders>
              <w:top w:val="single" w:sz="4" w:space="0" w:color="auto"/>
              <w:left w:val="single" w:sz="4" w:space="0" w:color="auto"/>
              <w:bottom w:val="single" w:sz="4" w:space="0" w:color="auto"/>
              <w:right w:val="single" w:sz="4" w:space="0" w:color="auto"/>
            </w:tcBorders>
            <w:vAlign w:val="center"/>
            <w:hideMark/>
          </w:tcPr>
          <w:p w:rsidR="000E6A73" w:rsidRDefault="000E6A73" w:rsidP="00F93C07">
            <w:pPr>
              <w:spacing w:after="0" w:line="240" w:lineRule="auto"/>
              <w:jc w:val="center"/>
              <w:rPr>
                <w:sz w:val="20"/>
                <w:szCs w:val="20"/>
              </w:rPr>
            </w:pPr>
            <w:r>
              <w:rPr>
                <w:sz w:val="20"/>
                <w:szCs w:val="20"/>
              </w:rPr>
              <w:t>руб./м</w:t>
            </w:r>
            <w:r>
              <w:rPr>
                <w:sz w:val="20"/>
                <w:szCs w:val="20"/>
                <w:vertAlign w:val="superscript"/>
              </w:rPr>
              <w:t>3</w:t>
            </w:r>
          </w:p>
        </w:tc>
        <w:tc>
          <w:tcPr>
            <w:tcW w:w="1133" w:type="dxa"/>
            <w:tcBorders>
              <w:top w:val="single" w:sz="4" w:space="0" w:color="auto"/>
              <w:left w:val="single" w:sz="4" w:space="0" w:color="auto"/>
              <w:bottom w:val="single" w:sz="4" w:space="0" w:color="auto"/>
              <w:right w:val="single" w:sz="4" w:space="0" w:color="auto"/>
            </w:tcBorders>
            <w:vAlign w:val="center"/>
            <w:hideMark/>
          </w:tcPr>
          <w:p w:rsidR="000E6A73" w:rsidRDefault="000E6A73" w:rsidP="00F93C07">
            <w:pPr>
              <w:spacing w:after="0" w:line="240" w:lineRule="auto"/>
              <w:jc w:val="center"/>
              <w:rPr>
                <w:sz w:val="20"/>
                <w:szCs w:val="20"/>
              </w:rPr>
            </w:pPr>
            <w:r>
              <w:rPr>
                <w:sz w:val="20"/>
                <w:szCs w:val="20"/>
              </w:rPr>
              <w:t>14,24</w:t>
            </w:r>
          </w:p>
        </w:tc>
        <w:tc>
          <w:tcPr>
            <w:tcW w:w="1134" w:type="dxa"/>
            <w:tcBorders>
              <w:top w:val="single" w:sz="4" w:space="0" w:color="auto"/>
              <w:left w:val="single" w:sz="4" w:space="0" w:color="auto"/>
              <w:bottom w:val="single" w:sz="4" w:space="0" w:color="auto"/>
              <w:right w:val="single" w:sz="4" w:space="0" w:color="auto"/>
            </w:tcBorders>
            <w:vAlign w:val="center"/>
            <w:hideMark/>
          </w:tcPr>
          <w:p w:rsidR="000E6A73" w:rsidRDefault="000E6A73" w:rsidP="00F93C07">
            <w:pPr>
              <w:spacing w:after="0" w:line="240" w:lineRule="auto"/>
              <w:jc w:val="center"/>
              <w:rPr>
                <w:sz w:val="20"/>
                <w:szCs w:val="20"/>
              </w:rPr>
            </w:pPr>
            <w:r>
              <w:rPr>
                <w:sz w:val="20"/>
                <w:szCs w:val="20"/>
              </w:rPr>
              <w:t>14,24</w:t>
            </w:r>
          </w:p>
        </w:tc>
        <w:tc>
          <w:tcPr>
            <w:tcW w:w="1134" w:type="dxa"/>
            <w:tcBorders>
              <w:top w:val="single" w:sz="4" w:space="0" w:color="auto"/>
              <w:left w:val="single" w:sz="4" w:space="0" w:color="auto"/>
              <w:bottom w:val="single" w:sz="4" w:space="0" w:color="auto"/>
              <w:right w:val="single" w:sz="4" w:space="0" w:color="auto"/>
            </w:tcBorders>
            <w:vAlign w:val="center"/>
            <w:hideMark/>
          </w:tcPr>
          <w:p w:rsidR="000E6A73" w:rsidRDefault="000E6A73" w:rsidP="00F93C07">
            <w:pPr>
              <w:spacing w:after="0" w:line="240" w:lineRule="auto"/>
              <w:jc w:val="center"/>
              <w:rPr>
                <w:sz w:val="20"/>
                <w:szCs w:val="20"/>
              </w:rPr>
            </w:pPr>
            <w:r>
              <w:rPr>
                <w:sz w:val="20"/>
                <w:szCs w:val="20"/>
              </w:rPr>
              <w:t>15,08</w:t>
            </w:r>
          </w:p>
        </w:tc>
        <w:tc>
          <w:tcPr>
            <w:tcW w:w="1133" w:type="dxa"/>
            <w:tcBorders>
              <w:top w:val="single" w:sz="4" w:space="0" w:color="auto"/>
              <w:left w:val="single" w:sz="4" w:space="0" w:color="auto"/>
              <w:bottom w:val="single" w:sz="4" w:space="0" w:color="auto"/>
              <w:right w:val="single" w:sz="4" w:space="0" w:color="auto"/>
            </w:tcBorders>
            <w:vAlign w:val="center"/>
            <w:hideMark/>
          </w:tcPr>
          <w:p w:rsidR="000E6A73" w:rsidRDefault="000E6A73" w:rsidP="00F93C07">
            <w:pPr>
              <w:spacing w:after="0" w:line="240" w:lineRule="auto"/>
              <w:jc w:val="center"/>
              <w:rPr>
                <w:i/>
                <w:sz w:val="20"/>
                <w:szCs w:val="20"/>
              </w:rPr>
            </w:pPr>
            <w:r>
              <w:rPr>
                <w:i/>
                <w:sz w:val="20"/>
                <w:szCs w:val="20"/>
              </w:rPr>
              <w:t>105,90</w:t>
            </w:r>
          </w:p>
        </w:tc>
      </w:tr>
      <w:tr w:rsidR="000E6A73" w:rsidTr="004911B6">
        <w:trPr>
          <w:trHeight w:val="201"/>
        </w:trPr>
        <w:tc>
          <w:tcPr>
            <w:tcW w:w="10347" w:type="dxa"/>
            <w:gridSpan w:val="6"/>
            <w:tcBorders>
              <w:top w:val="single" w:sz="4" w:space="0" w:color="auto"/>
              <w:left w:val="single" w:sz="4" w:space="0" w:color="auto"/>
              <w:bottom w:val="single" w:sz="4" w:space="0" w:color="auto"/>
              <w:right w:val="single" w:sz="4" w:space="0" w:color="auto"/>
            </w:tcBorders>
            <w:hideMark/>
          </w:tcPr>
          <w:p w:rsidR="000E6A73" w:rsidRDefault="000E6A73" w:rsidP="00F93C07">
            <w:pPr>
              <w:spacing w:after="0" w:line="240" w:lineRule="auto"/>
              <w:jc w:val="center"/>
              <w:rPr>
                <w:i/>
                <w:sz w:val="20"/>
                <w:szCs w:val="20"/>
              </w:rPr>
            </w:pPr>
            <w:r>
              <w:rPr>
                <w:b/>
                <w:i/>
                <w:sz w:val="20"/>
                <w:szCs w:val="20"/>
              </w:rPr>
              <w:t>г. Обь</w:t>
            </w:r>
          </w:p>
        </w:tc>
      </w:tr>
      <w:tr w:rsidR="000E6A73" w:rsidTr="004911B6">
        <w:trPr>
          <w:trHeight w:val="233"/>
        </w:trPr>
        <w:tc>
          <w:tcPr>
            <w:tcW w:w="4962" w:type="dxa"/>
            <w:tcBorders>
              <w:top w:val="single" w:sz="4" w:space="0" w:color="auto"/>
              <w:left w:val="single" w:sz="4" w:space="0" w:color="auto"/>
              <w:bottom w:val="single" w:sz="4" w:space="0" w:color="auto"/>
              <w:right w:val="single" w:sz="4" w:space="0" w:color="auto"/>
            </w:tcBorders>
            <w:hideMark/>
          </w:tcPr>
          <w:p w:rsidR="000E6A73" w:rsidRDefault="000E6A73" w:rsidP="00F93C07">
            <w:pPr>
              <w:spacing w:after="0" w:line="240" w:lineRule="auto"/>
              <w:rPr>
                <w:sz w:val="20"/>
                <w:szCs w:val="20"/>
              </w:rPr>
            </w:pPr>
            <w:r>
              <w:rPr>
                <w:sz w:val="20"/>
                <w:szCs w:val="20"/>
              </w:rPr>
              <w:t>холодная вода</w:t>
            </w:r>
          </w:p>
        </w:tc>
        <w:tc>
          <w:tcPr>
            <w:tcW w:w="851" w:type="dxa"/>
            <w:tcBorders>
              <w:top w:val="single" w:sz="4" w:space="0" w:color="auto"/>
              <w:left w:val="single" w:sz="4" w:space="0" w:color="auto"/>
              <w:bottom w:val="single" w:sz="4" w:space="0" w:color="auto"/>
              <w:right w:val="single" w:sz="4" w:space="0" w:color="auto"/>
            </w:tcBorders>
            <w:vAlign w:val="center"/>
            <w:hideMark/>
          </w:tcPr>
          <w:p w:rsidR="000E6A73" w:rsidRDefault="000E6A73" w:rsidP="00F93C07">
            <w:pPr>
              <w:spacing w:after="0" w:line="240" w:lineRule="auto"/>
              <w:jc w:val="center"/>
              <w:rPr>
                <w:sz w:val="20"/>
                <w:szCs w:val="20"/>
              </w:rPr>
            </w:pPr>
            <w:r>
              <w:rPr>
                <w:sz w:val="20"/>
                <w:szCs w:val="20"/>
              </w:rPr>
              <w:t>руб./м</w:t>
            </w:r>
            <w:r>
              <w:rPr>
                <w:sz w:val="20"/>
                <w:szCs w:val="20"/>
                <w:vertAlign w:val="superscript"/>
              </w:rPr>
              <w:t>3</w:t>
            </w:r>
          </w:p>
        </w:tc>
        <w:tc>
          <w:tcPr>
            <w:tcW w:w="1133" w:type="dxa"/>
            <w:tcBorders>
              <w:top w:val="single" w:sz="4" w:space="0" w:color="auto"/>
              <w:left w:val="single" w:sz="4" w:space="0" w:color="auto"/>
              <w:bottom w:val="single" w:sz="4" w:space="0" w:color="auto"/>
              <w:right w:val="single" w:sz="4" w:space="0" w:color="auto"/>
            </w:tcBorders>
            <w:vAlign w:val="center"/>
            <w:hideMark/>
          </w:tcPr>
          <w:p w:rsidR="000E6A73" w:rsidRDefault="000E6A73" w:rsidP="00F93C07">
            <w:pPr>
              <w:spacing w:after="0" w:line="240" w:lineRule="auto"/>
              <w:jc w:val="center"/>
              <w:rPr>
                <w:sz w:val="20"/>
                <w:szCs w:val="20"/>
              </w:rPr>
            </w:pPr>
            <w:r>
              <w:rPr>
                <w:sz w:val="20"/>
                <w:szCs w:val="20"/>
              </w:rPr>
              <w:t>33,18</w:t>
            </w:r>
          </w:p>
        </w:tc>
        <w:tc>
          <w:tcPr>
            <w:tcW w:w="1134" w:type="dxa"/>
            <w:tcBorders>
              <w:top w:val="single" w:sz="4" w:space="0" w:color="auto"/>
              <w:left w:val="single" w:sz="4" w:space="0" w:color="auto"/>
              <w:bottom w:val="single" w:sz="4" w:space="0" w:color="auto"/>
              <w:right w:val="single" w:sz="4" w:space="0" w:color="auto"/>
            </w:tcBorders>
            <w:vAlign w:val="center"/>
            <w:hideMark/>
          </w:tcPr>
          <w:p w:rsidR="000E6A73" w:rsidRDefault="000E6A73" w:rsidP="00F93C07">
            <w:pPr>
              <w:spacing w:after="0" w:line="240" w:lineRule="auto"/>
              <w:jc w:val="center"/>
              <w:rPr>
                <w:sz w:val="20"/>
                <w:szCs w:val="20"/>
              </w:rPr>
            </w:pPr>
            <w:r>
              <w:rPr>
                <w:sz w:val="20"/>
                <w:szCs w:val="20"/>
              </w:rPr>
              <w:t>18,56</w:t>
            </w:r>
          </w:p>
        </w:tc>
        <w:tc>
          <w:tcPr>
            <w:tcW w:w="1134" w:type="dxa"/>
            <w:tcBorders>
              <w:top w:val="single" w:sz="4" w:space="0" w:color="auto"/>
              <w:left w:val="single" w:sz="4" w:space="0" w:color="auto"/>
              <w:bottom w:val="single" w:sz="4" w:space="0" w:color="auto"/>
              <w:right w:val="single" w:sz="4" w:space="0" w:color="auto"/>
            </w:tcBorders>
            <w:vAlign w:val="center"/>
            <w:hideMark/>
          </w:tcPr>
          <w:p w:rsidR="000E6A73" w:rsidRDefault="000E6A73" w:rsidP="00F93C07">
            <w:pPr>
              <w:spacing w:after="0" w:line="240" w:lineRule="auto"/>
              <w:jc w:val="center"/>
              <w:rPr>
                <w:sz w:val="20"/>
                <w:szCs w:val="20"/>
              </w:rPr>
            </w:pPr>
            <w:r>
              <w:rPr>
                <w:sz w:val="20"/>
                <w:szCs w:val="20"/>
              </w:rPr>
              <w:t>19,46</w:t>
            </w:r>
          </w:p>
        </w:tc>
        <w:tc>
          <w:tcPr>
            <w:tcW w:w="1133" w:type="dxa"/>
            <w:tcBorders>
              <w:top w:val="single" w:sz="4" w:space="0" w:color="auto"/>
              <w:left w:val="single" w:sz="4" w:space="0" w:color="auto"/>
              <w:bottom w:val="single" w:sz="4" w:space="0" w:color="auto"/>
              <w:right w:val="single" w:sz="4" w:space="0" w:color="auto"/>
            </w:tcBorders>
            <w:hideMark/>
          </w:tcPr>
          <w:p w:rsidR="000E6A73" w:rsidRDefault="000E6A73" w:rsidP="00F93C07">
            <w:pPr>
              <w:spacing w:after="0" w:line="240" w:lineRule="auto"/>
              <w:jc w:val="center"/>
              <w:rPr>
                <w:i/>
                <w:sz w:val="20"/>
                <w:szCs w:val="20"/>
              </w:rPr>
            </w:pPr>
            <w:r>
              <w:rPr>
                <w:i/>
                <w:sz w:val="20"/>
                <w:szCs w:val="20"/>
              </w:rPr>
              <w:t>104,85</w:t>
            </w:r>
          </w:p>
        </w:tc>
      </w:tr>
      <w:tr w:rsidR="000E6A73" w:rsidTr="004911B6">
        <w:trPr>
          <w:trHeight w:val="137"/>
        </w:trPr>
        <w:tc>
          <w:tcPr>
            <w:tcW w:w="4962" w:type="dxa"/>
            <w:tcBorders>
              <w:top w:val="single" w:sz="4" w:space="0" w:color="auto"/>
              <w:left w:val="single" w:sz="4" w:space="0" w:color="auto"/>
              <w:bottom w:val="single" w:sz="4" w:space="0" w:color="auto"/>
              <w:right w:val="single" w:sz="4" w:space="0" w:color="auto"/>
            </w:tcBorders>
            <w:hideMark/>
          </w:tcPr>
          <w:p w:rsidR="000E6A73" w:rsidRDefault="000E6A73" w:rsidP="00F93C07">
            <w:pPr>
              <w:spacing w:after="0" w:line="240" w:lineRule="auto"/>
              <w:rPr>
                <w:sz w:val="20"/>
                <w:szCs w:val="20"/>
              </w:rPr>
            </w:pPr>
            <w:r>
              <w:rPr>
                <w:sz w:val="20"/>
                <w:szCs w:val="20"/>
              </w:rPr>
              <w:t>водоотведение</w:t>
            </w:r>
          </w:p>
        </w:tc>
        <w:tc>
          <w:tcPr>
            <w:tcW w:w="851" w:type="dxa"/>
            <w:tcBorders>
              <w:top w:val="single" w:sz="4" w:space="0" w:color="auto"/>
              <w:left w:val="single" w:sz="4" w:space="0" w:color="auto"/>
              <w:bottom w:val="single" w:sz="4" w:space="0" w:color="auto"/>
              <w:right w:val="single" w:sz="4" w:space="0" w:color="auto"/>
            </w:tcBorders>
            <w:vAlign w:val="center"/>
            <w:hideMark/>
          </w:tcPr>
          <w:p w:rsidR="000E6A73" w:rsidRDefault="000E6A73" w:rsidP="00F93C07">
            <w:pPr>
              <w:spacing w:after="0" w:line="240" w:lineRule="auto"/>
              <w:jc w:val="center"/>
              <w:rPr>
                <w:sz w:val="20"/>
                <w:szCs w:val="20"/>
              </w:rPr>
            </w:pPr>
            <w:r>
              <w:rPr>
                <w:sz w:val="20"/>
                <w:szCs w:val="20"/>
              </w:rPr>
              <w:t>руб./м</w:t>
            </w:r>
            <w:r>
              <w:rPr>
                <w:sz w:val="20"/>
                <w:szCs w:val="20"/>
                <w:vertAlign w:val="superscript"/>
              </w:rPr>
              <w:t>3</w:t>
            </w:r>
          </w:p>
        </w:tc>
        <w:tc>
          <w:tcPr>
            <w:tcW w:w="1133" w:type="dxa"/>
            <w:tcBorders>
              <w:top w:val="single" w:sz="4" w:space="0" w:color="auto"/>
              <w:left w:val="single" w:sz="4" w:space="0" w:color="auto"/>
              <w:bottom w:val="single" w:sz="4" w:space="0" w:color="auto"/>
              <w:right w:val="single" w:sz="4" w:space="0" w:color="auto"/>
            </w:tcBorders>
            <w:vAlign w:val="center"/>
            <w:hideMark/>
          </w:tcPr>
          <w:p w:rsidR="000E6A73" w:rsidRDefault="000E6A73" w:rsidP="00F93C07">
            <w:pPr>
              <w:spacing w:after="0" w:line="240" w:lineRule="auto"/>
              <w:jc w:val="center"/>
              <w:rPr>
                <w:sz w:val="20"/>
                <w:szCs w:val="20"/>
              </w:rPr>
            </w:pPr>
            <w:r>
              <w:rPr>
                <w:sz w:val="20"/>
                <w:szCs w:val="20"/>
              </w:rPr>
              <w:t>25,70</w:t>
            </w:r>
          </w:p>
        </w:tc>
        <w:tc>
          <w:tcPr>
            <w:tcW w:w="1134" w:type="dxa"/>
            <w:tcBorders>
              <w:top w:val="single" w:sz="4" w:space="0" w:color="auto"/>
              <w:left w:val="single" w:sz="4" w:space="0" w:color="auto"/>
              <w:bottom w:val="single" w:sz="4" w:space="0" w:color="auto"/>
              <w:right w:val="single" w:sz="4" w:space="0" w:color="auto"/>
            </w:tcBorders>
            <w:vAlign w:val="center"/>
            <w:hideMark/>
          </w:tcPr>
          <w:p w:rsidR="000E6A73" w:rsidRDefault="000E6A73" w:rsidP="00F93C07">
            <w:pPr>
              <w:spacing w:after="0" w:line="240" w:lineRule="auto"/>
              <w:jc w:val="center"/>
              <w:rPr>
                <w:sz w:val="20"/>
                <w:szCs w:val="20"/>
              </w:rPr>
            </w:pPr>
            <w:r>
              <w:rPr>
                <w:sz w:val="20"/>
                <w:szCs w:val="20"/>
              </w:rPr>
              <w:t>14,24</w:t>
            </w:r>
          </w:p>
        </w:tc>
        <w:tc>
          <w:tcPr>
            <w:tcW w:w="1134" w:type="dxa"/>
            <w:tcBorders>
              <w:top w:val="single" w:sz="4" w:space="0" w:color="auto"/>
              <w:left w:val="single" w:sz="4" w:space="0" w:color="auto"/>
              <w:bottom w:val="single" w:sz="4" w:space="0" w:color="auto"/>
              <w:right w:val="single" w:sz="4" w:space="0" w:color="auto"/>
            </w:tcBorders>
            <w:vAlign w:val="center"/>
            <w:hideMark/>
          </w:tcPr>
          <w:p w:rsidR="000E6A73" w:rsidRDefault="000E6A73" w:rsidP="00F93C07">
            <w:pPr>
              <w:spacing w:after="0" w:line="240" w:lineRule="auto"/>
              <w:jc w:val="center"/>
              <w:rPr>
                <w:sz w:val="20"/>
                <w:szCs w:val="20"/>
              </w:rPr>
            </w:pPr>
            <w:r>
              <w:rPr>
                <w:sz w:val="20"/>
                <w:szCs w:val="20"/>
              </w:rPr>
              <w:t>15,08</w:t>
            </w:r>
          </w:p>
        </w:tc>
        <w:tc>
          <w:tcPr>
            <w:tcW w:w="1133" w:type="dxa"/>
            <w:tcBorders>
              <w:top w:val="single" w:sz="4" w:space="0" w:color="auto"/>
              <w:left w:val="single" w:sz="4" w:space="0" w:color="auto"/>
              <w:bottom w:val="single" w:sz="4" w:space="0" w:color="auto"/>
              <w:right w:val="single" w:sz="4" w:space="0" w:color="auto"/>
            </w:tcBorders>
            <w:hideMark/>
          </w:tcPr>
          <w:p w:rsidR="000E6A73" w:rsidRDefault="000E6A73" w:rsidP="00F93C07">
            <w:pPr>
              <w:spacing w:after="0" w:line="240" w:lineRule="auto"/>
              <w:jc w:val="center"/>
              <w:rPr>
                <w:i/>
                <w:sz w:val="20"/>
                <w:szCs w:val="20"/>
              </w:rPr>
            </w:pPr>
            <w:r>
              <w:rPr>
                <w:i/>
                <w:sz w:val="20"/>
                <w:szCs w:val="20"/>
              </w:rPr>
              <w:t>105,90</w:t>
            </w:r>
          </w:p>
        </w:tc>
      </w:tr>
      <w:tr w:rsidR="000E6A73" w:rsidTr="004911B6">
        <w:trPr>
          <w:trHeight w:val="70"/>
        </w:trPr>
        <w:tc>
          <w:tcPr>
            <w:tcW w:w="10347" w:type="dxa"/>
            <w:gridSpan w:val="6"/>
            <w:tcBorders>
              <w:top w:val="single" w:sz="4" w:space="0" w:color="auto"/>
              <w:left w:val="single" w:sz="4" w:space="0" w:color="auto"/>
              <w:bottom w:val="single" w:sz="4" w:space="0" w:color="auto"/>
              <w:right w:val="single" w:sz="4" w:space="0" w:color="auto"/>
            </w:tcBorders>
            <w:hideMark/>
          </w:tcPr>
          <w:p w:rsidR="000E6A73" w:rsidRDefault="000E6A73" w:rsidP="00F93C07">
            <w:pPr>
              <w:spacing w:after="0" w:line="240" w:lineRule="auto"/>
              <w:jc w:val="center"/>
              <w:rPr>
                <w:i/>
                <w:sz w:val="20"/>
                <w:szCs w:val="20"/>
              </w:rPr>
            </w:pPr>
            <w:r>
              <w:rPr>
                <w:b/>
                <w:i/>
                <w:sz w:val="20"/>
                <w:szCs w:val="20"/>
              </w:rPr>
              <w:t>р. п. Кольцово</w:t>
            </w:r>
          </w:p>
        </w:tc>
      </w:tr>
      <w:tr w:rsidR="000E6A73" w:rsidTr="004911B6">
        <w:trPr>
          <w:trHeight w:val="155"/>
        </w:trPr>
        <w:tc>
          <w:tcPr>
            <w:tcW w:w="4962" w:type="dxa"/>
            <w:tcBorders>
              <w:top w:val="single" w:sz="4" w:space="0" w:color="auto"/>
              <w:left w:val="single" w:sz="4" w:space="0" w:color="auto"/>
              <w:bottom w:val="single" w:sz="4" w:space="0" w:color="auto"/>
              <w:right w:val="single" w:sz="4" w:space="0" w:color="auto"/>
            </w:tcBorders>
            <w:hideMark/>
          </w:tcPr>
          <w:p w:rsidR="000E6A73" w:rsidRDefault="000E6A73" w:rsidP="00F93C07">
            <w:pPr>
              <w:spacing w:after="0" w:line="240" w:lineRule="auto"/>
              <w:rPr>
                <w:sz w:val="20"/>
                <w:szCs w:val="20"/>
              </w:rPr>
            </w:pPr>
            <w:r>
              <w:rPr>
                <w:sz w:val="20"/>
                <w:szCs w:val="20"/>
              </w:rPr>
              <w:t>холодная вода (ранее зона деятельности ФБУН ГНЦ ВБ «Вектор» Роспотребнадзора)</w:t>
            </w:r>
          </w:p>
        </w:tc>
        <w:tc>
          <w:tcPr>
            <w:tcW w:w="851" w:type="dxa"/>
            <w:tcBorders>
              <w:top w:val="single" w:sz="4" w:space="0" w:color="auto"/>
              <w:left w:val="single" w:sz="4" w:space="0" w:color="auto"/>
              <w:bottom w:val="single" w:sz="4" w:space="0" w:color="auto"/>
              <w:right w:val="single" w:sz="4" w:space="0" w:color="auto"/>
            </w:tcBorders>
            <w:vAlign w:val="center"/>
            <w:hideMark/>
          </w:tcPr>
          <w:p w:rsidR="000E6A73" w:rsidRDefault="000E6A73" w:rsidP="00F93C07">
            <w:pPr>
              <w:spacing w:after="0" w:line="240" w:lineRule="auto"/>
              <w:jc w:val="center"/>
              <w:rPr>
                <w:sz w:val="20"/>
                <w:szCs w:val="20"/>
              </w:rPr>
            </w:pPr>
            <w:r>
              <w:rPr>
                <w:sz w:val="20"/>
                <w:szCs w:val="20"/>
              </w:rPr>
              <w:t>руб./м</w:t>
            </w:r>
            <w:r>
              <w:rPr>
                <w:sz w:val="20"/>
                <w:szCs w:val="20"/>
                <w:vertAlign w:val="superscript"/>
              </w:rPr>
              <w:t>3</w:t>
            </w:r>
          </w:p>
        </w:tc>
        <w:tc>
          <w:tcPr>
            <w:tcW w:w="1133" w:type="dxa"/>
            <w:tcBorders>
              <w:top w:val="single" w:sz="4" w:space="0" w:color="auto"/>
              <w:left w:val="single" w:sz="4" w:space="0" w:color="auto"/>
              <w:bottom w:val="single" w:sz="4" w:space="0" w:color="auto"/>
              <w:right w:val="single" w:sz="4" w:space="0" w:color="auto"/>
            </w:tcBorders>
            <w:vAlign w:val="center"/>
            <w:hideMark/>
          </w:tcPr>
          <w:p w:rsidR="000E6A73" w:rsidRDefault="000E6A73" w:rsidP="00F93C07">
            <w:pPr>
              <w:spacing w:after="0" w:line="240" w:lineRule="auto"/>
              <w:jc w:val="center"/>
              <w:rPr>
                <w:sz w:val="20"/>
                <w:szCs w:val="20"/>
              </w:rPr>
            </w:pPr>
            <w:r>
              <w:rPr>
                <w:sz w:val="20"/>
                <w:szCs w:val="20"/>
              </w:rPr>
              <w:t>24,90</w:t>
            </w:r>
          </w:p>
        </w:tc>
        <w:tc>
          <w:tcPr>
            <w:tcW w:w="1134" w:type="dxa"/>
            <w:tcBorders>
              <w:top w:val="single" w:sz="4" w:space="0" w:color="auto"/>
              <w:left w:val="single" w:sz="4" w:space="0" w:color="auto"/>
              <w:bottom w:val="single" w:sz="4" w:space="0" w:color="auto"/>
              <w:right w:val="single" w:sz="4" w:space="0" w:color="auto"/>
            </w:tcBorders>
            <w:vAlign w:val="center"/>
            <w:hideMark/>
          </w:tcPr>
          <w:p w:rsidR="000E6A73" w:rsidRDefault="000E6A73" w:rsidP="00F93C07">
            <w:pPr>
              <w:spacing w:after="0" w:line="240" w:lineRule="auto"/>
              <w:jc w:val="center"/>
              <w:rPr>
                <w:sz w:val="20"/>
                <w:szCs w:val="20"/>
              </w:rPr>
            </w:pPr>
            <w:r>
              <w:rPr>
                <w:sz w:val="20"/>
                <w:szCs w:val="20"/>
              </w:rPr>
              <w:t>24,90</w:t>
            </w:r>
          </w:p>
        </w:tc>
        <w:tc>
          <w:tcPr>
            <w:tcW w:w="1134" w:type="dxa"/>
            <w:tcBorders>
              <w:top w:val="single" w:sz="4" w:space="0" w:color="auto"/>
              <w:left w:val="single" w:sz="4" w:space="0" w:color="auto"/>
              <w:bottom w:val="single" w:sz="4" w:space="0" w:color="auto"/>
              <w:right w:val="single" w:sz="4" w:space="0" w:color="auto"/>
            </w:tcBorders>
            <w:vAlign w:val="center"/>
            <w:hideMark/>
          </w:tcPr>
          <w:p w:rsidR="000E6A73" w:rsidRDefault="000E6A73" w:rsidP="00F93C07">
            <w:pPr>
              <w:spacing w:after="0" w:line="240" w:lineRule="auto"/>
              <w:jc w:val="center"/>
              <w:rPr>
                <w:sz w:val="20"/>
                <w:szCs w:val="20"/>
              </w:rPr>
            </w:pPr>
            <w:r>
              <w:rPr>
                <w:sz w:val="20"/>
                <w:szCs w:val="20"/>
              </w:rPr>
              <w:t>24,90</w:t>
            </w:r>
          </w:p>
        </w:tc>
        <w:tc>
          <w:tcPr>
            <w:tcW w:w="1133" w:type="dxa"/>
            <w:tcBorders>
              <w:top w:val="single" w:sz="4" w:space="0" w:color="auto"/>
              <w:left w:val="single" w:sz="4" w:space="0" w:color="auto"/>
              <w:bottom w:val="single" w:sz="4" w:space="0" w:color="auto"/>
              <w:right w:val="single" w:sz="4" w:space="0" w:color="auto"/>
            </w:tcBorders>
            <w:vAlign w:val="center"/>
            <w:hideMark/>
          </w:tcPr>
          <w:p w:rsidR="000E6A73" w:rsidRDefault="000E6A73" w:rsidP="00F93C07">
            <w:pPr>
              <w:spacing w:after="0" w:line="240" w:lineRule="auto"/>
              <w:jc w:val="center"/>
              <w:rPr>
                <w:i/>
                <w:sz w:val="20"/>
                <w:szCs w:val="20"/>
              </w:rPr>
            </w:pPr>
            <w:r>
              <w:rPr>
                <w:i/>
                <w:sz w:val="20"/>
                <w:szCs w:val="20"/>
              </w:rPr>
              <w:t>100,00</w:t>
            </w:r>
          </w:p>
        </w:tc>
      </w:tr>
      <w:tr w:rsidR="000E6A73" w:rsidTr="004911B6">
        <w:trPr>
          <w:trHeight w:val="155"/>
        </w:trPr>
        <w:tc>
          <w:tcPr>
            <w:tcW w:w="4962" w:type="dxa"/>
            <w:tcBorders>
              <w:top w:val="single" w:sz="4" w:space="0" w:color="auto"/>
              <w:left w:val="single" w:sz="4" w:space="0" w:color="auto"/>
              <w:bottom w:val="single" w:sz="4" w:space="0" w:color="auto"/>
              <w:right w:val="single" w:sz="4" w:space="0" w:color="auto"/>
            </w:tcBorders>
            <w:hideMark/>
          </w:tcPr>
          <w:p w:rsidR="000E6A73" w:rsidRDefault="000E6A73" w:rsidP="00F93C07">
            <w:pPr>
              <w:spacing w:after="0" w:line="240" w:lineRule="auto"/>
              <w:rPr>
                <w:sz w:val="20"/>
                <w:szCs w:val="20"/>
              </w:rPr>
            </w:pPr>
            <w:r>
              <w:rPr>
                <w:sz w:val="20"/>
                <w:szCs w:val="20"/>
              </w:rPr>
              <w:t>холодная вода (ранее зона деятельности МУЭП «Промтехэнерго»)</w:t>
            </w:r>
          </w:p>
        </w:tc>
        <w:tc>
          <w:tcPr>
            <w:tcW w:w="851" w:type="dxa"/>
            <w:tcBorders>
              <w:top w:val="single" w:sz="4" w:space="0" w:color="auto"/>
              <w:left w:val="single" w:sz="4" w:space="0" w:color="auto"/>
              <w:bottom w:val="single" w:sz="4" w:space="0" w:color="auto"/>
              <w:right w:val="single" w:sz="4" w:space="0" w:color="auto"/>
            </w:tcBorders>
            <w:vAlign w:val="center"/>
            <w:hideMark/>
          </w:tcPr>
          <w:p w:rsidR="000E6A73" w:rsidRDefault="000E6A73" w:rsidP="00F93C07">
            <w:pPr>
              <w:spacing w:after="0" w:line="240" w:lineRule="auto"/>
              <w:jc w:val="center"/>
              <w:rPr>
                <w:sz w:val="20"/>
                <w:szCs w:val="20"/>
              </w:rPr>
            </w:pPr>
            <w:r>
              <w:rPr>
                <w:sz w:val="20"/>
                <w:szCs w:val="20"/>
              </w:rPr>
              <w:t>руб./м</w:t>
            </w:r>
            <w:r>
              <w:rPr>
                <w:sz w:val="20"/>
                <w:szCs w:val="20"/>
                <w:vertAlign w:val="superscript"/>
              </w:rPr>
              <w:t>3</w:t>
            </w:r>
          </w:p>
        </w:tc>
        <w:tc>
          <w:tcPr>
            <w:tcW w:w="1133" w:type="dxa"/>
            <w:tcBorders>
              <w:top w:val="single" w:sz="4" w:space="0" w:color="auto"/>
              <w:left w:val="single" w:sz="4" w:space="0" w:color="auto"/>
              <w:bottom w:val="single" w:sz="4" w:space="0" w:color="auto"/>
              <w:right w:val="single" w:sz="4" w:space="0" w:color="auto"/>
            </w:tcBorders>
            <w:vAlign w:val="center"/>
            <w:hideMark/>
          </w:tcPr>
          <w:p w:rsidR="000E6A73" w:rsidRDefault="000E6A73" w:rsidP="00F93C07">
            <w:pPr>
              <w:spacing w:after="0" w:line="240" w:lineRule="auto"/>
              <w:jc w:val="center"/>
              <w:rPr>
                <w:sz w:val="20"/>
                <w:szCs w:val="20"/>
              </w:rPr>
            </w:pPr>
            <w:r>
              <w:rPr>
                <w:sz w:val="20"/>
                <w:szCs w:val="20"/>
              </w:rPr>
              <w:t>40,21</w:t>
            </w:r>
          </w:p>
        </w:tc>
        <w:tc>
          <w:tcPr>
            <w:tcW w:w="1134" w:type="dxa"/>
            <w:tcBorders>
              <w:top w:val="single" w:sz="4" w:space="0" w:color="auto"/>
              <w:left w:val="single" w:sz="4" w:space="0" w:color="auto"/>
              <w:bottom w:val="single" w:sz="4" w:space="0" w:color="auto"/>
              <w:right w:val="single" w:sz="4" w:space="0" w:color="auto"/>
            </w:tcBorders>
            <w:vAlign w:val="center"/>
            <w:hideMark/>
          </w:tcPr>
          <w:p w:rsidR="000E6A73" w:rsidRDefault="000E6A73" w:rsidP="00F93C07">
            <w:pPr>
              <w:spacing w:after="0" w:line="240" w:lineRule="auto"/>
              <w:jc w:val="center"/>
              <w:rPr>
                <w:sz w:val="20"/>
                <w:szCs w:val="20"/>
              </w:rPr>
            </w:pPr>
            <w:r>
              <w:rPr>
                <w:sz w:val="20"/>
                <w:szCs w:val="20"/>
              </w:rPr>
              <w:t>40,21</w:t>
            </w:r>
          </w:p>
        </w:tc>
        <w:tc>
          <w:tcPr>
            <w:tcW w:w="1134" w:type="dxa"/>
            <w:tcBorders>
              <w:top w:val="single" w:sz="4" w:space="0" w:color="auto"/>
              <w:left w:val="single" w:sz="4" w:space="0" w:color="auto"/>
              <w:bottom w:val="single" w:sz="4" w:space="0" w:color="auto"/>
              <w:right w:val="single" w:sz="4" w:space="0" w:color="auto"/>
            </w:tcBorders>
            <w:vAlign w:val="center"/>
            <w:hideMark/>
          </w:tcPr>
          <w:p w:rsidR="000E6A73" w:rsidRDefault="000E6A73" w:rsidP="00F93C07">
            <w:pPr>
              <w:spacing w:after="0" w:line="240" w:lineRule="auto"/>
              <w:jc w:val="center"/>
              <w:rPr>
                <w:sz w:val="20"/>
                <w:szCs w:val="20"/>
              </w:rPr>
            </w:pPr>
            <w:r>
              <w:rPr>
                <w:sz w:val="20"/>
                <w:szCs w:val="20"/>
              </w:rPr>
              <w:t>40,21</w:t>
            </w:r>
          </w:p>
        </w:tc>
        <w:tc>
          <w:tcPr>
            <w:tcW w:w="1133" w:type="dxa"/>
            <w:tcBorders>
              <w:top w:val="single" w:sz="4" w:space="0" w:color="auto"/>
              <w:left w:val="single" w:sz="4" w:space="0" w:color="auto"/>
              <w:bottom w:val="single" w:sz="4" w:space="0" w:color="auto"/>
              <w:right w:val="single" w:sz="4" w:space="0" w:color="auto"/>
            </w:tcBorders>
            <w:vAlign w:val="center"/>
            <w:hideMark/>
          </w:tcPr>
          <w:p w:rsidR="000E6A73" w:rsidRDefault="000E6A73" w:rsidP="00F93C07">
            <w:pPr>
              <w:spacing w:after="0" w:line="240" w:lineRule="auto"/>
              <w:jc w:val="center"/>
              <w:rPr>
                <w:i/>
                <w:sz w:val="20"/>
                <w:szCs w:val="20"/>
              </w:rPr>
            </w:pPr>
            <w:r>
              <w:rPr>
                <w:i/>
                <w:sz w:val="20"/>
                <w:szCs w:val="20"/>
              </w:rPr>
              <w:t>100,00</w:t>
            </w:r>
          </w:p>
        </w:tc>
      </w:tr>
      <w:tr w:rsidR="000E6A73" w:rsidTr="004911B6">
        <w:trPr>
          <w:trHeight w:val="201"/>
        </w:trPr>
        <w:tc>
          <w:tcPr>
            <w:tcW w:w="4962" w:type="dxa"/>
            <w:tcBorders>
              <w:top w:val="single" w:sz="4" w:space="0" w:color="auto"/>
              <w:left w:val="single" w:sz="4" w:space="0" w:color="auto"/>
              <w:bottom w:val="single" w:sz="4" w:space="0" w:color="auto"/>
              <w:right w:val="single" w:sz="4" w:space="0" w:color="auto"/>
            </w:tcBorders>
            <w:hideMark/>
          </w:tcPr>
          <w:p w:rsidR="000E6A73" w:rsidRDefault="000E6A73" w:rsidP="00F93C07">
            <w:pPr>
              <w:spacing w:after="0" w:line="240" w:lineRule="auto"/>
              <w:rPr>
                <w:sz w:val="20"/>
                <w:szCs w:val="20"/>
              </w:rPr>
            </w:pPr>
            <w:r>
              <w:rPr>
                <w:sz w:val="20"/>
                <w:szCs w:val="20"/>
              </w:rPr>
              <w:t>водоотведение (ранее зона деятельности ФБУН ГНЦ ВБ «Вектор» Роспотребнадзора)</w:t>
            </w:r>
          </w:p>
        </w:tc>
        <w:tc>
          <w:tcPr>
            <w:tcW w:w="851" w:type="dxa"/>
            <w:tcBorders>
              <w:top w:val="single" w:sz="4" w:space="0" w:color="auto"/>
              <w:left w:val="single" w:sz="4" w:space="0" w:color="auto"/>
              <w:bottom w:val="single" w:sz="4" w:space="0" w:color="auto"/>
              <w:right w:val="single" w:sz="4" w:space="0" w:color="auto"/>
            </w:tcBorders>
            <w:vAlign w:val="center"/>
            <w:hideMark/>
          </w:tcPr>
          <w:p w:rsidR="000E6A73" w:rsidRDefault="000E6A73" w:rsidP="00F93C07">
            <w:pPr>
              <w:spacing w:after="0" w:line="240" w:lineRule="auto"/>
              <w:jc w:val="center"/>
              <w:rPr>
                <w:sz w:val="20"/>
                <w:szCs w:val="20"/>
              </w:rPr>
            </w:pPr>
            <w:r>
              <w:rPr>
                <w:sz w:val="20"/>
                <w:szCs w:val="20"/>
              </w:rPr>
              <w:t>руб./м</w:t>
            </w:r>
            <w:r>
              <w:rPr>
                <w:sz w:val="20"/>
                <w:szCs w:val="20"/>
                <w:vertAlign w:val="superscript"/>
              </w:rPr>
              <w:t>3</w:t>
            </w:r>
          </w:p>
        </w:tc>
        <w:tc>
          <w:tcPr>
            <w:tcW w:w="1133" w:type="dxa"/>
            <w:tcBorders>
              <w:top w:val="single" w:sz="4" w:space="0" w:color="auto"/>
              <w:left w:val="single" w:sz="4" w:space="0" w:color="auto"/>
              <w:bottom w:val="single" w:sz="4" w:space="0" w:color="auto"/>
              <w:right w:val="single" w:sz="4" w:space="0" w:color="auto"/>
            </w:tcBorders>
            <w:vAlign w:val="center"/>
            <w:hideMark/>
          </w:tcPr>
          <w:p w:rsidR="000E6A73" w:rsidRDefault="000E6A73" w:rsidP="00F93C07">
            <w:pPr>
              <w:spacing w:after="0" w:line="240" w:lineRule="auto"/>
              <w:jc w:val="center"/>
              <w:rPr>
                <w:sz w:val="20"/>
                <w:szCs w:val="20"/>
              </w:rPr>
            </w:pPr>
            <w:r>
              <w:rPr>
                <w:sz w:val="20"/>
                <w:szCs w:val="20"/>
              </w:rPr>
              <w:t>21,29</w:t>
            </w:r>
          </w:p>
        </w:tc>
        <w:tc>
          <w:tcPr>
            <w:tcW w:w="1134" w:type="dxa"/>
            <w:tcBorders>
              <w:top w:val="single" w:sz="4" w:space="0" w:color="auto"/>
              <w:left w:val="single" w:sz="4" w:space="0" w:color="auto"/>
              <w:bottom w:val="single" w:sz="4" w:space="0" w:color="auto"/>
              <w:right w:val="single" w:sz="4" w:space="0" w:color="auto"/>
            </w:tcBorders>
            <w:vAlign w:val="center"/>
            <w:hideMark/>
          </w:tcPr>
          <w:p w:rsidR="000E6A73" w:rsidRDefault="000E6A73" w:rsidP="00F93C07">
            <w:pPr>
              <w:spacing w:after="0" w:line="240" w:lineRule="auto"/>
              <w:jc w:val="center"/>
              <w:rPr>
                <w:sz w:val="20"/>
                <w:szCs w:val="20"/>
              </w:rPr>
            </w:pPr>
            <w:r>
              <w:rPr>
                <w:sz w:val="20"/>
                <w:szCs w:val="20"/>
              </w:rPr>
              <w:t>21,29</w:t>
            </w:r>
          </w:p>
        </w:tc>
        <w:tc>
          <w:tcPr>
            <w:tcW w:w="1134" w:type="dxa"/>
            <w:tcBorders>
              <w:top w:val="single" w:sz="4" w:space="0" w:color="auto"/>
              <w:left w:val="single" w:sz="4" w:space="0" w:color="auto"/>
              <w:bottom w:val="single" w:sz="4" w:space="0" w:color="auto"/>
              <w:right w:val="single" w:sz="4" w:space="0" w:color="auto"/>
            </w:tcBorders>
            <w:vAlign w:val="center"/>
            <w:hideMark/>
          </w:tcPr>
          <w:p w:rsidR="000E6A73" w:rsidRDefault="000E6A73" w:rsidP="00F93C07">
            <w:pPr>
              <w:spacing w:after="0" w:line="240" w:lineRule="auto"/>
              <w:jc w:val="center"/>
              <w:rPr>
                <w:sz w:val="20"/>
                <w:szCs w:val="20"/>
              </w:rPr>
            </w:pPr>
            <w:r>
              <w:rPr>
                <w:sz w:val="20"/>
                <w:szCs w:val="20"/>
              </w:rPr>
              <w:t>21,29</w:t>
            </w:r>
          </w:p>
        </w:tc>
        <w:tc>
          <w:tcPr>
            <w:tcW w:w="1133" w:type="dxa"/>
            <w:tcBorders>
              <w:top w:val="single" w:sz="4" w:space="0" w:color="auto"/>
              <w:left w:val="single" w:sz="4" w:space="0" w:color="auto"/>
              <w:bottom w:val="single" w:sz="4" w:space="0" w:color="auto"/>
              <w:right w:val="single" w:sz="4" w:space="0" w:color="auto"/>
            </w:tcBorders>
            <w:vAlign w:val="center"/>
            <w:hideMark/>
          </w:tcPr>
          <w:p w:rsidR="000E6A73" w:rsidRDefault="000E6A73" w:rsidP="00F93C07">
            <w:pPr>
              <w:spacing w:after="0" w:line="240" w:lineRule="auto"/>
              <w:jc w:val="center"/>
              <w:rPr>
                <w:i/>
                <w:sz w:val="20"/>
                <w:szCs w:val="20"/>
              </w:rPr>
            </w:pPr>
            <w:r>
              <w:rPr>
                <w:i/>
                <w:sz w:val="20"/>
                <w:szCs w:val="20"/>
              </w:rPr>
              <w:t>100,00</w:t>
            </w:r>
          </w:p>
        </w:tc>
      </w:tr>
      <w:tr w:rsidR="000E6A73" w:rsidTr="004911B6">
        <w:trPr>
          <w:trHeight w:val="201"/>
        </w:trPr>
        <w:tc>
          <w:tcPr>
            <w:tcW w:w="4962" w:type="dxa"/>
            <w:tcBorders>
              <w:top w:val="single" w:sz="4" w:space="0" w:color="auto"/>
              <w:left w:val="single" w:sz="4" w:space="0" w:color="auto"/>
              <w:bottom w:val="single" w:sz="4" w:space="0" w:color="auto"/>
              <w:right w:val="single" w:sz="4" w:space="0" w:color="auto"/>
            </w:tcBorders>
            <w:hideMark/>
          </w:tcPr>
          <w:p w:rsidR="000E6A73" w:rsidRDefault="000E6A73" w:rsidP="00F93C07">
            <w:pPr>
              <w:spacing w:after="0" w:line="240" w:lineRule="auto"/>
              <w:rPr>
                <w:sz w:val="20"/>
                <w:szCs w:val="20"/>
              </w:rPr>
            </w:pPr>
            <w:r>
              <w:rPr>
                <w:sz w:val="20"/>
                <w:szCs w:val="20"/>
              </w:rPr>
              <w:t>водоотведение (ранее зона деятельности МУЭП «Промтехэнерго»)</w:t>
            </w:r>
          </w:p>
        </w:tc>
        <w:tc>
          <w:tcPr>
            <w:tcW w:w="851" w:type="dxa"/>
            <w:tcBorders>
              <w:top w:val="single" w:sz="4" w:space="0" w:color="auto"/>
              <w:left w:val="single" w:sz="4" w:space="0" w:color="auto"/>
              <w:bottom w:val="single" w:sz="4" w:space="0" w:color="auto"/>
              <w:right w:val="single" w:sz="4" w:space="0" w:color="auto"/>
            </w:tcBorders>
            <w:vAlign w:val="center"/>
            <w:hideMark/>
          </w:tcPr>
          <w:p w:rsidR="000E6A73" w:rsidRDefault="000E6A73" w:rsidP="00F93C07">
            <w:pPr>
              <w:spacing w:after="0" w:line="240" w:lineRule="auto"/>
              <w:jc w:val="center"/>
              <w:rPr>
                <w:sz w:val="20"/>
                <w:szCs w:val="20"/>
              </w:rPr>
            </w:pPr>
            <w:r>
              <w:rPr>
                <w:sz w:val="20"/>
                <w:szCs w:val="20"/>
              </w:rPr>
              <w:t>руб./м</w:t>
            </w:r>
            <w:r>
              <w:rPr>
                <w:sz w:val="20"/>
                <w:szCs w:val="20"/>
                <w:vertAlign w:val="superscript"/>
              </w:rPr>
              <w:t>3</w:t>
            </w:r>
          </w:p>
        </w:tc>
        <w:tc>
          <w:tcPr>
            <w:tcW w:w="1133" w:type="dxa"/>
            <w:tcBorders>
              <w:top w:val="single" w:sz="4" w:space="0" w:color="auto"/>
              <w:left w:val="single" w:sz="4" w:space="0" w:color="auto"/>
              <w:bottom w:val="single" w:sz="4" w:space="0" w:color="auto"/>
              <w:right w:val="single" w:sz="4" w:space="0" w:color="auto"/>
            </w:tcBorders>
            <w:vAlign w:val="center"/>
            <w:hideMark/>
          </w:tcPr>
          <w:p w:rsidR="000E6A73" w:rsidRDefault="000E6A73" w:rsidP="00F93C07">
            <w:pPr>
              <w:spacing w:after="0" w:line="240" w:lineRule="auto"/>
              <w:jc w:val="center"/>
              <w:rPr>
                <w:sz w:val="20"/>
                <w:szCs w:val="20"/>
              </w:rPr>
            </w:pPr>
            <w:r>
              <w:rPr>
                <w:sz w:val="20"/>
                <w:szCs w:val="20"/>
              </w:rPr>
              <w:t>28,87</w:t>
            </w:r>
          </w:p>
        </w:tc>
        <w:tc>
          <w:tcPr>
            <w:tcW w:w="1134" w:type="dxa"/>
            <w:tcBorders>
              <w:top w:val="single" w:sz="4" w:space="0" w:color="auto"/>
              <w:left w:val="single" w:sz="4" w:space="0" w:color="auto"/>
              <w:bottom w:val="single" w:sz="4" w:space="0" w:color="auto"/>
              <w:right w:val="single" w:sz="4" w:space="0" w:color="auto"/>
            </w:tcBorders>
            <w:vAlign w:val="center"/>
            <w:hideMark/>
          </w:tcPr>
          <w:p w:rsidR="000E6A73" w:rsidRDefault="000E6A73" w:rsidP="00F93C07">
            <w:pPr>
              <w:spacing w:after="0" w:line="240" w:lineRule="auto"/>
              <w:jc w:val="center"/>
              <w:rPr>
                <w:sz w:val="20"/>
                <w:szCs w:val="20"/>
              </w:rPr>
            </w:pPr>
            <w:r>
              <w:rPr>
                <w:sz w:val="20"/>
                <w:szCs w:val="20"/>
              </w:rPr>
              <w:t>28,87</w:t>
            </w:r>
          </w:p>
        </w:tc>
        <w:tc>
          <w:tcPr>
            <w:tcW w:w="1134" w:type="dxa"/>
            <w:tcBorders>
              <w:top w:val="single" w:sz="4" w:space="0" w:color="auto"/>
              <w:left w:val="single" w:sz="4" w:space="0" w:color="auto"/>
              <w:bottom w:val="single" w:sz="4" w:space="0" w:color="auto"/>
              <w:right w:val="single" w:sz="4" w:space="0" w:color="auto"/>
            </w:tcBorders>
            <w:vAlign w:val="center"/>
            <w:hideMark/>
          </w:tcPr>
          <w:p w:rsidR="000E6A73" w:rsidRDefault="000E6A73" w:rsidP="00F93C07">
            <w:pPr>
              <w:spacing w:after="0" w:line="240" w:lineRule="auto"/>
              <w:jc w:val="center"/>
              <w:rPr>
                <w:sz w:val="20"/>
                <w:szCs w:val="20"/>
              </w:rPr>
            </w:pPr>
            <w:r>
              <w:rPr>
                <w:sz w:val="20"/>
                <w:szCs w:val="20"/>
              </w:rPr>
              <w:t>28,87</w:t>
            </w:r>
          </w:p>
        </w:tc>
        <w:tc>
          <w:tcPr>
            <w:tcW w:w="1133" w:type="dxa"/>
            <w:tcBorders>
              <w:top w:val="single" w:sz="4" w:space="0" w:color="auto"/>
              <w:left w:val="single" w:sz="4" w:space="0" w:color="auto"/>
              <w:bottom w:val="single" w:sz="4" w:space="0" w:color="auto"/>
              <w:right w:val="single" w:sz="4" w:space="0" w:color="auto"/>
            </w:tcBorders>
            <w:vAlign w:val="center"/>
            <w:hideMark/>
          </w:tcPr>
          <w:p w:rsidR="000E6A73" w:rsidRDefault="000E6A73" w:rsidP="00F93C07">
            <w:pPr>
              <w:spacing w:after="0" w:line="240" w:lineRule="auto"/>
              <w:jc w:val="center"/>
              <w:rPr>
                <w:i/>
                <w:sz w:val="20"/>
                <w:szCs w:val="20"/>
              </w:rPr>
            </w:pPr>
            <w:r>
              <w:rPr>
                <w:i/>
                <w:sz w:val="20"/>
                <w:szCs w:val="20"/>
              </w:rPr>
              <w:t>100,00</w:t>
            </w:r>
          </w:p>
        </w:tc>
      </w:tr>
      <w:tr w:rsidR="000E6A73" w:rsidTr="004911B6">
        <w:trPr>
          <w:trHeight w:val="201"/>
        </w:trPr>
        <w:tc>
          <w:tcPr>
            <w:tcW w:w="10347" w:type="dxa"/>
            <w:gridSpan w:val="6"/>
            <w:tcBorders>
              <w:top w:val="single" w:sz="4" w:space="0" w:color="auto"/>
              <w:left w:val="single" w:sz="4" w:space="0" w:color="auto"/>
              <w:bottom w:val="single" w:sz="4" w:space="0" w:color="auto"/>
              <w:right w:val="single" w:sz="4" w:space="0" w:color="auto"/>
            </w:tcBorders>
            <w:hideMark/>
          </w:tcPr>
          <w:p w:rsidR="000E6A73" w:rsidRDefault="000E6A73" w:rsidP="00F93C07">
            <w:pPr>
              <w:spacing w:after="0" w:line="240" w:lineRule="auto"/>
              <w:jc w:val="center"/>
              <w:rPr>
                <w:i/>
                <w:sz w:val="20"/>
                <w:szCs w:val="20"/>
              </w:rPr>
            </w:pPr>
            <w:r>
              <w:rPr>
                <w:b/>
                <w:i/>
                <w:sz w:val="20"/>
                <w:szCs w:val="20"/>
              </w:rPr>
              <w:t>р.п. Краснообск Новосибирского района</w:t>
            </w:r>
          </w:p>
        </w:tc>
      </w:tr>
      <w:tr w:rsidR="000E6A73" w:rsidTr="004911B6">
        <w:trPr>
          <w:trHeight w:val="233"/>
        </w:trPr>
        <w:tc>
          <w:tcPr>
            <w:tcW w:w="4962" w:type="dxa"/>
            <w:tcBorders>
              <w:top w:val="single" w:sz="4" w:space="0" w:color="auto"/>
              <w:left w:val="single" w:sz="4" w:space="0" w:color="auto"/>
              <w:bottom w:val="single" w:sz="4" w:space="0" w:color="auto"/>
              <w:right w:val="single" w:sz="4" w:space="0" w:color="auto"/>
            </w:tcBorders>
            <w:hideMark/>
          </w:tcPr>
          <w:p w:rsidR="000E6A73" w:rsidRDefault="000E6A73" w:rsidP="00F93C07">
            <w:pPr>
              <w:spacing w:after="0" w:line="240" w:lineRule="auto"/>
              <w:rPr>
                <w:sz w:val="20"/>
                <w:szCs w:val="20"/>
              </w:rPr>
            </w:pPr>
            <w:r>
              <w:rPr>
                <w:sz w:val="20"/>
                <w:szCs w:val="20"/>
              </w:rPr>
              <w:t>холодная вода</w:t>
            </w:r>
          </w:p>
        </w:tc>
        <w:tc>
          <w:tcPr>
            <w:tcW w:w="851" w:type="dxa"/>
            <w:tcBorders>
              <w:top w:val="single" w:sz="4" w:space="0" w:color="auto"/>
              <w:left w:val="single" w:sz="4" w:space="0" w:color="auto"/>
              <w:bottom w:val="single" w:sz="4" w:space="0" w:color="auto"/>
              <w:right w:val="single" w:sz="4" w:space="0" w:color="auto"/>
            </w:tcBorders>
            <w:vAlign w:val="center"/>
            <w:hideMark/>
          </w:tcPr>
          <w:p w:rsidR="000E6A73" w:rsidRDefault="000E6A73" w:rsidP="00F93C07">
            <w:pPr>
              <w:spacing w:after="0" w:line="240" w:lineRule="auto"/>
              <w:jc w:val="center"/>
              <w:rPr>
                <w:sz w:val="20"/>
                <w:szCs w:val="20"/>
              </w:rPr>
            </w:pPr>
            <w:r>
              <w:rPr>
                <w:sz w:val="20"/>
                <w:szCs w:val="20"/>
              </w:rPr>
              <w:t>руб./м</w:t>
            </w:r>
            <w:r>
              <w:rPr>
                <w:sz w:val="20"/>
                <w:szCs w:val="20"/>
                <w:vertAlign w:val="superscript"/>
              </w:rPr>
              <w:t>3</w:t>
            </w:r>
          </w:p>
        </w:tc>
        <w:tc>
          <w:tcPr>
            <w:tcW w:w="1133" w:type="dxa"/>
            <w:tcBorders>
              <w:top w:val="single" w:sz="4" w:space="0" w:color="auto"/>
              <w:left w:val="single" w:sz="4" w:space="0" w:color="auto"/>
              <w:bottom w:val="single" w:sz="4" w:space="0" w:color="auto"/>
              <w:right w:val="single" w:sz="4" w:space="0" w:color="auto"/>
            </w:tcBorders>
            <w:vAlign w:val="center"/>
            <w:hideMark/>
          </w:tcPr>
          <w:p w:rsidR="000E6A73" w:rsidRDefault="000E6A73" w:rsidP="00F93C07">
            <w:pPr>
              <w:spacing w:after="0" w:line="240" w:lineRule="auto"/>
              <w:jc w:val="center"/>
              <w:rPr>
                <w:sz w:val="20"/>
                <w:szCs w:val="20"/>
              </w:rPr>
            </w:pPr>
            <w:r>
              <w:rPr>
                <w:sz w:val="20"/>
                <w:szCs w:val="20"/>
              </w:rPr>
              <w:t>22,56</w:t>
            </w:r>
          </w:p>
        </w:tc>
        <w:tc>
          <w:tcPr>
            <w:tcW w:w="1134" w:type="dxa"/>
            <w:tcBorders>
              <w:top w:val="single" w:sz="4" w:space="0" w:color="auto"/>
              <w:left w:val="single" w:sz="4" w:space="0" w:color="auto"/>
              <w:bottom w:val="single" w:sz="4" w:space="0" w:color="auto"/>
              <w:right w:val="single" w:sz="4" w:space="0" w:color="auto"/>
            </w:tcBorders>
            <w:vAlign w:val="center"/>
            <w:hideMark/>
          </w:tcPr>
          <w:p w:rsidR="000E6A73" w:rsidRDefault="000E6A73" w:rsidP="00F93C07">
            <w:pPr>
              <w:spacing w:after="0" w:line="240" w:lineRule="auto"/>
              <w:jc w:val="center"/>
              <w:rPr>
                <w:sz w:val="20"/>
                <w:szCs w:val="20"/>
              </w:rPr>
            </w:pPr>
            <w:r>
              <w:rPr>
                <w:sz w:val="20"/>
                <w:szCs w:val="20"/>
              </w:rPr>
              <w:t>18,56</w:t>
            </w:r>
          </w:p>
        </w:tc>
        <w:tc>
          <w:tcPr>
            <w:tcW w:w="1134" w:type="dxa"/>
            <w:tcBorders>
              <w:top w:val="single" w:sz="4" w:space="0" w:color="auto"/>
              <w:left w:val="single" w:sz="4" w:space="0" w:color="auto"/>
              <w:bottom w:val="single" w:sz="4" w:space="0" w:color="auto"/>
              <w:right w:val="single" w:sz="4" w:space="0" w:color="auto"/>
            </w:tcBorders>
            <w:vAlign w:val="center"/>
            <w:hideMark/>
          </w:tcPr>
          <w:p w:rsidR="000E6A73" w:rsidRDefault="000E6A73" w:rsidP="00F93C07">
            <w:pPr>
              <w:spacing w:after="0" w:line="240" w:lineRule="auto"/>
              <w:jc w:val="center"/>
              <w:rPr>
                <w:sz w:val="20"/>
                <w:szCs w:val="20"/>
              </w:rPr>
            </w:pPr>
            <w:r>
              <w:rPr>
                <w:sz w:val="20"/>
                <w:szCs w:val="20"/>
              </w:rPr>
              <w:t>19,46</w:t>
            </w:r>
          </w:p>
        </w:tc>
        <w:tc>
          <w:tcPr>
            <w:tcW w:w="1133" w:type="dxa"/>
            <w:tcBorders>
              <w:top w:val="single" w:sz="4" w:space="0" w:color="auto"/>
              <w:left w:val="single" w:sz="4" w:space="0" w:color="auto"/>
              <w:bottom w:val="single" w:sz="4" w:space="0" w:color="auto"/>
              <w:right w:val="single" w:sz="4" w:space="0" w:color="auto"/>
            </w:tcBorders>
            <w:hideMark/>
          </w:tcPr>
          <w:p w:rsidR="000E6A73" w:rsidRDefault="000E6A73" w:rsidP="00F93C07">
            <w:pPr>
              <w:spacing w:after="0" w:line="240" w:lineRule="auto"/>
              <w:jc w:val="center"/>
              <w:rPr>
                <w:i/>
                <w:sz w:val="20"/>
                <w:szCs w:val="20"/>
              </w:rPr>
            </w:pPr>
            <w:r>
              <w:rPr>
                <w:i/>
                <w:sz w:val="20"/>
                <w:szCs w:val="20"/>
              </w:rPr>
              <w:t>104,85</w:t>
            </w:r>
          </w:p>
        </w:tc>
      </w:tr>
      <w:tr w:rsidR="000E6A73" w:rsidTr="004911B6">
        <w:trPr>
          <w:trHeight w:val="137"/>
        </w:trPr>
        <w:tc>
          <w:tcPr>
            <w:tcW w:w="4962" w:type="dxa"/>
            <w:tcBorders>
              <w:top w:val="single" w:sz="4" w:space="0" w:color="auto"/>
              <w:left w:val="single" w:sz="4" w:space="0" w:color="auto"/>
              <w:bottom w:val="single" w:sz="4" w:space="0" w:color="auto"/>
              <w:right w:val="single" w:sz="4" w:space="0" w:color="auto"/>
            </w:tcBorders>
            <w:hideMark/>
          </w:tcPr>
          <w:p w:rsidR="000E6A73" w:rsidRDefault="000E6A73" w:rsidP="00F93C07">
            <w:pPr>
              <w:spacing w:after="0" w:line="240" w:lineRule="auto"/>
              <w:rPr>
                <w:sz w:val="20"/>
                <w:szCs w:val="20"/>
              </w:rPr>
            </w:pPr>
            <w:r>
              <w:rPr>
                <w:sz w:val="20"/>
                <w:szCs w:val="20"/>
              </w:rPr>
              <w:t>водоотведение</w:t>
            </w:r>
          </w:p>
        </w:tc>
        <w:tc>
          <w:tcPr>
            <w:tcW w:w="851" w:type="dxa"/>
            <w:tcBorders>
              <w:top w:val="single" w:sz="4" w:space="0" w:color="auto"/>
              <w:left w:val="single" w:sz="4" w:space="0" w:color="auto"/>
              <w:bottom w:val="single" w:sz="4" w:space="0" w:color="auto"/>
              <w:right w:val="single" w:sz="4" w:space="0" w:color="auto"/>
            </w:tcBorders>
            <w:vAlign w:val="center"/>
            <w:hideMark/>
          </w:tcPr>
          <w:p w:rsidR="000E6A73" w:rsidRDefault="000E6A73" w:rsidP="00F93C07">
            <w:pPr>
              <w:spacing w:after="0" w:line="240" w:lineRule="auto"/>
              <w:jc w:val="center"/>
              <w:rPr>
                <w:sz w:val="20"/>
                <w:szCs w:val="20"/>
              </w:rPr>
            </w:pPr>
            <w:r>
              <w:rPr>
                <w:sz w:val="20"/>
                <w:szCs w:val="20"/>
              </w:rPr>
              <w:t>руб./м</w:t>
            </w:r>
            <w:r>
              <w:rPr>
                <w:sz w:val="20"/>
                <w:szCs w:val="20"/>
                <w:vertAlign w:val="superscript"/>
              </w:rPr>
              <w:t>3</w:t>
            </w:r>
          </w:p>
        </w:tc>
        <w:tc>
          <w:tcPr>
            <w:tcW w:w="1133" w:type="dxa"/>
            <w:tcBorders>
              <w:top w:val="single" w:sz="4" w:space="0" w:color="auto"/>
              <w:left w:val="single" w:sz="4" w:space="0" w:color="auto"/>
              <w:bottom w:val="single" w:sz="4" w:space="0" w:color="auto"/>
              <w:right w:val="single" w:sz="4" w:space="0" w:color="auto"/>
            </w:tcBorders>
            <w:vAlign w:val="center"/>
            <w:hideMark/>
          </w:tcPr>
          <w:p w:rsidR="000E6A73" w:rsidRDefault="000E6A73" w:rsidP="00F93C07">
            <w:pPr>
              <w:spacing w:after="0" w:line="240" w:lineRule="auto"/>
              <w:jc w:val="center"/>
              <w:rPr>
                <w:sz w:val="20"/>
                <w:szCs w:val="20"/>
              </w:rPr>
            </w:pPr>
            <w:r>
              <w:rPr>
                <w:sz w:val="20"/>
                <w:szCs w:val="20"/>
              </w:rPr>
              <w:t>16,58</w:t>
            </w:r>
          </w:p>
        </w:tc>
        <w:tc>
          <w:tcPr>
            <w:tcW w:w="1134" w:type="dxa"/>
            <w:tcBorders>
              <w:top w:val="single" w:sz="4" w:space="0" w:color="auto"/>
              <w:left w:val="single" w:sz="4" w:space="0" w:color="auto"/>
              <w:bottom w:val="single" w:sz="4" w:space="0" w:color="auto"/>
              <w:right w:val="single" w:sz="4" w:space="0" w:color="auto"/>
            </w:tcBorders>
            <w:vAlign w:val="center"/>
            <w:hideMark/>
          </w:tcPr>
          <w:p w:rsidR="000E6A73" w:rsidRDefault="000E6A73" w:rsidP="00F93C07">
            <w:pPr>
              <w:spacing w:after="0" w:line="240" w:lineRule="auto"/>
              <w:jc w:val="center"/>
              <w:rPr>
                <w:sz w:val="20"/>
                <w:szCs w:val="20"/>
              </w:rPr>
            </w:pPr>
            <w:r>
              <w:rPr>
                <w:sz w:val="20"/>
                <w:szCs w:val="20"/>
              </w:rPr>
              <w:t>14,24</w:t>
            </w:r>
          </w:p>
        </w:tc>
        <w:tc>
          <w:tcPr>
            <w:tcW w:w="1134" w:type="dxa"/>
            <w:tcBorders>
              <w:top w:val="single" w:sz="4" w:space="0" w:color="auto"/>
              <w:left w:val="single" w:sz="4" w:space="0" w:color="auto"/>
              <w:bottom w:val="single" w:sz="4" w:space="0" w:color="auto"/>
              <w:right w:val="single" w:sz="4" w:space="0" w:color="auto"/>
            </w:tcBorders>
            <w:vAlign w:val="center"/>
            <w:hideMark/>
          </w:tcPr>
          <w:p w:rsidR="000E6A73" w:rsidRDefault="000E6A73" w:rsidP="00F93C07">
            <w:pPr>
              <w:spacing w:after="0" w:line="240" w:lineRule="auto"/>
              <w:jc w:val="center"/>
              <w:rPr>
                <w:sz w:val="20"/>
                <w:szCs w:val="20"/>
              </w:rPr>
            </w:pPr>
            <w:r>
              <w:rPr>
                <w:sz w:val="20"/>
                <w:szCs w:val="20"/>
              </w:rPr>
              <w:t>15,08</w:t>
            </w:r>
          </w:p>
        </w:tc>
        <w:tc>
          <w:tcPr>
            <w:tcW w:w="1133" w:type="dxa"/>
            <w:tcBorders>
              <w:top w:val="single" w:sz="4" w:space="0" w:color="auto"/>
              <w:left w:val="single" w:sz="4" w:space="0" w:color="auto"/>
              <w:bottom w:val="single" w:sz="4" w:space="0" w:color="auto"/>
              <w:right w:val="single" w:sz="4" w:space="0" w:color="auto"/>
            </w:tcBorders>
            <w:hideMark/>
          </w:tcPr>
          <w:p w:rsidR="000E6A73" w:rsidRDefault="000E6A73" w:rsidP="00F93C07">
            <w:pPr>
              <w:spacing w:after="0" w:line="240" w:lineRule="auto"/>
              <w:jc w:val="center"/>
              <w:rPr>
                <w:i/>
                <w:sz w:val="20"/>
                <w:szCs w:val="20"/>
              </w:rPr>
            </w:pPr>
            <w:r>
              <w:rPr>
                <w:i/>
                <w:sz w:val="20"/>
                <w:szCs w:val="20"/>
              </w:rPr>
              <w:t>105,90</w:t>
            </w:r>
          </w:p>
        </w:tc>
      </w:tr>
    </w:tbl>
    <w:p w:rsidR="000E6A73" w:rsidRDefault="000E6A73" w:rsidP="000E6A73">
      <w:pPr>
        <w:pStyle w:val="af"/>
        <w:spacing w:before="0" w:after="0"/>
        <w:ind w:firstLine="567"/>
        <w:jc w:val="both"/>
        <w:outlineLvl w:val="0"/>
        <w:rPr>
          <w:rFonts w:ascii="Times New Roman" w:hAnsi="Times New Roman"/>
          <w:sz w:val="28"/>
          <w:szCs w:val="28"/>
        </w:rPr>
      </w:pPr>
    </w:p>
    <w:p w:rsidR="000E6A73" w:rsidRDefault="000E6A73" w:rsidP="00F93C07">
      <w:pPr>
        <w:spacing w:after="0" w:line="240" w:lineRule="auto"/>
        <w:ind w:firstLine="567"/>
        <w:jc w:val="both"/>
        <w:rPr>
          <w:rFonts w:eastAsia="Calibri"/>
          <w:sz w:val="28"/>
          <w:szCs w:val="28"/>
          <w:lang w:eastAsia="en-US"/>
        </w:rPr>
      </w:pPr>
      <w:r w:rsidRPr="004911B6">
        <w:rPr>
          <w:rFonts w:eastAsia="Calibri"/>
          <w:sz w:val="28"/>
          <w:szCs w:val="28"/>
          <w:u w:val="single"/>
          <w:lang w:eastAsia="en-US"/>
        </w:rPr>
        <w:t>Баланс водоснабжения</w:t>
      </w:r>
      <w:r>
        <w:rPr>
          <w:rFonts w:eastAsia="Calibri"/>
          <w:sz w:val="28"/>
          <w:szCs w:val="28"/>
          <w:lang w:eastAsia="en-US"/>
        </w:rPr>
        <w:t xml:space="preserve">  </w:t>
      </w:r>
      <w:r>
        <w:rPr>
          <w:sz w:val="28"/>
          <w:szCs w:val="28"/>
        </w:rPr>
        <w:t>МУП г. Новосибирска «ГОРВОДОКАНАЛ» з</w:t>
      </w:r>
      <w:r>
        <w:rPr>
          <w:rFonts w:eastAsia="Calibri"/>
          <w:sz w:val="28"/>
          <w:szCs w:val="28"/>
          <w:lang w:eastAsia="en-US"/>
        </w:rPr>
        <w:t>а период с 2015 по 2020 годы представлен в таблице</w:t>
      </w:r>
      <w:r w:rsidR="004911B6">
        <w:rPr>
          <w:rFonts w:eastAsia="Calibri"/>
          <w:sz w:val="28"/>
          <w:szCs w:val="28"/>
          <w:lang w:eastAsia="en-US"/>
        </w:rPr>
        <w:t xml:space="preserve"> 2.4.4</w:t>
      </w:r>
      <w:r>
        <w:rPr>
          <w:rFonts w:eastAsia="Calibri"/>
          <w:sz w:val="28"/>
          <w:szCs w:val="28"/>
          <w:lang w:eastAsia="en-US"/>
        </w:rPr>
        <w:t>.</w:t>
      </w:r>
    </w:p>
    <w:p w:rsidR="00A94728" w:rsidRDefault="00A94728" w:rsidP="00F93C07">
      <w:pPr>
        <w:spacing w:after="0" w:line="240" w:lineRule="auto"/>
        <w:ind w:firstLine="567"/>
        <w:jc w:val="both"/>
        <w:rPr>
          <w:rFonts w:eastAsia="Calibri"/>
          <w:sz w:val="28"/>
          <w:szCs w:val="28"/>
          <w:lang w:eastAsia="en-US"/>
        </w:rPr>
      </w:pPr>
      <w:r>
        <w:rPr>
          <w:rFonts w:eastAsia="Calibri"/>
          <w:sz w:val="28"/>
          <w:szCs w:val="28"/>
          <w:lang w:eastAsia="en-US"/>
        </w:rPr>
        <w:t>Фактический объём реализации воды за 2018 год сложился в размере 148 906,13 тыс. м</w:t>
      </w:r>
      <w:r>
        <w:rPr>
          <w:rFonts w:eastAsia="Calibri"/>
          <w:sz w:val="28"/>
          <w:szCs w:val="28"/>
          <w:vertAlign w:val="superscript"/>
          <w:lang w:eastAsia="en-US"/>
        </w:rPr>
        <w:t>3</w:t>
      </w:r>
      <w:r>
        <w:rPr>
          <w:rFonts w:eastAsia="Calibri"/>
          <w:sz w:val="28"/>
          <w:szCs w:val="28"/>
          <w:lang w:eastAsia="en-US"/>
        </w:rPr>
        <w:t>, что на 11 332,52 тыс. м</w:t>
      </w:r>
      <w:r>
        <w:rPr>
          <w:rFonts w:eastAsia="Calibri"/>
          <w:sz w:val="28"/>
          <w:szCs w:val="28"/>
          <w:vertAlign w:val="superscript"/>
          <w:lang w:eastAsia="en-US"/>
        </w:rPr>
        <w:t>3</w:t>
      </w:r>
      <w:r>
        <w:rPr>
          <w:rFonts w:eastAsia="Calibri"/>
          <w:sz w:val="28"/>
          <w:szCs w:val="28"/>
          <w:lang w:eastAsia="en-US"/>
        </w:rPr>
        <w:t xml:space="preserve"> (или 7,07 %) ниже плановой величины, в том числе по категориям потребителей</w:t>
      </w:r>
      <w:r w:rsidR="004911B6">
        <w:rPr>
          <w:rFonts w:eastAsia="Calibri"/>
          <w:sz w:val="28"/>
          <w:szCs w:val="28"/>
          <w:lang w:eastAsia="en-US"/>
        </w:rPr>
        <w:t>:</w:t>
      </w:r>
    </w:p>
    <w:p w:rsidR="00A94728" w:rsidRDefault="00A94728" w:rsidP="00F93C07">
      <w:pPr>
        <w:spacing w:after="0" w:line="240" w:lineRule="auto"/>
        <w:ind w:firstLine="567"/>
        <w:jc w:val="both"/>
        <w:rPr>
          <w:rFonts w:eastAsia="Calibri"/>
          <w:sz w:val="28"/>
          <w:szCs w:val="28"/>
          <w:lang w:eastAsia="en-US"/>
        </w:rPr>
      </w:pPr>
      <w:r>
        <w:rPr>
          <w:rFonts w:eastAsia="Calibri"/>
          <w:sz w:val="28"/>
          <w:szCs w:val="28"/>
          <w:lang w:eastAsia="en-US"/>
        </w:rPr>
        <w:t>«бюджетные» - на 1 297,58 тыс. м</w:t>
      </w:r>
      <w:r>
        <w:rPr>
          <w:rFonts w:eastAsia="Calibri"/>
          <w:sz w:val="28"/>
          <w:szCs w:val="28"/>
          <w:vertAlign w:val="superscript"/>
          <w:lang w:eastAsia="en-US"/>
        </w:rPr>
        <w:t>3</w:t>
      </w:r>
      <w:r>
        <w:rPr>
          <w:rFonts w:eastAsia="Calibri"/>
          <w:sz w:val="28"/>
          <w:szCs w:val="28"/>
          <w:lang w:eastAsia="en-US"/>
        </w:rPr>
        <w:t xml:space="preserve"> (или 12,46 %):</w:t>
      </w:r>
    </w:p>
    <w:p w:rsidR="00A94728" w:rsidRDefault="00A94728" w:rsidP="00F93C07">
      <w:pPr>
        <w:spacing w:after="0" w:line="240" w:lineRule="auto"/>
        <w:ind w:firstLine="567"/>
        <w:jc w:val="both"/>
        <w:rPr>
          <w:rFonts w:eastAsia="Calibri"/>
          <w:sz w:val="28"/>
          <w:szCs w:val="28"/>
          <w:lang w:eastAsia="en-US"/>
        </w:rPr>
      </w:pPr>
      <w:r>
        <w:rPr>
          <w:rFonts w:eastAsia="Calibri"/>
          <w:sz w:val="28"/>
          <w:szCs w:val="28"/>
          <w:lang w:eastAsia="en-US"/>
        </w:rPr>
        <w:t>«население» - на 9 595,96 тыс. м</w:t>
      </w:r>
      <w:r>
        <w:rPr>
          <w:rFonts w:eastAsia="Calibri"/>
          <w:sz w:val="28"/>
          <w:szCs w:val="28"/>
          <w:vertAlign w:val="superscript"/>
          <w:lang w:eastAsia="en-US"/>
        </w:rPr>
        <w:t>3</w:t>
      </w:r>
      <w:r>
        <w:rPr>
          <w:rFonts w:eastAsia="Calibri"/>
          <w:sz w:val="28"/>
          <w:szCs w:val="28"/>
          <w:lang w:eastAsia="en-US"/>
        </w:rPr>
        <w:t xml:space="preserve"> (или 8,74 %);</w:t>
      </w:r>
    </w:p>
    <w:p w:rsidR="00A94728" w:rsidRDefault="00A94728" w:rsidP="00F93C07">
      <w:pPr>
        <w:spacing w:after="0" w:line="240" w:lineRule="auto"/>
        <w:ind w:firstLine="567"/>
        <w:jc w:val="both"/>
        <w:rPr>
          <w:rFonts w:eastAsia="Calibri"/>
          <w:sz w:val="28"/>
          <w:szCs w:val="28"/>
          <w:lang w:eastAsia="en-US"/>
        </w:rPr>
      </w:pPr>
      <w:r>
        <w:rPr>
          <w:rFonts w:eastAsia="Calibri"/>
          <w:sz w:val="28"/>
          <w:szCs w:val="28"/>
          <w:lang w:eastAsia="en-US"/>
        </w:rPr>
        <w:t>«прочие» - на 438,98 тыс. м</w:t>
      </w:r>
      <w:r>
        <w:rPr>
          <w:rFonts w:eastAsia="Calibri"/>
          <w:sz w:val="28"/>
          <w:szCs w:val="28"/>
          <w:vertAlign w:val="superscript"/>
          <w:lang w:eastAsia="en-US"/>
        </w:rPr>
        <w:t>3</w:t>
      </w:r>
      <w:r>
        <w:rPr>
          <w:rFonts w:eastAsia="Calibri"/>
          <w:sz w:val="28"/>
          <w:szCs w:val="28"/>
          <w:lang w:eastAsia="en-US"/>
        </w:rPr>
        <w:t xml:space="preserve"> (или 1,10) %.</w:t>
      </w:r>
    </w:p>
    <w:p w:rsidR="00E06C7A" w:rsidRDefault="00E06C7A" w:rsidP="00F93C07">
      <w:pPr>
        <w:pStyle w:val="af"/>
        <w:spacing w:before="0" w:after="0"/>
        <w:ind w:firstLine="567"/>
        <w:jc w:val="both"/>
        <w:outlineLvl w:val="0"/>
        <w:rPr>
          <w:rFonts w:ascii="Times New Roman" w:hAnsi="Times New Roman"/>
          <w:sz w:val="28"/>
          <w:szCs w:val="28"/>
        </w:rPr>
      </w:pPr>
      <w:r>
        <w:rPr>
          <w:rFonts w:ascii="Times New Roman" w:eastAsia="Calibri" w:hAnsi="Times New Roman"/>
          <w:sz w:val="28"/>
          <w:szCs w:val="28"/>
          <w:lang w:eastAsia="en-US"/>
        </w:rPr>
        <w:t>Снижение объемов реализации воды наблюдается на протяжении всего указанного периода по всем категориям потребителей. Снижение объёмов реализации воды обусловлено установкой приборов учёта потребителями и их ресурсосбережением.</w:t>
      </w:r>
    </w:p>
    <w:p w:rsidR="004911B6" w:rsidRDefault="004911B6" w:rsidP="00F93C07">
      <w:pPr>
        <w:spacing w:line="240" w:lineRule="auto"/>
        <w:ind w:firstLine="567"/>
        <w:jc w:val="both"/>
        <w:rPr>
          <w:rFonts w:eastAsia="Calibri"/>
          <w:sz w:val="28"/>
          <w:szCs w:val="28"/>
          <w:lang w:eastAsia="en-US"/>
        </w:rPr>
      </w:pPr>
    </w:p>
    <w:p w:rsidR="00A94728" w:rsidRPr="00E06C7A" w:rsidRDefault="00A94728" w:rsidP="000E6A73">
      <w:pPr>
        <w:ind w:firstLine="567"/>
        <w:jc w:val="both"/>
        <w:rPr>
          <w:rFonts w:eastAsia="Calibri"/>
          <w:sz w:val="22"/>
          <w:szCs w:val="22"/>
          <w:u w:val="single"/>
          <w:lang w:eastAsia="en-US"/>
        </w:rPr>
      </w:pPr>
      <w:r w:rsidRPr="00A94728">
        <w:rPr>
          <w:b/>
          <w:bCs/>
          <w:sz w:val="22"/>
          <w:szCs w:val="22"/>
        </w:rPr>
        <w:t xml:space="preserve">Баланс водоснабжения МУП  г. Новосибирска «ГОРВОДОКАНАЛ» </w:t>
      </w:r>
      <w:r w:rsidR="004911B6">
        <w:rPr>
          <w:b/>
          <w:bCs/>
          <w:sz w:val="22"/>
          <w:szCs w:val="22"/>
        </w:rPr>
        <w:t xml:space="preserve">                 </w:t>
      </w:r>
      <w:r w:rsidR="00E06C7A" w:rsidRPr="00E06C7A">
        <w:rPr>
          <w:bCs/>
          <w:sz w:val="22"/>
          <w:szCs w:val="22"/>
        </w:rPr>
        <w:t>Т</w:t>
      </w:r>
      <w:r w:rsidR="004911B6" w:rsidRPr="00E06C7A">
        <w:rPr>
          <w:bCs/>
          <w:sz w:val="22"/>
          <w:szCs w:val="22"/>
        </w:rPr>
        <w:t>аблица № 2.4.4</w:t>
      </w:r>
    </w:p>
    <w:tbl>
      <w:tblPr>
        <w:tblW w:w="10204" w:type="dxa"/>
        <w:tblInd w:w="108" w:type="dxa"/>
        <w:tblLayout w:type="fixed"/>
        <w:tblLook w:val="04A0" w:firstRow="1" w:lastRow="0" w:firstColumn="1" w:lastColumn="0" w:noHBand="0" w:noVBand="1"/>
      </w:tblPr>
      <w:tblGrid>
        <w:gridCol w:w="615"/>
        <w:gridCol w:w="2076"/>
        <w:gridCol w:w="711"/>
        <w:gridCol w:w="1134"/>
        <w:gridCol w:w="1134"/>
        <w:gridCol w:w="1133"/>
        <w:gridCol w:w="1134"/>
        <w:gridCol w:w="1134"/>
        <w:gridCol w:w="1133"/>
      </w:tblGrid>
      <w:tr w:rsidR="000E6A73" w:rsidTr="004911B6">
        <w:trPr>
          <w:trHeight w:val="330"/>
        </w:trPr>
        <w:tc>
          <w:tcPr>
            <w:tcW w:w="615" w:type="dxa"/>
            <w:vMerge w:val="restart"/>
            <w:tcBorders>
              <w:top w:val="single" w:sz="4" w:space="0" w:color="auto"/>
              <w:left w:val="single" w:sz="4" w:space="0" w:color="auto"/>
              <w:bottom w:val="single" w:sz="4" w:space="0" w:color="000000"/>
              <w:right w:val="single" w:sz="4" w:space="0" w:color="auto"/>
            </w:tcBorders>
            <w:vAlign w:val="center"/>
            <w:hideMark/>
          </w:tcPr>
          <w:p w:rsidR="000E6A73" w:rsidRDefault="000E6A73" w:rsidP="00F93C07">
            <w:pPr>
              <w:spacing w:after="0" w:line="240" w:lineRule="auto"/>
              <w:jc w:val="center"/>
              <w:rPr>
                <w:sz w:val="20"/>
                <w:szCs w:val="20"/>
              </w:rPr>
            </w:pPr>
            <w:r>
              <w:rPr>
                <w:sz w:val="20"/>
                <w:szCs w:val="20"/>
              </w:rPr>
              <w:t>№ п/п</w:t>
            </w:r>
          </w:p>
        </w:tc>
        <w:tc>
          <w:tcPr>
            <w:tcW w:w="2076" w:type="dxa"/>
            <w:vMerge w:val="restart"/>
            <w:tcBorders>
              <w:top w:val="single" w:sz="4" w:space="0" w:color="auto"/>
              <w:left w:val="single" w:sz="4" w:space="0" w:color="auto"/>
              <w:bottom w:val="single" w:sz="4" w:space="0" w:color="000000"/>
              <w:right w:val="single" w:sz="4" w:space="0" w:color="auto"/>
            </w:tcBorders>
            <w:noWrap/>
            <w:vAlign w:val="center"/>
            <w:hideMark/>
          </w:tcPr>
          <w:p w:rsidR="000E6A73" w:rsidRDefault="000E6A73" w:rsidP="00F93C07">
            <w:pPr>
              <w:spacing w:after="0" w:line="240" w:lineRule="auto"/>
              <w:jc w:val="center"/>
              <w:rPr>
                <w:sz w:val="20"/>
                <w:szCs w:val="20"/>
              </w:rPr>
            </w:pPr>
            <w:r>
              <w:rPr>
                <w:sz w:val="20"/>
                <w:szCs w:val="20"/>
              </w:rPr>
              <w:t>Наименование</w:t>
            </w:r>
          </w:p>
        </w:tc>
        <w:tc>
          <w:tcPr>
            <w:tcW w:w="711" w:type="dxa"/>
            <w:vMerge w:val="restart"/>
            <w:tcBorders>
              <w:top w:val="single" w:sz="4" w:space="0" w:color="auto"/>
              <w:left w:val="single" w:sz="4" w:space="0" w:color="auto"/>
              <w:bottom w:val="single" w:sz="4" w:space="0" w:color="000000"/>
              <w:right w:val="single" w:sz="4" w:space="0" w:color="auto"/>
            </w:tcBorders>
            <w:vAlign w:val="center"/>
            <w:hideMark/>
          </w:tcPr>
          <w:p w:rsidR="000E6A73" w:rsidRDefault="000E6A73" w:rsidP="00F93C07">
            <w:pPr>
              <w:spacing w:after="0" w:line="240" w:lineRule="auto"/>
              <w:jc w:val="center"/>
              <w:rPr>
                <w:sz w:val="20"/>
                <w:szCs w:val="20"/>
              </w:rPr>
            </w:pPr>
            <w:r>
              <w:rPr>
                <w:sz w:val="20"/>
                <w:szCs w:val="20"/>
              </w:rPr>
              <w:t>Ед.</w:t>
            </w:r>
            <w:r>
              <w:rPr>
                <w:sz w:val="20"/>
                <w:szCs w:val="20"/>
              </w:rPr>
              <w:br/>
              <w:t>изм.</w:t>
            </w:r>
          </w:p>
        </w:tc>
        <w:tc>
          <w:tcPr>
            <w:tcW w:w="1134" w:type="dxa"/>
            <w:tcBorders>
              <w:top w:val="single" w:sz="4" w:space="0" w:color="auto"/>
              <w:left w:val="nil"/>
              <w:bottom w:val="single" w:sz="4" w:space="0" w:color="auto"/>
              <w:right w:val="single" w:sz="4" w:space="0" w:color="auto"/>
            </w:tcBorders>
            <w:vAlign w:val="center"/>
            <w:hideMark/>
          </w:tcPr>
          <w:p w:rsidR="000E6A73" w:rsidRDefault="000E6A73" w:rsidP="00F93C07">
            <w:pPr>
              <w:spacing w:after="0" w:line="240" w:lineRule="auto"/>
              <w:jc w:val="center"/>
              <w:rPr>
                <w:sz w:val="20"/>
                <w:szCs w:val="20"/>
              </w:rPr>
            </w:pPr>
            <w:r>
              <w:rPr>
                <w:sz w:val="20"/>
                <w:szCs w:val="20"/>
              </w:rPr>
              <w:t>2015</w:t>
            </w:r>
          </w:p>
        </w:tc>
        <w:tc>
          <w:tcPr>
            <w:tcW w:w="1134" w:type="dxa"/>
            <w:tcBorders>
              <w:top w:val="single" w:sz="4" w:space="0" w:color="auto"/>
              <w:left w:val="nil"/>
              <w:bottom w:val="single" w:sz="4" w:space="0" w:color="auto"/>
              <w:right w:val="single" w:sz="4" w:space="0" w:color="auto"/>
            </w:tcBorders>
            <w:vAlign w:val="center"/>
            <w:hideMark/>
          </w:tcPr>
          <w:p w:rsidR="000E6A73" w:rsidRDefault="000E6A73" w:rsidP="00F93C07">
            <w:pPr>
              <w:spacing w:after="0" w:line="240" w:lineRule="auto"/>
              <w:jc w:val="center"/>
              <w:rPr>
                <w:sz w:val="20"/>
                <w:szCs w:val="20"/>
              </w:rPr>
            </w:pPr>
            <w:r>
              <w:rPr>
                <w:sz w:val="20"/>
                <w:szCs w:val="20"/>
              </w:rPr>
              <w:t>2016</w:t>
            </w:r>
          </w:p>
        </w:tc>
        <w:tc>
          <w:tcPr>
            <w:tcW w:w="1133" w:type="dxa"/>
            <w:tcBorders>
              <w:top w:val="single" w:sz="4" w:space="0" w:color="auto"/>
              <w:left w:val="nil"/>
              <w:bottom w:val="single" w:sz="4" w:space="0" w:color="auto"/>
              <w:right w:val="single" w:sz="4" w:space="0" w:color="auto"/>
            </w:tcBorders>
            <w:noWrap/>
            <w:vAlign w:val="center"/>
            <w:hideMark/>
          </w:tcPr>
          <w:p w:rsidR="000E6A73" w:rsidRDefault="000E6A73" w:rsidP="00F93C07">
            <w:pPr>
              <w:spacing w:after="0" w:line="240" w:lineRule="auto"/>
              <w:jc w:val="center"/>
              <w:rPr>
                <w:sz w:val="20"/>
                <w:szCs w:val="20"/>
              </w:rPr>
            </w:pPr>
            <w:r>
              <w:rPr>
                <w:sz w:val="20"/>
                <w:szCs w:val="20"/>
              </w:rPr>
              <w:t>2017</w:t>
            </w:r>
          </w:p>
        </w:tc>
        <w:tc>
          <w:tcPr>
            <w:tcW w:w="1134" w:type="dxa"/>
            <w:tcBorders>
              <w:top w:val="single" w:sz="4" w:space="0" w:color="auto"/>
              <w:left w:val="nil"/>
              <w:bottom w:val="single" w:sz="4" w:space="0" w:color="auto"/>
              <w:right w:val="nil"/>
            </w:tcBorders>
            <w:noWrap/>
            <w:vAlign w:val="center"/>
            <w:hideMark/>
          </w:tcPr>
          <w:p w:rsidR="000E6A73" w:rsidRDefault="000E6A73" w:rsidP="00F93C07">
            <w:pPr>
              <w:spacing w:after="0" w:line="240" w:lineRule="auto"/>
              <w:jc w:val="center"/>
              <w:rPr>
                <w:sz w:val="20"/>
                <w:szCs w:val="20"/>
              </w:rPr>
            </w:pPr>
            <w:r>
              <w:rPr>
                <w:sz w:val="20"/>
                <w:szCs w:val="20"/>
              </w:rPr>
              <w:t>2018</w:t>
            </w:r>
          </w:p>
        </w:tc>
        <w:tc>
          <w:tcPr>
            <w:tcW w:w="1134" w:type="dxa"/>
            <w:tcBorders>
              <w:top w:val="single" w:sz="4" w:space="0" w:color="auto"/>
              <w:left w:val="single" w:sz="4" w:space="0" w:color="auto"/>
              <w:bottom w:val="single" w:sz="4" w:space="0" w:color="auto"/>
              <w:right w:val="single" w:sz="4" w:space="0" w:color="auto"/>
            </w:tcBorders>
            <w:noWrap/>
            <w:vAlign w:val="center"/>
            <w:hideMark/>
          </w:tcPr>
          <w:p w:rsidR="000E6A73" w:rsidRDefault="000E6A73" w:rsidP="00F93C07">
            <w:pPr>
              <w:spacing w:after="0" w:line="240" w:lineRule="auto"/>
              <w:jc w:val="center"/>
              <w:rPr>
                <w:sz w:val="20"/>
                <w:szCs w:val="20"/>
              </w:rPr>
            </w:pPr>
            <w:r>
              <w:rPr>
                <w:sz w:val="20"/>
                <w:szCs w:val="20"/>
              </w:rPr>
              <w:t>2019</w:t>
            </w:r>
          </w:p>
        </w:tc>
        <w:tc>
          <w:tcPr>
            <w:tcW w:w="1133" w:type="dxa"/>
            <w:tcBorders>
              <w:top w:val="single" w:sz="4" w:space="0" w:color="auto"/>
              <w:left w:val="single" w:sz="4" w:space="0" w:color="auto"/>
              <w:bottom w:val="single" w:sz="4" w:space="0" w:color="auto"/>
              <w:right w:val="single" w:sz="4" w:space="0" w:color="auto"/>
            </w:tcBorders>
            <w:vAlign w:val="center"/>
            <w:hideMark/>
          </w:tcPr>
          <w:p w:rsidR="000E6A73" w:rsidRDefault="000E6A73" w:rsidP="00F93C07">
            <w:pPr>
              <w:spacing w:after="0" w:line="240" w:lineRule="auto"/>
              <w:jc w:val="center"/>
              <w:rPr>
                <w:sz w:val="20"/>
                <w:szCs w:val="20"/>
              </w:rPr>
            </w:pPr>
            <w:r>
              <w:rPr>
                <w:sz w:val="20"/>
                <w:szCs w:val="20"/>
              </w:rPr>
              <w:t>2020</w:t>
            </w:r>
          </w:p>
        </w:tc>
      </w:tr>
      <w:tr w:rsidR="000E6A73" w:rsidTr="004911B6">
        <w:trPr>
          <w:trHeight w:val="347"/>
        </w:trPr>
        <w:tc>
          <w:tcPr>
            <w:tcW w:w="615" w:type="dxa"/>
            <w:vMerge/>
            <w:tcBorders>
              <w:top w:val="single" w:sz="4" w:space="0" w:color="auto"/>
              <w:left w:val="single" w:sz="4" w:space="0" w:color="auto"/>
              <w:bottom w:val="single" w:sz="4" w:space="0" w:color="000000"/>
              <w:right w:val="single" w:sz="4" w:space="0" w:color="auto"/>
            </w:tcBorders>
            <w:vAlign w:val="center"/>
            <w:hideMark/>
          </w:tcPr>
          <w:p w:rsidR="000E6A73" w:rsidRDefault="000E6A73" w:rsidP="00F93C07">
            <w:pPr>
              <w:spacing w:after="0" w:line="240" w:lineRule="auto"/>
              <w:rPr>
                <w:sz w:val="20"/>
                <w:szCs w:val="20"/>
              </w:rPr>
            </w:pPr>
          </w:p>
        </w:tc>
        <w:tc>
          <w:tcPr>
            <w:tcW w:w="2076" w:type="dxa"/>
            <w:vMerge/>
            <w:tcBorders>
              <w:top w:val="single" w:sz="4" w:space="0" w:color="auto"/>
              <w:left w:val="single" w:sz="4" w:space="0" w:color="auto"/>
              <w:bottom w:val="single" w:sz="4" w:space="0" w:color="000000"/>
              <w:right w:val="single" w:sz="4" w:space="0" w:color="auto"/>
            </w:tcBorders>
            <w:vAlign w:val="center"/>
            <w:hideMark/>
          </w:tcPr>
          <w:p w:rsidR="000E6A73" w:rsidRDefault="000E6A73" w:rsidP="00F93C07">
            <w:pPr>
              <w:spacing w:after="0" w:line="240" w:lineRule="auto"/>
              <w:rPr>
                <w:sz w:val="20"/>
                <w:szCs w:val="20"/>
              </w:rPr>
            </w:pPr>
          </w:p>
        </w:tc>
        <w:tc>
          <w:tcPr>
            <w:tcW w:w="711" w:type="dxa"/>
            <w:vMerge/>
            <w:tcBorders>
              <w:top w:val="single" w:sz="4" w:space="0" w:color="auto"/>
              <w:left w:val="single" w:sz="4" w:space="0" w:color="auto"/>
              <w:bottom w:val="single" w:sz="4" w:space="0" w:color="000000"/>
              <w:right w:val="single" w:sz="4" w:space="0" w:color="auto"/>
            </w:tcBorders>
            <w:vAlign w:val="center"/>
            <w:hideMark/>
          </w:tcPr>
          <w:p w:rsidR="000E6A73" w:rsidRDefault="000E6A73" w:rsidP="00F93C07">
            <w:pPr>
              <w:spacing w:after="0" w:line="240" w:lineRule="auto"/>
              <w:rPr>
                <w:sz w:val="20"/>
                <w:szCs w:val="20"/>
              </w:rPr>
            </w:pPr>
          </w:p>
        </w:tc>
        <w:tc>
          <w:tcPr>
            <w:tcW w:w="1134" w:type="dxa"/>
            <w:tcBorders>
              <w:top w:val="nil"/>
              <w:left w:val="single" w:sz="4" w:space="0" w:color="auto"/>
              <w:bottom w:val="single" w:sz="4" w:space="0" w:color="000000"/>
              <w:right w:val="single" w:sz="4" w:space="0" w:color="auto"/>
            </w:tcBorders>
            <w:noWrap/>
            <w:vAlign w:val="center"/>
            <w:hideMark/>
          </w:tcPr>
          <w:p w:rsidR="000E6A73" w:rsidRDefault="000E6A73" w:rsidP="00F93C07">
            <w:pPr>
              <w:spacing w:after="0" w:line="240" w:lineRule="auto"/>
              <w:jc w:val="center"/>
              <w:rPr>
                <w:sz w:val="20"/>
                <w:szCs w:val="20"/>
              </w:rPr>
            </w:pPr>
            <w:r>
              <w:rPr>
                <w:sz w:val="20"/>
                <w:szCs w:val="20"/>
              </w:rPr>
              <w:t>факт</w:t>
            </w:r>
          </w:p>
        </w:tc>
        <w:tc>
          <w:tcPr>
            <w:tcW w:w="1134" w:type="dxa"/>
            <w:tcBorders>
              <w:top w:val="nil"/>
              <w:left w:val="single" w:sz="4" w:space="0" w:color="auto"/>
              <w:bottom w:val="single" w:sz="4" w:space="0" w:color="000000"/>
              <w:right w:val="single" w:sz="4" w:space="0" w:color="auto"/>
            </w:tcBorders>
            <w:noWrap/>
            <w:vAlign w:val="center"/>
            <w:hideMark/>
          </w:tcPr>
          <w:p w:rsidR="000E6A73" w:rsidRDefault="000E6A73" w:rsidP="00F93C07">
            <w:pPr>
              <w:spacing w:after="0" w:line="240" w:lineRule="auto"/>
              <w:jc w:val="center"/>
              <w:rPr>
                <w:sz w:val="20"/>
                <w:szCs w:val="20"/>
              </w:rPr>
            </w:pPr>
            <w:r>
              <w:rPr>
                <w:sz w:val="20"/>
                <w:szCs w:val="20"/>
              </w:rPr>
              <w:t>факт</w:t>
            </w:r>
          </w:p>
        </w:tc>
        <w:tc>
          <w:tcPr>
            <w:tcW w:w="1133" w:type="dxa"/>
            <w:tcBorders>
              <w:top w:val="nil"/>
              <w:left w:val="single" w:sz="4" w:space="0" w:color="auto"/>
              <w:bottom w:val="single" w:sz="4" w:space="0" w:color="000000"/>
              <w:right w:val="nil"/>
            </w:tcBorders>
            <w:noWrap/>
            <w:vAlign w:val="center"/>
            <w:hideMark/>
          </w:tcPr>
          <w:p w:rsidR="000E6A73" w:rsidRDefault="000E6A73" w:rsidP="00F93C07">
            <w:pPr>
              <w:spacing w:after="0" w:line="240" w:lineRule="auto"/>
              <w:jc w:val="center"/>
              <w:rPr>
                <w:sz w:val="20"/>
                <w:szCs w:val="20"/>
              </w:rPr>
            </w:pPr>
            <w:r>
              <w:rPr>
                <w:sz w:val="20"/>
                <w:szCs w:val="20"/>
              </w:rPr>
              <w:t>факт</w:t>
            </w:r>
          </w:p>
        </w:tc>
        <w:tc>
          <w:tcPr>
            <w:tcW w:w="1134" w:type="dxa"/>
            <w:tcBorders>
              <w:top w:val="nil"/>
              <w:left w:val="single" w:sz="4" w:space="0" w:color="auto"/>
              <w:bottom w:val="single" w:sz="4" w:space="0" w:color="000000"/>
              <w:right w:val="single" w:sz="4" w:space="0" w:color="auto"/>
            </w:tcBorders>
            <w:vAlign w:val="center"/>
            <w:hideMark/>
          </w:tcPr>
          <w:p w:rsidR="000E6A73" w:rsidRDefault="000E6A73" w:rsidP="00F93C07">
            <w:pPr>
              <w:spacing w:after="0" w:line="240" w:lineRule="auto"/>
              <w:jc w:val="center"/>
              <w:rPr>
                <w:sz w:val="20"/>
                <w:szCs w:val="20"/>
              </w:rPr>
            </w:pPr>
            <w:r>
              <w:rPr>
                <w:sz w:val="20"/>
                <w:szCs w:val="20"/>
              </w:rPr>
              <w:t>факт</w:t>
            </w:r>
          </w:p>
        </w:tc>
        <w:tc>
          <w:tcPr>
            <w:tcW w:w="1134" w:type="dxa"/>
            <w:tcBorders>
              <w:top w:val="nil"/>
              <w:left w:val="single" w:sz="4" w:space="0" w:color="auto"/>
              <w:bottom w:val="single" w:sz="4" w:space="0" w:color="000000"/>
              <w:right w:val="single" w:sz="4" w:space="0" w:color="auto"/>
            </w:tcBorders>
            <w:vAlign w:val="center"/>
            <w:hideMark/>
          </w:tcPr>
          <w:p w:rsidR="000E6A73" w:rsidRDefault="000E6A73" w:rsidP="00F93C07">
            <w:pPr>
              <w:spacing w:after="0" w:line="240" w:lineRule="auto"/>
              <w:jc w:val="center"/>
              <w:rPr>
                <w:sz w:val="20"/>
                <w:szCs w:val="20"/>
              </w:rPr>
            </w:pPr>
            <w:r>
              <w:rPr>
                <w:sz w:val="20"/>
                <w:szCs w:val="20"/>
              </w:rPr>
              <w:t>план</w:t>
            </w:r>
          </w:p>
        </w:tc>
        <w:tc>
          <w:tcPr>
            <w:tcW w:w="1133" w:type="dxa"/>
            <w:tcBorders>
              <w:top w:val="nil"/>
              <w:left w:val="single" w:sz="4" w:space="0" w:color="auto"/>
              <w:bottom w:val="single" w:sz="4" w:space="0" w:color="auto"/>
              <w:right w:val="single" w:sz="4" w:space="0" w:color="auto"/>
            </w:tcBorders>
            <w:vAlign w:val="center"/>
            <w:hideMark/>
          </w:tcPr>
          <w:p w:rsidR="000E6A73" w:rsidRDefault="000E6A73" w:rsidP="00F93C07">
            <w:pPr>
              <w:spacing w:after="0" w:line="240" w:lineRule="auto"/>
              <w:jc w:val="center"/>
              <w:rPr>
                <w:sz w:val="20"/>
                <w:szCs w:val="20"/>
              </w:rPr>
            </w:pPr>
            <w:r>
              <w:rPr>
                <w:sz w:val="20"/>
                <w:szCs w:val="20"/>
              </w:rPr>
              <w:t>план</w:t>
            </w:r>
          </w:p>
        </w:tc>
      </w:tr>
      <w:tr w:rsidR="000E6A73" w:rsidTr="004911B6">
        <w:trPr>
          <w:trHeight w:val="300"/>
        </w:trPr>
        <w:tc>
          <w:tcPr>
            <w:tcW w:w="615" w:type="dxa"/>
            <w:tcBorders>
              <w:top w:val="nil"/>
              <w:left w:val="single" w:sz="4" w:space="0" w:color="auto"/>
              <w:bottom w:val="single" w:sz="4" w:space="0" w:color="auto"/>
              <w:right w:val="single" w:sz="4" w:space="0" w:color="auto"/>
            </w:tcBorders>
            <w:noWrap/>
            <w:vAlign w:val="center"/>
            <w:hideMark/>
          </w:tcPr>
          <w:p w:rsidR="000E6A73" w:rsidRDefault="000E6A73" w:rsidP="00F93C07">
            <w:pPr>
              <w:spacing w:after="0" w:line="240" w:lineRule="auto"/>
              <w:jc w:val="center"/>
              <w:rPr>
                <w:sz w:val="20"/>
                <w:szCs w:val="20"/>
              </w:rPr>
            </w:pPr>
            <w:r>
              <w:rPr>
                <w:sz w:val="20"/>
                <w:szCs w:val="20"/>
              </w:rPr>
              <w:t>1</w:t>
            </w:r>
          </w:p>
        </w:tc>
        <w:tc>
          <w:tcPr>
            <w:tcW w:w="2076" w:type="dxa"/>
            <w:tcBorders>
              <w:top w:val="nil"/>
              <w:left w:val="nil"/>
              <w:bottom w:val="single" w:sz="4" w:space="0" w:color="auto"/>
              <w:right w:val="single" w:sz="4" w:space="0" w:color="auto"/>
            </w:tcBorders>
            <w:noWrap/>
            <w:vAlign w:val="center"/>
            <w:hideMark/>
          </w:tcPr>
          <w:p w:rsidR="000E6A73" w:rsidRDefault="000E6A73" w:rsidP="00F93C07">
            <w:pPr>
              <w:spacing w:after="0" w:line="240" w:lineRule="auto"/>
              <w:jc w:val="center"/>
              <w:rPr>
                <w:sz w:val="20"/>
                <w:szCs w:val="20"/>
              </w:rPr>
            </w:pPr>
            <w:r>
              <w:rPr>
                <w:sz w:val="20"/>
                <w:szCs w:val="20"/>
              </w:rPr>
              <w:t>2</w:t>
            </w:r>
          </w:p>
        </w:tc>
        <w:tc>
          <w:tcPr>
            <w:tcW w:w="711" w:type="dxa"/>
            <w:tcBorders>
              <w:top w:val="nil"/>
              <w:left w:val="nil"/>
              <w:bottom w:val="single" w:sz="4" w:space="0" w:color="auto"/>
              <w:right w:val="single" w:sz="4" w:space="0" w:color="auto"/>
            </w:tcBorders>
            <w:noWrap/>
            <w:vAlign w:val="center"/>
            <w:hideMark/>
          </w:tcPr>
          <w:p w:rsidR="000E6A73" w:rsidRDefault="000E6A73" w:rsidP="00F93C07">
            <w:pPr>
              <w:spacing w:after="0" w:line="240" w:lineRule="auto"/>
              <w:jc w:val="center"/>
              <w:rPr>
                <w:sz w:val="20"/>
                <w:szCs w:val="20"/>
              </w:rPr>
            </w:pPr>
            <w:r>
              <w:rPr>
                <w:sz w:val="20"/>
                <w:szCs w:val="20"/>
              </w:rPr>
              <w:t>3</w:t>
            </w:r>
          </w:p>
        </w:tc>
        <w:tc>
          <w:tcPr>
            <w:tcW w:w="1134" w:type="dxa"/>
            <w:tcBorders>
              <w:top w:val="nil"/>
              <w:left w:val="nil"/>
              <w:bottom w:val="single" w:sz="4" w:space="0" w:color="auto"/>
              <w:right w:val="single" w:sz="4" w:space="0" w:color="auto"/>
            </w:tcBorders>
            <w:noWrap/>
            <w:vAlign w:val="center"/>
            <w:hideMark/>
          </w:tcPr>
          <w:p w:rsidR="000E6A73" w:rsidRDefault="000E6A73" w:rsidP="00F93C07">
            <w:pPr>
              <w:spacing w:after="0" w:line="240" w:lineRule="auto"/>
              <w:jc w:val="center"/>
              <w:rPr>
                <w:sz w:val="20"/>
                <w:szCs w:val="20"/>
              </w:rPr>
            </w:pPr>
            <w:r>
              <w:rPr>
                <w:sz w:val="20"/>
                <w:szCs w:val="20"/>
              </w:rPr>
              <w:t>4</w:t>
            </w:r>
          </w:p>
        </w:tc>
        <w:tc>
          <w:tcPr>
            <w:tcW w:w="1134" w:type="dxa"/>
            <w:tcBorders>
              <w:top w:val="nil"/>
              <w:left w:val="nil"/>
              <w:bottom w:val="single" w:sz="4" w:space="0" w:color="auto"/>
              <w:right w:val="single" w:sz="4" w:space="0" w:color="auto"/>
            </w:tcBorders>
            <w:noWrap/>
            <w:vAlign w:val="center"/>
            <w:hideMark/>
          </w:tcPr>
          <w:p w:rsidR="000E6A73" w:rsidRDefault="000E6A73" w:rsidP="00F93C07">
            <w:pPr>
              <w:spacing w:after="0" w:line="240" w:lineRule="auto"/>
              <w:jc w:val="center"/>
              <w:rPr>
                <w:sz w:val="20"/>
                <w:szCs w:val="20"/>
              </w:rPr>
            </w:pPr>
            <w:r>
              <w:rPr>
                <w:sz w:val="20"/>
                <w:szCs w:val="20"/>
              </w:rPr>
              <w:t>5</w:t>
            </w:r>
          </w:p>
        </w:tc>
        <w:tc>
          <w:tcPr>
            <w:tcW w:w="1133" w:type="dxa"/>
            <w:tcBorders>
              <w:top w:val="nil"/>
              <w:left w:val="nil"/>
              <w:bottom w:val="nil"/>
              <w:right w:val="single" w:sz="4" w:space="0" w:color="auto"/>
            </w:tcBorders>
            <w:noWrap/>
            <w:vAlign w:val="center"/>
            <w:hideMark/>
          </w:tcPr>
          <w:p w:rsidR="000E6A73" w:rsidRDefault="000E6A73" w:rsidP="00F93C07">
            <w:pPr>
              <w:spacing w:after="0" w:line="240" w:lineRule="auto"/>
              <w:jc w:val="center"/>
              <w:rPr>
                <w:sz w:val="20"/>
                <w:szCs w:val="20"/>
              </w:rPr>
            </w:pPr>
            <w:r>
              <w:rPr>
                <w:sz w:val="20"/>
                <w:szCs w:val="20"/>
              </w:rPr>
              <w:t>6</w:t>
            </w:r>
          </w:p>
        </w:tc>
        <w:tc>
          <w:tcPr>
            <w:tcW w:w="1134" w:type="dxa"/>
            <w:tcBorders>
              <w:top w:val="nil"/>
              <w:left w:val="nil"/>
              <w:bottom w:val="nil"/>
              <w:right w:val="single" w:sz="4" w:space="0" w:color="auto"/>
            </w:tcBorders>
            <w:noWrap/>
            <w:vAlign w:val="center"/>
            <w:hideMark/>
          </w:tcPr>
          <w:p w:rsidR="000E6A73" w:rsidRDefault="000E6A73" w:rsidP="00F93C07">
            <w:pPr>
              <w:spacing w:after="0" w:line="240" w:lineRule="auto"/>
              <w:jc w:val="center"/>
              <w:rPr>
                <w:sz w:val="20"/>
                <w:szCs w:val="20"/>
              </w:rPr>
            </w:pPr>
            <w:r>
              <w:rPr>
                <w:sz w:val="20"/>
                <w:szCs w:val="20"/>
              </w:rPr>
              <w:t>7</w:t>
            </w:r>
          </w:p>
        </w:tc>
        <w:tc>
          <w:tcPr>
            <w:tcW w:w="1134" w:type="dxa"/>
            <w:tcBorders>
              <w:top w:val="nil"/>
              <w:left w:val="nil"/>
              <w:bottom w:val="single" w:sz="4" w:space="0" w:color="auto"/>
              <w:right w:val="single" w:sz="4" w:space="0" w:color="auto"/>
            </w:tcBorders>
            <w:noWrap/>
            <w:vAlign w:val="center"/>
            <w:hideMark/>
          </w:tcPr>
          <w:p w:rsidR="000E6A73" w:rsidRDefault="000E6A73" w:rsidP="00F93C07">
            <w:pPr>
              <w:spacing w:after="0" w:line="240" w:lineRule="auto"/>
              <w:jc w:val="center"/>
              <w:rPr>
                <w:sz w:val="20"/>
                <w:szCs w:val="20"/>
              </w:rPr>
            </w:pPr>
            <w:r>
              <w:rPr>
                <w:sz w:val="20"/>
                <w:szCs w:val="20"/>
              </w:rPr>
              <w:t>8</w:t>
            </w:r>
          </w:p>
        </w:tc>
        <w:tc>
          <w:tcPr>
            <w:tcW w:w="1133" w:type="dxa"/>
            <w:tcBorders>
              <w:top w:val="single" w:sz="4" w:space="0" w:color="auto"/>
              <w:left w:val="nil"/>
              <w:bottom w:val="single" w:sz="4" w:space="0" w:color="auto"/>
              <w:right w:val="single" w:sz="4" w:space="0" w:color="auto"/>
            </w:tcBorders>
            <w:vAlign w:val="center"/>
            <w:hideMark/>
          </w:tcPr>
          <w:p w:rsidR="000E6A73" w:rsidRDefault="000E6A73" w:rsidP="00F93C07">
            <w:pPr>
              <w:spacing w:after="0" w:line="240" w:lineRule="auto"/>
              <w:jc w:val="center"/>
              <w:rPr>
                <w:sz w:val="20"/>
                <w:szCs w:val="20"/>
              </w:rPr>
            </w:pPr>
            <w:r>
              <w:rPr>
                <w:sz w:val="20"/>
                <w:szCs w:val="20"/>
              </w:rPr>
              <w:t>9</w:t>
            </w:r>
          </w:p>
        </w:tc>
      </w:tr>
      <w:tr w:rsidR="000E6A73" w:rsidTr="004911B6">
        <w:trPr>
          <w:trHeight w:val="300"/>
        </w:trPr>
        <w:tc>
          <w:tcPr>
            <w:tcW w:w="615" w:type="dxa"/>
            <w:tcBorders>
              <w:top w:val="nil"/>
              <w:left w:val="single" w:sz="4" w:space="0" w:color="auto"/>
              <w:bottom w:val="single" w:sz="4" w:space="0" w:color="auto"/>
              <w:right w:val="single" w:sz="4" w:space="0" w:color="auto"/>
            </w:tcBorders>
            <w:noWrap/>
            <w:vAlign w:val="center"/>
            <w:hideMark/>
          </w:tcPr>
          <w:p w:rsidR="000E6A73" w:rsidRDefault="000E6A73" w:rsidP="00F93C07">
            <w:pPr>
              <w:spacing w:after="0" w:line="240" w:lineRule="auto"/>
              <w:jc w:val="center"/>
              <w:rPr>
                <w:b/>
                <w:bCs/>
                <w:sz w:val="20"/>
                <w:szCs w:val="20"/>
              </w:rPr>
            </w:pPr>
            <w:r>
              <w:rPr>
                <w:b/>
                <w:bCs/>
                <w:sz w:val="20"/>
                <w:szCs w:val="20"/>
              </w:rPr>
              <w:t>1</w:t>
            </w:r>
          </w:p>
        </w:tc>
        <w:tc>
          <w:tcPr>
            <w:tcW w:w="2076" w:type="dxa"/>
            <w:tcBorders>
              <w:top w:val="nil"/>
              <w:left w:val="nil"/>
              <w:bottom w:val="single" w:sz="4" w:space="0" w:color="auto"/>
              <w:right w:val="single" w:sz="4" w:space="0" w:color="auto"/>
            </w:tcBorders>
            <w:noWrap/>
            <w:vAlign w:val="center"/>
            <w:hideMark/>
          </w:tcPr>
          <w:p w:rsidR="000E6A73" w:rsidRDefault="000E6A73" w:rsidP="00F93C07">
            <w:pPr>
              <w:spacing w:after="0" w:line="240" w:lineRule="auto"/>
              <w:rPr>
                <w:b/>
                <w:bCs/>
                <w:sz w:val="20"/>
                <w:szCs w:val="20"/>
              </w:rPr>
            </w:pPr>
            <w:r>
              <w:rPr>
                <w:b/>
                <w:bCs/>
                <w:sz w:val="20"/>
                <w:szCs w:val="20"/>
              </w:rPr>
              <w:t>Водоподготовка</w:t>
            </w:r>
          </w:p>
        </w:tc>
        <w:tc>
          <w:tcPr>
            <w:tcW w:w="711" w:type="dxa"/>
            <w:tcBorders>
              <w:top w:val="nil"/>
              <w:left w:val="nil"/>
              <w:bottom w:val="single" w:sz="4" w:space="0" w:color="auto"/>
              <w:right w:val="single" w:sz="4" w:space="0" w:color="auto"/>
            </w:tcBorders>
            <w:noWrap/>
            <w:vAlign w:val="center"/>
          </w:tcPr>
          <w:p w:rsidR="000E6A73" w:rsidRDefault="000E6A73" w:rsidP="00F93C07">
            <w:pPr>
              <w:spacing w:after="0" w:line="240" w:lineRule="auto"/>
              <w:jc w:val="center"/>
              <w:rPr>
                <w:sz w:val="20"/>
                <w:szCs w:val="20"/>
              </w:rPr>
            </w:pPr>
          </w:p>
        </w:tc>
        <w:tc>
          <w:tcPr>
            <w:tcW w:w="1134" w:type="dxa"/>
            <w:tcBorders>
              <w:top w:val="nil"/>
              <w:left w:val="nil"/>
              <w:bottom w:val="single" w:sz="4" w:space="0" w:color="auto"/>
              <w:right w:val="single" w:sz="4" w:space="0" w:color="auto"/>
            </w:tcBorders>
            <w:noWrap/>
            <w:vAlign w:val="center"/>
          </w:tcPr>
          <w:p w:rsidR="000E6A73" w:rsidRDefault="000E6A73" w:rsidP="00F93C07">
            <w:pPr>
              <w:spacing w:after="0" w:line="240" w:lineRule="auto"/>
              <w:jc w:val="center"/>
              <w:rPr>
                <w:sz w:val="20"/>
                <w:szCs w:val="20"/>
              </w:rPr>
            </w:pPr>
          </w:p>
        </w:tc>
        <w:tc>
          <w:tcPr>
            <w:tcW w:w="1134" w:type="dxa"/>
            <w:tcBorders>
              <w:top w:val="nil"/>
              <w:left w:val="nil"/>
              <w:bottom w:val="single" w:sz="4" w:space="0" w:color="auto"/>
              <w:right w:val="single" w:sz="4" w:space="0" w:color="auto"/>
            </w:tcBorders>
            <w:noWrap/>
            <w:vAlign w:val="bottom"/>
          </w:tcPr>
          <w:p w:rsidR="000E6A73" w:rsidRDefault="000E6A73" w:rsidP="00F93C07">
            <w:pPr>
              <w:spacing w:after="0" w:line="240" w:lineRule="auto"/>
              <w:jc w:val="center"/>
              <w:rPr>
                <w:sz w:val="20"/>
                <w:szCs w:val="20"/>
              </w:rPr>
            </w:pPr>
          </w:p>
        </w:tc>
        <w:tc>
          <w:tcPr>
            <w:tcW w:w="1133" w:type="dxa"/>
            <w:tcBorders>
              <w:top w:val="single" w:sz="4" w:space="0" w:color="auto"/>
              <w:left w:val="nil"/>
              <w:bottom w:val="single" w:sz="4" w:space="0" w:color="auto"/>
              <w:right w:val="single" w:sz="4" w:space="0" w:color="auto"/>
            </w:tcBorders>
            <w:noWrap/>
            <w:vAlign w:val="bottom"/>
            <w:hideMark/>
          </w:tcPr>
          <w:p w:rsidR="000E6A73" w:rsidRDefault="000E6A73" w:rsidP="00F93C07">
            <w:pPr>
              <w:spacing w:after="0" w:line="240" w:lineRule="auto"/>
              <w:rPr>
                <w:sz w:val="20"/>
                <w:szCs w:val="20"/>
              </w:rPr>
            </w:pPr>
          </w:p>
        </w:tc>
        <w:tc>
          <w:tcPr>
            <w:tcW w:w="1134" w:type="dxa"/>
            <w:tcBorders>
              <w:top w:val="single" w:sz="4" w:space="0" w:color="auto"/>
              <w:left w:val="nil"/>
              <w:bottom w:val="single" w:sz="4" w:space="0" w:color="auto"/>
              <w:right w:val="single" w:sz="4" w:space="0" w:color="auto"/>
            </w:tcBorders>
            <w:noWrap/>
            <w:vAlign w:val="bottom"/>
            <w:hideMark/>
          </w:tcPr>
          <w:p w:rsidR="000E6A73" w:rsidRDefault="000E6A73" w:rsidP="00F93C07">
            <w:pPr>
              <w:spacing w:after="0" w:line="240" w:lineRule="auto"/>
              <w:rPr>
                <w:sz w:val="20"/>
                <w:szCs w:val="20"/>
              </w:rPr>
            </w:pPr>
          </w:p>
        </w:tc>
        <w:tc>
          <w:tcPr>
            <w:tcW w:w="1134" w:type="dxa"/>
            <w:tcBorders>
              <w:top w:val="nil"/>
              <w:left w:val="nil"/>
              <w:bottom w:val="single" w:sz="4" w:space="0" w:color="auto"/>
              <w:right w:val="single" w:sz="4" w:space="0" w:color="auto"/>
            </w:tcBorders>
            <w:noWrap/>
            <w:vAlign w:val="bottom"/>
          </w:tcPr>
          <w:p w:rsidR="000E6A73" w:rsidRDefault="000E6A73" w:rsidP="00F93C07">
            <w:pPr>
              <w:spacing w:after="0" w:line="240" w:lineRule="auto"/>
              <w:rPr>
                <w:sz w:val="20"/>
                <w:szCs w:val="20"/>
              </w:rPr>
            </w:pPr>
          </w:p>
        </w:tc>
        <w:tc>
          <w:tcPr>
            <w:tcW w:w="1133" w:type="dxa"/>
            <w:tcBorders>
              <w:top w:val="nil"/>
              <w:left w:val="nil"/>
              <w:bottom w:val="single" w:sz="4" w:space="0" w:color="auto"/>
              <w:right w:val="single" w:sz="4" w:space="0" w:color="auto"/>
            </w:tcBorders>
            <w:vAlign w:val="center"/>
          </w:tcPr>
          <w:p w:rsidR="000E6A73" w:rsidRDefault="000E6A73" w:rsidP="00F93C07">
            <w:pPr>
              <w:spacing w:after="0" w:line="240" w:lineRule="auto"/>
              <w:jc w:val="center"/>
              <w:rPr>
                <w:sz w:val="20"/>
                <w:szCs w:val="20"/>
              </w:rPr>
            </w:pPr>
          </w:p>
        </w:tc>
      </w:tr>
      <w:tr w:rsidR="000E6A73" w:rsidTr="004911B6">
        <w:trPr>
          <w:trHeight w:val="300"/>
        </w:trPr>
        <w:tc>
          <w:tcPr>
            <w:tcW w:w="615" w:type="dxa"/>
            <w:tcBorders>
              <w:top w:val="nil"/>
              <w:left w:val="single" w:sz="4" w:space="0" w:color="auto"/>
              <w:bottom w:val="single" w:sz="4" w:space="0" w:color="auto"/>
              <w:right w:val="single" w:sz="4" w:space="0" w:color="auto"/>
            </w:tcBorders>
            <w:noWrap/>
            <w:vAlign w:val="center"/>
            <w:hideMark/>
          </w:tcPr>
          <w:p w:rsidR="000E6A73" w:rsidRDefault="000E6A73" w:rsidP="00F93C07">
            <w:pPr>
              <w:spacing w:after="0" w:line="240" w:lineRule="auto"/>
              <w:jc w:val="center"/>
              <w:rPr>
                <w:sz w:val="20"/>
                <w:szCs w:val="20"/>
              </w:rPr>
            </w:pPr>
            <w:r>
              <w:rPr>
                <w:sz w:val="20"/>
                <w:szCs w:val="20"/>
              </w:rPr>
              <w:t>1.1</w:t>
            </w:r>
          </w:p>
        </w:tc>
        <w:tc>
          <w:tcPr>
            <w:tcW w:w="2076" w:type="dxa"/>
            <w:tcBorders>
              <w:top w:val="nil"/>
              <w:left w:val="nil"/>
              <w:bottom w:val="single" w:sz="4" w:space="0" w:color="auto"/>
              <w:right w:val="single" w:sz="4" w:space="0" w:color="auto"/>
            </w:tcBorders>
            <w:noWrap/>
            <w:vAlign w:val="center"/>
            <w:hideMark/>
          </w:tcPr>
          <w:p w:rsidR="000E6A73" w:rsidRDefault="000E6A73" w:rsidP="00F93C07">
            <w:pPr>
              <w:spacing w:after="0" w:line="240" w:lineRule="auto"/>
              <w:ind w:left="-99"/>
              <w:rPr>
                <w:sz w:val="20"/>
                <w:szCs w:val="20"/>
              </w:rPr>
            </w:pPr>
            <w:r>
              <w:rPr>
                <w:sz w:val="20"/>
                <w:szCs w:val="20"/>
              </w:rPr>
              <w:t>Объем воды из источников водоснабжения:</w:t>
            </w:r>
          </w:p>
        </w:tc>
        <w:tc>
          <w:tcPr>
            <w:tcW w:w="711" w:type="dxa"/>
            <w:tcBorders>
              <w:top w:val="nil"/>
              <w:left w:val="nil"/>
              <w:bottom w:val="single" w:sz="4" w:space="0" w:color="auto"/>
              <w:right w:val="single" w:sz="4" w:space="0" w:color="auto"/>
            </w:tcBorders>
            <w:noWrap/>
            <w:vAlign w:val="center"/>
            <w:hideMark/>
          </w:tcPr>
          <w:p w:rsidR="000E6A73" w:rsidRDefault="000E6A73" w:rsidP="00F93C07">
            <w:pPr>
              <w:spacing w:after="0" w:line="240" w:lineRule="auto"/>
              <w:jc w:val="center"/>
              <w:rPr>
                <w:sz w:val="20"/>
                <w:szCs w:val="20"/>
              </w:rPr>
            </w:pPr>
            <w:r>
              <w:rPr>
                <w:sz w:val="20"/>
                <w:szCs w:val="20"/>
              </w:rPr>
              <w:t>тыс. м</w:t>
            </w:r>
            <w:r>
              <w:rPr>
                <w:sz w:val="20"/>
                <w:szCs w:val="20"/>
                <w:vertAlign w:val="superscript"/>
              </w:rPr>
              <w:t>3</w:t>
            </w:r>
          </w:p>
        </w:tc>
        <w:tc>
          <w:tcPr>
            <w:tcW w:w="1134" w:type="dxa"/>
            <w:tcBorders>
              <w:top w:val="nil"/>
              <w:left w:val="nil"/>
              <w:bottom w:val="single" w:sz="4" w:space="0" w:color="auto"/>
              <w:right w:val="single" w:sz="4" w:space="0" w:color="auto"/>
            </w:tcBorders>
            <w:noWrap/>
            <w:vAlign w:val="center"/>
            <w:hideMark/>
          </w:tcPr>
          <w:p w:rsidR="000E6A73" w:rsidRDefault="000E6A73" w:rsidP="00F93C07">
            <w:pPr>
              <w:spacing w:after="0" w:line="240" w:lineRule="auto"/>
              <w:jc w:val="center"/>
              <w:rPr>
                <w:b/>
                <w:bCs/>
                <w:sz w:val="20"/>
                <w:szCs w:val="20"/>
              </w:rPr>
            </w:pPr>
            <w:r>
              <w:rPr>
                <w:b/>
                <w:bCs/>
                <w:sz w:val="20"/>
                <w:szCs w:val="20"/>
              </w:rPr>
              <w:t>209 872,14</w:t>
            </w:r>
          </w:p>
        </w:tc>
        <w:tc>
          <w:tcPr>
            <w:tcW w:w="1134" w:type="dxa"/>
            <w:tcBorders>
              <w:top w:val="nil"/>
              <w:left w:val="nil"/>
              <w:bottom w:val="single" w:sz="4" w:space="0" w:color="auto"/>
              <w:right w:val="single" w:sz="4" w:space="0" w:color="auto"/>
            </w:tcBorders>
            <w:noWrap/>
            <w:vAlign w:val="center"/>
            <w:hideMark/>
          </w:tcPr>
          <w:p w:rsidR="000E6A73" w:rsidRDefault="000E6A73" w:rsidP="00F93C07">
            <w:pPr>
              <w:spacing w:after="0" w:line="240" w:lineRule="auto"/>
              <w:jc w:val="center"/>
              <w:rPr>
                <w:b/>
                <w:bCs/>
                <w:sz w:val="20"/>
                <w:szCs w:val="20"/>
              </w:rPr>
            </w:pPr>
            <w:r>
              <w:rPr>
                <w:b/>
                <w:bCs/>
                <w:sz w:val="20"/>
                <w:szCs w:val="20"/>
              </w:rPr>
              <w:t>200 933,90</w:t>
            </w:r>
          </w:p>
        </w:tc>
        <w:tc>
          <w:tcPr>
            <w:tcW w:w="1133" w:type="dxa"/>
            <w:tcBorders>
              <w:top w:val="nil"/>
              <w:left w:val="nil"/>
              <w:bottom w:val="single" w:sz="4" w:space="0" w:color="auto"/>
              <w:right w:val="single" w:sz="4" w:space="0" w:color="auto"/>
            </w:tcBorders>
            <w:noWrap/>
            <w:vAlign w:val="center"/>
            <w:hideMark/>
          </w:tcPr>
          <w:p w:rsidR="000E6A73" w:rsidRDefault="000E6A73" w:rsidP="00F93C07">
            <w:pPr>
              <w:spacing w:after="0" w:line="240" w:lineRule="auto"/>
              <w:jc w:val="center"/>
              <w:rPr>
                <w:b/>
                <w:bCs/>
                <w:sz w:val="20"/>
                <w:szCs w:val="20"/>
              </w:rPr>
            </w:pPr>
            <w:r>
              <w:rPr>
                <w:b/>
                <w:bCs/>
                <w:sz w:val="20"/>
                <w:szCs w:val="20"/>
              </w:rPr>
              <w:t>198 356,00</w:t>
            </w:r>
          </w:p>
        </w:tc>
        <w:tc>
          <w:tcPr>
            <w:tcW w:w="1134" w:type="dxa"/>
            <w:tcBorders>
              <w:top w:val="nil"/>
              <w:left w:val="nil"/>
              <w:bottom w:val="single" w:sz="4" w:space="0" w:color="auto"/>
              <w:right w:val="single" w:sz="4" w:space="0" w:color="auto"/>
            </w:tcBorders>
            <w:noWrap/>
            <w:vAlign w:val="center"/>
            <w:hideMark/>
          </w:tcPr>
          <w:p w:rsidR="000E6A73" w:rsidRDefault="000E6A73" w:rsidP="00F93C07">
            <w:pPr>
              <w:spacing w:after="0" w:line="240" w:lineRule="auto"/>
              <w:jc w:val="center"/>
              <w:rPr>
                <w:b/>
                <w:bCs/>
                <w:sz w:val="20"/>
                <w:szCs w:val="20"/>
              </w:rPr>
            </w:pPr>
            <w:r>
              <w:rPr>
                <w:b/>
                <w:bCs/>
                <w:sz w:val="20"/>
                <w:szCs w:val="20"/>
              </w:rPr>
              <w:t>196 554,00</w:t>
            </w:r>
          </w:p>
        </w:tc>
        <w:tc>
          <w:tcPr>
            <w:tcW w:w="1134" w:type="dxa"/>
            <w:tcBorders>
              <w:top w:val="nil"/>
              <w:left w:val="nil"/>
              <w:bottom w:val="single" w:sz="4" w:space="0" w:color="auto"/>
              <w:right w:val="single" w:sz="4" w:space="0" w:color="auto"/>
            </w:tcBorders>
            <w:noWrap/>
            <w:vAlign w:val="center"/>
            <w:hideMark/>
          </w:tcPr>
          <w:p w:rsidR="000E6A73" w:rsidRDefault="000E6A73" w:rsidP="00F93C07">
            <w:pPr>
              <w:spacing w:after="0" w:line="240" w:lineRule="auto"/>
              <w:jc w:val="center"/>
              <w:rPr>
                <w:b/>
                <w:bCs/>
                <w:sz w:val="20"/>
                <w:szCs w:val="20"/>
              </w:rPr>
            </w:pPr>
            <w:r>
              <w:rPr>
                <w:b/>
                <w:bCs/>
                <w:sz w:val="20"/>
                <w:szCs w:val="20"/>
              </w:rPr>
              <w:t>184 575,70</w:t>
            </w:r>
          </w:p>
        </w:tc>
        <w:tc>
          <w:tcPr>
            <w:tcW w:w="1133" w:type="dxa"/>
            <w:tcBorders>
              <w:top w:val="nil"/>
              <w:left w:val="nil"/>
              <w:bottom w:val="single" w:sz="4" w:space="0" w:color="auto"/>
              <w:right w:val="single" w:sz="4" w:space="0" w:color="auto"/>
            </w:tcBorders>
            <w:vAlign w:val="center"/>
            <w:hideMark/>
          </w:tcPr>
          <w:p w:rsidR="000E6A73" w:rsidRDefault="000E6A73" w:rsidP="00F93C07">
            <w:pPr>
              <w:spacing w:after="0" w:line="240" w:lineRule="auto"/>
              <w:jc w:val="center"/>
              <w:rPr>
                <w:b/>
                <w:bCs/>
                <w:sz w:val="20"/>
                <w:szCs w:val="20"/>
              </w:rPr>
            </w:pPr>
            <w:r>
              <w:rPr>
                <w:b/>
                <w:bCs/>
                <w:sz w:val="20"/>
                <w:szCs w:val="20"/>
              </w:rPr>
              <w:t>183 599,24</w:t>
            </w:r>
          </w:p>
        </w:tc>
      </w:tr>
      <w:tr w:rsidR="000E6A73" w:rsidTr="004911B6">
        <w:trPr>
          <w:trHeight w:val="300"/>
        </w:trPr>
        <w:tc>
          <w:tcPr>
            <w:tcW w:w="615" w:type="dxa"/>
            <w:tcBorders>
              <w:top w:val="nil"/>
              <w:left w:val="single" w:sz="4" w:space="0" w:color="auto"/>
              <w:bottom w:val="single" w:sz="4" w:space="0" w:color="auto"/>
              <w:right w:val="single" w:sz="4" w:space="0" w:color="auto"/>
            </w:tcBorders>
            <w:noWrap/>
            <w:vAlign w:val="center"/>
            <w:hideMark/>
          </w:tcPr>
          <w:p w:rsidR="000E6A73" w:rsidRDefault="000E6A73" w:rsidP="00F93C07">
            <w:pPr>
              <w:spacing w:after="0" w:line="240" w:lineRule="auto"/>
              <w:jc w:val="center"/>
              <w:rPr>
                <w:sz w:val="20"/>
                <w:szCs w:val="20"/>
              </w:rPr>
            </w:pPr>
            <w:r>
              <w:rPr>
                <w:sz w:val="20"/>
                <w:szCs w:val="20"/>
              </w:rPr>
              <w:t>1.1.1</w:t>
            </w:r>
          </w:p>
        </w:tc>
        <w:tc>
          <w:tcPr>
            <w:tcW w:w="2076" w:type="dxa"/>
            <w:tcBorders>
              <w:top w:val="nil"/>
              <w:left w:val="nil"/>
              <w:bottom w:val="single" w:sz="4" w:space="0" w:color="auto"/>
              <w:right w:val="single" w:sz="4" w:space="0" w:color="auto"/>
            </w:tcBorders>
            <w:noWrap/>
            <w:vAlign w:val="center"/>
            <w:hideMark/>
          </w:tcPr>
          <w:p w:rsidR="000E6A73" w:rsidRDefault="000E6A73" w:rsidP="00F93C07">
            <w:pPr>
              <w:spacing w:after="0" w:line="240" w:lineRule="auto"/>
              <w:ind w:left="-99"/>
              <w:rPr>
                <w:sz w:val="20"/>
                <w:szCs w:val="20"/>
              </w:rPr>
            </w:pPr>
            <w:r>
              <w:rPr>
                <w:sz w:val="20"/>
                <w:szCs w:val="20"/>
              </w:rPr>
              <w:t>из поверхностных источников</w:t>
            </w:r>
          </w:p>
        </w:tc>
        <w:tc>
          <w:tcPr>
            <w:tcW w:w="711" w:type="dxa"/>
            <w:tcBorders>
              <w:top w:val="nil"/>
              <w:left w:val="nil"/>
              <w:bottom w:val="single" w:sz="4" w:space="0" w:color="auto"/>
              <w:right w:val="single" w:sz="4" w:space="0" w:color="auto"/>
            </w:tcBorders>
            <w:noWrap/>
            <w:vAlign w:val="center"/>
            <w:hideMark/>
          </w:tcPr>
          <w:p w:rsidR="000E6A73" w:rsidRDefault="000E6A73" w:rsidP="00F93C07">
            <w:pPr>
              <w:spacing w:after="0" w:line="240" w:lineRule="auto"/>
              <w:jc w:val="center"/>
              <w:rPr>
                <w:sz w:val="20"/>
                <w:szCs w:val="20"/>
              </w:rPr>
            </w:pPr>
            <w:r>
              <w:rPr>
                <w:sz w:val="20"/>
                <w:szCs w:val="20"/>
              </w:rPr>
              <w:t>тыс. м</w:t>
            </w:r>
            <w:r>
              <w:rPr>
                <w:sz w:val="20"/>
                <w:szCs w:val="20"/>
                <w:vertAlign w:val="superscript"/>
              </w:rPr>
              <w:t>3</w:t>
            </w:r>
          </w:p>
        </w:tc>
        <w:tc>
          <w:tcPr>
            <w:tcW w:w="1134" w:type="dxa"/>
            <w:tcBorders>
              <w:top w:val="nil"/>
              <w:left w:val="nil"/>
              <w:bottom w:val="single" w:sz="4" w:space="0" w:color="auto"/>
              <w:right w:val="single" w:sz="4" w:space="0" w:color="auto"/>
            </w:tcBorders>
            <w:noWrap/>
            <w:vAlign w:val="center"/>
            <w:hideMark/>
          </w:tcPr>
          <w:p w:rsidR="000E6A73" w:rsidRDefault="000E6A73" w:rsidP="00F93C07">
            <w:pPr>
              <w:spacing w:after="0" w:line="240" w:lineRule="auto"/>
              <w:jc w:val="center"/>
              <w:rPr>
                <w:sz w:val="20"/>
                <w:szCs w:val="20"/>
              </w:rPr>
            </w:pPr>
            <w:r>
              <w:rPr>
                <w:sz w:val="20"/>
                <w:szCs w:val="20"/>
              </w:rPr>
              <w:t>209 521,91</w:t>
            </w:r>
          </w:p>
        </w:tc>
        <w:tc>
          <w:tcPr>
            <w:tcW w:w="1134" w:type="dxa"/>
            <w:tcBorders>
              <w:top w:val="nil"/>
              <w:left w:val="nil"/>
              <w:bottom w:val="single" w:sz="4" w:space="0" w:color="auto"/>
              <w:right w:val="single" w:sz="4" w:space="0" w:color="auto"/>
            </w:tcBorders>
            <w:noWrap/>
            <w:vAlign w:val="center"/>
            <w:hideMark/>
          </w:tcPr>
          <w:p w:rsidR="000E6A73" w:rsidRDefault="000E6A73" w:rsidP="00F93C07">
            <w:pPr>
              <w:spacing w:after="0" w:line="240" w:lineRule="auto"/>
              <w:jc w:val="center"/>
              <w:rPr>
                <w:sz w:val="20"/>
                <w:szCs w:val="20"/>
              </w:rPr>
            </w:pPr>
            <w:r>
              <w:rPr>
                <w:sz w:val="20"/>
                <w:szCs w:val="20"/>
              </w:rPr>
              <w:t>200 516,30</w:t>
            </w:r>
          </w:p>
        </w:tc>
        <w:tc>
          <w:tcPr>
            <w:tcW w:w="1133" w:type="dxa"/>
            <w:tcBorders>
              <w:top w:val="nil"/>
              <w:left w:val="nil"/>
              <w:bottom w:val="single" w:sz="4" w:space="0" w:color="auto"/>
              <w:right w:val="single" w:sz="4" w:space="0" w:color="auto"/>
            </w:tcBorders>
            <w:noWrap/>
            <w:vAlign w:val="center"/>
            <w:hideMark/>
          </w:tcPr>
          <w:p w:rsidR="000E6A73" w:rsidRDefault="000E6A73" w:rsidP="00F93C07">
            <w:pPr>
              <w:spacing w:after="0" w:line="240" w:lineRule="auto"/>
              <w:jc w:val="center"/>
              <w:rPr>
                <w:sz w:val="20"/>
                <w:szCs w:val="20"/>
              </w:rPr>
            </w:pPr>
            <w:r>
              <w:rPr>
                <w:sz w:val="20"/>
                <w:szCs w:val="20"/>
              </w:rPr>
              <w:t>197 873,00</w:t>
            </w:r>
          </w:p>
        </w:tc>
        <w:tc>
          <w:tcPr>
            <w:tcW w:w="1134" w:type="dxa"/>
            <w:tcBorders>
              <w:top w:val="nil"/>
              <w:left w:val="nil"/>
              <w:bottom w:val="single" w:sz="4" w:space="0" w:color="auto"/>
              <w:right w:val="single" w:sz="4" w:space="0" w:color="auto"/>
            </w:tcBorders>
            <w:noWrap/>
            <w:vAlign w:val="center"/>
            <w:hideMark/>
          </w:tcPr>
          <w:p w:rsidR="000E6A73" w:rsidRDefault="000E6A73" w:rsidP="00F93C07">
            <w:pPr>
              <w:spacing w:after="0" w:line="240" w:lineRule="auto"/>
              <w:jc w:val="center"/>
              <w:rPr>
                <w:sz w:val="20"/>
                <w:szCs w:val="20"/>
              </w:rPr>
            </w:pPr>
            <w:r>
              <w:rPr>
                <w:sz w:val="20"/>
                <w:szCs w:val="20"/>
              </w:rPr>
              <w:t>196 119,00</w:t>
            </w:r>
          </w:p>
        </w:tc>
        <w:tc>
          <w:tcPr>
            <w:tcW w:w="1134" w:type="dxa"/>
            <w:tcBorders>
              <w:top w:val="nil"/>
              <w:left w:val="nil"/>
              <w:bottom w:val="single" w:sz="4" w:space="0" w:color="auto"/>
              <w:right w:val="single" w:sz="4" w:space="0" w:color="auto"/>
            </w:tcBorders>
            <w:noWrap/>
            <w:vAlign w:val="center"/>
            <w:hideMark/>
          </w:tcPr>
          <w:p w:rsidR="000E6A73" w:rsidRDefault="000E6A73" w:rsidP="00F93C07">
            <w:pPr>
              <w:spacing w:after="0" w:line="240" w:lineRule="auto"/>
              <w:jc w:val="center"/>
              <w:rPr>
                <w:sz w:val="20"/>
                <w:szCs w:val="20"/>
              </w:rPr>
            </w:pPr>
            <w:r>
              <w:rPr>
                <w:sz w:val="20"/>
                <w:szCs w:val="20"/>
              </w:rPr>
              <w:t>184 555,70</w:t>
            </w:r>
          </w:p>
        </w:tc>
        <w:tc>
          <w:tcPr>
            <w:tcW w:w="1133" w:type="dxa"/>
            <w:tcBorders>
              <w:top w:val="nil"/>
              <w:left w:val="nil"/>
              <w:bottom w:val="single" w:sz="4" w:space="0" w:color="auto"/>
              <w:right w:val="single" w:sz="4" w:space="0" w:color="auto"/>
            </w:tcBorders>
            <w:vAlign w:val="center"/>
            <w:hideMark/>
          </w:tcPr>
          <w:p w:rsidR="000E6A73" w:rsidRDefault="000E6A73" w:rsidP="00F93C07">
            <w:pPr>
              <w:spacing w:after="0" w:line="240" w:lineRule="auto"/>
              <w:jc w:val="center"/>
              <w:rPr>
                <w:sz w:val="20"/>
                <w:szCs w:val="20"/>
              </w:rPr>
            </w:pPr>
            <w:r>
              <w:rPr>
                <w:sz w:val="20"/>
                <w:szCs w:val="20"/>
              </w:rPr>
              <w:t>183 164,24</w:t>
            </w:r>
          </w:p>
        </w:tc>
      </w:tr>
      <w:tr w:rsidR="000E6A73" w:rsidTr="004911B6">
        <w:trPr>
          <w:trHeight w:val="299"/>
        </w:trPr>
        <w:tc>
          <w:tcPr>
            <w:tcW w:w="615" w:type="dxa"/>
            <w:tcBorders>
              <w:top w:val="nil"/>
              <w:left w:val="single" w:sz="4" w:space="0" w:color="auto"/>
              <w:bottom w:val="single" w:sz="4" w:space="0" w:color="auto"/>
              <w:right w:val="single" w:sz="4" w:space="0" w:color="auto"/>
            </w:tcBorders>
            <w:noWrap/>
            <w:vAlign w:val="center"/>
            <w:hideMark/>
          </w:tcPr>
          <w:p w:rsidR="000E6A73" w:rsidRDefault="000E6A73" w:rsidP="00F93C07">
            <w:pPr>
              <w:spacing w:after="0" w:line="240" w:lineRule="auto"/>
              <w:jc w:val="center"/>
              <w:rPr>
                <w:sz w:val="20"/>
                <w:szCs w:val="20"/>
              </w:rPr>
            </w:pPr>
            <w:r>
              <w:rPr>
                <w:sz w:val="20"/>
                <w:szCs w:val="20"/>
              </w:rPr>
              <w:t>1.1.2</w:t>
            </w:r>
          </w:p>
        </w:tc>
        <w:tc>
          <w:tcPr>
            <w:tcW w:w="2076" w:type="dxa"/>
            <w:tcBorders>
              <w:top w:val="nil"/>
              <w:left w:val="nil"/>
              <w:bottom w:val="single" w:sz="4" w:space="0" w:color="auto"/>
              <w:right w:val="single" w:sz="4" w:space="0" w:color="auto"/>
            </w:tcBorders>
            <w:noWrap/>
            <w:vAlign w:val="center"/>
            <w:hideMark/>
          </w:tcPr>
          <w:p w:rsidR="000E6A73" w:rsidRDefault="000E6A73" w:rsidP="00F93C07">
            <w:pPr>
              <w:spacing w:after="0" w:line="240" w:lineRule="auto"/>
              <w:ind w:left="-99"/>
              <w:rPr>
                <w:sz w:val="20"/>
                <w:szCs w:val="20"/>
              </w:rPr>
            </w:pPr>
            <w:r>
              <w:rPr>
                <w:sz w:val="20"/>
                <w:szCs w:val="20"/>
              </w:rPr>
              <w:t>из подземных источников</w:t>
            </w:r>
          </w:p>
        </w:tc>
        <w:tc>
          <w:tcPr>
            <w:tcW w:w="711" w:type="dxa"/>
            <w:tcBorders>
              <w:top w:val="nil"/>
              <w:left w:val="nil"/>
              <w:bottom w:val="single" w:sz="4" w:space="0" w:color="auto"/>
              <w:right w:val="single" w:sz="4" w:space="0" w:color="auto"/>
            </w:tcBorders>
            <w:noWrap/>
            <w:vAlign w:val="center"/>
            <w:hideMark/>
          </w:tcPr>
          <w:p w:rsidR="000E6A73" w:rsidRDefault="000E6A73" w:rsidP="00F93C07">
            <w:pPr>
              <w:spacing w:after="0" w:line="240" w:lineRule="auto"/>
              <w:jc w:val="center"/>
              <w:rPr>
                <w:sz w:val="20"/>
                <w:szCs w:val="20"/>
              </w:rPr>
            </w:pPr>
            <w:r>
              <w:rPr>
                <w:sz w:val="20"/>
                <w:szCs w:val="20"/>
              </w:rPr>
              <w:t>тыс. м</w:t>
            </w:r>
            <w:r>
              <w:rPr>
                <w:sz w:val="20"/>
                <w:szCs w:val="20"/>
                <w:vertAlign w:val="superscript"/>
              </w:rPr>
              <w:t>3</w:t>
            </w:r>
          </w:p>
        </w:tc>
        <w:tc>
          <w:tcPr>
            <w:tcW w:w="1134" w:type="dxa"/>
            <w:tcBorders>
              <w:top w:val="nil"/>
              <w:left w:val="nil"/>
              <w:bottom w:val="single" w:sz="4" w:space="0" w:color="auto"/>
              <w:right w:val="single" w:sz="4" w:space="0" w:color="auto"/>
            </w:tcBorders>
            <w:noWrap/>
            <w:vAlign w:val="center"/>
            <w:hideMark/>
          </w:tcPr>
          <w:p w:rsidR="000E6A73" w:rsidRDefault="000E6A73" w:rsidP="00F93C07">
            <w:pPr>
              <w:spacing w:after="0" w:line="240" w:lineRule="auto"/>
              <w:jc w:val="center"/>
              <w:rPr>
                <w:sz w:val="20"/>
                <w:szCs w:val="20"/>
              </w:rPr>
            </w:pPr>
            <w:r>
              <w:rPr>
                <w:sz w:val="20"/>
                <w:szCs w:val="20"/>
              </w:rPr>
              <w:t>350,23</w:t>
            </w:r>
          </w:p>
        </w:tc>
        <w:tc>
          <w:tcPr>
            <w:tcW w:w="1134" w:type="dxa"/>
            <w:tcBorders>
              <w:top w:val="nil"/>
              <w:left w:val="nil"/>
              <w:bottom w:val="single" w:sz="4" w:space="0" w:color="auto"/>
              <w:right w:val="single" w:sz="4" w:space="0" w:color="auto"/>
            </w:tcBorders>
            <w:noWrap/>
            <w:vAlign w:val="center"/>
            <w:hideMark/>
          </w:tcPr>
          <w:p w:rsidR="000E6A73" w:rsidRDefault="000E6A73" w:rsidP="00F93C07">
            <w:pPr>
              <w:spacing w:after="0" w:line="240" w:lineRule="auto"/>
              <w:jc w:val="center"/>
              <w:rPr>
                <w:sz w:val="20"/>
                <w:szCs w:val="20"/>
              </w:rPr>
            </w:pPr>
            <w:r>
              <w:rPr>
                <w:sz w:val="20"/>
                <w:szCs w:val="20"/>
              </w:rPr>
              <w:t>417,60</w:t>
            </w:r>
          </w:p>
        </w:tc>
        <w:tc>
          <w:tcPr>
            <w:tcW w:w="1133" w:type="dxa"/>
            <w:tcBorders>
              <w:top w:val="nil"/>
              <w:left w:val="nil"/>
              <w:bottom w:val="single" w:sz="4" w:space="0" w:color="auto"/>
              <w:right w:val="single" w:sz="4" w:space="0" w:color="auto"/>
            </w:tcBorders>
            <w:noWrap/>
            <w:vAlign w:val="center"/>
            <w:hideMark/>
          </w:tcPr>
          <w:p w:rsidR="000E6A73" w:rsidRDefault="000E6A73" w:rsidP="00F93C07">
            <w:pPr>
              <w:spacing w:after="0" w:line="240" w:lineRule="auto"/>
              <w:jc w:val="center"/>
              <w:rPr>
                <w:sz w:val="20"/>
                <w:szCs w:val="20"/>
              </w:rPr>
            </w:pPr>
            <w:r>
              <w:rPr>
                <w:sz w:val="20"/>
                <w:szCs w:val="20"/>
              </w:rPr>
              <w:t>483,00</w:t>
            </w:r>
          </w:p>
        </w:tc>
        <w:tc>
          <w:tcPr>
            <w:tcW w:w="1134" w:type="dxa"/>
            <w:tcBorders>
              <w:top w:val="nil"/>
              <w:left w:val="nil"/>
              <w:bottom w:val="single" w:sz="4" w:space="0" w:color="auto"/>
              <w:right w:val="single" w:sz="4" w:space="0" w:color="auto"/>
            </w:tcBorders>
            <w:noWrap/>
            <w:vAlign w:val="center"/>
            <w:hideMark/>
          </w:tcPr>
          <w:p w:rsidR="000E6A73" w:rsidRDefault="000E6A73" w:rsidP="00F93C07">
            <w:pPr>
              <w:spacing w:after="0" w:line="240" w:lineRule="auto"/>
              <w:jc w:val="center"/>
              <w:rPr>
                <w:sz w:val="20"/>
                <w:szCs w:val="20"/>
              </w:rPr>
            </w:pPr>
            <w:r>
              <w:rPr>
                <w:sz w:val="20"/>
                <w:szCs w:val="20"/>
              </w:rPr>
              <w:t>435,00</w:t>
            </w:r>
          </w:p>
        </w:tc>
        <w:tc>
          <w:tcPr>
            <w:tcW w:w="1134" w:type="dxa"/>
            <w:tcBorders>
              <w:top w:val="nil"/>
              <w:left w:val="nil"/>
              <w:bottom w:val="single" w:sz="4" w:space="0" w:color="auto"/>
              <w:right w:val="single" w:sz="4" w:space="0" w:color="auto"/>
            </w:tcBorders>
            <w:noWrap/>
            <w:vAlign w:val="center"/>
            <w:hideMark/>
          </w:tcPr>
          <w:p w:rsidR="000E6A73" w:rsidRDefault="000E6A73" w:rsidP="00F93C07">
            <w:pPr>
              <w:spacing w:after="0" w:line="240" w:lineRule="auto"/>
              <w:jc w:val="center"/>
              <w:rPr>
                <w:sz w:val="20"/>
                <w:szCs w:val="20"/>
              </w:rPr>
            </w:pPr>
            <w:r>
              <w:rPr>
                <w:sz w:val="20"/>
                <w:szCs w:val="20"/>
              </w:rPr>
              <w:t>20,00</w:t>
            </w:r>
          </w:p>
        </w:tc>
        <w:tc>
          <w:tcPr>
            <w:tcW w:w="1133" w:type="dxa"/>
            <w:tcBorders>
              <w:top w:val="nil"/>
              <w:left w:val="nil"/>
              <w:bottom w:val="single" w:sz="4" w:space="0" w:color="auto"/>
              <w:right w:val="single" w:sz="4" w:space="0" w:color="auto"/>
            </w:tcBorders>
            <w:vAlign w:val="center"/>
            <w:hideMark/>
          </w:tcPr>
          <w:p w:rsidR="000E6A73" w:rsidRDefault="000E6A73" w:rsidP="00F93C07">
            <w:pPr>
              <w:spacing w:after="0" w:line="240" w:lineRule="auto"/>
              <w:jc w:val="center"/>
              <w:rPr>
                <w:sz w:val="20"/>
                <w:szCs w:val="20"/>
              </w:rPr>
            </w:pPr>
            <w:r>
              <w:rPr>
                <w:sz w:val="20"/>
                <w:szCs w:val="20"/>
              </w:rPr>
              <w:t>435,00</w:t>
            </w:r>
          </w:p>
        </w:tc>
      </w:tr>
      <w:tr w:rsidR="000E6A73" w:rsidTr="004911B6">
        <w:trPr>
          <w:trHeight w:val="300"/>
        </w:trPr>
        <w:tc>
          <w:tcPr>
            <w:tcW w:w="615" w:type="dxa"/>
            <w:tcBorders>
              <w:top w:val="nil"/>
              <w:left w:val="single" w:sz="4" w:space="0" w:color="auto"/>
              <w:bottom w:val="single" w:sz="4" w:space="0" w:color="auto"/>
              <w:right w:val="single" w:sz="4" w:space="0" w:color="auto"/>
            </w:tcBorders>
            <w:noWrap/>
            <w:vAlign w:val="center"/>
            <w:hideMark/>
          </w:tcPr>
          <w:p w:rsidR="000E6A73" w:rsidRDefault="000E6A73" w:rsidP="00F93C07">
            <w:pPr>
              <w:spacing w:after="0" w:line="240" w:lineRule="auto"/>
              <w:jc w:val="center"/>
              <w:rPr>
                <w:sz w:val="20"/>
                <w:szCs w:val="20"/>
              </w:rPr>
            </w:pPr>
            <w:r>
              <w:rPr>
                <w:sz w:val="20"/>
                <w:szCs w:val="20"/>
              </w:rPr>
              <w:t>1.2</w:t>
            </w:r>
          </w:p>
        </w:tc>
        <w:tc>
          <w:tcPr>
            <w:tcW w:w="2076" w:type="dxa"/>
            <w:tcBorders>
              <w:top w:val="nil"/>
              <w:left w:val="nil"/>
              <w:bottom w:val="single" w:sz="4" w:space="0" w:color="auto"/>
              <w:right w:val="single" w:sz="4" w:space="0" w:color="auto"/>
            </w:tcBorders>
            <w:noWrap/>
            <w:vAlign w:val="center"/>
            <w:hideMark/>
          </w:tcPr>
          <w:p w:rsidR="000E6A73" w:rsidRDefault="000E6A73" w:rsidP="00F93C07">
            <w:pPr>
              <w:spacing w:after="0" w:line="240" w:lineRule="auto"/>
              <w:ind w:left="-99"/>
              <w:rPr>
                <w:sz w:val="20"/>
                <w:szCs w:val="20"/>
              </w:rPr>
            </w:pPr>
            <w:r>
              <w:rPr>
                <w:sz w:val="20"/>
                <w:szCs w:val="20"/>
              </w:rPr>
              <w:t>Объем воды, прошедшей водоподготовку</w:t>
            </w:r>
          </w:p>
        </w:tc>
        <w:tc>
          <w:tcPr>
            <w:tcW w:w="711" w:type="dxa"/>
            <w:tcBorders>
              <w:top w:val="nil"/>
              <w:left w:val="nil"/>
              <w:bottom w:val="single" w:sz="4" w:space="0" w:color="auto"/>
              <w:right w:val="single" w:sz="4" w:space="0" w:color="auto"/>
            </w:tcBorders>
            <w:noWrap/>
            <w:vAlign w:val="center"/>
            <w:hideMark/>
          </w:tcPr>
          <w:p w:rsidR="000E6A73" w:rsidRDefault="000E6A73" w:rsidP="00F93C07">
            <w:pPr>
              <w:spacing w:after="0" w:line="240" w:lineRule="auto"/>
              <w:jc w:val="center"/>
              <w:rPr>
                <w:sz w:val="20"/>
                <w:szCs w:val="20"/>
              </w:rPr>
            </w:pPr>
            <w:r>
              <w:rPr>
                <w:sz w:val="20"/>
                <w:szCs w:val="20"/>
              </w:rPr>
              <w:t>тыс. м</w:t>
            </w:r>
            <w:r>
              <w:rPr>
                <w:sz w:val="20"/>
                <w:szCs w:val="20"/>
                <w:vertAlign w:val="superscript"/>
              </w:rPr>
              <w:t>3</w:t>
            </w:r>
          </w:p>
        </w:tc>
        <w:tc>
          <w:tcPr>
            <w:tcW w:w="1134" w:type="dxa"/>
            <w:tcBorders>
              <w:top w:val="nil"/>
              <w:left w:val="nil"/>
              <w:bottom w:val="single" w:sz="4" w:space="0" w:color="auto"/>
              <w:right w:val="single" w:sz="4" w:space="0" w:color="auto"/>
            </w:tcBorders>
            <w:noWrap/>
            <w:vAlign w:val="center"/>
            <w:hideMark/>
          </w:tcPr>
          <w:p w:rsidR="000E6A73" w:rsidRDefault="000E6A73" w:rsidP="00F93C07">
            <w:pPr>
              <w:spacing w:after="0" w:line="240" w:lineRule="auto"/>
              <w:jc w:val="center"/>
              <w:rPr>
                <w:sz w:val="20"/>
                <w:szCs w:val="20"/>
              </w:rPr>
            </w:pPr>
            <w:r>
              <w:rPr>
                <w:sz w:val="20"/>
                <w:szCs w:val="20"/>
              </w:rPr>
              <w:t>209 521,91</w:t>
            </w:r>
          </w:p>
        </w:tc>
        <w:tc>
          <w:tcPr>
            <w:tcW w:w="1134" w:type="dxa"/>
            <w:tcBorders>
              <w:top w:val="nil"/>
              <w:left w:val="nil"/>
              <w:bottom w:val="single" w:sz="4" w:space="0" w:color="auto"/>
              <w:right w:val="single" w:sz="4" w:space="0" w:color="auto"/>
            </w:tcBorders>
            <w:noWrap/>
            <w:vAlign w:val="center"/>
            <w:hideMark/>
          </w:tcPr>
          <w:p w:rsidR="000E6A73" w:rsidRDefault="000E6A73" w:rsidP="00F93C07">
            <w:pPr>
              <w:spacing w:after="0" w:line="240" w:lineRule="auto"/>
              <w:jc w:val="center"/>
              <w:rPr>
                <w:sz w:val="20"/>
                <w:szCs w:val="20"/>
              </w:rPr>
            </w:pPr>
            <w:r>
              <w:rPr>
                <w:sz w:val="20"/>
                <w:szCs w:val="20"/>
              </w:rPr>
              <w:t>200 933,90</w:t>
            </w:r>
          </w:p>
        </w:tc>
        <w:tc>
          <w:tcPr>
            <w:tcW w:w="1133" w:type="dxa"/>
            <w:tcBorders>
              <w:top w:val="nil"/>
              <w:left w:val="nil"/>
              <w:bottom w:val="single" w:sz="4" w:space="0" w:color="auto"/>
              <w:right w:val="single" w:sz="4" w:space="0" w:color="auto"/>
            </w:tcBorders>
            <w:noWrap/>
            <w:vAlign w:val="center"/>
            <w:hideMark/>
          </w:tcPr>
          <w:p w:rsidR="000E6A73" w:rsidRDefault="000E6A73" w:rsidP="00F93C07">
            <w:pPr>
              <w:spacing w:after="0" w:line="240" w:lineRule="auto"/>
              <w:jc w:val="center"/>
              <w:rPr>
                <w:sz w:val="20"/>
                <w:szCs w:val="20"/>
              </w:rPr>
            </w:pPr>
            <w:r>
              <w:rPr>
                <w:sz w:val="20"/>
                <w:szCs w:val="20"/>
              </w:rPr>
              <w:t>198 356,00</w:t>
            </w:r>
          </w:p>
        </w:tc>
        <w:tc>
          <w:tcPr>
            <w:tcW w:w="1134" w:type="dxa"/>
            <w:tcBorders>
              <w:top w:val="nil"/>
              <w:left w:val="nil"/>
              <w:bottom w:val="single" w:sz="4" w:space="0" w:color="auto"/>
              <w:right w:val="single" w:sz="4" w:space="0" w:color="auto"/>
            </w:tcBorders>
            <w:noWrap/>
            <w:vAlign w:val="center"/>
            <w:hideMark/>
          </w:tcPr>
          <w:p w:rsidR="000E6A73" w:rsidRDefault="000E6A73" w:rsidP="00F93C07">
            <w:pPr>
              <w:spacing w:after="0" w:line="240" w:lineRule="auto"/>
              <w:jc w:val="center"/>
              <w:rPr>
                <w:sz w:val="20"/>
                <w:szCs w:val="20"/>
              </w:rPr>
            </w:pPr>
            <w:r>
              <w:rPr>
                <w:sz w:val="20"/>
                <w:szCs w:val="20"/>
              </w:rPr>
              <w:t>196 554,00</w:t>
            </w:r>
          </w:p>
        </w:tc>
        <w:tc>
          <w:tcPr>
            <w:tcW w:w="1134" w:type="dxa"/>
            <w:tcBorders>
              <w:top w:val="nil"/>
              <w:left w:val="nil"/>
              <w:bottom w:val="single" w:sz="4" w:space="0" w:color="auto"/>
              <w:right w:val="single" w:sz="4" w:space="0" w:color="auto"/>
            </w:tcBorders>
            <w:noWrap/>
            <w:vAlign w:val="center"/>
            <w:hideMark/>
          </w:tcPr>
          <w:p w:rsidR="000E6A73" w:rsidRDefault="000E6A73" w:rsidP="00F93C07">
            <w:pPr>
              <w:spacing w:after="0" w:line="240" w:lineRule="auto"/>
              <w:jc w:val="center"/>
              <w:rPr>
                <w:sz w:val="20"/>
                <w:szCs w:val="20"/>
              </w:rPr>
            </w:pPr>
            <w:r>
              <w:rPr>
                <w:sz w:val="20"/>
                <w:szCs w:val="20"/>
              </w:rPr>
              <w:t>184 575,70</w:t>
            </w:r>
          </w:p>
        </w:tc>
        <w:tc>
          <w:tcPr>
            <w:tcW w:w="1133" w:type="dxa"/>
            <w:tcBorders>
              <w:top w:val="nil"/>
              <w:left w:val="nil"/>
              <w:bottom w:val="single" w:sz="4" w:space="0" w:color="auto"/>
              <w:right w:val="single" w:sz="4" w:space="0" w:color="auto"/>
            </w:tcBorders>
            <w:vAlign w:val="center"/>
            <w:hideMark/>
          </w:tcPr>
          <w:p w:rsidR="000E6A73" w:rsidRDefault="000E6A73" w:rsidP="00F93C07">
            <w:pPr>
              <w:spacing w:after="0" w:line="240" w:lineRule="auto"/>
              <w:jc w:val="center"/>
              <w:rPr>
                <w:sz w:val="20"/>
                <w:szCs w:val="20"/>
              </w:rPr>
            </w:pPr>
            <w:r>
              <w:rPr>
                <w:sz w:val="20"/>
                <w:szCs w:val="20"/>
              </w:rPr>
              <w:t>183 599,24</w:t>
            </w:r>
          </w:p>
        </w:tc>
      </w:tr>
      <w:tr w:rsidR="000E6A73" w:rsidTr="004911B6">
        <w:trPr>
          <w:trHeight w:val="300"/>
        </w:trPr>
        <w:tc>
          <w:tcPr>
            <w:tcW w:w="615" w:type="dxa"/>
            <w:tcBorders>
              <w:top w:val="nil"/>
              <w:left w:val="single" w:sz="4" w:space="0" w:color="auto"/>
              <w:bottom w:val="single" w:sz="4" w:space="0" w:color="auto"/>
              <w:right w:val="single" w:sz="4" w:space="0" w:color="auto"/>
            </w:tcBorders>
            <w:noWrap/>
            <w:vAlign w:val="center"/>
            <w:hideMark/>
          </w:tcPr>
          <w:p w:rsidR="000E6A73" w:rsidRDefault="000E6A73" w:rsidP="00F93C07">
            <w:pPr>
              <w:spacing w:after="0" w:line="240" w:lineRule="auto"/>
              <w:jc w:val="center"/>
              <w:rPr>
                <w:sz w:val="20"/>
                <w:szCs w:val="20"/>
              </w:rPr>
            </w:pPr>
            <w:r>
              <w:rPr>
                <w:sz w:val="20"/>
                <w:szCs w:val="20"/>
              </w:rPr>
              <w:t> </w:t>
            </w:r>
          </w:p>
        </w:tc>
        <w:tc>
          <w:tcPr>
            <w:tcW w:w="2076" w:type="dxa"/>
            <w:tcBorders>
              <w:top w:val="nil"/>
              <w:left w:val="nil"/>
              <w:bottom w:val="single" w:sz="4" w:space="0" w:color="auto"/>
              <w:right w:val="single" w:sz="4" w:space="0" w:color="auto"/>
            </w:tcBorders>
            <w:noWrap/>
            <w:vAlign w:val="center"/>
            <w:hideMark/>
          </w:tcPr>
          <w:p w:rsidR="000E6A73" w:rsidRDefault="000E6A73" w:rsidP="00F93C07">
            <w:pPr>
              <w:spacing w:after="0" w:line="240" w:lineRule="auto"/>
              <w:ind w:left="-99"/>
              <w:rPr>
                <w:sz w:val="20"/>
                <w:szCs w:val="20"/>
              </w:rPr>
            </w:pPr>
            <w:r>
              <w:rPr>
                <w:sz w:val="20"/>
                <w:szCs w:val="20"/>
              </w:rPr>
              <w:t>Потребление на собственные нужды НФС</w:t>
            </w:r>
          </w:p>
        </w:tc>
        <w:tc>
          <w:tcPr>
            <w:tcW w:w="711" w:type="dxa"/>
            <w:tcBorders>
              <w:top w:val="nil"/>
              <w:left w:val="nil"/>
              <w:bottom w:val="single" w:sz="4" w:space="0" w:color="auto"/>
              <w:right w:val="single" w:sz="4" w:space="0" w:color="auto"/>
            </w:tcBorders>
            <w:noWrap/>
            <w:vAlign w:val="center"/>
            <w:hideMark/>
          </w:tcPr>
          <w:p w:rsidR="000E6A73" w:rsidRDefault="000E6A73" w:rsidP="00F93C07">
            <w:pPr>
              <w:spacing w:after="0" w:line="240" w:lineRule="auto"/>
              <w:jc w:val="center"/>
              <w:rPr>
                <w:sz w:val="20"/>
                <w:szCs w:val="20"/>
              </w:rPr>
            </w:pPr>
            <w:r>
              <w:rPr>
                <w:sz w:val="20"/>
                <w:szCs w:val="20"/>
              </w:rPr>
              <w:t>тыс. м</w:t>
            </w:r>
            <w:r>
              <w:rPr>
                <w:sz w:val="20"/>
                <w:szCs w:val="20"/>
                <w:vertAlign w:val="superscript"/>
              </w:rPr>
              <w:t>3</w:t>
            </w:r>
          </w:p>
        </w:tc>
        <w:tc>
          <w:tcPr>
            <w:tcW w:w="1134" w:type="dxa"/>
            <w:tcBorders>
              <w:top w:val="nil"/>
              <w:left w:val="nil"/>
              <w:bottom w:val="single" w:sz="4" w:space="0" w:color="auto"/>
              <w:right w:val="single" w:sz="4" w:space="0" w:color="auto"/>
            </w:tcBorders>
            <w:noWrap/>
            <w:vAlign w:val="center"/>
            <w:hideMark/>
          </w:tcPr>
          <w:p w:rsidR="000E6A73" w:rsidRDefault="000E6A73" w:rsidP="00F93C07">
            <w:pPr>
              <w:spacing w:after="0" w:line="240" w:lineRule="auto"/>
              <w:jc w:val="center"/>
              <w:rPr>
                <w:sz w:val="20"/>
                <w:szCs w:val="20"/>
              </w:rPr>
            </w:pPr>
            <w:r>
              <w:rPr>
                <w:sz w:val="20"/>
                <w:szCs w:val="20"/>
              </w:rPr>
              <w:t>14 299,38</w:t>
            </w:r>
          </w:p>
        </w:tc>
        <w:tc>
          <w:tcPr>
            <w:tcW w:w="1134" w:type="dxa"/>
            <w:tcBorders>
              <w:top w:val="nil"/>
              <w:left w:val="nil"/>
              <w:bottom w:val="single" w:sz="4" w:space="0" w:color="auto"/>
              <w:right w:val="single" w:sz="4" w:space="0" w:color="auto"/>
            </w:tcBorders>
            <w:noWrap/>
            <w:vAlign w:val="center"/>
            <w:hideMark/>
          </w:tcPr>
          <w:p w:rsidR="000E6A73" w:rsidRDefault="000E6A73" w:rsidP="00F93C07">
            <w:pPr>
              <w:spacing w:after="0" w:line="240" w:lineRule="auto"/>
              <w:jc w:val="center"/>
              <w:rPr>
                <w:sz w:val="20"/>
                <w:szCs w:val="20"/>
              </w:rPr>
            </w:pPr>
            <w:r>
              <w:rPr>
                <w:sz w:val="20"/>
                <w:szCs w:val="20"/>
              </w:rPr>
              <w:t>14 963,60</w:t>
            </w:r>
          </w:p>
        </w:tc>
        <w:tc>
          <w:tcPr>
            <w:tcW w:w="1133" w:type="dxa"/>
            <w:tcBorders>
              <w:top w:val="nil"/>
              <w:left w:val="nil"/>
              <w:bottom w:val="single" w:sz="4" w:space="0" w:color="auto"/>
              <w:right w:val="single" w:sz="4" w:space="0" w:color="auto"/>
            </w:tcBorders>
            <w:noWrap/>
            <w:vAlign w:val="center"/>
            <w:hideMark/>
          </w:tcPr>
          <w:p w:rsidR="000E6A73" w:rsidRDefault="000E6A73" w:rsidP="00F93C07">
            <w:pPr>
              <w:spacing w:after="0" w:line="240" w:lineRule="auto"/>
              <w:jc w:val="center"/>
              <w:rPr>
                <w:sz w:val="20"/>
                <w:szCs w:val="20"/>
              </w:rPr>
            </w:pPr>
            <w:r>
              <w:rPr>
                <w:sz w:val="20"/>
                <w:szCs w:val="20"/>
              </w:rPr>
              <w:t>15 376,00</w:t>
            </w:r>
          </w:p>
        </w:tc>
        <w:tc>
          <w:tcPr>
            <w:tcW w:w="1134" w:type="dxa"/>
            <w:tcBorders>
              <w:top w:val="nil"/>
              <w:left w:val="nil"/>
              <w:bottom w:val="single" w:sz="4" w:space="0" w:color="auto"/>
              <w:right w:val="single" w:sz="4" w:space="0" w:color="auto"/>
            </w:tcBorders>
            <w:noWrap/>
            <w:vAlign w:val="center"/>
            <w:hideMark/>
          </w:tcPr>
          <w:p w:rsidR="000E6A73" w:rsidRDefault="000E6A73" w:rsidP="00F93C07">
            <w:pPr>
              <w:spacing w:after="0" w:line="240" w:lineRule="auto"/>
              <w:jc w:val="center"/>
              <w:rPr>
                <w:sz w:val="20"/>
                <w:szCs w:val="20"/>
              </w:rPr>
            </w:pPr>
            <w:r>
              <w:rPr>
                <w:sz w:val="20"/>
                <w:szCs w:val="20"/>
              </w:rPr>
              <w:t>14 257,00</w:t>
            </w:r>
          </w:p>
        </w:tc>
        <w:tc>
          <w:tcPr>
            <w:tcW w:w="1134" w:type="dxa"/>
            <w:tcBorders>
              <w:top w:val="nil"/>
              <w:left w:val="nil"/>
              <w:bottom w:val="single" w:sz="4" w:space="0" w:color="auto"/>
              <w:right w:val="single" w:sz="4" w:space="0" w:color="auto"/>
            </w:tcBorders>
            <w:noWrap/>
            <w:vAlign w:val="center"/>
            <w:hideMark/>
          </w:tcPr>
          <w:p w:rsidR="000E6A73" w:rsidRDefault="000E6A73" w:rsidP="00F93C07">
            <w:pPr>
              <w:spacing w:after="0" w:line="240" w:lineRule="auto"/>
              <w:jc w:val="center"/>
              <w:rPr>
                <w:sz w:val="20"/>
                <w:szCs w:val="20"/>
              </w:rPr>
            </w:pPr>
            <w:r>
              <w:rPr>
                <w:sz w:val="20"/>
                <w:szCs w:val="20"/>
              </w:rPr>
              <w:t>14 500,00</w:t>
            </w:r>
          </w:p>
        </w:tc>
        <w:tc>
          <w:tcPr>
            <w:tcW w:w="1133" w:type="dxa"/>
            <w:tcBorders>
              <w:top w:val="nil"/>
              <w:left w:val="nil"/>
              <w:bottom w:val="single" w:sz="4" w:space="0" w:color="auto"/>
              <w:right w:val="single" w:sz="4" w:space="0" w:color="auto"/>
            </w:tcBorders>
            <w:vAlign w:val="center"/>
            <w:hideMark/>
          </w:tcPr>
          <w:p w:rsidR="000E6A73" w:rsidRDefault="000E6A73" w:rsidP="00F93C07">
            <w:pPr>
              <w:spacing w:after="0" w:line="240" w:lineRule="auto"/>
              <w:jc w:val="center"/>
              <w:rPr>
                <w:sz w:val="20"/>
                <w:szCs w:val="20"/>
              </w:rPr>
            </w:pPr>
            <w:r>
              <w:rPr>
                <w:sz w:val="20"/>
                <w:szCs w:val="20"/>
              </w:rPr>
              <w:t>13 317,33</w:t>
            </w:r>
          </w:p>
        </w:tc>
      </w:tr>
      <w:tr w:rsidR="000E6A73" w:rsidTr="004911B6">
        <w:trPr>
          <w:trHeight w:val="300"/>
        </w:trPr>
        <w:tc>
          <w:tcPr>
            <w:tcW w:w="615" w:type="dxa"/>
            <w:tcBorders>
              <w:top w:val="nil"/>
              <w:left w:val="single" w:sz="4" w:space="0" w:color="auto"/>
              <w:bottom w:val="single" w:sz="4" w:space="0" w:color="auto"/>
              <w:right w:val="single" w:sz="4" w:space="0" w:color="auto"/>
            </w:tcBorders>
            <w:noWrap/>
            <w:vAlign w:val="center"/>
            <w:hideMark/>
          </w:tcPr>
          <w:p w:rsidR="000E6A73" w:rsidRDefault="000E6A73" w:rsidP="00F93C07">
            <w:pPr>
              <w:spacing w:after="0" w:line="240" w:lineRule="auto"/>
              <w:jc w:val="center"/>
              <w:rPr>
                <w:sz w:val="20"/>
                <w:szCs w:val="20"/>
              </w:rPr>
            </w:pPr>
            <w:r>
              <w:rPr>
                <w:sz w:val="20"/>
                <w:szCs w:val="20"/>
              </w:rPr>
              <w:t>1.4</w:t>
            </w:r>
          </w:p>
        </w:tc>
        <w:tc>
          <w:tcPr>
            <w:tcW w:w="2076" w:type="dxa"/>
            <w:tcBorders>
              <w:top w:val="nil"/>
              <w:left w:val="nil"/>
              <w:bottom w:val="single" w:sz="4" w:space="0" w:color="auto"/>
              <w:right w:val="single" w:sz="4" w:space="0" w:color="auto"/>
            </w:tcBorders>
            <w:noWrap/>
            <w:vAlign w:val="center"/>
            <w:hideMark/>
          </w:tcPr>
          <w:p w:rsidR="000E6A73" w:rsidRDefault="000E6A73" w:rsidP="00F93C07">
            <w:pPr>
              <w:spacing w:after="0" w:line="240" w:lineRule="auto"/>
              <w:ind w:left="-99"/>
              <w:rPr>
                <w:sz w:val="20"/>
                <w:szCs w:val="20"/>
              </w:rPr>
            </w:pPr>
            <w:r>
              <w:rPr>
                <w:sz w:val="20"/>
                <w:szCs w:val="20"/>
              </w:rPr>
              <w:t>Объем питьевой воды, поданной в сеть</w:t>
            </w:r>
          </w:p>
        </w:tc>
        <w:tc>
          <w:tcPr>
            <w:tcW w:w="711" w:type="dxa"/>
            <w:tcBorders>
              <w:top w:val="nil"/>
              <w:left w:val="nil"/>
              <w:bottom w:val="single" w:sz="4" w:space="0" w:color="auto"/>
              <w:right w:val="single" w:sz="4" w:space="0" w:color="auto"/>
            </w:tcBorders>
            <w:noWrap/>
            <w:vAlign w:val="center"/>
            <w:hideMark/>
          </w:tcPr>
          <w:p w:rsidR="000E6A73" w:rsidRDefault="000E6A73" w:rsidP="00F93C07">
            <w:pPr>
              <w:spacing w:after="0" w:line="240" w:lineRule="auto"/>
              <w:jc w:val="center"/>
              <w:rPr>
                <w:sz w:val="20"/>
                <w:szCs w:val="20"/>
              </w:rPr>
            </w:pPr>
            <w:r>
              <w:rPr>
                <w:sz w:val="20"/>
                <w:szCs w:val="20"/>
              </w:rPr>
              <w:t>тыс. м</w:t>
            </w:r>
            <w:r>
              <w:rPr>
                <w:sz w:val="20"/>
                <w:szCs w:val="20"/>
                <w:vertAlign w:val="superscript"/>
              </w:rPr>
              <w:t>3</w:t>
            </w:r>
          </w:p>
        </w:tc>
        <w:tc>
          <w:tcPr>
            <w:tcW w:w="1134" w:type="dxa"/>
            <w:tcBorders>
              <w:top w:val="nil"/>
              <w:left w:val="nil"/>
              <w:bottom w:val="single" w:sz="4" w:space="0" w:color="auto"/>
              <w:right w:val="single" w:sz="4" w:space="0" w:color="auto"/>
            </w:tcBorders>
            <w:noWrap/>
            <w:vAlign w:val="center"/>
            <w:hideMark/>
          </w:tcPr>
          <w:p w:rsidR="000E6A73" w:rsidRDefault="000E6A73" w:rsidP="00F93C07">
            <w:pPr>
              <w:spacing w:after="0" w:line="240" w:lineRule="auto"/>
              <w:jc w:val="center"/>
              <w:rPr>
                <w:sz w:val="20"/>
                <w:szCs w:val="20"/>
              </w:rPr>
            </w:pPr>
            <w:r>
              <w:rPr>
                <w:sz w:val="20"/>
                <w:szCs w:val="20"/>
              </w:rPr>
              <w:t>195 222,53</w:t>
            </w:r>
          </w:p>
        </w:tc>
        <w:tc>
          <w:tcPr>
            <w:tcW w:w="1134" w:type="dxa"/>
            <w:tcBorders>
              <w:top w:val="single" w:sz="4" w:space="0" w:color="auto"/>
              <w:left w:val="nil"/>
              <w:bottom w:val="single" w:sz="4" w:space="0" w:color="auto"/>
              <w:right w:val="nil"/>
            </w:tcBorders>
            <w:noWrap/>
            <w:vAlign w:val="center"/>
            <w:hideMark/>
          </w:tcPr>
          <w:p w:rsidR="000E6A73" w:rsidRDefault="000E6A73" w:rsidP="00F93C07">
            <w:pPr>
              <w:spacing w:after="0" w:line="240" w:lineRule="auto"/>
              <w:jc w:val="center"/>
              <w:rPr>
                <w:sz w:val="20"/>
                <w:szCs w:val="20"/>
              </w:rPr>
            </w:pPr>
            <w:r>
              <w:rPr>
                <w:sz w:val="20"/>
                <w:szCs w:val="20"/>
              </w:rPr>
              <w:t>185 970,3</w:t>
            </w:r>
          </w:p>
        </w:tc>
        <w:tc>
          <w:tcPr>
            <w:tcW w:w="1133" w:type="dxa"/>
            <w:tcBorders>
              <w:top w:val="nil"/>
              <w:left w:val="single" w:sz="4" w:space="0" w:color="auto"/>
              <w:bottom w:val="single" w:sz="4" w:space="0" w:color="auto"/>
              <w:right w:val="single" w:sz="4" w:space="0" w:color="auto"/>
            </w:tcBorders>
            <w:noWrap/>
            <w:vAlign w:val="center"/>
            <w:hideMark/>
          </w:tcPr>
          <w:p w:rsidR="000E6A73" w:rsidRDefault="000E6A73" w:rsidP="00F93C07">
            <w:pPr>
              <w:spacing w:after="0" w:line="240" w:lineRule="auto"/>
              <w:jc w:val="center"/>
              <w:rPr>
                <w:sz w:val="20"/>
                <w:szCs w:val="20"/>
              </w:rPr>
            </w:pPr>
            <w:r>
              <w:rPr>
                <w:sz w:val="20"/>
                <w:szCs w:val="20"/>
              </w:rPr>
              <w:t>182 980,00</w:t>
            </w:r>
          </w:p>
        </w:tc>
        <w:tc>
          <w:tcPr>
            <w:tcW w:w="1134" w:type="dxa"/>
            <w:tcBorders>
              <w:top w:val="nil"/>
              <w:left w:val="nil"/>
              <w:bottom w:val="single" w:sz="4" w:space="0" w:color="auto"/>
              <w:right w:val="single" w:sz="4" w:space="0" w:color="auto"/>
            </w:tcBorders>
            <w:noWrap/>
            <w:vAlign w:val="center"/>
            <w:hideMark/>
          </w:tcPr>
          <w:p w:rsidR="000E6A73" w:rsidRDefault="000E6A73" w:rsidP="00F93C07">
            <w:pPr>
              <w:spacing w:after="0" w:line="240" w:lineRule="auto"/>
              <w:jc w:val="center"/>
              <w:rPr>
                <w:sz w:val="20"/>
                <w:szCs w:val="20"/>
              </w:rPr>
            </w:pPr>
            <w:r>
              <w:rPr>
                <w:sz w:val="20"/>
                <w:szCs w:val="20"/>
              </w:rPr>
              <w:t>182 297,00</w:t>
            </w:r>
          </w:p>
        </w:tc>
        <w:tc>
          <w:tcPr>
            <w:tcW w:w="1134" w:type="dxa"/>
            <w:tcBorders>
              <w:top w:val="nil"/>
              <w:left w:val="nil"/>
              <w:bottom w:val="single" w:sz="4" w:space="0" w:color="auto"/>
              <w:right w:val="single" w:sz="4" w:space="0" w:color="auto"/>
            </w:tcBorders>
            <w:noWrap/>
            <w:vAlign w:val="center"/>
            <w:hideMark/>
          </w:tcPr>
          <w:p w:rsidR="000E6A73" w:rsidRDefault="000E6A73" w:rsidP="00F93C07">
            <w:pPr>
              <w:spacing w:after="0" w:line="240" w:lineRule="auto"/>
              <w:jc w:val="center"/>
              <w:rPr>
                <w:sz w:val="20"/>
                <w:szCs w:val="20"/>
              </w:rPr>
            </w:pPr>
            <w:r>
              <w:rPr>
                <w:sz w:val="20"/>
                <w:szCs w:val="20"/>
              </w:rPr>
              <w:t>170 075,70</w:t>
            </w:r>
          </w:p>
        </w:tc>
        <w:tc>
          <w:tcPr>
            <w:tcW w:w="1133" w:type="dxa"/>
            <w:tcBorders>
              <w:top w:val="nil"/>
              <w:left w:val="nil"/>
              <w:bottom w:val="single" w:sz="4" w:space="0" w:color="auto"/>
              <w:right w:val="single" w:sz="4" w:space="0" w:color="auto"/>
            </w:tcBorders>
            <w:vAlign w:val="center"/>
            <w:hideMark/>
          </w:tcPr>
          <w:p w:rsidR="000E6A73" w:rsidRDefault="000E6A73" w:rsidP="00F93C07">
            <w:pPr>
              <w:spacing w:after="0" w:line="240" w:lineRule="auto"/>
              <w:jc w:val="center"/>
              <w:rPr>
                <w:sz w:val="20"/>
                <w:szCs w:val="20"/>
              </w:rPr>
            </w:pPr>
            <w:r>
              <w:rPr>
                <w:sz w:val="20"/>
                <w:szCs w:val="20"/>
              </w:rPr>
              <w:t>170 281,91</w:t>
            </w:r>
          </w:p>
        </w:tc>
      </w:tr>
      <w:tr w:rsidR="000E6A73" w:rsidTr="004911B6">
        <w:trPr>
          <w:trHeight w:val="300"/>
        </w:trPr>
        <w:tc>
          <w:tcPr>
            <w:tcW w:w="615" w:type="dxa"/>
            <w:tcBorders>
              <w:top w:val="nil"/>
              <w:left w:val="single" w:sz="4" w:space="0" w:color="auto"/>
              <w:bottom w:val="single" w:sz="4" w:space="0" w:color="auto"/>
              <w:right w:val="single" w:sz="4" w:space="0" w:color="auto"/>
            </w:tcBorders>
            <w:noWrap/>
            <w:vAlign w:val="center"/>
            <w:hideMark/>
          </w:tcPr>
          <w:p w:rsidR="000E6A73" w:rsidRDefault="000E6A73" w:rsidP="00F93C07">
            <w:pPr>
              <w:spacing w:after="0" w:line="240" w:lineRule="auto"/>
              <w:jc w:val="center"/>
              <w:rPr>
                <w:b/>
                <w:bCs/>
                <w:sz w:val="20"/>
                <w:szCs w:val="20"/>
              </w:rPr>
            </w:pPr>
            <w:r>
              <w:rPr>
                <w:b/>
                <w:bCs/>
                <w:sz w:val="20"/>
                <w:szCs w:val="20"/>
              </w:rPr>
              <w:t>3</w:t>
            </w:r>
          </w:p>
        </w:tc>
        <w:tc>
          <w:tcPr>
            <w:tcW w:w="2076" w:type="dxa"/>
            <w:tcBorders>
              <w:top w:val="nil"/>
              <w:left w:val="nil"/>
              <w:bottom w:val="single" w:sz="4" w:space="0" w:color="auto"/>
              <w:right w:val="single" w:sz="4" w:space="0" w:color="auto"/>
            </w:tcBorders>
            <w:noWrap/>
            <w:vAlign w:val="center"/>
            <w:hideMark/>
          </w:tcPr>
          <w:p w:rsidR="000E6A73" w:rsidRDefault="000E6A73" w:rsidP="00F93C07">
            <w:pPr>
              <w:spacing w:after="0" w:line="240" w:lineRule="auto"/>
              <w:ind w:left="-99"/>
              <w:rPr>
                <w:b/>
                <w:bCs/>
                <w:sz w:val="20"/>
                <w:szCs w:val="20"/>
              </w:rPr>
            </w:pPr>
            <w:r>
              <w:rPr>
                <w:b/>
                <w:bCs/>
                <w:sz w:val="20"/>
                <w:szCs w:val="20"/>
              </w:rPr>
              <w:t>Транспортировка питьевой воды</w:t>
            </w:r>
          </w:p>
        </w:tc>
        <w:tc>
          <w:tcPr>
            <w:tcW w:w="711" w:type="dxa"/>
            <w:tcBorders>
              <w:top w:val="nil"/>
              <w:left w:val="nil"/>
              <w:bottom w:val="single" w:sz="4" w:space="0" w:color="auto"/>
              <w:right w:val="single" w:sz="4" w:space="0" w:color="auto"/>
            </w:tcBorders>
            <w:noWrap/>
            <w:vAlign w:val="center"/>
          </w:tcPr>
          <w:p w:rsidR="000E6A73" w:rsidRDefault="000E6A73" w:rsidP="00F93C07">
            <w:pPr>
              <w:spacing w:after="0" w:line="240" w:lineRule="auto"/>
              <w:jc w:val="center"/>
              <w:rPr>
                <w:sz w:val="20"/>
                <w:szCs w:val="20"/>
              </w:rPr>
            </w:pPr>
          </w:p>
        </w:tc>
        <w:tc>
          <w:tcPr>
            <w:tcW w:w="1134" w:type="dxa"/>
            <w:tcBorders>
              <w:top w:val="nil"/>
              <w:left w:val="nil"/>
              <w:bottom w:val="single" w:sz="4" w:space="0" w:color="auto"/>
              <w:right w:val="single" w:sz="4" w:space="0" w:color="auto"/>
            </w:tcBorders>
            <w:noWrap/>
            <w:vAlign w:val="center"/>
          </w:tcPr>
          <w:p w:rsidR="000E6A73" w:rsidRDefault="000E6A73" w:rsidP="00F93C07">
            <w:pPr>
              <w:spacing w:after="0" w:line="240" w:lineRule="auto"/>
              <w:jc w:val="center"/>
              <w:rPr>
                <w:sz w:val="20"/>
                <w:szCs w:val="20"/>
              </w:rPr>
            </w:pPr>
          </w:p>
        </w:tc>
        <w:tc>
          <w:tcPr>
            <w:tcW w:w="1134" w:type="dxa"/>
            <w:tcBorders>
              <w:top w:val="single" w:sz="4" w:space="0" w:color="auto"/>
              <w:left w:val="nil"/>
              <w:bottom w:val="single" w:sz="4" w:space="0" w:color="auto"/>
              <w:right w:val="single" w:sz="4" w:space="0" w:color="auto"/>
            </w:tcBorders>
            <w:noWrap/>
            <w:vAlign w:val="center"/>
          </w:tcPr>
          <w:p w:rsidR="000E6A73" w:rsidRDefault="000E6A73" w:rsidP="00F93C07">
            <w:pPr>
              <w:spacing w:after="0" w:line="240" w:lineRule="auto"/>
              <w:jc w:val="center"/>
              <w:rPr>
                <w:sz w:val="20"/>
                <w:szCs w:val="20"/>
              </w:rPr>
            </w:pPr>
          </w:p>
        </w:tc>
        <w:tc>
          <w:tcPr>
            <w:tcW w:w="1133" w:type="dxa"/>
            <w:tcBorders>
              <w:top w:val="nil"/>
              <w:left w:val="nil"/>
              <w:bottom w:val="single" w:sz="4" w:space="0" w:color="auto"/>
              <w:right w:val="single" w:sz="4" w:space="0" w:color="auto"/>
            </w:tcBorders>
            <w:noWrap/>
            <w:vAlign w:val="center"/>
          </w:tcPr>
          <w:p w:rsidR="000E6A73" w:rsidRDefault="000E6A73" w:rsidP="00F93C07">
            <w:pPr>
              <w:spacing w:after="0" w:line="240" w:lineRule="auto"/>
              <w:jc w:val="center"/>
              <w:rPr>
                <w:sz w:val="20"/>
                <w:szCs w:val="20"/>
              </w:rPr>
            </w:pPr>
          </w:p>
        </w:tc>
        <w:tc>
          <w:tcPr>
            <w:tcW w:w="1134" w:type="dxa"/>
            <w:tcBorders>
              <w:top w:val="nil"/>
              <w:left w:val="nil"/>
              <w:bottom w:val="single" w:sz="4" w:space="0" w:color="auto"/>
              <w:right w:val="single" w:sz="4" w:space="0" w:color="auto"/>
            </w:tcBorders>
            <w:noWrap/>
            <w:vAlign w:val="center"/>
          </w:tcPr>
          <w:p w:rsidR="000E6A73" w:rsidRDefault="000E6A73" w:rsidP="00F93C07">
            <w:pPr>
              <w:spacing w:after="0" w:line="240" w:lineRule="auto"/>
              <w:jc w:val="center"/>
              <w:rPr>
                <w:sz w:val="20"/>
                <w:szCs w:val="20"/>
              </w:rPr>
            </w:pPr>
          </w:p>
        </w:tc>
        <w:tc>
          <w:tcPr>
            <w:tcW w:w="1134" w:type="dxa"/>
            <w:tcBorders>
              <w:top w:val="nil"/>
              <w:left w:val="nil"/>
              <w:bottom w:val="single" w:sz="4" w:space="0" w:color="auto"/>
              <w:right w:val="single" w:sz="4" w:space="0" w:color="auto"/>
            </w:tcBorders>
            <w:noWrap/>
            <w:vAlign w:val="center"/>
          </w:tcPr>
          <w:p w:rsidR="000E6A73" w:rsidRDefault="000E6A73" w:rsidP="00F93C07">
            <w:pPr>
              <w:spacing w:after="0" w:line="240" w:lineRule="auto"/>
              <w:jc w:val="center"/>
              <w:rPr>
                <w:sz w:val="20"/>
                <w:szCs w:val="20"/>
              </w:rPr>
            </w:pPr>
          </w:p>
        </w:tc>
        <w:tc>
          <w:tcPr>
            <w:tcW w:w="1133" w:type="dxa"/>
            <w:tcBorders>
              <w:top w:val="nil"/>
              <w:left w:val="nil"/>
              <w:bottom w:val="single" w:sz="4" w:space="0" w:color="auto"/>
              <w:right w:val="single" w:sz="4" w:space="0" w:color="auto"/>
            </w:tcBorders>
            <w:vAlign w:val="center"/>
          </w:tcPr>
          <w:p w:rsidR="000E6A73" w:rsidRDefault="000E6A73" w:rsidP="00F93C07">
            <w:pPr>
              <w:spacing w:after="0" w:line="240" w:lineRule="auto"/>
              <w:jc w:val="center"/>
              <w:rPr>
                <w:sz w:val="20"/>
                <w:szCs w:val="20"/>
              </w:rPr>
            </w:pPr>
          </w:p>
        </w:tc>
      </w:tr>
      <w:tr w:rsidR="000E6A73" w:rsidTr="004911B6">
        <w:trPr>
          <w:trHeight w:val="315"/>
        </w:trPr>
        <w:tc>
          <w:tcPr>
            <w:tcW w:w="615" w:type="dxa"/>
            <w:tcBorders>
              <w:top w:val="nil"/>
              <w:left w:val="single" w:sz="4" w:space="0" w:color="auto"/>
              <w:bottom w:val="single" w:sz="4" w:space="0" w:color="auto"/>
              <w:right w:val="single" w:sz="4" w:space="0" w:color="auto"/>
            </w:tcBorders>
            <w:noWrap/>
            <w:vAlign w:val="center"/>
            <w:hideMark/>
          </w:tcPr>
          <w:p w:rsidR="000E6A73" w:rsidRDefault="000E6A73" w:rsidP="00F93C07">
            <w:pPr>
              <w:spacing w:after="0" w:line="240" w:lineRule="auto"/>
              <w:jc w:val="center"/>
              <w:rPr>
                <w:sz w:val="20"/>
                <w:szCs w:val="20"/>
              </w:rPr>
            </w:pPr>
            <w:r>
              <w:rPr>
                <w:sz w:val="20"/>
                <w:szCs w:val="20"/>
              </w:rPr>
              <w:t>3.1</w:t>
            </w:r>
          </w:p>
        </w:tc>
        <w:tc>
          <w:tcPr>
            <w:tcW w:w="2076" w:type="dxa"/>
            <w:tcBorders>
              <w:top w:val="nil"/>
              <w:left w:val="nil"/>
              <w:bottom w:val="single" w:sz="4" w:space="0" w:color="auto"/>
              <w:right w:val="single" w:sz="4" w:space="0" w:color="auto"/>
            </w:tcBorders>
            <w:noWrap/>
            <w:vAlign w:val="center"/>
            <w:hideMark/>
          </w:tcPr>
          <w:p w:rsidR="000E6A73" w:rsidRDefault="000E6A73" w:rsidP="00F93C07">
            <w:pPr>
              <w:spacing w:after="0" w:line="240" w:lineRule="auto"/>
              <w:ind w:firstLineChars="21" w:firstLine="42"/>
              <w:rPr>
                <w:sz w:val="20"/>
                <w:szCs w:val="20"/>
              </w:rPr>
            </w:pPr>
            <w:r>
              <w:rPr>
                <w:sz w:val="20"/>
                <w:szCs w:val="20"/>
              </w:rPr>
              <w:t>Объем воды, поступившей в сеть:</w:t>
            </w:r>
          </w:p>
        </w:tc>
        <w:tc>
          <w:tcPr>
            <w:tcW w:w="711" w:type="dxa"/>
            <w:tcBorders>
              <w:top w:val="nil"/>
              <w:left w:val="nil"/>
              <w:bottom w:val="single" w:sz="4" w:space="0" w:color="auto"/>
              <w:right w:val="single" w:sz="4" w:space="0" w:color="auto"/>
            </w:tcBorders>
            <w:noWrap/>
            <w:vAlign w:val="center"/>
            <w:hideMark/>
          </w:tcPr>
          <w:p w:rsidR="000E6A73" w:rsidRDefault="000E6A73" w:rsidP="00F93C07">
            <w:pPr>
              <w:spacing w:after="0" w:line="240" w:lineRule="auto"/>
              <w:jc w:val="center"/>
              <w:rPr>
                <w:sz w:val="20"/>
                <w:szCs w:val="20"/>
              </w:rPr>
            </w:pPr>
            <w:r>
              <w:rPr>
                <w:sz w:val="20"/>
                <w:szCs w:val="20"/>
              </w:rPr>
              <w:t>тыс. м</w:t>
            </w:r>
            <w:r>
              <w:rPr>
                <w:sz w:val="20"/>
                <w:szCs w:val="20"/>
                <w:vertAlign w:val="superscript"/>
              </w:rPr>
              <w:t>3</w:t>
            </w:r>
          </w:p>
        </w:tc>
        <w:tc>
          <w:tcPr>
            <w:tcW w:w="1134" w:type="dxa"/>
            <w:tcBorders>
              <w:top w:val="nil"/>
              <w:left w:val="nil"/>
              <w:bottom w:val="single" w:sz="4" w:space="0" w:color="auto"/>
              <w:right w:val="single" w:sz="4" w:space="0" w:color="auto"/>
            </w:tcBorders>
            <w:noWrap/>
            <w:vAlign w:val="center"/>
            <w:hideMark/>
          </w:tcPr>
          <w:p w:rsidR="000E6A73" w:rsidRDefault="000E6A73" w:rsidP="00F93C07">
            <w:pPr>
              <w:spacing w:after="0" w:line="240" w:lineRule="auto"/>
              <w:jc w:val="center"/>
              <w:rPr>
                <w:b/>
                <w:bCs/>
                <w:sz w:val="20"/>
                <w:szCs w:val="20"/>
              </w:rPr>
            </w:pPr>
            <w:r>
              <w:rPr>
                <w:b/>
                <w:bCs/>
                <w:sz w:val="20"/>
                <w:szCs w:val="20"/>
              </w:rPr>
              <w:t>205 671,27</w:t>
            </w:r>
          </w:p>
        </w:tc>
        <w:tc>
          <w:tcPr>
            <w:tcW w:w="1134" w:type="dxa"/>
            <w:tcBorders>
              <w:top w:val="nil"/>
              <w:left w:val="nil"/>
              <w:bottom w:val="single" w:sz="4" w:space="0" w:color="auto"/>
              <w:right w:val="single" w:sz="4" w:space="0" w:color="auto"/>
            </w:tcBorders>
            <w:noWrap/>
            <w:vAlign w:val="center"/>
            <w:hideMark/>
          </w:tcPr>
          <w:p w:rsidR="000E6A73" w:rsidRDefault="000E6A73" w:rsidP="00F93C07">
            <w:pPr>
              <w:spacing w:after="0" w:line="240" w:lineRule="auto"/>
              <w:jc w:val="center"/>
              <w:rPr>
                <w:b/>
                <w:bCs/>
                <w:sz w:val="20"/>
                <w:szCs w:val="20"/>
              </w:rPr>
            </w:pPr>
            <w:r>
              <w:rPr>
                <w:b/>
                <w:bCs/>
                <w:sz w:val="20"/>
                <w:szCs w:val="20"/>
              </w:rPr>
              <w:t>195 240,90</w:t>
            </w:r>
          </w:p>
        </w:tc>
        <w:tc>
          <w:tcPr>
            <w:tcW w:w="1133" w:type="dxa"/>
            <w:tcBorders>
              <w:top w:val="nil"/>
              <w:left w:val="nil"/>
              <w:bottom w:val="single" w:sz="4" w:space="0" w:color="auto"/>
              <w:right w:val="single" w:sz="4" w:space="0" w:color="auto"/>
            </w:tcBorders>
            <w:noWrap/>
            <w:vAlign w:val="center"/>
            <w:hideMark/>
          </w:tcPr>
          <w:p w:rsidR="000E6A73" w:rsidRDefault="000E6A73" w:rsidP="00F93C07">
            <w:pPr>
              <w:spacing w:after="0" w:line="240" w:lineRule="auto"/>
              <w:jc w:val="center"/>
              <w:rPr>
                <w:b/>
                <w:bCs/>
                <w:sz w:val="20"/>
                <w:szCs w:val="20"/>
              </w:rPr>
            </w:pPr>
            <w:r>
              <w:rPr>
                <w:b/>
                <w:bCs/>
                <w:sz w:val="20"/>
                <w:szCs w:val="20"/>
              </w:rPr>
              <w:t>192 481,00</w:t>
            </w:r>
          </w:p>
        </w:tc>
        <w:tc>
          <w:tcPr>
            <w:tcW w:w="1134" w:type="dxa"/>
            <w:tcBorders>
              <w:top w:val="nil"/>
              <w:left w:val="nil"/>
              <w:bottom w:val="single" w:sz="4" w:space="0" w:color="auto"/>
              <w:right w:val="single" w:sz="4" w:space="0" w:color="auto"/>
            </w:tcBorders>
            <w:noWrap/>
            <w:vAlign w:val="center"/>
            <w:hideMark/>
          </w:tcPr>
          <w:p w:rsidR="000E6A73" w:rsidRDefault="000E6A73" w:rsidP="00F93C07">
            <w:pPr>
              <w:spacing w:after="0" w:line="240" w:lineRule="auto"/>
              <w:jc w:val="center"/>
              <w:rPr>
                <w:b/>
                <w:bCs/>
                <w:sz w:val="20"/>
                <w:szCs w:val="20"/>
              </w:rPr>
            </w:pPr>
            <w:r>
              <w:rPr>
                <w:b/>
                <w:bCs/>
                <w:sz w:val="20"/>
                <w:szCs w:val="20"/>
              </w:rPr>
              <w:t>192 344,00</w:t>
            </w:r>
          </w:p>
        </w:tc>
        <w:tc>
          <w:tcPr>
            <w:tcW w:w="1134" w:type="dxa"/>
            <w:tcBorders>
              <w:top w:val="nil"/>
              <w:left w:val="nil"/>
              <w:bottom w:val="single" w:sz="4" w:space="0" w:color="auto"/>
              <w:right w:val="single" w:sz="4" w:space="0" w:color="auto"/>
            </w:tcBorders>
            <w:noWrap/>
            <w:vAlign w:val="center"/>
            <w:hideMark/>
          </w:tcPr>
          <w:p w:rsidR="000E6A73" w:rsidRDefault="000E6A73" w:rsidP="00F93C07">
            <w:pPr>
              <w:spacing w:after="0" w:line="240" w:lineRule="auto"/>
              <w:jc w:val="center"/>
              <w:rPr>
                <w:b/>
                <w:bCs/>
                <w:sz w:val="20"/>
                <w:szCs w:val="20"/>
              </w:rPr>
            </w:pPr>
            <w:r>
              <w:rPr>
                <w:b/>
                <w:bCs/>
                <w:sz w:val="20"/>
                <w:szCs w:val="20"/>
              </w:rPr>
              <w:t>179 566,65</w:t>
            </w:r>
          </w:p>
        </w:tc>
        <w:tc>
          <w:tcPr>
            <w:tcW w:w="1133" w:type="dxa"/>
            <w:tcBorders>
              <w:top w:val="nil"/>
              <w:left w:val="nil"/>
              <w:bottom w:val="single" w:sz="4" w:space="0" w:color="auto"/>
              <w:right w:val="single" w:sz="4" w:space="0" w:color="auto"/>
            </w:tcBorders>
            <w:vAlign w:val="center"/>
            <w:hideMark/>
          </w:tcPr>
          <w:p w:rsidR="000E6A73" w:rsidRDefault="000E6A73" w:rsidP="00F93C07">
            <w:pPr>
              <w:spacing w:after="0" w:line="240" w:lineRule="auto"/>
              <w:jc w:val="center"/>
              <w:rPr>
                <w:b/>
                <w:bCs/>
                <w:sz w:val="20"/>
                <w:szCs w:val="20"/>
              </w:rPr>
            </w:pPr>
            <w:r>
              <w:rPr>
                <w:b/>
                <w:bCs/>
                <w:sz w:val="20"/>
                <w:szCs w:val="20"/>
              </w:rPr>
              <w:t>180 328,97</w:t>
            </w:r>
          </w:p>
        </w:tc>
      </w:tr>
      <w:tr w:rsidR="000E6A73" w:rsidTr="004911B6">
        <w:trPr>
          <w:trHeight w:val="300"/>
        </w:trPr>
        <w:tc>
          <w:tcPr>
            <w:tcW w:w="615" w:type="dxa"/>
            <w:tcBorders>
              <w:top w:val="nil"/>
              <w:left w:val="single" w:sz="4" w:space="0" w:color="auto"/>
              <w:bottom w:val="single" w:sz="4" w:space="0" w:color="auto"/>
              <w:right w:val="single" w:sz="4" w:space="0" w:color="auto"/>
            </w:tcBorders>
            <w:noWrap/>
            <w:vAlign w:val="center"/>
            <w:hideMark/>
          </w:tcPr>
          <w:p w:rsidR="000E6A73" w:rsidRDefault="000E6A73" w:rsidP="00F93C07">
            <w:pPr>
              <w:spacing w:after="0" w:line="240" w:lineRule="auto"/>
              <w:jc w:val="center"/>
              <w:rPr>
                <w:sz w:val="20"/>
                <w:szCs w:val="20"/>
              </w:rPr>
            </w:pPr>
            <w:r>
              <w:rPr>
                <w:sz w:val="20"/>
                <w:szCs w:val="20"/>
              </w:rPr>
              <w:t>3.1.1</w:t>
            </w:r>
          </w:p>
        </w:tc>
        <w:tc>
          <w:tcPr>
            <w:tcW w:w="2076" w:type="dxa"/>
            <w:tcBorders>
              <w:top w:val="nil"/>
              <w:left w:val="nil"/>
              <w:bottom w:val="single" w:sz="4" w:space="0" w:color="auto"/>
              <w:right w:val="single" w:sz="4" w:space="0" w:color="auto"/>
            </w:tcBorders>
            <w:noWrap/>
            <w:vAlign w:val="center"/>
            <w:hideMark/>
          </w:tcPr>
          <w:p w:rsidR="000E6A73" w:rsidRDefault="000E6A73" w:rsidP="00F93C07">
            <w:pPr>
              <w:spacing w:after="0" w:line="240" w:lineRule="auto"/>
              <w:ind w:firstLineChars="21" w:firstLine="42"/>
              <w:rPr>
                <w:sz w:val="20"/>
                <w:szCs w:val="20"/>
              </w:rPr>
            </w:pPr>
            <w:r>
              <w:rPr>
                <w:sz w:val="20"/>
                <w:szCs w:val="20"/>
              </w:rPr>
              <w:t>из собственных источников</w:t>
            </w:r>
          </w:p>
        </w:tc>
        <w:tc>
          <w:tcPr>
            <w:tcW w:w="711" w:type="dxa"/>
            <w:tcBorders>
              <w:top w:val="nil"/>
              <w:left w:val="nil"/>
              <w:bottom w:val="single" w:sz="4" w:space="0" w:color="auto"/>
              <w:right w:val="single" w:sz="4" w:space="0" w:color="auto"/>
            </w:tcBorders>
            <w:noWrap/>
            <w:vAlign w:val="center"/>
            <w:hideMark/>
          </w:tcPr>
          <w:p w:rsidR="000E6A73" w:rsidRDefault="000E6A73" w:rsidP="00F93C07">
            <w:pPr>
              <w:spacing w:after="0" w:line="240" w:lineRule="auto"/>
              <w:jc w:val="center"/>
              <w:rPr>
                <w:sz w:val="20"/>
                <w:szCs w:val="20"/>
              </w:rPr>
            </w:pPr>
            <w:r>
              <w:rPr>
                <w:sz w:val="20"/>
                <w:szCs w:val="20"/>
              </w:rPr>
              <w:t>тыс. м</w:t>
            </w:r>
            <w:r>
              <w:rPr>
                <w:sz w:val="20"/>
                <w:szCs w:val="20"/>
                <w:vertAlign w:val="superscript"/>
              </w:rPr>
              <w:t>3</w:t>
            </w:r>
          </w:p>
        </w:tc>
        <w:tc>
          <w:tcPr>
            <w:tcW w:w="1134" w:type="dxa"/>
            <w:tcBorders>
              <w:top w:val="nil"/>
              <w:left w:val="nil"/>
              <w:bottom w:val="single" w:sz="4" w:space="0" w:color="auto"/>
              <w:right w:val="single" w:sz="4" w:space="0" w:color="auto"/>
            </w:tcBorders>
            <w:noWrap/>
            <w:vAlign w:val="center"/>
            <w:hideMark/>
          </w:tcPr>
          <w:p w:rsidR="000E6A73" w:rsidRDefault="000E6A73" w:rsidP="00F93C07">
            <w:pPr>
              <w:spacing w:after="0" w:line="240" w:lineRule="auto"/>
              <w:jc w:val="center"/>
              <w:rPr>
                <w:sz w:val="20"/>
                <w:szCs w:val="20"/>
              </w:rPr>
            </w:pPr>
            <w:r>
              <w:rPr>
                <w:sz w:val="20"/>
                <w:szCs w:val="20"/>
              </w:rPr>
              <w:t>195 222,53</w:t>
            </w:r>
          </w:p>
        </w:tc>
        <w:tc>
          <w:tcPr>
            <w:tcW w:w="1134" w:type="dxa"/>
            <w:tcBorders>
              <w:top w:val="nil"/>
              <w:left w:val="nil"/>
              <w:bottom w:val="single" w:sz="4" w:space="0" w:color="auto"/>
              <w:right w:val="single" w:sz="4" w:space="0" w:color="auto"/>
            </w:tcBorders>
            <w:noWrap/>
            <w:vAlign w:val="center"/>
            <w:hideMark/>
          </w:tcPr>
          <w:p w:rsidR="000E6A73" w:rsidRDefault="000E6A73" w:rsidP="00F93C07">
            <w:pPr>
              <w:spacing w:after="0" w:line="240" w:lineRule="auto"/>
              <w:jc w:val="center"/>
              <w:rPr>
                <w:sz w:val="20"/>
                <w:szCs w:val="20"/>
              </w:rPr>
            </w:pPr>
            <w:r>
              <w:rPr>
                <w:sz w:val="20"/>
                <w:szCs w:val="20"/>
              </w:rPr>
              <w:t>185 970,30</w:t>
            </w:r>
          </w:p>
        </w:tc>
        <w:tc>
          <w:tcPr>
            <w:tcW w:w="1133" w:type="dxa"/>
            <w:tcBorders>
              <w:top w:val="nil"/>
              <w:left w:val="nil"/>
              <w:bottom w:val="single" w:sz="4" w:space="0" w:color="auto"/>
              <w:right w:val="single" w:sz="4" w:space="0" w:color="auto"/>
            </w:tcBorders>
            <w:noWrap/>
            <w:vAlign w:val="center"/>
            <w:hideMark/>
          </w:tcPr>
          <w:p w:rsidR="000E6A73" w:rsidRDefault="000E6A73" w:rsidP="00F93C07">
            <w:pPr>
              <w:spacing w:after="0" w:line="240" w:lineRule="auto"/>
              <w:jc w:val="center"/>
              <w:rPr>
                <w:sz w:val="20"/>
                <w:szCs w:val="20"/>
              </w:rPr>
            </w:pPr>
            <w:r>
              <w:rPr>
                <w:sz w:val="20"/>
                <w:szCs w:val="20"/>
              </w:rPr>
              <w:t>182 980,00</w:t>
            </w:r>
          </w:p>
        </w:tc>
        <w:tc>
          <w:tcPr>
            <w:tcW w:w="1134" w:type="dxa"/>
            <w:tcBorders>
              <w:top w:val="nil"/>
              <w:left w:val="nil"/>
              <w:bottom w:val="single" w:sz="4" w:space="0" w:color="auto"/>
              <w:right w:val="single" w:sz="4" w:space="0" w:color="auto"/>
            </w:tcBorders>
            <w:noWrap/>
            <w:vAlign w:val="center"/>
            <w:hideMark/>
          </w:tcPr>
          <w:p w:rsidR="000E6A73" w:rsidRDefault="000E6A73" w:rsidP="00F93C07">
            <w:pPr>
              <w:spacing w:after="0" w:line="240" w:lineRule="auto"/>
              <w:jc w:val="center"/>
              <w:rPr>
                <w:sz w:val="20"/>
                <w:szCs w:val="20"/>
              </w:rPr>
            </w:pPr>
            <w:r>
              <w:rPr>
                <w:sz w:val="20"/>
                <w:szCs w:val="20"/>
              </w:rPr>
              <w:t>182 297,00</w:t>
            </w:r>
          </w:p>
        </w:tc>
        <w:tc>
          <w:tcPr>
            <w:tcW w:w="1134" w:type="dxa"/>
            <w:tcBorders>
              <w:top w:val="nil"/>
              <w:left w:val="nil"/>
              <w:bottom w:val="single" w:sz="4" w:space="0" w:color="auto"/>
              <w:right w:val="single" w:sz="4" w:space="0" w:color="auto"/>
            </w:tcBorders>
            <w:noWrap/>
            <w:vAlign w:val="center"/>
            <w:hideMark/>
          </w:tcPr>
          <w:p w:rsidR="000E6A73" w:rsidRDefault="000E6A73" w:rsidP="00F93C07">
            <w:pPr>
              <w:spacing w:after="0" w:line="240" w:lineRule="auto"/>
              <w:jc w:val="center"/>
              <w:rPr>
                <w:sz w:val="20"/>
                <w:szCs w:val="20"/>
              </w:rPr>
            </w:pPr>
            <w:r>
              <w:rPr>
                <w:sz w:val="20"/>
                <w:szCs w:val="20"/>
              </w:rPr>
              <w:t>170 075,70</w:t>
            </w:r>
          </w:p>
        </w:tc>
        <w:tc>
          <w:tcPr>
            <w:tcW w:w="1133" w:type="dxa"/>
            <w:tcBorders>
              <w:top w:val="nil"/>
              <w:left w:val="nil"/>
              <w:bottom w:val="single" w:sz="4" w:space="0" w:color="auto"/>
              <w:right w:val="single" w:sz="4" w:space="0" w:color="auto"/>
            </w:tcBorders>
            <w:vAlign w:val="center"/>
            <w:hideMark/>
          </w:tcPr>
          <w:p w:rsidR="000E6A73" w:rsidRDefault="000E6A73" w:rsidP="00F93C07">
            <w:pPr>
              <w:spacing w:after="0" w:line="240" w:lineRule="auto"/>
              <w:jc w:val="center"/>
              <w:rPr>
                <w:sz w:val="20"/>
                <w:szCs w:val="20"/>
              </w:rPr>
            </w:pPr>
            <w:r>
              <w:rPr>
                <w:sz w:val="20"/>
                <w:szCs w:val="20"/>
              </w:rPr>
              <w:t>170 281,91</w:t>
            </w:r>
          </w:p>
        </w:tc>
      </w:tr>
      <w:tr w:rsidR="000E6A73" w:rsidTr="004911B6">
        <w:trPr>
          <w:trHeight w:val="300"/>
        </w:trPr>
        <w:tc>
          <w:tcPr>
            <w:tcW w:w="615" w:type="dxa"/>
            <w:tcBorders>
              <w:top w:val="nil"/>
              <w:left w:val="single" w:sz="4" w:space="0" w:color="auto"/>
              <w:bottom w:val="single" w:sz="4" w:space="0" w:color="auto"/>
              <w:right w:val="single" w:sz="4" w:space="0" w:color="auto"/>
            </w:tcBorders>
            <w:noWrap/>
            <w:vAlign w:val="center"/>
            <w:hideMark/>
          </w:tcPr>
          <w:p w:rsidR="000E6A73" w:rsidRDefault="000E6A73" w:rsidP="00F93C07">
            <w:pPr>
              <w:spacing w:after="0" w:line="240" w:lineRule="auto"/>
              <w:jc w:val="center"/>
              <w:rPr>
                <w:sz w:val="20"/>
                <w:szCs w:val="20"/>
              </w:rPr>
            </w:pPr>
            <w:r>
              <w:rPr>
                <w:sz w:val="20"/>
                <w:szCs w:val="20"/>
              </w:rPr>
              <w:t>3.1.2</w:t>
            </w:r>
          </w:p>
        </w:tc>
        <w:tc>
          <w:tcPr>
            <w:tcW w:w="2076" w:type="dxa"/>
            <w:tcBorders>
              <w:top w:val="nil"/>
              <w:left w:val="nil"/>
              <w:bottom w:val="single" w:sz="4" w:space="0" w:color="auto"/>
              <w:right w:val="single" w:sz="4" w:space="0" w:color="auto"/>
            </w:tcBorders>
            <w:noWrap/>
            <w:vAlign w:val="center"/>
            <w:hideMark/>
          </w:tcPr>
          <w:p w:rsidR="000E6A73" w:rsidRDefault="000E6A73" w:rsidP="00F93C07">
            <w:pPr>
              <w:spacing w:after="0" w:line="240" w:lineRule="auto"/>
              <w:rPr>
                <w:sz w:val="20"/>
                <w:szCs w:val="20"/>
              </w:rPr>
            </w:pPr>
            <w:r>
              <w:rPr>
                <w:sz w:val="20"/>
                <w:szCs w:val="20"/>
              </w:rPr>
              <w:t>от других операторов</w:t>
            </w:r>
          </w:p>
        </w:tc>
        <w:tc>
          <w:tcPr>
            <w:tcW w:w="711" w:type="dxa"/>
            <w:tcBorders>
              <w:top w:val="nil"/>
              <w:left w:val="nil"/>
              <w:bottom w:val="single" w:sz="4" w:space="0" w:color="auto"/>
              <w:right w:val="single" w:sz="4" w:space="0" w:color="auto"/>
            </w:tcBorders>
            <w:noWrap/>
            <w:vAlign w:val="center"/>
            <w:hideMark/>
          </w:tcPr>
          <w:p w:rsidR="000E6A73" w:rsidRDefault="000E6A73" w:rsidP="00F93C07">
            <w:pPr>
              <w:spacing w:after="0" w:line="240" w:lineRule="auto"/>
              <w:jc w:val="center"/>
              <w:rPr>
                <w:sz w:val="20"/>
                <w:szCs w:val="20"/>
              </w:rPr>
            </w:pPr>
            <w:r>
              <w:rPr>
                <w:sz w:val="20"/>
                <w:szCs w:val="20"/>
              </w:rPr>
              <w:t>тыс. м</w:t>
            </w:r>
            <w:r>
              <w:rPr>
                <w:sz w:val="20"/>
                <w:szCs w:val="20"/>
                <w:vertAlign w:val="superscript"/>
              </w:rPr>
              <w:t>3</w:t>
            </w:r>
          </w:p>
        </w:tc>
        <w:tc>
          <w:tcPr>
            <w:tcW w:w="1134" w:type="dxa"/>
            <w:tcBorders>
              <w:top w:val="nil"/>
              <w:left w:val="nil"/>
              <w:bottom w:val="single" w:sz="4" w:space="0" w:color="auto"/>
              <w:right w:val="single" w:sz="4" w:space="0" w:color="auto"/>
            </w:tcBorders>
            <w:noWrap/>
            <w:vAlign w:val="center"/>
            <w:hideMark/>
          </w:tcPr>
          <w:p w:rsidR="000E6A73" w:rsidRDefault="000E6A73" w:rsidP="00F93C07">
            <w:pPr>
              <w:spacing w:after="0" w:line="240" w:lineRule="auto"/>
              <w:jc w:val="center"/>
              <w:rPr>
                <w:sz w:val="20"/>
                <w:szCs w:val="20"/>
              </w:rPr>
            </w:pPr>
            <w:r>
              <w:rPr>
                <w:sz w:val="20"/>
                <w:szCs w:val="20"/>
              </w:rPr>
              <w:t>10 448,74</w:t>
            </w:r>
          </w:p>
        </w:tc>
        <w:tc>
          <w:tcPr>
            <w:tcW w:w="1134" w:type="dxa"/>
            <w:tcBorders>
              <w:top w:val="nil"/>
              <w:left w:val="nil"/>
              <w:bottom w:val="single" w:sz="4" w:space="0" w:color="auto"/>
              <w:right w:val="single" w:sz="4" w:space="0" w:color="auto"/>
            </w:tcBorders>
            <w:noWrap/>
            <w:vAlign w:val="center"/>
            <w:hideMark/>
          </w:tcPr>
          <w:p w:rsidR="000E6A73" w:rsidRDefault="000E6A73" w:rsidP="00F93C07">
            <w:pPr>
              <w:spacing w:after="0" w:line="240" w:lineRule="auto"/>
              <w:jc w:val="center"/>
              <w:rPr>
                <w:sz w:val="20"/>
                <w:szCs w:val="20"/>
              </w:rPr>
            </w:pPr>
            <w:r>
              <w:rPr>
                <w:sz w:val="20"/>
                <w:szCs w:val="20"/>
              </w:rPr>
              <w:t>9 270,60</w:t>
            </w:r>
          </w:p>
        </w:tc>
        <w:tc>
          <w:tcPr>
            <w:tcW w:w="1133" w:type="dxa"/>
            <w:tcBorders>
              <w:top w:val="nil"/>
              <w:left w:val="nil"/>
              <w:bottom w:val="single" w:sz="4" w:space="0" w:color="auto"/>
              <w:right w:val="single" w:sz="4" w:space="0" w:color="auto"/>
            </w:tcBorders>
            <w:noWrap/>
            <w:vAlign w:val="center"/>
            <w:hideMark/>
          </w:tcPr>
          <w:p w:rsidR="000E6A73" w:rsidRDefault="000E6A73" w:rsidP="00F93C07">
            <w:pPr>
              <w:spacing w:after="0" w:line="240" w:lineRule="auto"/>
              <w:jc w:val="center"/>
              <w:rPr>
                <w:sz w:val="20"/>
                <w:szCs w:val="20"/>
              </w:rPr>
            </w:pPr>
            <w:r>
              <w:rPr>
                <w:sz w:val="20"/>
                <w:szCs w:val="20"/>
              </w:rPr>
              <w:t>9 501,00</w:t>
            </w:r>
          </w:p>
        </w:tc>
        <w:tc>
          <w:tcPr>
            <w:tcW w:w="1134" w:type="dxa"/>
            <w:tcBorders>
              <w:top w:val="nil"/>
              <w:left w:val="nil"/>
              <w:bottom w:val="single" w:sz="4" w:space="0" w:color="auto"/>
              <w:right w:val="single" w:sz="4" w:space="0" w:color="auto"/>
            </w:tcBorders>
            <w:noWrap/>
            <w:vAlign w:val="center"/>
            <w:hideMark/>
          </w:tcPr>
          <w:p w:rsidR="000E6A73" w:rsidRDefault="000E6A73" w:rsidP="00F93C07">
            <w:pPr>
              <w:spacing w:after="0" w:line="240" w:lineRule="auto"/>
              <w:jc w:val="center"/>
              <w:rPr>
                <w:sz w:val="20"/>
                <w:szCs w:val="20"/>
              </w:rPr>
            </w:pPr>
            <w:r>
              <w:rPr>
                <w:sz w:val="20"/>
                <w:szCs w:val="20"/>
              </w:rPr>
              <w:t>10 047,00</w:t>
            </w:r>
          </w:p>
        </w:tc>
        <w:tc>
          <w:tcPr>
            <w:tcW w:w="1134" w:type="dxa"/>
            <w:tcBorders>
              <w:top w:val="nil"/>
              <w:left w:val="nil"/>
              <w:bottom w:val="single" w:sz="4" w:space="0" w:color="auto"/>
              <w:right w:val="single" w:sz="4" w:space="0" w:color="auto"/>
            </w:tcBorders>
            <w:noWrap/>
            <w:vAlign w:val="center"/>
            <w:hideMark/>
          </w:tcPr>
          <w:p w:rsidR="000E6A73" w:rsidRDefault="000E6A73" w:rsidP="00F93C07">
            <w:pPr>
              <w:spacing w:after="0" w:line="240" w:lineRule="auto"/>
              <w:jc w:val="center"/>
              <w:rPr>
                <w:sz w:val="20"/>
                <w:szCs w:val="20"/>
              </w:rPr>
            </w:pPr>
            <w:r>
              <w:rPr>
                <w:sz w:val="20"/>
                <w:szCs w:val="20"/>
              </w:rPr>
              <w:t>9 490,95</w:t>
            </w:r>
          </w:p>
        </w:tc>
        <w:tc>
          <w:tcPr>
            <w:tcW w:w="1133" w:type="dxa"/>
            <w:tcBorders>
              <w:top w:val="nil"/>
              <w:left w:val="nil"/>
              <w:bottom w:val="single" w:sz="4" w:space="0" w:color="auto"/>
              <w:right w:val="single" w:sz="4" w:space="0" w:color="auto"/>
            </w:tcBorders>
            <w:vAlign w:val="center"/>
            <w:hideMark/>
          </w:tcPr>
          <w:p w:rsidR="000E6A73" w:rsidRDefault="000E6A73" w:rsidP="00F93C07">
            <w:pPr>
              <w:spacing w:after="0" w:line="240" w:lineRule="auto"/>
              <w:jc w:val="center"/>
              <w:rPr>
                <w:sz w:val="20"/>
                <w:szCs w:val="20"/>
              </w:rPr>
            </w:pPr>
            <w:r>
              <w:rPr>
                <w:sz w:val="20"/>
                <w:szCs w:val="20"/>
              </w:rPr>
              <w:t>10 047,06</w:t>
            </w:r>
          </w:p>
        </w:tc>
      </w:tr>
      <w:tr w:rsidR="000E6A73" w:rsidTr="004911B6">
        <w:trPr>
          <w:trHeight w:val="600"/>
        </w:trPr>
        <w:tc>
          <w:tcPr>
            <w:tcW w:w="615" w:type="dxa"/>
            <w:tcBorders>
              <w:top w:val="nil"/>
              <w:left w:val="single" w:sz="4" w:space="0" w:color="auto"/>
              <w:bottom w:val="single" w:sz="4" w:space="0" w:color="auto"/>
              <w:right w:val="single" w:sz="4" w:space="0" w:color="auto"/>
            </w:tcBorders>
            <w:noWrap/>
            <w:vAlign w:val="center"/>
            <w:hideMark/>
          </w:tcPr>
          <w:p w:rsidR="000E6A73" w:rsidRDefault="000E6A73" w:rsidP="00F93C07">
            <w:pPr>
              <w:spacing w:after="0" w:line="240" w:lineRule="auto"/>
              <w:jc w:val="center"/>
              <w:rPr>
                <w:sz w:val="20"/>
                <w:szCs w:val="20"/>
              </w:rPr>
            </w:pPr>
            <w:r>
              <w:rPr>
                <w:sz w:val="20"/>
                <w:szCs w:val="20"/>
              </w:rPr>
              <w:t> </w:t>
            </w:r>
          </w:p>
        </w:tc>
        <w:tc>
          <w:tcPr>
            <w:tcW w:w="2076" w:type="dxa"/>
            <w:tcBorders>
              <w:top w:val="nil"/>
              <w:left w:val="nil"/>
              <w:bottom w:val="single" w:sz="4" w:space="0" w:color="auto"/>
              <w:right w:val="single" w:sz="4" w:space="0" w:color="auto"/>
            </w:tcBorders>
            <w:vAlign w:val="center"/>
            <w:hideMark/>
          </w:tcPr>
          <w:p w:rsidR="000E6A73" w:rsidRDefault="000E6A73" w:rsidP="00F93C07">
            <w:pPr>
              <w:spacing w:after="0" w:line="240" w:lineRule="auto"/>
              <w:rPr>
                <w:sz w:val="20"/>
                <w:szCs w:val="20"/>
              </w:rPr>
            </w:pPr>
            <w:r>
              <w:rPr>
                <w:sz w:val="20"/>
                <w:szCs w:val="20"/>
              </w:rPr>
              <w:t>Полезные расходы (пожаротушение, технологические нужды)</w:t>
            </w:r>
          </w:p>
        </w:tc>
        <w:tc>
          <w:tcPr>
            <w:tcW w:w="711" w:type="dxa"/>
            <w:tcBorders>
              <w:top w:val="nil"/>
              <w:left w:val="nil"/>
              <w:bottom w:val="single" w:sz="4" w:space="0" w:color="auto"/>
              <w:right w:val="single" w:sz="4" w:space="0" w:color="auto"/>
            </w:tcBorders>
            <w:noWrap/>
            <w:vAlign w:val="center"/>
            <w:hideMark/>
          </w:tcPr>
          <w:p w:rsidR="000E6A73" w:rsidRDefault="000E6A73" w:rsidP="00F93C07">
            <w:pPr>
              <w:spacing w:after="0" w:line="240" w:lineRule="auto"/>
              <w:jc w:val="center"/>
              <w:rPr>
                <w:sz w:val="20"/>
                <w:szCs w:val="20"/>
              </w:rPr>
            </w:pPr>
            <w:r>
              <w:rPr>
                <w:sz w:val="20"/>
                <w:szCs w:val="20"/>
              </w:rPr>
              <w:t>тыс. м</w:t>
            </w:r>
            <w:r>
              <w:rPr>
                <w:sz w:val="20"/>
                <w:szCs w:val="20"/>
                <w:vertAlign w:val="superscript"/>
              </w:rPr>
              <w:t>3</w:t>
            </w:r>
          </w:p>
        </w:tc>
        <w:tc>
          <w:tcPr>
            <w:tcW w:w="1134" w:type="dxa"/>
            <w:tcBorders>
              <w:top w:val="nil"/>
              <w:left w:val="nil"/>
              <w:bottom w:val="single" w:sz="4" w:space="0" w:color="auto"/>
              <w:right w:val="single" w:sz="4" w:space="0" w:color="auto"/>
            </w:tcBorders>
            <w:noWrap/>
            <w:vAlign w:val="center"/>
            <w:hideMark/>
          </w:tcPr>
          <w:p w:rsidR="000E6A73" w:rsidRDefault="000E6A73" w:rsidP="00F93C07">
            <w:pPr>
              <w:spacing w:after="0" w:line="240" w:lineRule="auto"/>
              <w:jc w:val="center"/>
              <w:rPr>
                <w:sz w:val="20"/>
                <w:szCs w:val="20"/>
              </w:rPr>
            </w:pPr>
            <w:r>
              <w:rPr>
                <w:sz w:val="20"/>
                <w:szCs w:val="20"/>
              </w:rPr>
              <w:t>9 543,78</w:t>
            </w:r>
          </w:p>
        </w:tc>
        <w:tc>
          <w:tcPr>
            <w:tcW w:w="1134" w:type="dxa"/>
            <w:tcBorders>
              <w:top w:val="nil"/>
              <w:left w:val="nil"/>
              <w:bottom w:val="single" w:sz="4" w:space="0" w:color="auto"/>
              <w:right w:val="single" w:sz="4" w:space="0" w:color="auto"/>
            </w:tcBorders>
            <w:noWrap/>
            <w:vAlign w:val="center"/>
            <w:hideMark/>
          </w:tcPr>
          <w:p w:rsidR="000E6A73" w:rsidRDefault="000E6A73" w:rsidP="00F93C07">
            <w:pPr>
              <w:spacing w:after="0" w:line="240" w:lineRule="auto"/>
              <w:jc w:val="center"/>
              <w:rPr>
                <w:sz w:val="20"/>
                <w:szCs w:val="20"/>
              </w:rPr>
            </w:pPr>
            <w:r>
              <w:rPr>
                <w:sz w:val="20"/>
                <w:szCs w:val="20"/>
              </w:rPr>
              <w:t>11 356,20</w:t>
            </w:r>
          </w:p>
        </w:tc>
        <w:tc>
          <w:tcPr>
            <w:tcW w:w="1133" w:type="dxa"/>
            <w:tcBorders>
              <w:top w:val="nil"/>
              <w:left w:val="nil"/>
              <w:bottom w:val="single" w:sz="4" w:space="0" w:color="auto"/>
              <w:right w:val="single" w:sz="4" w:space="0" w:color="auto"/>
            </w:tcBorders>
            <w:noWrap/>
            <w:vAlign w:val="center"/>
            <w:hideMark/>
          </w:tcPr>
          <w:p w:rsidR="000E6A73" w:rsidRDefault="000E6A73" w:rsidP="00F93C07">
            <w:pPr>
              <w:spacing w:after="0" w:line="240" w:lineRule="auto"/>
              <w:jc w:val="center"/>
              <w:rPr>
                <w:sz w:val="20"/>
                <w:szCs w:val="20"/>
              </w:rPr>
            </w:pPr>
            <w:r>
              <w:rPr>
                <w:sz w:val="20"/>
                <w:szCs w:val="20"/>
              </w:rPr>
              <w:t>11 824,00</w:t>
            </w:r>
          </w:p>
        </w:tc>
        <w:tc>
          <w:tcPr>
            <w:tcW w:w="1134" w:type="dxa"/>
            <w:tcBorders>
              <w:top w:val="nil"/>
              <w:left w:val="nil"/>
              <w:bottom w:val="single" w:sz="4" w:space="0" w:color="auto"/>
              <w:right w:val="single" w:sz="4" w:space="0" w:color="auto"/>
            </w:tcBorders>
            <w:noWrap/>
            <w:vAlign w:val="center"/>
            <w:hideMark/>
          </w:tcPr>
          <w:p w:rsidR="000E6A73" w:rsidRDefault="000E6A73" w:rsidP="00F93C07">
            <w:pPr>
              <w:spacing w:after="0" w:line="240" w:lineRule="auto"/>
              <w:jc w:val="center"/>
              <w:rPr>
                <w:sz w:val="20"/>
                <w:szCs w:val="20"/>
              </w:rPr>
            </w:pPr>
            <w:r>
              <w:rPr>
                <w:sz w:val="20"/>
                <w:szCs w:val="20"/>
              </w:rPr>
              <w:t>10 725,74</w:t>
            </w:r>
          </w:p>
        </w:tc>
        <w:tc>
          <w:tcPr>
            <w:tcW w:w="1134" w:type="dxa"/>
            <w:tcBorders>
              <w:top w:val="nil"/>
              <w:left w:val="nil"/>
              <w:bottom w:val="single" w:sz="4" w:space="0" w:color="auto"/>
              <w:right w:val="single" w:sz="4" w:space="0" w:color="auto"/>
            </w:tcBorders>
            <w:noWrap/>
            <w:vAlign w:val="center"/>
            <w:hideMark/>
          </w:tcPr>
          <w:p w:rsidR="000E6A73" w:rsidRDefault="000E6A73" w:rsidP="00F93C07">
            <w:pPr>
              <w:spacing w:after="0" w:line="240" w:lineRule="auto"/>
              <w:jc w:val="center"/>
              <w:rPr>
                <w:sz w:val="20"/>
                <w:szCs w:val="20"/>
              </w:rPr>
            </w:pPr>
            <w:r>
              <w:rPr>
                <w:sz w:val="20"/>
                <w:szCs w:val="20"/>
              </w:rPr>
              <w:t>11 800,00</w:t>
            </w:r>
          </w:p>
        </w:tc>
        <w:tc>
          <w:tcPr>
            <w:tcW w:w="1133" w:type="dxa"/>
            <w:tcBorders>
              <w:top w:val="nil"/>
              <w:left w:val="nil"/>
              <w:bottom w:val="single" w:sz="4" w:space="0" w:color="auto"/>
              <w:right w:val="single" w:sz="4" w:space="0" w:color="auto"/>
            </w:tcBorders>
            <w:vAlign w:val="center"/>
            <w:hideMark/>
          </w:tcPr>
          <w:p w:rsidR="000E6A73" w:rsidRDefault="000E6A73" w:rsidP="00F93C07">
            <w:pPr>
              <w:spacing w:after="0" w:line="240" w:lineRule="auto"/>
              <w:jc w:val="center"/>
              <w:rPr>
                <w:sz w:val="20"/>
                <w:szCs w:val="20"/>
              </w:rPr>
            </w:pPr>
            <w:r>
              <w:rPr>
                <w:sz w:val="20"/>
                <w:szCs w:val="20"/>
              </w:rPr>
              <w:t>10 089,13</w:t>
            </w:r>
          </w:p>
        </w:tc>
      </w:tr>
      <w:tr w:rsidR="000E6A73" w:rsidTr="004911B6">
        <w:trPr>
          <w:trHeight w:val="300"/>
        </w:trPr>
        <w:tc>
          <w:tcPr>
            <w:tcW w:w="615" w:type="dxa"/>
            <w:tcBorders>
              <w:top w:val="nil"/>
              <w:left w:val="single" w:sz="4" w:space="0" w:color="auto"/>
              <w:bottom w:val="single" w:sz="4" w:space="0" w:color="auto"/>
              <w:right w:val="single" w:sz="4" w:space="0" w:color="auto"/>
            </w:tcBorders>
            <w:noWrap/>
            <w:vAlign w:val="center"/>
            <w:hideMark/>
          </w:tcPr>
          <w:p w:rsidR="000E6A73" w:rsidRDefault="000E6A73" w:rsidP="00F93C07">
            <w:pPr>
              <w:spacing w:after="0" w:line="240" w:lineRule="auto"/>
              <w:jc w:val="center"/>
              <w:rPr>
                <w:sz w:val="20"/>
                <w:szCs w:val="20"/>
              </w:rPr>
            </w:pPr>
            <w:r>
              <w:rPr>
                <w:sz w:val="20"/>
                <w:szCs w:val="20"/>
              </w:rPr>
              <w:t>3.2</w:t>
            </w:r>
          </w:p>
        </w:tc>
        <w:tc>
          <w:tcPr>
            <w:tcW w:w="2076" w:type="dxa"/>
            <w:tcBorders>
              <w:top w:val="nil"/>
              <w:left w:val="nil"/>
              <w:bottom w:val="single" w:sz="4" w:space="0" w:color="auto"/>
              <w:right w:val="single" w:sz="4" w:space="0" w:color="auto"/>
            </w:tcBorders>
            <w:noWrap/>
            <w:vAlign w:val="center"/>
            <w:hideMark/>
          </w:tcPr>
          <w:p w:rsidR="000E6A73" w:rsidRDefault="000E6A73" w:rsidP="00F93C07">
            <w:pPr>
              <w:spacing w:after="0" w:line="240" w:lineRule="auto"/>
              <w:ind w:firstLineChars="21" w:firstLine="42"/>
              <w:rPr>
                <w:sz w:val="20"/>
                <w:szCs w:val="20"/>
              </w:rPr>
            </w:pPr>
            <w:r>
              <w:rPr>
                <w:sz w:val="20"/>
                <w:szCs w:val="20"/>
              </w:rPr>
              <w:t>Потери воды</w:t>
            </w:r>
          </w:p>
        </w:tc>
        <w:tc>
          <w:tcPr>
            <w:tcW w:w="711" w:type="dxa"/>
            <w:tcBorders>
              <w:top w:val="nil"/>
              <w:left w:val="nil"/>
              <w:bottom w:val="single" w:sz="4" w:space="0" w:color="auto"/>
              <w:right w:val="single" w:sz="4" w:space="0" w:color="auto"/>
            </w:tcBorders>
            <w:noWrap/>
            <w:vAlign w:val="center"/>
            <w:hideMark/>
          </w:tcPr>
          <w:p w:rsidR="000E6A73" w:rsidRDefault="000E6A73" w:rsidP="00F93C07">
            <w:pPr>
              <w:spacing w:after="0" w:line="240" w:lineRule="auto"/>
              <w:jc w:val="center"/>
              <w:rPr>
                <w:sz w:val="20"/>
                <w:szCs w:val="20"/>
              </w:rPr>
            </w:pPr>
            <w:r>
              <w:rPr>
                <w:sz w:val="20"/>
                <w:szCs w:val="20"/>
              </w:rPr>
              <w:t>тыс. м</w:t>
            </w:r>
            <w:r>
              <w:rPr>
                <w:sz w:val="20"/>
                <w:szCs w:val="20"/>
                <w:vertAlign w:val="superscript"/>
              </w:rPr>
              <w:t>3</w:t>
            </w:r>
          </w:p>
        </w:tc>
        <w:tc>
          <w:tcPr>
            <w:tcW w:w="1134" w:type="dxa"/>
            <w:tcBorders>
              <w:top w:val="nil"/>
              <w:left w:val="nil"/>
              <w:bottom w:val="single" w:sz="4" w:space="0" w:color="auto"/>
              <w:right w:val="single" w:sz="4" w:space="0" w:color="auto"/>
            </w:tcBorders>
            <w:noWrap/>
            <w:vAlign w:val="center"/>
            <w:hideMark/>
          </w:tcPr>
          <w:p w:rsidR="000E6A73" w:rsidRDefault="000E6A73" w:rsidP="00F93C07">
            <w:pPr>
              <w:spacing w:after="0" w:line="240" w:lineRule="auto"/>
              <w:jc w:val="center"/>
              <w:rPr>
                <w:sz w:val="20"/>
                <w:szCs w:val="20"/>
              </w:rPr>
            </w:pPr>
            <w:r>
              <w:rPr>
                <w:sz w:val="20"/>
                <w:szCs w:val="20"/>
              </w:rPr>
              <w:t>35 888,84</w:t>
            </w:r>
          </w:p>
        </w:tc>
        <w:tc>
          <w:tcPr>
            <w:tcW w:w="1134" w:type="dxa"/>
            <w:tcBorders>
              <w:top w:val="nil"/>
              <w:left w:val="nil"/>
              <w:bottom w:val="single" w:sz="4" w:space="0" w:color="auto"/>
              <w:right w:val="single" w:sz="4" w:space="0" w:color="auto"/>
            </w:tcBorders>
            <w:noWrap/>
            <w:vAlign w:val="center"/>
            <w:hideMark/>
          </w:tcPr>
          <w:p w:rsidR="000E6A73" w:rsidRDefault="000E6A73" w:rsidP="00F93C07">
            <w:pPr>
              <w:spacing w:after="0" w:line="240" w:lineRule="auto"/>
              <w:jc w:val="center"/>
              <w:rPr>
                <w:sz w:val="20"/>
                <w:szCs w:val="20"/>
              </w:rPr>
            </w:pPr>
            <w:r>
              <w:rPr>
                <w:sz w:val="20"/>
                <w:szCs w:val="20"/>
              </w:rPr>
              <w:t>29 176,30</w:t>
            </w:r>
          </w:p>
        </w:tc>
        <w:tc>
          <w:tcPr>
            <w:tcW w:w="1133" w:type="dxa"/>
            <w:tcBorders>
              <w:top w:val="nil"/>
              <w:left w:val="nil"/>
              <w:bottom w:val="single" w:sz="4" w:space="0" w:color="auto"/>
              <w:right w:val="single" w:sz="4" w:space="0" w:color="auto"/>
            </w:tcBorders>
            <w:noWrap/>
            <w:vAlign w:val="center"/>
            <w:hideMark/>
          </w:tcPr>
          <w:p w:rsidR="000E6A73" w:rsidRDefault="000E6A73" w:rsidP="00F93C07">
            <w:pPr>
              <w:spacing w:after="0" w:line="240" w:lineRule="auto"/>
              <w:jc w:val="center"/>
              <w:rPr>
                <w:sz w:val="20"/>
                <w:szCs w:val="20"/>
              </w:rPr>
            </w:pPr>
            <w:r>
              <w:rPr>
                <w:sz w:val="20"/>
                <w:szCs w:val="20"/>
              </w:rPr>
              <w:t>32 018,00</w:t>
            </w:r>
          </w:p>
        </w:tc>
        <w:tc>
          <w:tcPr>
            <w:tcW w:w="1134" w:type="dxa"/>
            <w:tcBorders>
              <w:top w:val="nil"/>
              <w:left w:val="nil"/>
              <w:bottom w:val="single" w:sz="4" w:space="0" w:color="auto"/>
              <w:right w:val="single" w:sz="4" w:space="0" w:color="auto"/>
            </w:tcBorders>
            <w:noWrap/>
            <w:vAlign w:val="center"/>
            <w:hideMark/>
          </w:tcPr>
          <w:p w:rsidR="000E6A73" w:rsidRDefault="000E6A73" w:rsidP="00F93C07">
            <w:pPr>
              <w:spacing w:after="0" w:line="240" w:lineRule="auto"/>
              <w:jc w:val="center"/>
              <w:rPr>
                <w:sz w:val="20"/>
                <w:szCs w:val="20"/>
              </w:rPr>
            </w:pPr>
            <w:r>
              <w:rPr>
                <w:sz w:val="20"/>
                <w:szCs w:val="20"/>
              </w:rPr>
              <w:t>32 712,13</w:t>
            </w:r>
          </w:p>
        </w:tc>
        <w:tc>
          <w:tcPr>
            <w:tcW w:w="1134" w:type="dxa"/>
            <w:tcBorders>
              <w:top w:val="nil"/>
              <w:left w:val="nil"/>
              <w:bottom w:val="single" w:sz="4" w:space="0" w:color="auto"/>
              <w:right w:val="single" w:sz="4" w:space="0" w:color="auto"/>
            </w:tcBorders>
            <w:noWrap/>
            <w:vAlign w:val="center"/>
            <w:hideMark/>
          </w:tcPr>
          <w:p w:rsidR="000E6A73" w:rsidRDefault="000E6A73" w:rsidP="00F93C07">
            <w:pPr>
              <w:spacing w:after="0" w:line="240" w:lineRule="auto"/>
              <w:jc w:val="center"/>
              <w:rPr>
                <w:sz w:val="20"/>
                <w:szCs w:val="20"/>
              </w:rPr>
            </w:pPr>
            <w:r>
              <w:rPr>
                <w:sz w:val="20"/>
                <w:szCs w:val="20"/>
              </w:rPr>
              <w:t>29 733,43</w:t>
            </w:r>
          </w:p>
        </w:tc>
        <w:tc>
          <w:tcPr>
            <w:tcW w:w="1133" w:type="dxa"/>
            <w:tcBorders>
              <w:top w:val="nil"/>
              <w:left w:val="nil"/>
              <w:bottom w:val="single" w:sz="4" w:space="0" w:color="auto"/>
              <w:right w:val="single" w:sz="4" w:space="0" w:color="auto"/>
            </w:tcBorders>
            <w:vAlign w:val="center"/>
            <w:hideMark/>
          </w:tcPr>
          <w:p w:rsidR="000E6A73" w:rsidRDefault="000E6A73" w:rsidP="00F93C07">
            <w:pPr>
              <w:spacing w:after="0" w:line="240" w:lineRule="auto"/>
              <w:jc w:val="center"/>
              <w:rPr>
                <w:sz w:val="20"/>
                <w:szCs w:val="20"/>
              </w:rPr>
            </w:pPr>
            <w:r>
              <w:rPr>
                <w:sz w:val="20"/>
                <w:szCs w:val="20"/>
              </w:rPr>
              <w:t>30 171,76</w:t>
            </w:r>
          </w:p>
        </w:tc>
      </w:tr>
      <w:tr w:rsidR="000E6A73" w:rsidTr="004911B6">
        <w:trPr>
          <w:trHeight w:val="300"/>
        </w:trPr>
        <w:tc>
          <w:tcPr>
            <w:tcW w:w="615" w:type="dxa"/>
            <w:tcBorders>
              <w:top w:val="nil"/>
              <w:left w:val="single" w:sz="4" w:space="0" w:color="auto"/>
              <w:bottom w:val="single" w:sz="4" w:space="0" w:color="auto"/>
              <w:right w:val="single" w:sz="4" w:space="0" w:color="auto"/>
            </w:tcBorders>
            <w:noWrap/>
            <w:vAlign w:val="center"/>
            <w:hideMark/>
          </w:tcPr>
          <w:p w:rsidR="000E6A73" w:rsidRDefault="000E6A73" w:rsidP="00F93C07">
            <w:pPr>
              <w:spacing w:after="0" w:line="240" w:lineRule="auto"/>
              <w:jc w:val="center"/>
              <w:rPr>
                <w:sz w:val="20"/>
                <w:szCs w:val="20"/>
              </w:rPr>
            </w:pPr>
            <w:r>
              <w:rPr>
                <w:sz w:val="20"/>
                <w:szCs w:val="20"/>
              </w:rPr>
              <w:t> </w:t>
            </w:r>
          </w:p>
        </w:tc>
        <w:tc>
          <w:tcPr>
            <w:tcW w:w="2076" w:type="dxa"/>
            <w:tcBorders>
              <w:top w:val="nil"/>
              <w:left w:val="nil"/>
              <w:bottom w:val="single" w:sz="4" w:space="0" w:color="auto"/>
              <w:right w:val="single" w:sz="4" w:space="0" w:color="auto"/>
            </w:tcBorders>
            <w:noWrap/>
            <w:vAlign w:val="center"/>
            <w:hideMark/>
          </w:tcPr>
          <w:p w:rsidR="000E6A73" w:rsidRDefault="000E6A73" w:rsidP="00F93C07">
            <w:pPr>
              <w:spacing w:after="0" w:line="240" w:lineRule="auto"/>
              <w:ind w:firstLineChars="21" w:firstLine="42"/>
              <w:rPr>
                <w:i/>
                <w:iCs/>
                <w:sz w:val="20"/>
                <w:szCs w:val="20"/>
              </w:rPr>
            </w:pPr>
            <w:r>
              <w:rPr>
                <w:i/>
                <w:iCs/>
                <w:sz w:val="20"/>
                <w:szCs w:val="20"/>
              </w:rPr>
              <w:t>Уровень потерь</w:t>
            </w:r>
          </w:p>
        </w:tc>
        <w:tc>
          <w:tcPr>
            <w:tcW w:w="711" w:type="dxa"/>
            <w:tcBorders>
              <w:top w:val="nil"/>
              <w:left w:val="nil"/>
              <w:bottom w:val="single" w:sz="4" w:space="0" w:color="auto"/>
              <w:right w:val="single" w:sz="4" w:space="0" w:color="auto"/>
            </w:tcBorders>
            <w:noWrap/>
            <w:vAlign w:val="center"/>
            <w:hideMark/>
          </w:tcPr>
          <w:p w:rsidR="000E6A73" w:rsidRDefault="000E6A73" w:rsidP="00F93C07">
            <w:pPr>
              <w:spacing w:after="0" w:line="240" w:lineRule="auto"/>
              <w:jc w:val="center"/>
              <w:rPr>
                <w:i/>
                <w:iCs/>
                <w:sz w:val="20"/>
                <w:szCs w:val="20"/>
              </w:rPr>
            </w:pPr>
            <w:r>
              <w:rPr>
                <w:i/>
                <w:iCs/>
                <w:sz w:val="20"/>
                <w:szCs w:val="20"/>
              </w:rPr>
              <w:t>%</w:t>
            </w:r>
          </w:p>
        </w:tc>
        <w:tc>
          <w:tcPr>
            <w:tcW w:w="1134" w:type="dxa"/>
            <w:tcBorders>
              <w:top w:val="nil"/>
              <w:left w:val="nil"/>
              <w:bottom w:val="single" w:sz="4" w:space="0" w:color="auto"/>
              <w:right w:val="single" w:sz="4" w:space="0" w:color="auto"/>
            </w:tcBorders>
            <w:noWrap/>
            <w:vAlign w:val="center"/>
            <w:hideMark/>
          </w:tcPr>
          <w:p w:rsidR="000E6A73" w:rsidRDefault="000E6A73" w:rsidP="00F93C07">
            <w:pPr>
              <w:spacing w:after="0" w:line="240" w:lineRule="auto"/>
              <w:jc w:val="center"/>
              <w:rPr>
                <w:i/>
                <w:iCs/>
                <w:sz w:val="20"/>
                <w:szCs w:val="20"/>
              </w:rPr>
            </w:pPr>
            <w:r>
              <w:rPr>
                <w:i/>
                <w:iCs/>
                <w:sz w:val="20"/>
                <w:szCs w:val="20"/>
              </w:rPr>
              <w:t>22,40%</w:t>
            </w:r>
          </w:p>
        </w:tc>
        <w:tc>
          <w:tcPr>
            <w:tcW w:w="1134" w:type="dxa"/>
            <w:tcBorders>
              <w:top w:val="nil"/>
              <w:left w:val="nil"/>
              <w:bottom w:val="single" w:sz="4" w:space="0" w:color="auto"/>
              <w:right w:val="single" w:sz="4" w:space="0" w:color="auto"/>
            </w:tcBorders>
            <w:noWrap/>
            <w:vAlign w:val="center"/>
            <w:hideMark/>
          </w:tcPr>
          <w:p w:rsidR="000E6A73" w:rsidRDefault="000E6A73" w:rsidP="00F93C07">
            <w:pPr>
              <w:spacing w:after="0" w:line="240" w:lineRule="auto"/>
              <w:jc w:val="center"/>
              <w:rPr>
                <w:i/>
                <w:iCs/>
                <w:sz w:val="20"/>
                <w:szCs w:val="20"/>
              </w:rPr>
            </w:pPr>
            <w:r>
              <w:rPr>
                <w:i/>
                <w:iCs/>
                <w:sz w:val="20"/>
                <w:szCs w:val="20"/>
              </w:rPr>
              <w:t>18,90%</w:t>
            </w:r>
          </w:p>
        </w:tc>
        <w:tc>
          <w:tcPr>
            <w:tcW w:w="1133" w:type="dxa"/>
            <w:tcBorders>
              <w:top w:val="nil"/>
              <w:left w:val="nil"/>
              <w:bottom w:val="single" w:sz="4" w:space="0" w:color="auto"/>
              <w:right w:val="single" w:sz="4" w:space="0" w:color="auto"/>
            </w:tcBorders>
            <w:noWrap/>
            <w:vAlign w:val="center"/>
            <w:hideMark/>
          </w:tcPr>
          <w:p w:rsidR="000E6A73" w:rsidRDefault="000E6A73" w:rsidP="00F93C07">
            <w:pPr>
              <w:spacing w:after="0" w:line="240" w:lineRule="auto"/>
              <w:jc w:val="center"/>
              <w:rPr>
                <w:i/>
                <w:iCs/>
                <w:sz w:val="20"/>
                <w:szCs w:val="20"/>
              </w:rPr>
            </w:pPr>
            <w:r>
              <w:rPr>
                <w:i/>
                <w:iCs/>
                <w:sz w:val="20"/>
                <w:szCs w:val="20"/>
              </w:rPr>
              <w:t>21,50%</w:t>
            </w:r>
          </w:p>
        </w:tc>
        <w:tc>
          <w:tcPr>
            <w:tcW w:w="1134" w:type="dxa"/>
            <w:tcBorders>
              <w:top w:val="nil"/>
              <w:left w:val="nil"/>
              <w:bottom w:val="single" w:sz="4" w:space="0" w:color="auto"/>
              <w:right w:val="single" w:sz="4" w:space="0" w:color="auto"/>
            </w:tcBorders>
            <w:noWrap/>
            <w:vAlign w:val="center"/>
            <w:hideMark/>
          </w:tcPr>
          <w:p w:rsidR="000E6A73" w:rsidRDefault="000E6A73" w:rsidP="00F93C07">
            <w:pPr>
              <w:spacing w:after="0" w:line="240" w:lineRule="auto"/>
              <w:jc w:val="center"/>
              <w:rPr>
                <w:i/>
                <w:iCs/>
                <w:sz w:val="20"/>
                <w:szCs w:val="20"/>
              </w:rPr>
            </w:pPr>
            <w:r>
              <w:rPr>
                <w:i/>
                <w:iCs/>
                <w:sz w:val="20"/>
                <w:szCs w:val="20"/>
              </w:rPr>
              <w:t>22,00%</w:t>
            </w:r>
          </w:p>
        </w:tc>
        <w:tc>
          <w:tcPr>
            <w:tcW w:w="1134" w:type="dxa"/>
            <w:tcBorders>
              <w:top w:val="nil"/>
              <w:left w:val="nil"/>
              <w:bottom w:val="single" w:sz="4" w:space="0" w:color="auto"/>
              <w:right w:val="single" w:sz="4" w:space="0" w:color="auto"/>
            </w:tcBorders>
            <w:noWrap/>
            <w:vAlign w:val="center"/>
            <w:hideMark/>
          </w:tcPr>
          <w:p w:rsidR="000E6A73" w:rsidRDefault="000E6A73" w:rsidP="00F93C07">
            <w:pPr>
              <w:spacing w:after="0" w:line="240" w:lineRule="auto"/>
              <w:jc w:val="center"/>
              <w:rPr>
                <w:i/>
                <w:iCs/>
                <w:sz w:val="20"/>
                <w:szCs w:val="20"/>
              </w:rPr>
            </w:pPr>
            <w:r>
              <w:rPr>
                <w:i/>
                <w:iCs/>
                <w:sz w:val="20"/>
                <w:szCs w:val="20"/>
              </w:rPr>
              <w:t>21,54%</w:t>
            </w:r>
          </w:p>
        </w:tc>
        <w:tc>
          <w:tcPr>
            <w:tcW w:w="1133" w:type="dxa"/>
            <w:tcBorders>
              <w:top w:val="nil"/>
              <w:left w:val="nil"/>
              <w:bottom w:val="single" w:sz="4" w:space="0" w:color="auto"/>
              <w:right w:val="single" w:sz="4" w:space="0" w:color="auto"/>
            </w:tcBorders>
            <w:vAlign w:val="center"/>
            <w:hideMark/>
          </w:tcPr>
          <w:p w:rsidR="000E6A73" w:rsidRDefault="000E6A73" w:rsidP="00F93C07">
            <w:pPr>
              <w:spacing w:after="0" w:line="240" w:lineRule="auto"/>
              <w:jc w:val="center"/>
              <w:rPr>
                <w:i/>
                <w:iCs/>
                <w:sz w:val="20"/>
                <w:szCs w:val="20"/>
              </w:rPr>
            </w:pPr>
            <w:r>
              <w:rPr>
                <w:i/>
                <w:iCs/>
                <w:sz w:val="20"/>
                <w:szCs w:val="20"/>
              </w:rPr>
              <w:t>21,54 %</w:t>
            </w:r>
          </w:p>
        </w:tc>
      </w:tr>
      <w:tr w:rsidR="000E6A73" w:rsidTr="004911B6">
        <w:trPr>
          <w:trHeight w:val="300"/>
        </w:trPr>
        <w:tc>
          <w:tcPr>
            <w:tcW w:w="615" w:type="dxa"/>
            <w:tcBorders>
              <w:top w:val="nil"/>
              <w:left w:val="single" w:sz="4" w:space="0" w:color="auto"/>
              <w:bottom w:val="single" w:sz="4" w:space="0" w:color="auto"/>
              <w:right w:val="single" w:sz="4" w:space="0" w:color="auto"/>
            </w:tcBorders>
            <w:noWrap/>
            <w:vAlign w:val="center"/>
            <w:hideMark/>
          </w:tcPr>
          <w:p w:rsidR="000E6A73" w:rsidRDefault="000E6A73" w:rsidP="00F93C07">
            <w:pPr>
              <w:spacing w:after="0" w:line="240" w:lineRule="auto"/>
              <w:jc w:val="center"/>
              <w:rPr>
                <w:sz w:val="20"/>
                <w:szCs w:val="20"/>
              </w:rPr>
            </w:pPr>
            <w:r>
              <w:rPr>
                <w:sz w:val="20"/>
                <w:szCs w:val="20"/>
              </w:rPr>
              <w:t>3.3</w:t>
            </w:r>
          </w:p>
        </w:tc>
        <w:tc>
          <w:tcPr>
            <w:tcW w:w="2076" w:type="dxa"/>
            <w:tcBorders>
              <w:top w:val="nil"/>
              <w:left w:val="nil"/>
              <w:bottom w:val="single" w:sz="4" w:space="0" w:color="auto"/>
              <w:right w:val="single" w:sz="4" w:space="0" w:color="auto"/>
            </w:tcBorders>
            <w:noWrap/>
            <w:vAlign w:val="center"/>
            <w:hideMark/>
          </w:tcPr>
          <w:p w:rsidR="000E6A73" w:rsidRDefault="000E6A73" w:rsidP="00F93C07">
            <w:pPr>
              <w:spacing w:after="0" w:line="240" w:lineRule="auto"/>
              <w:ind w:firstLineChars="21" w:firstLine="42"/>
              <w:rPr>
                <w:sz w:val="20"/>
                <w:szCs w:val="20"/>
              </w:rPr>
            </w:pPr>
            <w:r>
              <w:rPr>
                <w:sz w:val="20"/>
                <w:szCs w:val="20"/>
              </w:rPr>
              <w:t>Потребление на собственные нужды</w:t>
            </w:r>
          </w:p>
        </w:tc>
        <w:tc>
          <w:tcPr>
            <w:tcW w:w="711" w:type="dxa"/>
            <w:tcBorders>
              <w:top w:val="nil"/>
              <w:left w:val="nil"/>
              <w:bottom w:val="single" w:sz="4" w:space="0" w:color="auto"/>
              <w:right w:val="single" w:sz="4" w:space="0" w:color="auto"/>
            </w:tcBorders>
            <w:noWrap/>
            <w:vAlign w:val="center"/>
            <w:hideMark/>
          </w:tcPr>
          <w:p w:rsidR="000E6A73" w:rsidRDefault="000E6A73" w:rsidP="00F93C07">
            <w:pPr>
              <w:spacing w:after="0" w:line="240" w:lineRule="auto"/>
              <w:jc w:val="center"/>
              <w:rPr>
                <w:sz w:val="20"/>
                <w:szCs w:val="20"/>
              </w:rPr>
            </w:pPr>
            <w:r>
              <w:rPr>
                <w:sz w:val="20"/>
                <w:szCs w:val="20"/>
              </w:rPr>
              <w:t>тыс. м</w:t>
            </w:r>
            <w:r>
              <w:rPr>
                <w:sz w:val="20"/>
                <w:szCs w:val="20"/>
                <w:vertAlign w:val="superscript"/>
              </w:rPr>
              <w:t>3</w:t>
            </w:r>
          </w:p>
        </w:tc>
        <w:tc>
          <w:tcPr>
            <w:tcW w:w="1134" w:type="dxa"/>
            <w:tcBorders>
              <w:top w:val="nil"/>
              <w:left w:val="nil"/>
              <w:bottom w:val="single" w:sz="4" w:space="0" w:color="auto"/>
              <w:right w:val="single" w:sz="4" w:space="0" w:color="auto"/>
            </w:tcBorders>
            <w:noWrap/>
            <w:vAlign w:val="center"/>
          </w:tcPr>
          <w:p w:rsidR="000E6A73" w:rsidRDefault="000E6A73" w:rsidP="00F93C07">
            <w:pPr>
              <w:spacing w:after="0" w:line="240" w:lineRule="auto"/>
              <w:jc w:val="center"/>
              <w:rPr>
                <w:sz w:val="20"/>
                <w:szCs w:val="20"/>
              </w:rPr>
            </w:pPr>
          </w:p>
        </w:tc>
        <w:tc>
          <w:tcPr>
            <w:tcW w:w="1134" w:type="dxa"/>
            <w:tcBorders>
              <w:top w:val="nil"/>
              <w:left w:val="nil"/>
              <w:bottom w:val="single" w:sz="4" w:space="0" w:color="auto"/>
              <w:right w:val="single" w:sz="4" w:space="0" w:color="auto"/>
            </w:tcBorders>
            <w:noWrap/>
            <w:vAlign w:val="center"/>
          </w:tcPr>
          <w:p w:rsidR="000E6A73" w:rsidRDefault="000E6A73" w:rsidP="00F93C07">
            <w:pPr>
              <w:spacing w:after="0" w:line="240" w:lineRule="auto"/>
              <w:jc w:val="center"/>
              <w:rPr>
                <w:sz w:val="20"/>
                <w:szCs w:val="20"/>
              </w:rPr>
            </w:pPr>
          </w:p>
        </w:tc>
        <w:tc>
          <w:tcPr>
            <w:tcW w:w="1133" w:type="dxa"/>
            <w:tcBorders>
              <w:top w:val="nil"/>
              <w:left w:val="nil"/>
              <w:bottom w:val="single" w:sz="4" w:space="0" w:color="auto"/>
              <w:right w:val="single" w:sz="4" w:space="0" w:color="auto"/>
            </w:tcBorders>
            <w:noWrap/>
            <w:vAlign w:val="center"/>
          </w:tcPr>
          <w:p w:rsidR="000E6A73" w:rsidRDefault="000E6A73" w:rsidP="00F93C07">
            <w:pPr>
              <w:spacing w:after="0" w:line="240" w:lineRule="auto"/>
              <w:jc w:val="center"/>
              <w:rPr>
                <w:sz w:val="20"/>
                <w:szCs w:val="20"/>
              </w:rPr>
            </w:pPr>
          </w:p>
        </w:tc>
        <w:tc>
          <w:tcPr>
            <w:tcW w:w="1134" w:type="dxa"/>
            <w:tcBorders>
              <w:top w:val="nil"/>
              <w:left w:val="nil"/>
              <w:bottom w:val="single" w:sz="4" w:space="0" w:color="auto"/>
              <w:right w:val="single" w:sz="4" w:space="0" w:color="auto"/>
            </w:tcBorders>
            <w:noWrap/>
            <w:vAlign w:val="center"/>
          </w:tcPr>
          <w:p w:rsidR="000E6A73" w:rsidRDefault="000E6A73" w:rsidP="00F93C07">
            <w:pPr>
              <w:spacing w:after="0" w:line="240" w:lineRule="auto"/>
              <w:jc w:val="center"/>
              <w:rPr>
                <w:sz w:val="20"/>
                <w:szCs w:val="20"/>
              </w:rPr>
            </w:pPr>
          </w:p>
        </w:tc>
        <w:tc>
          <w:tcPr>
            <w:tcW w:w="1134" w:type="dxa"/>
            <w:tcBorders>
              <w:top w:val="nil"/>
              <w:left w:val="nil"/>
              <w:bottom w:val="single" w:sz="4" w:space="0" w:color="auto"/>
              <w:right w:val="single" w:sz="4" w:space="0" w:color="auto"/>
            </w:tcBorders>
            <w:noWrap/>
            <w:vAlign w:val="center"/>
          </w:tcPr>
          <w:p w:rsidR="000E6A73" w:rsidRDefault="000E6A73" w:rsidP="00F93C07">
            <w:pPr>
              <w:spacing w:after="0" w:line="240" w:lineRule="auto"/>
              <w:jc w:val="center"/>
              <w:rPr>
                <w:sz w:val="20"/>
                <w:szCs w:val="20"/>
              </w:rPr>
            </w:pPr>
          </w:p>
        </w:tc>
        <w:tc>
          <w:tcPr>
            <w:tcW w:w="1133" w:type="dxa"/>
            <w:tcBorders>
              <w:top w:val="nil"/>
              <w:left w:val="nil"/>
              <w:bottom w:val="single" w:sz="4" w:space="0" w:color="auto"/>
              <w:right w:val="single" w:sz="4" w:space="0" w:color="auto"/>
            </w:tcBorders>
            <w:vAlign w:val="center"/>
          </w:tcPr>
          <w:p w:rsidR="000E6A73" w:rsidRDefault="000E6A73" w:rsidP="00F93C07">
            <w:pPr>
              <w:spacing w:after="0" w:line="240" w:lineRule="auto"/>
              <w:jc w:val="center"/>
              <w:rPr>
                <w:sz w:val="20"/>
                <w:szCs w:val="20"/>
              </w:rPr>
            </w:pPr>
          </w:p>
        </w:tc>
      </w:tr>
      <w:tr w:rsidR="000E6A73" w:rsidTr="004911B6">
        <w:trPr>
          <w:trHeight w:val="300"/>
        </w:trPr>
        <w:tc>
          <w:tcPr>
            <w:tcW w:w="615" w:type="dxa"/>
            <w:tcBorders>
              <w:top w:val="nil"/>
              <w:left w:val="single" w:sz="4" w:space="0" w:color="auto"/>
              <w:bottom w:val="single" w:sz="4" w:space="0" w:color="auto"/>
              <w:right w:val="single" w:sz="4" w:space="0" w:color="auto"/>
            </w:tcBorders>
            <w:noWrap/>
            <w:vAlign w:val="center"/>
            <w:hideMark/>
          </w:tcPr>
          <w:p w:rsidR="000E6A73" w:rsidRDefault="000E6A73" w:rsidP="00F93C07">
            <w:pPr>
              <w:spacing w:after="0" w:line="240" w:lineRule="auto"/>
              <w:jc w:val="center"/>
              <w:rPr>
                <w:sz w:val="20"/>
                <w:szCs w:val="20"/>
              </w:rPr>
            </w:pPr>
            <w:r>
              <w:rPr>
                <w:sz w:val="20"/>
                <w:szCs w:val="20"/>
              </w:rPr>
              <w:t>3.4</w:t>
            </w:r>
          </w:p>
        </w:tc>
        <w:tc>
          <w:tcPr>
            <w:tcW w:w="2076" w:type="dxa"/>
            <w:tcBorders>
              <w:top w:val="nil"/>
              <w:left w:val="nil"/>
              <w:bottom w:val="single" w:sz="4" w:space="0" w:color="auto"/>
              <w:right w:val="single" w:sz="4" w:space="0" w:color="auto"/>
            </w:tcBorders>
            <w:noWrap/>
            <w:vAlign w:val="center"/>
            <w:hideMark/>
          </w:tcPr>
          <w:p w:rsidR="000E6A73" w:rsidRDefault="000E6A73" w:rsidP="00F93C07">
            <w:pPr>
              <w:spacing w:after="0" w:line="240" w:lineRule="auto"/>
              <w:rPr>
                <w:sz w:val="20"/>
                <w:szCs w:val="20"/>
              </w:rPr>
            </w:pPr>
            <w:r>
              <w:rPr>
                <w:sz w:val="20"/>
                <w:szCs w:val="20"/>
              </w:rPr>
              <w:t>Объем воды, отпущенной из сети</w:t>
            </w:r>
          </w:p>
        </w:tc>
        <w:tc>
          <w:tcPr>
            <w:tcW w:w="711" w:type="dxa"/>
            <w:tcBorders>
              <w:top w:val="nil"/>
              <w:left w:val="nil"/>
              <w:bottom w:val="single" w:sz="4" w:space="0" w:color="auto"/>
              <w:right w:val="single" w:sz="4" w:space="0" w:color="auto"/>
            </w:tcBorders>
            <w:noWrap/>
            <w:vAlign w:val="center"/>
            <w:hideMark/>
          </w:tcPr>
          <w:p w:rsidR="000E6A73" w:rsidRDefault="000E6A73" w:rsidP="00F93C07">
            <w:pPr>
              <w:spacing w:after="0" w:line="240" w:lineRule="auto"/>
              <w:jc w:val="center"/>
              <w:rPr>
                <w:sz w:val="20"/>
                <w:szCs w:val="20"/>
              </w:rPr>
            </w:pPr>
            <w:r>
              <w:rPr>
                <w:sz w:val="20"/>
                <w:szCs w:val="20"/>
              </w:rPr>
              <w:t>тыс. м</w:t>
            </w:r>
            <w:r>
              <w:rPr>
                <w:sz w:val="20"/>
                <w:szCs w:val="20"/>
                <w:vertAlign w:val="superscript"/>
              </w:rPr>
              <w:t>3</w:t>
            </w:r>
          </w:p>
        </w:tc>
        <w:tc>
          <w:tcPr>
            <w:tcW w:w="1134" w:type="dxa"/>
            <w:tcBorders>
              <w:top w:val="nil"/>
              <w:left w:val="nil"/>
              <w:bottom w:val="single" w:sz="4" w:space="0" w:color="auto"/>
              <w:right w:val="single" w:sz="4" w:space="0" w:color="auto"/>
            </w:tcBorders>
            <w:noWrap/>
            <w:vAlign w:val="center"/>
            <w:hideMark/>
          </w:tcPr>
          <w:p w:rsidR="000E6A73" w:rsidRDefault="000E6A73" w:rsidP="00F93C07">
            <w:pPr>
              <w:spacing w:after="0" w:line="240" w:lineRule="auto"/>
              <w:jc w:val="center"/>
              <w:rPr>
                <w:sz w:val="20"/>
                <w:szCs w:val="20"/>
              </w:rPr>
            </w:pPr>
            <w:r>
              <w:rPr>
                <w:sz w:val="20"/>
                <w:szCs w:val="20"/>
              </w:rPr>
              <w:t>160 238,65</w:t>
            </w:r>
          </w:p>
        </w:tc>
        <w:tc>
          <w:tcPr>
            <w:tcW w:w="1134" w:type="dxa"/>
            <w:tcBorders>
              <w:top w:val="nil"/>
              <w:left w:val="nil"/>
              <w:bottom w:val="single" w:sz="4" w:space="0" w:color="auto"/>
              <w:right w:val="single" w:sz="4" w:space="0" w:color="auto"/>
            </w:tcBorders>
            <w:noWrap/>
            <w:vAlign w:val="center"/>
            <w:hideMark/>
          </w:tcPr>
          <w:p w:rsidR="000E6A73" w:rsidRDefault="000E6A73" w:rsidP="00F93C07">
            <w:pPr>
              <w:spacing w:after="0" w:line="240" w:lineRule="auto"/>
              <w:jc w:val="center"/>
              <w:rPr>
                <w:sz w:val="20"/>
                <w:szCs w:val="20"/>
              </w:rPr>
            </w:pPr>
            <w:r>
              <w:rPr>
                <w:sz w:val="20"/>
                <w:szCs w:val="20"/>
              </w:rPr>
              <w:t>154 708,40</w:t>
            </w:r>
          </w:p>
        </w:tc>
        <w:tc>
          <w:tcPr>
            <w:tcW w:w="1133" w:type="dxa"/>
            <w:tcBorders>
              <w:top w:val="nil"/>
              <w:left w:val="nil"/>
              <w:bottom w:val="single" w:sz="4" w:space="0" w:color="auto"/>
              <w:right w:val="single" w:sz="4" w:space="0" w:color="auto"/>
            </w:tcBorders>
            <w:noWrap/>
            <w:vAlign w:val="center"/>
            <w:hideMark/>
          </w:tcPr>
          <w:p w:rsidR="000E6A73" w:rsidRDefault="000E6A73" w:rsidP="00F93C07">
            <w:pPr>
              <w:spacing w:after="0" w:line="240" w:lineRule="auto"/>
              <w:jc w:val="center"/>
              <w:rPr>
                <w:sz w:val="20"/>
                <w:szCs w:val="20"/>
              </w:rPr>
            </w:pPr>
            <w:r>
              <w:rPr>
                <w:sz w:val="20"/>
                <w:szCs w:val="20"/>
              </w:rPr>
              <w:t>148 639,00</w:t>
            </w:r>
          </w:p>
        </w:tc>
        <w:tc>
          <w:tcPr>
            <w:tcW w:w="1134" w:type="dxa"/>
            <w:tcBorders>
              <w:top w:val="nil"/>
              <w:left w:val="nil"/>
              <w:bottom w:val="single" w:sz="4" w:space="0" w:color="auto"/>
              <w:right w:val="single" w:sz="4" w:space="0" w:color="auto"/>
            </w:tcBorders>
            <w:noWrap/>
            <w:vAlign w:val="center"/>
            <w:hideMark/>
          </w:tcPr>
          <w:p w:rsidR="000E6A73" w:rsidRDefault="000E6A73" w:rsidP="00F93C07">
            <w:pPr>
              <w:spacing w:after="0" w:line="240" w:lineRule="auto"/>
              <w:jc w:val="center"/>
              <w:rPr>
                <w:sz w:val="20"/>
                <w:szCs w:val="20"/>
              </w:rPr>
            </w:pPr>
            <w:r>
              <w:rPr>
                <w:sz w:val="20"/>
                <w:szCs w:val="20"/>
              </w:rPr>
              <w:t>148 906,13</w:t>
            </w:r>
          </w:p>
        </w:tc>
        <w:tc>
          <w:tcPr>
            <w:tcW w:w="1134" w:type="dxa"/>
            <w:tcBorders>
              <w:top w:val="nil"/>
              <w:left w:val="nil"/>
              <w:bottom w:val="single" w:sz="4" w:space="0" w:color="auto"/>
              <w:right w:val="single" w:sz="4" w:space="0" w:color="auto"/>
            </w:tcBorders>
            <w:noWrap/>
            <w:vAlign w:val="center"/>
            <w:hideMark/>
          </w:tcPr>
          <w:p w:rsidR="000E6A73" w:rsidRDefault="000E6A73" w:rsidP="00F93C07">
            <w:pPr>
              <w:spacing w:after="0" w:line="240" w:lineRule="auto"/>
              <w:jc w:val="center"/>
              <w:rPr>
                <w:sz w:val="20"/>
                <w:szCs w:val="20"/>
              </w:rPr>
            </w:pPr>
            <w:r>
              <w:rPr>
                <w:sz w:val="20"/>
                <w:szCs w:val="20"/>
              </w:rPr>
              <w:t>138 033,22</w:t>
            </w:r>
          </w:p>
        </w:tc>
        <w:tc>
          <w:tcPr>
            <w:tcW w:w="1133" w:type="dxa"/>
            <w:tcBorders>
              <w:top w:val="nil"/>
              <w:left w:val="nil"/>
              <w:bottom w:val="single" w:sz="4" w:space="0" w:color="auto"/>
              <w:right w:val="single" w:sz="4" w:space="0" w:color="auto"/>
            </w:tcBorders>
            <w:vAlign w:val="center"/>
            <w:hideMark/>
          </w:tcPr>
          <w:p w:rsidR="000E6A73" w:rsidRDefault="000E6A73" w:rsidP="00F93C07">
            <w:pPr>
              <w:spacing w:after="0" w:line="240" w:lineRule="auto"/>
              <w:jc w:val="center"/>
              <w:rPr>
                <w:sz w:val="20"/>
                <w:szCs w:val="20"/>
              </w:rPr>
            </w:pPr>
            <w:r>
              <w:rPr>
                <w:sz w:val="20"/>
                <w:szCs w:val="20"/>
              </w:rPr>
              <w:t>140 068,08</w:t>
            </w:r>
          </w:p>
        </w:tc>
      </w:tr>
      <w:tr w:rsidR="000E6A73" w:rsidTr="004911B6">
        <w:trPr>
          <w:trHeight w:val="300"/>
        </w:trPr>
        <w:tc>
          <w:tcPr>
            <w:tcW w:w="615" w:type="dxa"/>
            <w:tcBorders>
              <w:top w:val="single" w:sz="4" w:space="0" w:color="auto"/>
              <w:left w:val="single" w:sz="4" w:space="0" w:color="auto"/>
              <w:bottom w:val="single" w:sz="4" w:space="0" w:color="auto"/>
              <w:right w:val="single" w:sz="4" w:space="0" w:color="auto"/>
            </w:tcBorders>
            <w:noWrap/>
            <w:vAlign w:val="center"/>
            <w:hideMark/>
          </w:tcPr>
          <w:p w:rsidR="000E6A73" w:rsidRDefault="000E6A73" w:rsidP="00F93C07">
            <w:pPr>
              <w:spacing w:after="0" w:line="240" w:lineRule="auto"/>
              <w:jc w:val="center"/>
              <w:rPr>
                <w:b/>
                <w:bCs/>
                <w:sz w:val="20"/>
                <w:szCs w:val="20"/>
              </w:rPr>
            </w:pPr>
            <w:r>
              <w:rPr>
                <w:b/>
                <w:bCs/>
                <w:sz w:val="20"/>
                <w:szCs w:val="20"/>
              </w:rPr>
              <w:t>6</w:t>
            </w:r>
          </w:p>
        </w:tc>
        <w:tc>
          <w:tcPr>
            <w:tcW w:w="2076" w:type="dxa"/>
            <w:tcBorders>
              <w:top w:val="single" w:sz="4" w:space="0" w:color="auto"/>
              <w:left w:val="single" w:sz="4" w:space="0" w:color="auto"/>
              <w:bottom w:val="single" w:sz="4" w:space="0" w:color="auto"/>
              <w:right w:val="single" w:sz="4" w:space="0" w:color="auto"/>
            </w:tcBorders>
            <w:noWrap/>
            <w:vAlign w:val="center"/>
            <w:hideMark/>
          </w:tcPr>
          <w:p w:rsidR="000E6A73" w:rsidRDefault="000E6A73" w:rsidP="00F93C07">
            <w:pPr>
              <w:spacing w:after="0" w:line="240" w:lineRule="auto"/>
              <w:rPr>
                <w:b/>
                <w:bCs/>
                <w:sz w:val="20"/>
                <w:szCs w:val="20"/>
              </w:rPr>
            </w:pPr>
            <w:r>
              <w:rPr>
                <w:b/>
                <w:bCs/>
                <w:sz w:val="20"/>
                <w:szCs w:val="20"/>
              </w:rPr>
              <w:t>Отпуск питьевой воды</w:t>
            </w:r>
          </w:p>
        </w:tc>
        <w:tc>
          <w:tcPr>
            <w:tcW w:w="711" w:type="dxa"/>
            <w:tcBorders>
              <w:top w:val="single" w:sz="4" w:space="0" w:color="auto"/>
              <w:left w:val="single" w:sz="4" w:space="0" w:color="auto"/>
              <w:bottom w:val="single" w:sz="4" w:space="0" w:color="auto"/>
              <w:right w:val="single" w:sz="4" w:space="0" w:color="auto"/>
            </w:tcBorders>
            <w:noWrap/>
            <w:vAlign w:val="center"/>
            <w:hideMark/>
          </w:tcPr>
          <w:p w:rsidR="000E6A73" w:rsidRDefault="000E6A73" w:rsidP="00F93C07">
            <w:pPr>
              <w:spacing w:after="0" w:line="240" w:lineRule="auto"/>
              <w:rPr>
                <w:sz w:val="20"/>
                <w:szCs w:val="20"/>
              </w:rPr>
            </w:pPr>
          </w:p>
        </w:tc>
        <w:tc>
          <w:tcPr>
            <w:tcW w:w="1134" w:type="dxa"/>
            <w:tcBorders>
              <w:top w:val="single" w:sz="4" w:space="0" w:color="auto"/>
              <w:left w:val="single" w:sz="4" w:space="0" w:color="auto"/>
              <w:bottom w:val="single" w:sz="4" w:space="0" w:color="auto"/>
              <w:right w:val="single" w:sz="4" w:space="0" w:color="auto"/>
            </w:tcBorders>
            <w:noWrap/>
            <w:vAlign w:val="center"/>
          </w:tcPr>
          <w:p w:rsidR="000E6A73" w:rsidRDefault="000E6A73" w:rsidP="00F93C07">
            <w:pPr>
              <w:spacing w:after="0" w:line="240" w:lineRule="auto"/>
              <w:jc w:val="center"/>
              <w:rPr>
                <w:sz w:val="20"/>
                <w:szCs w:val="20"/>
              </w:rPr>
            </w:pPr>
          </w:p>
        </w:tc>
        <w:tc>
          <w:tcPr>
            <w:tcW w:w="1134" w:type="dxa"/>
            <w:tcBorders>
              <w:top w:val="single" w:sz="4" w:space="0" w:color="auto"/>
              <w:left w:val="single" w:sz="4" w:space="0" w:color="auto"/>
              <w:bottom w:val="single" w:sz="4" w:space="0" w:color="auto"/>
              <w:right w:val="single" w:sz="4" w:space="0" w:color="auto"/>
            </w:tcBorders>
            <w:noWrap/>
            <w:vAlign w:val="center"/>
          </w:tcPr>
          <w:p w:rsidR="000E6A73" w:rsidRDefault="000E6A73" w:rsidP="00F93C07">
            <w:pPr>
              <w:spacing w:after="0" w:line="240" w:lineRule="auto"/>
              <w:jc w:val="center"/>
              <w:rPr>
                <w:sz w:val="20"/>
                <w:szCs w:val="20"/>
              </w:rPr>
            </w:pPr>
          </w:p>
        </w:tc>
        <w:tc>
          <w:tcPr>
            <w:tcW w:w="1133" w:type="dxa"/>
            <w:tcBorders>
              <w:top w:val="single" w:sz="4" w:space="0" w:color="auto"/>
              <w:left w:val="single" w:sz="4" w:space="0" w:color="auto"/>
              <w:bottom w:val="single" w:sz="4" w:space="0" w:color="auto"/>
              <w:right w:val="single" w:sz="4" w:space="0" w:color="auto"/>
            </w:tcBorders>
            <w:noWrap/>
            <w:vAlign w:val="center"/>
          </w:tcPr>
          <w:p w:rsidR="000E6A73" w:rsidRDefault="000E6A73" w:rsidP="00F93C07">
            <w:pPr>
              <w:spacing w:after="0" w:line="240" w:lineRule="auto"/>
              <w:jc w:val="center"/>
              <w:rPr>
                <w:sz w:val="20"/>
                <w:szCs w:val="20"/>
              </w:rPr>
            </w:pPr>
          </w:p>
        </w:tc>
        <w:tc>
          <w:tcPr>
            <w:tcW w:w="1134" w:type="dxa"/>
            <w:tcBorders>
              <w:top w:val="single" w:sz="4" w:space="0" w:color="auto"/>
              <w:left w:val="single" w:sz="4" w:space="0" w:color="auto"/>
              <w:bottom w:val="single" w:sz="4" w:space="0" w:color="auto"/>
              <w:right w:val="single" w:sz="4" w:space="0" w:color="auto"/>
            </w:tcBorders>
            <w:noWrap/>
            <w:vAlign w:val="center"/>
          </w:tcPr>
          <w:p w:rsidR="000E6A73" w:rsidRDefault="000E6A73" w:rsidP="00F93C07">
            <w:pPr>
              <w:spacing w:after="0" w:line="240" w:lineRule="auto"/>
              <w:jc w:val="center"/>
              <w:rPr>
                <w:sz w:val="20"/>
                <w:szCs w:val="20"/>
              </w:rPr>
            </w:pPr>
          </w:p>
        </w:tc>
        <w:tc>
          <w:tcPr>
            <w:tcW w:w="1134" w:type="dxa"/>
            <w:tcBorders>
              <w:top w:val="single" w:sz="4" w:space="0" w:color="auto"/>
              <w:left w:val="single" w:sz="4" w:space="0" w:color="auto"/>
              <w:bottom w:val="single" w:sz="4" w:space="0" w:color="auto"/>
              <w:right w:val="single" w:sz="4" w:space="0" w:color="auto"/>
            </w:tcBorders>
            <w:noWrap/>
            <w:vAlign w:val="center"/>
          </w:tcPr>
          <w:p w:rsidR="000E6A73" w:rsidRDefault="000E6A73" w:rsidP="00F93C07">
            <w:pPr>
              <w:spacing w:after="0" w:line="240" w:lineRule="auto"/>
              <w:jc w:val="center"/>
              <w:rPr>
                <w:sz w:val="20"/>
                <w:szCs w:val="20"/>
              </w:rPr>
            </w:pPr>
          </w:p>
        </w:tc>
        <w:tc>
          <w:tcPr>
            <w:tcW w:w="1133" w:type="dxa"/>
            <w:tcBorders>
              <w:top w:val="single" w:sz="4" w:space="0" w:color="auto"/>
              <w:left w:val="single" w:sz="4" w:space="0" w:color="auto"/>
              <w:bottom w:val="single" w:sz="4" w:space="0" w:color="auto"/>
              <w:right w:val="single" w:sz="4" w:space="0" w:color="auto"/>
            </w:tcBorders>
            <w:vAlign w:val="center"/>
          </w:tcPr>
          <w:p w:rsidR="000E6A73" w:rsidRDefault="000E6A73" w:rsidP="00F93C07">
            <w:pPr>
              <w:spacing w:after="0" w:line="240" w:lineRule="auto"/>
              <w:jc w:val="center"/>
              <w:rPr>
                <w:sz w:val="20"/>
                <w:szCs w:val="20"/>
              </w:rPr>
            </w:pPr>
          </w:p>
        </w:tc>
      </w:tr>
      <w:tr w:rsidR="000E6A73" w:rsidTr="004911B6">
        <w:trPr>
          <w:trHeight w:val="300"/>
        </w:trPr>
        <w:tc>
          <w:tcPr>
            <w:tcW w:w="615" w:type="dxa"/>
            <w:tcBorders>
              <w:top w:val="single" w:sz="4" w:space="0" w:color="auto"/>
              <w:left w:val="single" w:sz="4" w:space="0" w:color="auto"/>
              <w:bottom w:val="single" w:sz="4" w:space="0" w:color="auto"/>
              <w:right w:val="single" w:sz="4" w:space="0" w:color="auto"/>
            </w:tcBorders>
            <w:noWrap/>
            <w:vAlign w:val="center"/>
            <w:hideMark/>
          </w:tcPr>
          <w:p w:rsidR="000E6A73" w:rsidRDefault="000E6A73" w:rsidP="00F93C07">
            <w:pPr>
              <w:spacing w:after="0" w:line="240" w:lineRule="auto"/>
              <w:jc w:val="center"/>
              <w:rPr>
                <w:sz w:val="20"/>
                <w:szCs w:val="20"/>
              </w:rPr>
            </w:pPr>
            <w:r>
              <w:rPr>
                <w:sz w:val="20"/>
                <w:szCs w:val="20"/>
              </w:rPr>
              <w:t> </w:t>
            </w:r>
          </w:p>
        </w:tc>
        <w:tc>
          <w:tcPr>
            <w:tcW w:w="2076" w:type="dxa"/>
            <w:tcBorders>
              <w:top w:val="single" w:sz="4" w:space="0" w:color="auto"/>
              <w:left w:val="single" w:sz="4" w:space="0" w:color="auto"/>
              <w:bottom w:val="single" w:sz="4" w:space="0" w:color="auto"/>
              <w:right w:val="single" w:sz="4" w:space="0" w:color="auto"/>
            </w:tcBorders>
            <w:noWrap/>
            <w:vAlign w:val="center"/>
            <w:hideMark/>
          </w:tcPr>
          <w:p w:rsidR="000E6A73" w:rsidRDefault="000E6A73" w:rsidP="00F93C07">
            <w:pPr>
              <w:spacing w:after="0" w:line="240" w:lineRule="auto"/>
              <w:ind w:firstLineChars="21" w:firstLine="42"/>
              <w:rPr>
                <w:b/>
                <w:bCs/>
                <w:sz w:val="20"/>
                <w:szCs w:val="20"/>
              </w:rPr>
            </w:pPr>
            <w:r>
              <w:rPr>
                <w:b/>
                <w:bCs/>
                <w:sz w:val="20"/>
                <w:szCs w:val="20"/>
              </w:rPr>
              <w:t>Объем реализации</w:t>
            </w:r>
          </w:p>
        </w:tc>
        <w:tc>
          <w:tcPr>
            <w:tcW w:w="711" w:type="dxa"/>
            <w:tcBorders>
              <w:top w:val="single" w:sz="4" w:space="0" w:color="auto"/>
              <w:left w:val="single" w:sz="4" w:space="0" w:color="auto"/>
              <w:bottom w:val="single" w:sz="4" w:space="0" w:color="auto"/>
              <w:right w:val="single" w:sz="4" w:space="0" w:color="auto"/>
            </w:tcBorders>
            <w:noWrap/>
            <w:vAlign w:val="center"/>
            <w:hideMark/>
          </w:tcPr>
          <w:p w:rsidR="000E6A73" w:rsidRDefault="000E6A73" w:rsidP="00F93C07">
            <w:pPr>
              <w:spacing w:after="0" w:line="240" w:lineRule="auto"/>
              <w:jc w:val="center"/>
              <w:rPr>
                <w:sz w:val="20"/>
                <w:szCs w:val="20"/>
              </w:rPr>
            </w:pPr>
            <w:r>
              <w:rPr>
                <w:sz w:val="20"/>
                <w:szCs w:val="20"/>
              </w:rPr>
              <w:t>тыс. м</w:t>
            </w:r>
            <w:r>
              <w:rPr>
                <w:sz w:val="20"/>
                <w:szCs w:val="20"/>
                <w:vertAlign w:val="superscript"/>
              </w:rPr>
              <w:t>3</w:t>
            </w:r>
          </w:p>
        </w:tc>
        <w:tc>
          <w:tcPr>
            <w:tcW w:w="1134" w:type="dxa"/>
            <w:tcBorders>
              <w:top w:val="single" w:sz="4" w:space="0" w:color="auto"/>
              <w:left w:val="single" w:sz="4" w:space="0" w:color="auto"/>
              <w:bottom w:val="single" w:sz="4" w:space="0" w:color="auto"/>
              <w:right w:val="single" w:sz="4" w:space="0" w:color="auto"/>
            </w:tcBorders>
            <w:noWrap/>
            <w:vAlign w:val="center"/>
            <w:hideMark/>
          </w:tcPr>
          <w:p w:rsidR="000E6A73" w:rsidRDefault="000E6A73" w:rsidP="00F93C07">
            <w:pPr>
              <w:spacing w:after="0" w:line="240" w:lineRule="auto"/>
              <w:jc w:val="center"/>
              <w:rPr>
                <w:b/>
                <w:bCs/>
                <w:sz w:val="20"/>
                <w:szCs w:val="20"/>
              </w:rPr>
            </w:pPr>
            <w:r>
              <w:rPr>
                <w:b/>
                <w:bCs/>
                <w:sz w:val="20"/>
                <w:szCs w:val="20"/>
              </w:rPr>
              <w:t>160 238,65</w:t>
            </w:r>
          </w:p>
        </w:tc>
        <w:tc>
          <w:tcPr>
            <w:tcW w:w="1134" w:type="dxa"/>
            <w:tcBorders>
              <w:top w:val="single" w:sz="4" w:space="0" w:color="auto"/>
              <w:left w:val="single" w:sz="4" w:space="0" w:color="auto"/>
              <w:bottom w:val="single" w:sz="4" w:space="0" w:color="auto"/>
              <w:right w:val="single" w:sz="4" w:space="0" w:color="auto"/>
            </w:tcBorders>
            <w:noWrap/>
            <w:vAlign w:val="center"/>
            <w:hideMark/>
          </w:tcPr>
          <w:p w:rsidR="000E6A73" w:rsidRDefault="000E6A73" w:rsidP="00F93C07">
            <w:pPr>
              <w:spacing w:after="0" w:line="240" w:lineRule="auto"/>
              <w:jc w:val="center"/>
              <w:rPr>
                <w:b/>
                <w:bCs/>
                <w:sz w:val="20"/>
                <w:szCs w:val="20"/>
              </w:rPr>
            </w:pPr>
            <w:r>
              <w:rPr>
                <w:b/>
                <w:bCs/>
                <w:sz w:val="20"/>
                <w:szCs w:val="20"/>
              </w:rPr>
              <w:t>154 708,40</w:t>
            </w:r>
          </w:p>
        </w:tc>
        <w:tc>
          <w:tcPr>
            <w:tcW w:w="1133" w:type="dxa"/>
            <w:tcBorders>
              <w:top w:val="single" w:sz="4" w:space="0" w:color="auto"/>
              <w:left w:val="single" w:sz="4" w:space="0" w:color="auto"/>
              <w:bottom w:val="single" w:sz="4" w:space="0" w:color="auto"/>
              <w:right w:val="single" w:sz="4" w:space="0" w:color="auto"/>
            </w:tcBorders>
            <w:noWrap/>
            <w:vAlign w:val="center"/>
            <w:hideMark/>
          </w:tcPr>
          <w:p w:rsidR="000E6A73" w:rsidRDefault="000E6A73" w:rsidP="00F93C07">
            <w:pPr>
              <w:spacing w:after="0" w:line="240" w:lineRule="auto"/>
              <w:jc w:val="center"/>
              <w:rPr>
                <w:b/>
                <w:bCs/>
                <w:sz w:val="20"/>
                <w:szCs w:val="20"/>
              </w:rPr>
            </w:pPr>
            <w:r>
              <w:rPr>
                <w:b/>
                <w:bCs/>
                <w:sz w:val="20"/>
                <w:szCs w:val="20"/>
              </w:rPr>
              <w:t>148 639,00</w:t>
            </w:r>
          </w:p>
        </w:tc>
        <w:tc>
          <w:tcPr>
            <w:tcW w:w="1134" w:type="dxa"/>
            <w:tcBorders>
              <w:top w:val="single" w:sz="4" w:space="0" w:color="auto"/>
              <w:left w:val="single" w:sz="4" w:space="0" w:color="auto"/>
              <w:bottom w:val="single" w:sz="4" w:space="0" w:color="auto"/>
              <w:right w:val="single" w:sz="4" w:space="0" w:color="auto"/>
            </w:tcBorders>
            <w:noWrap/>
            <w:vAlign w:val="center"/>
            <w:hideMark/>
          </w:tcPr>
          <w:p w:rsidR="000E6A73" w:rsidRDefault="000E6A73" w:rsidP="00F93C07">
            <w:pPr>
              <w:spacing w:after="0" w:line="240" w:lineRule="auto"/>
              <w:jc w:val="center"/>
              <w:rPr>
                <w:b/>
                <w:bCs/>
                <w:sz w:val="20"/>
                <w:szCs w:val="20"/>
              </w:rPr>
            </w:pPr>
            <w:r>
              <w:rPr>
                <w:b/>
                <w:bCs/>
                <w:sz w:val="20"/>
                <w:szCs w:val="20"/>
              </w:rPr>
              <w:t>148 906,13</w:t>
            </w:r>
          </w:p>
        </w:tc>
        <w:tc>
          <w:tcPr>
            <w:tcW w:w="1134" w:type="dxa"/>
            <w:tcBorders>
              <w:top w:val="single" w:sz="4" w:space="0" w:color="auto"/>
              <w:left w:val="single" w:sz="4" w:space="0" w:color="auto"/>
              <w:bottom w:val="single" w:sz="4" w:space="0" w:color="auto"/>
              <w:right w:val="single" w:sz="4" w:space="0" w:color="auto"/>
            </w:tcBorders>
            <w:noWrap/>
            <w:vAlign w:val="center"/>
            <w:hideMark/>
          </w:tcPr>
          <w:p w:rsidR="000E6A73" w:rsidRDefault="000E6A73" w:rsidP="00F93C07">
            <w:pPr>
              <w:spacing w:after="0" w:line="240" w:lineRule="auto"/>
              <w:jc w:val="center"/>
              <w:rPr>
                <w:b/>
                <w:bCs/>
                <w:sz w:val="20"/>
                <w:szCs w:val="20"/>
              </w:rPr>
            </w:pPr>
            <w:r>
              <w:rPr>
                <w:b/>
                <w:bCs/>
                <w:sz w:val="20"/>
                <w:szCs w:val="20"/>
              </w:rPr>
              <w:t>138 033,22</w:t>
            </w:r>
          </w:p>
        </w:tc>
        <w:tc>
          <w:tcPr>
            <w:tcW w:w="1133" w:type="dxa"/>
            <w:tcBorders>
              <w:top w:val="single" w:sz="4" w:space="0" w:color="auto"/>
              <w:left w:val="single" w:sz="4" w:space="0" w:color="auto"/>
              <w:bottom w:val="single" w:sz="4" w:space="0" w:color="auto"/>
              <w:right w:val="single" w:sz="4" w:space="0" w:color="auto"/>
            </w:tcBorders>
            <w:vAlign w:val="center"/>
            <w:hideMark/>
          </w:tcPr>
          <w:p w:rsidR="000E6A73" w:rsidRDefault="000E6A73" w:rsidP="00F93C07">
            <w:pPr>
              <w:spacing w:after="0" w:line="240" w:lineRule="auto"/>
              <w:jc w:val="center"/>
              <w:rPr>
                <w:b/>
                <w:bCs/>
                <w:sz w:val="20"/>
                <w:szCs w:val="20"/>
              </w:rPr>
            </w:pPr>
            <w:r>
              <w:rPr>
                <w:b/>
                <w:bCs/>
                <w:sz w:val="20"/>
                <w:szCs w:val="20"/>
              </w:rPr>
              <w:t>140 068,08</w:t>
            </w:r>
          </w:p>
        </w:tc>
      </w:tr>
      <w:tr w:rsidR="000E6A73" w:rsidTr="004911B6">
        <w:trPr>
          <w:trHeight w:val="300"/>
        </w:trPr>
        <w:tc>
          <w:tcPr>
            <w:tcW w:w="615" w:type="dxa"/>
            <w:tcBorders>
              <w:top w:val="single" w:sz="4" w:space="0" w:color="auto"/>
              <w:left w:val="single" w:sz="4" w:space="0" w:color="auto"/>
              <w:bottom w:val="single" w:sz="4" w:space="0" w:color="auto"/>
              <w:right w:val="single" w:sz="4" w:space="0" w:color="auto"/>
            </w:tcBorders>
            <w:noWrap/>
            <w:vAlign w:val="center"/>
            <w:hideMark/>
          </w:tcPr>
          <w:p w:rsidR="000E6A73" w:rsidRDefault="000E6A73" w:rsidP="00F93C07">
            <w:pPr>
              <w:spacing w:after="0" w:line="240" w:lineRule="auto"/>
              <w:jc w:val="center"/>
              <w:rPr>
                <w:sz w:val="20"/>
                <w:szCs w:val="20"/>
              </w:rPr>
            </w:pPr>
            <w:r>
              <w:rPr>
                <w:sz w:val="20"/>
                <w:szCs w:val="20"/>
              </w:rPr>
              <w:t> </w:t>
            </w:r>
          </w:p>
        </w:tc>
        <w:tc>
          <w:tcPr>
            <w:tcW w:w="2076" w:type="dxa"/>
            <w:tcBorders>
              <w:top w:val="single" w:sz="4" w:space="0" w:color="auto"/>
              <w:left w:val="single" w:sz="4" w:space="0" w:color="auto"/>
              <w:bottom w:val="single" w:sz="4" w:space="0" w:color="auto"/>
              <w:right w:val="single" w:sz="4" w:space="0" w:color="auto"/>
            </w:tcBorders>
            <w:noWrap/>
            <w:vAlign w:val="center"/>
            <w:hideMark/>
          </w:tcPr>
          <w:p w:rsidR="000E6A73" w:rsidRDefault="000E6A73" w:rsidP="00F93C07">
            <w:pPr>
              <w:spacing w:after="0" w:line="240" w:lineRule="auto"/>
              <w:ind w:firstLineChars="200" w:firstLine="400"/>
              <w:rPr>
                <w:sz w:val="20"/>
                <w:szCs w:val="20"/>
              </w:rPr>
            </w:pPr>
            <w:r>
              <w:rPr>
                <w:sz w:val="20"/>
                <w:szCs w:val="20"/>
              </w:rPr>
              <w:t>- бюджетные</w:t>
            </w:r>
          </w:p>
        </w:tc>
        <w:tc>
          <w:tcPr>
            <w:tcW w:w="711" w:type="dxa"/>
            <w:tcBorders>
              <w:top w:val="single" w:sz="4" w:space="0" w:color="auto"/>
              <w:left w:val="single" w:sz="4" w:space="0" w:color="auto"/>
              <w:bottom w:val="single" w:sz="4" w:space="0" w:color="auto"/>
              <w:right w:val="single" w:sz="4" w:space="0" w:color="auto"/>
            </w:tcBorders>
            <w:noWrap/>
            <w:vAlign w:val="center"/>
            <w:hideMark/>
          </w:tcPr>
          <w:p w:rsidR="000E6A73" w:rsidRDefault="000E6A73" w:rsidP="00F93C07">
            <w:pPr>
              <w:spacing w:after="0" w:line="240" w:lineRule="auto"/>
              <w:jc w:val="center"/>
              <w:rPr>
                <w:sz w:val="20"/>
                <w:szCs w:val="20"/>
              </w:rPr>
            </w:pPr>
            <w:r>
              <w:rPr>
                <w:sz w:val="20"/>
                <w:szCs w:val="20"/>
              </w:rPr>
              <w:t>тыс. м</w:t>
            </w:r>
            <w:r>
              <w:rPr>
                <w:sz w:val="20"/>
                <w:szCs w:val="20"/>
                <w:vertAlign w:val="superscript"/>
              </w:rPr>
              <w:t>3</w:t>
            </w:r>
          </w:p>
        </w:tc>
        <w:tc>
          <w:tcPr>
            <w:tcW w:w="1134" w:type="dxa"/>
            <w:tcBorders>
              <w:top w:val="single" w:sz="4" w:space="0" w:color="auto"/>
              <w:left w:val="single" w:sz="4" w:space="0" w:color="auto"/>
              <w:bottom w:val="single" w:sz="4" w:space="0" w:color="auto"/>
              <w:right w:val="single" w:sz="4" w:space="0" w:color="auto"/>
            </w:tcBorders>
            <w:noWrap/>
            <w:vAlign w:val="center"/>
            <w:hideMark/>
          </w:tcPr>
          <w:p w:rsidR="000E6A73" w:rsidRDefault="000E6A73" w:rsidP="00F93C07">
            <w:pPr>
              <w:spacing w:after="0" w:line="240" w:lineRule="auto"/>
              <w:jc w:val="center"/>
              <w:rPr>
                <w:sz w:val="20"/>
                <w:szCs w:val="20"/>
              </w:rPr>
            </w:pPr>
            <w:r>
              <w:rPr>
                <w:sz w:val="20"/>
                <w:szCs w:val="20"/>
              </w:rPr>
              <w:t>10 418,12</w:t>
            </w:r>
          </w:p>
        </w:tc>
        <w:tc>
          <w:tcPr>
            <w:tcW w:w="1134" w:type="dxa"/>
            <w:tcBorders>
              <w:top w:val="single" w:sz="4" w:space="0" w:color="auto"/>
              <w:left w:val="single" w:sz="4" w:space="0" w:color="auto"/>
              <w:bottom w:val="single" w:sz="4" w:space="0" w:color="auto"/>
              <w:right w:val="single" w:sz="4" w:space="0" w:color="auto"/>
            </w:tcBorders>
            <w:noWrap/>
            <w:vAlign w:val="center"/>
            <w:hideMark/>
          </w:tcPr>
          <w:p w:rsidR="000E6A73" w:rsidRDefault="000E6A73" w:rsidP="00F93C07">
            <w:pPr>
              <w:spacing w:after="0" w:line="240" w:lineRule="auto"/>
              <w:jc w:val="center"/>
              <w:rPr>
                <w:sz w:val="20"/>
                <w:szCs w:val="20"/>
              </w:rPr>
            </w:pPr>
            <w:r>
              <w:rPr>
                <w:sz w:val="20"/>
                <w:szCs w:val="20"/>
              </w:rPr>
              <w:t>9 896,40</w:t>
            </w:r>
          </w:p>
        </w:tc>
        <w:tc>
          <w:tcPr>
            <w:tcW w:w="1133" w:type="dxa"/>
            <w:tcBorders>
              <w:top w:val="single" w:sz="4" w:space="0" w:color="auto"/>
              <w:left w:val="single" w:sz="4" w:space="0" w:color="auto"/>
              <w:bottom w:val="single" w:sz="4" w:space="0" w:color="auto"/>
              <w:right w:val="single" w:sz="4" w:space="0" w:color="auto"/>
            </w:tcBorders>
            <w:noWrap/>
            <w:vAlign w:val="center"/>
            <w:hideMark/>
          </w:tcPr>
          <w:p w:rsidR="000E6A73" w:rsidRDefault="000E6A73" w:rsidP="00F93C07">
            <w:pPr>
              <w:spacing w:after="0" w:line="240" w:lineRule="auto"/>
              <w:jc w:val="center"/>
              <w:rPr>
                <w:sz w:val="20"/>
                <w:szCs w:val="20"/>
              </w:rPr>
            </w:pPr>
            <w:r>
              <w:rPr>
                <w:sz w:val="20"/>
                <w:szCs w:val="20"/>
              </w:rPr>
              <w:t>9 387,00</w:t>
            </w:r>
          </w:p>
        </w:tc>
        <w:tc>
          <w:tcPr>
            <w:tcW w:w="1134" w:type="dxa"/>
            <w:tcBorders>
              <w:top w:val="single" w:sz="4" w:space="0" w:color="auto"/>
              <w:left w:val="single" w:sz="4" w:space="0" w:color="auto"/>
              <w:bottom w:val="single" w:sz="4" w:space="0" w:color="auto"/>
              <w:right w:val="single" w:sz="4" w:space="0" w:color="auto"/>
            </w:tcBorders>
            <w:noWrap/>
            <w:vAlign w:val="center"/>
            <w:hideMark/>
          </w:tcPr>
          <w:p w:rsidR="000E6A73" w:rsidRDefault="000E6A73" w:rsidP="00F93C07">
            <w:pPr>
              <w:spacing w:after="0" w:line="240" w:lineRule="auto"/>
              <w:jc w:val="center"/>
              <w:rPr>
                <w:sz w:val="20"/>
                <w:szCs w:val="20"/>
              </w:rPr>
            </w:pPr>
            <w:r>
              <w:rPr>
                <w:sz w:val="20"/>
                <w:szCs w:val="20"/>
              </w:rPr>
              <w:t>9 120,54</w:t>
            </w:r>
          </w:p>
        </w:tc>
        <w:tc>
          <w:tcPr>
            <w:tcW w:w="1134" w:type="dxa"/>
            <w:tcBorders>
              <w:top w:val="single" w:sz="4" w:space="0" w:color="auto"/>
              <w:left w:val="single" w:sz="4" w:space="0" w:color="auto"/>
              <w:bottom w:val="single" w:sz="4" w:space="0" w:color="auto"/>
              <w:right w:val="single" w:sz="4" w:space="0" w:color="auto"/>
            </w:tcBorders>
            <w:noWrap/>
            <w:vAlign w:val="center"/>
            <w:hideMark/>
          </w:tcPr>
          <w:p w:rsidR="000E6A73" w:rsidRDefault="000E6A73" w:rsidP="00F93C07">
            <w:pPr>
              <w:spacing w:after="0" w:line="240" w:lineRule="auto"/>
              <w:jc w:val="center"/>
              <w:rPr>
                <w:sz w:val="20"/>
                <w:szCs w:val="20"/>
              </w:rPr>
            </w:pPr>
            <w:r>
              <w:rPr>
                <w:sz w:val="20"/>
                <w:szCs w:val="20"/>
              </w:rPr>
              <w:t>8 471,77</w:t>
            </w:r>
          </w:p>
        </w:tc>
        <w:tc>
          <w:tcPr>
            <w:tcW w:w="1133" w:type="dxa"/>
            <w:tcBorders>
              <w:top w:val="single" w:sz="4" w:space="0" w:color="auto"/>
              <w:left w:val="single" w:sz="4" w:space="0" w:color="auto"/>
              <w:bottom w:val="single" w:sz="4" w:space="0" w:color="auto"/>
              <w:right w:val="single" w:sz="4" w:space="0" w:color="auto"/>
            </w:tcBorders>
            <w:vAlign w:val="center"/>
            <w:hideMark/>
          </w:tcPr>
          <w:p w:rsidR="000E6A73" w:rsidRDefault="000E6A73" w:rsidP="00F93C07">
            <w:pPr>
              <w:spacing w:after="0" w:line="240" w:lineRule="auto"/>
              <w:jc w:val="center"/>
              <w:rPr>
                <w:sz w:val="20"/>
                <w:szCs w:val="20"/>
              </w:rPr>
            </w:pPr>
            <w:r>
              <w:rPr>
                <w:sz w:val="20"/>
                <w:szCs w:val="20"/>
              </w:rPr>
              <w:t>8 579,21</w:t>
            </w:r>
          </w:p>
        </w:tc>
      </w:tr>
      <w:tr w:rsidR="000E6A73" w:rsidTr="004911B6">
        <w:trPr>
          <w:trHeight w:val="300"/>
        </w:trPr>
        <w:tc>
          <w:tcPr>
            <w:tcW w:w="615" w:type="dxa"/>
            <w:tcBorders>
              <w:top w:val="single" w:sz="4" w:space="0" w:color="auto"/>
              <w:left w:val="single" w:sz="4" w:space="0" w:color="auto"/>
              <w:bottom w:val="single" w:sz="4" w:space="0" w:color="auto"/>
              <w:right w:val="single" w:sz="4" w:space="0" w:color="auto"/>
            </w:tcBorders>
            <w:noWrap/>
            <w:vAlign w:val="center"/>
            <w:hideMark/>
          </w:tcPr>
          <w:p w:rsidR="000E6A73" w:rsidRDefault="000E6A73" w:rsidP="00F93C07">
            <w:pPr>
              <w:spacing w:after="0" w:line="240" w:lineRule="auto"/>
              <w:jc w:val="center"/>
              <w:rPr>
                <w:sz w:val="20"/>
                <w:szCs w:val="20"/>
              </w:rPr>
            </w:pPr>
            <w:r>
              <w:rPr>
                <w:sz w:val="20"/>
                <w:szCs w:val="20"/>
              </w:rPr>
              <w:t> </w:t>
            </w:r>
          </w:p>
        </w:tc>
        <w:tc>
          <w:tcPr>
            <w:tcW w:w="2076" w:type="dxa"/>
            <w:tcBorders>
              <w:top w:val="single" w:sz="4" w:space="0" w:color="auto"/>
              <w:left w:val="nil"/>
              <w:bottom w:val="single" w:sz="4" w:space="0" w:color="auto"/>
              <w:right w:val="single" w:sz="4" w:space="0" w:color="auto"/>
            </w:tcBorders>
            <w:noWrap/>
            <w:vAlign w:val="center"/>
            <w:hideMark/>
          </w:tcPr>
          <w:p w:rsidR="000E6A73" w:rsidRDefault="000E6A73" w:rsidP="00F93C07">
            <w:pPr>
              <w:spacing w:after="0" w:line="240" w:lineRule="auto"/>
              <w:ind w:firstLineChars="200" w:firstLine="400"/>
              <w:rPr>
                <w:sz w:val="20"/>
                <w:szCs w:val="20"/>
              </w:rPr>
            </w:pPr>
            <w:r>
              <w:rPr>
                <w:sz w:val="20"/>
                <w:szCs w:val="20"/>
              </w:rPr>
              <w:t>- население</w:t>
            </w:r>
          </w:p>
        </w:tc>
        <w:tc>
          <w:tcPr>
            <w:tcW w:w="711" w:type="dxa"/>
            <w:tcBorders>
              <w:top w:val="single" w:sz="4" w:space="0" w:color="auto"/>
              <w:left w:val="nil"/>
              <w:bottom w:val="single" w:sz="4" w:space="0" w:color="auto"/>
              <w:right w:val="single" w:sz="4" w:space="0" w:color="auto"/>
            </w:tcBorders>
            <w:noWrap/>
            <w:vAlign w:val="center"/>
            <w:hideMark/>
          </w:tcPr>
          <w:p w:rsidR="000E6A73" w:rsidRDefault="000E6A73" w:rsidP="00F93C07">
            <w:pPr>
              <w:spacing w:after="0" w:line="240" w:lineRule="auto"/>
              <w:jc w:val="center"/>
              <w:rPr>
                <w:sz w:val="20"/>
                <w:szCs w:val="20"/>
              </w:rPr>
            </w:pPr>
            <w:r>
              <w:rPr>
                <w:sz w:val="20"/>
                <w:szCs w:val="20"/>
              </w:rPr>
              <w:t>тыс. м</w:t>
            </w:r>
            <w:r>
              <w:rPr>
                <w:sz w:val="20"/>
                <w:szCs w:val="20"/>
                <w:vertAlign w:val="superscript"/>
              </w:rPr>
              <w:t>3</w:t>
            </w:r>
          </w:p>
        </w:tc>
        <w:tc>
          <w:tcPr>
            <w:tcW w:w="1134" w:type="dxa"/>
            <w:tcBorders>
              <w:top w:val="single" w:sz="4" w:space="0" w:color="auto"/>
              <w:left w:val="nil"/>
              <w:bottom w:val="single" w:sz="4" w:space="0" w:color="auto"/>
              <w:right w:val="single" w:sz="4" w:space="0" w:color="auto"/>
            </w:tcBorders>
            <w:noWrap/>
            <w:vAlign w:val="center"/>
            <w:hideMark/>
          </w:tcPr>
          <w:p w:rsidR="000E6A73" w:rsidRDefault="000E6A73" w:rsidP="00F93C07">
            <w:pPr>
              <w:spacing w:after="0" w:line="240" w:lineRule="auto"/>
              <w:jc w:val="center"/>
              <w:rPr>
                <w:sz w:val="20"/>
                <w:szCs w:val="20"/>
              </w:rPr>
            </w:pPr>
            <w:r>
              <w:rPr>
                <w:sz w:val="20"/>
                <w:szCs w:val="20"/>
              </w:rPr>
              <w:t>109 826,93</w:t>
            </w:r>
          </w:p>
        </w:tc>
        <w:tc>
          <w:tcPr>
            <w:tcW w:w="1134" w:type="dxa"/>
            <w:tcBorders>
              <w:top w:val="single" w:sz="4" w:space="0" w:color="auto"/>
              <w:left w:val="nil"/>
              <w:bottom w:val="single" w:sz="4" w:space="0" w:color="auto"/>
              <w:right w:val="single" w:sz="4" w:space="0" w:color="auto"/>
            </w:tcBorders>
            <w:noWrap/>
            <w:vAlign w:val="center"/>
            <w:hideMark/>
          </w:tcPr>
          <w:p w:rsidR="000E6A73" w:rsidRDefault="000E6A73" w:rsidP="00F93C07">
            <w:pPr>
              <w:spacing w:after="0" w:line="240" w:lineRule="auto"/>
              <w:jc w:val="center"/>
              <w:rPr>
                <w:sz w:val="20"/>
                <w:szCs w:val="20"/>
              </w:rPr>
            </w:pPr>
            <w:r>
              <w:rPr>
                <w:sz w:val="20"/>
                <w:szCs w:val="20"/>
              </w:rPr>
              <w:t>106 108,50</w:t>
            </w:r>
          </w:p>
        </w:tc>
        <w:tc>
          <w:tcPr>
            <w:tcW w:w="1133" w:type="dxa"/>
            <w:tcBorders>
              <w:top w:val="single" w:sz="4" w:space="0" w:color="auto"/>
              <w:left w:val="nil"/>
              <w:bottom w:val="single" w:sz="4" w:space="0" w:color="auto"/>
              <w:right w:val="single" w:sz="4" w:space="0" w:color="auto"/>
            </w:tcBorders>
            <w:noWrap/>
            <w:vAlign w:val="center"/>
            <w:hideMark/>
          </w:tcPr>
          <w:p w:rsidR="000E6A73" w:rsidRDefault="000E6A73" w:rsidP="00F93C07">
            <w:pPr>
              <w:spacing w:after="0" w:line="240" w:lineRule="auto"/>
              <w:jc w:val="center"/>
              <w:rPr>
                <w:sz w:val="20"/>
                <w:szCs w:val="20"/>
              </w:rPr>
            </w:pPr>
            <w:r>
              <w:rPr>
                <w:sz w:val="20"/>
                <w:szCs w:val="20"/>
              </w:rPr>
              <w:t>101 255,00</w:t>
            </w:r>
          </w:p>
        </w:tc>
        <w:tc>
          <w:tcPr>
            <w:tcW w:w="1134" w:type="dxa"/>
            <w:tcBorders>
              <w:top w:val="single" w:sz="4" w:space="0" w:color="auto"/>
              <w:left w:val="nil"/>
              <w:bottom w:val="single" w:sz="4" w:space="0" w:color="auto"/>
              <w:right w:val="single" w:sz="4" w:space="0" w:color="auto"/>
            </w:tcBorders>
            <w:noWrap/>
            <w:vAlign w:val="center"/>
            <w:hideMark/>
          </w:tcPr>
          <w:p w:rsidR="000E6A73" w:rsidRDefault="000E6A73" w:rsidP="00F93C07">
            <w:pPr>
              <w:spacing w:after="0" w:line="240" w:lineRule="auto"/>
              <w:jc w:val="center"/>
              <w:rPr>
                <w:sz w:val="20"/>
                <w:szCs w:val="20"/>
              </w:rPr>
            </w:pPr>
            <w:r>
              <w:rPr>
                <w:sz w:val="20"/>
                <w:szCs w:val="20"/>
              </w:rPr>
              <w:t>100 230,97</w:t>
            </w:r>
          </w:p>
        </w:tc>
        <w:tc>
          <w:tcPr>
            <w:tcW w:w="1134" w:type="dxa"/>
            <w:tcBorders>
              <w:top w:val="single" w:sz="4" w:space="0" w:color="auto"/>
              <w:left w:val="nil"/>
              <w:bottom w:val="single" w:sz="4" w:space="0" w:color="auto"/>
              <w:right w:val="single" w:sz="4" w:space="0" w:color="auto"/>
            </w:tcBorders>
            <w:noWrap/>
            <w:vAlign w:val="center"/>
            <w:hideMark/>
          </w:tcPr>
          <w:p w:rsidR="000E6A73" w:rsidRDefault="000E6A73" w:rsidP="00F93C07">
            <w:pPr>
              <w:spacing w:after="0" w:line="240" w:lineRule="auto"/>
              <w:jc w:val="center"/>
              <w:rPr>
                <w:sz w:val="20"/>
                <w:szCs w:val="20"/>
              </w:rPr>
            </w:pPr>
            <w:r>
              <w:rPr>
                <w:sz w:val="20"/>
                <w:szCs w:val="20"/>
              </w:rPr>
              <w:t>94 696,98</w:t>
            </w:r>
          </w:p>
        </w:tc>
        <w:tc>
          <w:tcPr>
            <w:tcW w:w="1133" w:type="dxa"/>
            <w:tcBorders>
              <w:top w:val="single" w:sz="4" w:space="0" w:color="auto"/>
              <w:left w:val="nil"/>
              <w:bottom w:val="single" w:sz="4" w:space="0" w:color="auto"/>
              <w:right w:val="single" w:sz="4" w:space="0" w:color="auto"/>
            </w:tcBorders>
            <w:vAlign w:val="center"/>
            <w:hideMark/>
          </w:tcPr>
          <w:p w:rsidR="000E6A73" w:rsidRDefault="000E6A73" w:rsidP="00F93C07">
            <w:pPr>
              <w:spacing w:after="0" w:line="240" w:lineRule="auto"/>
              <w:jc w:val="center"/>
              <w:rPr>
                <w:sz w:val="20"/>
                <w:szCs w:val="20"/>
              </w:rPr>
            </w:pPr>
            <w:r>
              <w:rPr>
                <w:sz w:val="20"/>
                <w:szCs w:val="20"/>
              </w:rPr>
              <w:t>94 281,95</w:t>
            </w:r>
          </w:p>
        </w:tc>
      </w:tr>
      <w:tr w:rsidR="000E6A73" w:rsidTr="004911B6">
        <w:trPr>
          <w:trHeight w:val="300"/>
        </w:trPr>
        <w:tc>
          <w:tcPr>
            <w:tcW w:w="615" w:type="dxa"/>
            <w:tcBorders>
              <w:top w:val="nil"/>
              <w:left w:val="single" w:sz="4" w:space="0" w:color="auto"/>
              <w:bottom w:val="single" w:sz="4" w:space="0" w:color="auto"/>
              <w:right w:val="single" w:sz="4" w:space="0" w:color="auto"/>
            </w:tcBorders>
            <w:noWrap/>
            <w:vAlign w:val="center"/>
            <w:hideMark/>
          </w:tcPr>
          <w:p w:rsidR="000E6A73" w:rsidRDefault="000E6A73" w:rsidP="00F93C07">
            <w:pPr>
              <w:spacing w:after="0" w:line="240" w:lineRule="auto"/>
              <w:jc w:val="center"/>
              <w:rPr>
                <w:sz w:val="20"/>
                <w:szCs w:val="20"/>
              </w:rPr>
            </w:pPr>
            <w:r>
              <w:rPr>
                <w:sz w:val="20"/>
                <w:szCs w:val="20"/>
              </w:rPr>
              <w:t> </w:t>
            </w:r>
          </w:p>
        </w:tc>
        <w:tc>
          <w:tcPr>
            <w:tcW w:w="2076" w:type="dxa"/>
            <w:tcBorders>
              <w:top w:val="nil"/>
              <w:left w:val="nil"/>
              <w:bottom w:val="single" w:sz="4" w:space="0" w:color="auto"/>
              <w:right w:val="single" w:sz="4" w:space="0" w:color="auto"/>
            </w:tcBorders>
            <w:noWrap/>
            <w:vAlign w:val="center"/>
            <w:hideMark/>
          </w:tcPr>
          <w:p w:rsidR="000E6A73" w:rsidRDefault="000E6A73" w:rsidP="00F93C07">
            <w:pPr>
              <w:spacing w:after="0" w:line="240" w:lineRule="auto"/>
              <w:ind w:firstLineChars="200" w:firstLine="400"/>
              <w:rPr>
                <w:sz w:val="20"/>
                <w:szCs w:val="20"/>
              </w:rPr>
            </w:pPr>
            <w:r>
              <w:rPr>
                <w:sz w:val="20"/>
                <w:szCs w:val="20"/>
              </w:rPr>
              <w:t>- прочие</w:t>
            </w:r>
          </w:p>
        </w:tc>
        <w:tc>
          <w:tcPr>
            <w:tcW w:w="711" w:type="dxa"/>
            <w:tcBorders>
              <w:top w:val="nil"/>
              <w:left w:val="nil"/>
              <w:bottom w:val="single" w:sz="4" w:space="0" w:color="auto"/>
              <w:right w:val="single" w:sz="4" w:space="0" w:color="auto"/>
            </w:tcBorders>
            <w:noWrap/>
            <w:vAlign w:val="center"/>
            <w:hideMark/>
          </w:tcPr>
          <w:p w:rsidR="000E6A73" w:rsidRDefault="000E6A73" w:rsidP="00F93C07">
            <w:pPr>
              <w:spacing w:after="0" w:line="240" w:lineRule="auto"/>
              <w:jc w:val="center"/>
              <w:rPr>
                <w:sz w:val="20"/>
                <w:szCs w:val="20"/>
              </w:rPr>
            </w:pPr>
            <w:r>
              <w:rPr>
                <w:sz w:val="20"/>
                <w:szCs w:val="20"/>
              </w:rPr>
              <w:t>тыс. м</w:t>
            </w:r>
            <w:r>
              <w:rPr>
                <w:sz w:val="20"/>
                <w:szCs w:val="20"/>
                <w:vertAlign w:val="superscript"/>
              </w:rPr>
              <w:t>3</w:t>
            </w:r>
          </w:p>
        </w:tc>
        <w:tc>
          <w:tcPr>
            <w:tcW w:w="1134" w:type="dxa"/>
            <w:tcBorders>
              <w:top w:val="nil"/>
              <w:left w:val="nil"/>
              <w:bottom w:val="single" w:sz="4" w:space="0" w:color="auto"/>
              <w:right w:val="single" w:sz="4" w:space="0" w:color="auto"/>
            </w:tcBorders>
            <w:noWrap/>
            <w:vAlign w:val="center"/>
            <w:hideMark/>
          </w:tcPr>
          <w:p w:rsidR="000E6A73" w:rsidRDefault="000E6A73" w:rsidP="00F93C07">
            <w:pPr>
              <w:spacing w:after="0" w:line="240" w:lineRule="auto"/>
              <w:jc w:val="center"/>
              <w:rPr>
                <w:sz w:val="20"/>
                <w:szCs w:val="20"/>
              </w:rPr>
            </w:pPr>
            <w:r>
              <w:rPr>
                <w:sz w:val="20"/>
                <w:szCs w:val="20"/>
              </w:rPr>
              <w:t>39 993,60</w:t>
            </w:r>
          </w:p>
        </w:tc>
        <w:tc>
          <w:tcPr>
            <w:tcW w:w="1134" w:type="dxa"/>
            <w:tcBorders>
              <w:top w:val="nil"/>
              <w:left w:val="nil"/>
              <w:bottom w:val="single" w:sz="4" w:space="0" w:color="auto"/>
              <w:right w:val="single" w:sz="4" w:space="0" w:color="auto"/>
            </w:tcBorders>
            <w:noWrap/>
            <w:vAlign w:val="center"/>
            <w:hideMark/>
          </w:tcPr>
          <w:p w:rsidR="000E6A73" w:rsidRDefault="000E6A73" w:rsidP="00F93C07">
            <w:pPr>
              <w:spacing w:after="0" w:line="240" w:lineRule="auto"/>
              <w:jc w:val="center"/>
              <w:rPr>
                <w:sz w:val="20"/>
                <w:szCs w:val="20"/>
              </w:rPr>
            </w:pPr>
            <w:r>
              <w:rPr>
                <w:sz w:val="20"/>
                <w:szCs w:val="20"/>
              </w:rPr>
              <w:t>38 703,50</w:t>
            </w:r>
          </w:p>
        </w:tc>
        <w:tc>
          <w:tcPr>
            <w:tcW w:w="1133" w:type="dxa"/>
            <w:tcBorders>
              <w:top w:val="nil"/>
              <w:left w:val="nil"/>
              <w:bottom w:val="single" w:sz="4" w:space="0" w:color="auto"/>
              <w:right w:val="single" w:sz="4" w:space="0" w:color="auto"/>
            </w:tcBorders>
            <w:noWrap/>
            <w:vAlign w:val="center"/>
            <w:hideMark/>
          </w:tcPr>
          <w:p w:rsidR="000E6A73" w:rsidRDefault="000E6A73" w:rsidP="00F93C07">
            <w:pPr>
              <w:spacing w:after="0" w:line="240" w:lineRule="auto"/>
              <w:jc w:val="center"/>
              <w:rPr>
                <w:sz w:val="20"/>
                <w:szCs w:val="20"/>
              </w:rPr>
            </w:pPr>
            <w:r>
              <w:rPr>
                <w:sz w:val="20"/>
                <w:szCs w:val="20"/>
              </w:rPr>
              <w:t>37 997,00</w:t>
            </w:r>
          </w:p>
        </w:tc>
        <w:tc>
          <w:tcPr>
            <w:tcW w:w="1134" w:type="dxa"/>
            <w:tcBorders>
              <w:top w:val="nil"/>
              <w:left w:val="nil"/>
              <w:bottom w:val="single" w:sz="4" w:space="0" w:color="auto"/>
              <w:right w:val="single" w:sz="4" w:space="0" w:color="auto"/>
            </w:tcBorders>
            <w:noWrap/>
            <w:vAlign w:val="center"/>
            <w:hideMark/>
          </w:tcPr>
          <w:p w:rsidR="000E6A73" w:rsidRDefault="000E6A73" w:rsidP="00F93C07">
            <w:pPr>
              <w:spacing w:after="0" w:line="240" w:lineRule="auto"/>
              <w:jc w:val="center"/>
              <w:rPr>
                <w:sz w:val="20"/>
                <w:szCs w:val="20"/>
              </w:rPr>
            </w:pPr>
            <w:r>
              <w:rPr>
                <w:sz w:val="20"/>
                <w:szCs w:val="20"/>
              </w:rPr>
              <w:t>39 554,62</w:t>
            </w:r>
          </w:p>
        </w:tc>
        <w:tc>
          <w:tcPr>
            <w:tcW w:w="1134" w:type="dxa"/>
            <w:tcBorders>
              <w:top w:val="nil"/>
              <w:left w:val="nil"/>
              <w:bottom w:val="single" w:sz="4" w:space="0" w:color="auto"/>
              <w:right w:val="single" w:sz="4" w:space="0" w:color="auto"/>
            </w:tcBorders>
            <w:noWrap/>
            <w:vAlign w:val="center"/>
            <w:hideMark/>
          </w:tcPr>
          <w:p w:rsidR="000E6A73" w:rsidRDefault="000E6A73" w:rsidP="00F93C07">
            <w:pPr>
              <w:spacing w:after="0" w:line="240" w:lineRule="auto"/>
              <w:jc w:val="center"/>
              <w:rPr>
                <w:sz w:val="20"/>
                <w:szCs w:val="20"/>
              </w:rPr>
            </w:pPr>
            <w:r>
              <w:rPr>
                <w:sz w:val="20"/>
                <w:szCs w:val="20"/>
              </w:rPr>
              <w:t>34 864,47</w:t>
            </w:r>
          </w:p>
        </w:tc>
        <w:tc>
          <w:tcPr>
            <w:tcW w:w="1133" w:type="dxa"/>
            <w:tcBorders>
              <w:top w:val="nil"/>
              <w:left w:val="nil"/>
              <w:bottom w:val="single" w:sz="4" w:space="0" w:color="auto"/>
              <w:right w:val="single" w:sz="4" w:space="0" w:color="auto"/>
            </w:tcBorders>
            <w:vAlign w:val="center"/>
            <w:hideMark/>
          </w:tcPr>
          <w:p w:rsidR="000E6A73" w:rsidRDefault="000E6A73" w:rsidP="00F93C07">
            <w:pPr>
              <w:spacing w:after="0" w:line="240" w:lineRule="auto"/>
              <w:jc w:val="center"/>
              <w:rPr>
                <w:sz w:val="20"/>
                <w:szCs w:val="20"/>
              </w:rPr>
            </w:pPr>
            <w:r>
              <w:rPr>
                <w:sz w:val="20"/>
                <w:szCs w:val="20"/>
              </w:rPr>
              <w:t>37 206,</w:t>
            </w:r>
          </w:p>
        </w:tc>
      </w:tr>
      <w:tr w:rsidR="000E6A73" w:rsidTr="004911B6">
        <w:trPr>
          <w:trHeight w:val="300"/>
        </w:trPr>
        <w:tc>
          <w:tcPr>
            <w:tcW w:w="615" w:type="dxa"/>
            <w:tcBorders>
              <w:top w:val="nil"/>
              <w:left w:val="single" w:sz="4" w:space="0" w:color="auto"/>
              <w:bottom w:val="single" w:sz="4" w:space="0" w:color="auto"/>
              <w:right w:val="single" w:sz="4" w:space="0" w:color="auto"/>
            </w:tcBorders>
            <w:noWrap/>
            <w:vAlign w:val="center"/>
            <w:hideMark/>
          </w:tcPr>
          <w:p w:rsidR="000E6A73" w:rsidRDefault="000E6A73" w:rsidP="00F93C07">
            <w:pPr>
              <w:spacing w:after="0" w:line="240" w:lineRule="auto"/>
              <w:jc w:val="center"/>
              <w:rPr>
                <w:b/>
                <w:bCs/>
                <w:sz w:val="20"/>
                <w:szCs w:val="20"/>
              </w:rPr>
            </w:pPr>
            <w:r>
              <w:rPr>
                <w:b/>
                <w:bCs/>
                <w:sz w:val="20"/>
                <w:szCs w:val="20"/>
              </w:rPr>
              <w:t>11</w:t>
            </w:r>
          </w:p>
        </w:tc>
        <w:tc>
          <w:tcPr>
            <w:tcW w:w="2076" w:type="dxa"/>
            <w:tcBorders>
              <w:top w:val="nil"/>
              <w:left w:val="nil"/>
              <w:bottom w:val="single" w:sz="4" w:space="0" w:color="auto"/>
              <w:right w:val="single" w:sz="4" w:space="0" w:color="auto"/>
            </w:tcBorders>
            <w:noWrap/>
            <w:vAlign w:val="center"/>
            <w:hideMark/>
          </w:tcPr>
          <w:p w:rsidR="000E6A73" w:rsidRDefault="000E6A73" w:rsidP="00F93C07">
            <w:pPr>
              <w:spacing w:after="0" w:line="240" w:lineRule="auto"/>
              <w:rPr>
                <w:b/>
                <w:bCs/>
                <w:sz w:val="20"/>
                <w:szCs w:val="20"/>
              </w:rPr>
            </w:pPr>
            <w:r>
              <w:rPr>
                <w:b/>
                <w:bCs/>
                <w:sz w:val="20"/>
                <w:szCs w:val="20"/>
              </w:rPr>
              <w:t>Темп изменения потребления воды</w:t>
            </w:r>
          </w:p>
        </w:tc>
        <w:tc>
          <w:tcPr>
            <w:tcW w:w="711" w:type="dxa"/>
            <w:tcBorders>
              <w:top w:val="nil"/>
              <w:left w:val="nil"/>
              <w:bottom w:val="single" w:sz="4" w:space="0" w:color="auto"/>
              <w:right w:val="single" w:sz="4" w:space="0" w:color="auto"/>
            </w:tcBorders>
            <w:noWrap/>
            <w:vAlign w:val="center"/>
            <w:hideMark/>
          </w:tcPr>
          <w:p w:rsidR="000E6A73" w:rsidRDefault="000E6A73" w:rsidP="00F93C07">
            <w:pPr>
              <w:spacing w:after="0" w:line="240" w:lineRule="auto"/>
              <w:jc w:val="center"/>
              <w:rPr>
                <w:sz w:val="20"/>
                <w:szCs w:val="20"/>
              </w:rPr>
            </w:pPr>
            <w:r>
              <w:rPr>
                <w:sz w:val="20"/>
                <w:szCs w:val="20"/>
              </w:rPr>
              <w:t>%</w:t>
            </w:r>
          </w:p>
        </w:tc>
        <w:tc>
          <w:tcPr>
            <w:tcW w:w="1134" w:type="dxa"/>
            <w:tcBorders>
              <w:top w:val="nil"/>
              <w:left w:val="nil"/>
              <w:bottom w:val="single" w:sz="4" w:space="0" w:color="auto"/>
              <w:right w:val="single" w:sz="4" w:space="0" w:color="auto"/>
            </w:tcBorders>
            <w:noWrap/>
            <w:vAlign w:val="center"/>
            <w:hideMark/>
          </w:tcPr>
          <w:p w:rsidR="000E6A73" w:rsidRDefault="000E6A73" w:rsidP="00F93C07">
            <w:pPr>
              <w:spacing w:after="0" w:line="240" w:lineRule="auto"/>
              <w:jc w:val="center"/>
              <w:rPr>
                <w:b/>
                <w:bCs/>
                <w:sz w:val="20"/>
                <w:szCs w:val="20"/>
              </w:rPr>
            </w:pPr>
            <w:r>
              <w:rPr>
                <w:b/>
                <w:bCs/>
                <w:sz w:val="20"/>
                <w:szCs w:val="20"/>
              </w:rPr>
              <w:t>95,95%</w:t>
            </w:r>
          </w:p>
        </w:tc>
        <w:tc>
          <w:tcPr>
            <w:tcW w:w="1134" w:type="dxa"/>
            <w:tcBorders>
              <w:top w:val="nil"/>
              <w:left w:val="nil"/>
              <w:bottom w:val="single" w:sz="4" w:space="0" w:color="auto"/>
              <w:right w:val="single" w:sz="4" w:space="0" w:color="auto"/>
            </w:tcBorders>
            <w:noWrap/>
            <w:vAlign w:val="center"/>
            <w:hideMark/>
          </w:tcPr>
          <w:p w:rsidR="000E6A73" w:rsidRDefault="000E6A73" w:rsidP="00F93C07">
            <w:pPr>
              <w:spacing w:after="0" w:line="240" w:lineRule="auto"/>
              <w:jc w:val="center"/>
              <w:rPr>
                <w:b/>
                <w:bCs/>
                <w:sz w:val="20"/>
                <w:szCs w:val="20"/>
              </w:rPr>
            </w:pPr>
            <w:r>
              <w:rPr>
                <w:b/>
                <w:bCs/>
                <w:sz w:val="20"/>
                <w:szCs w:val="20"/>
              </w:rPr>
              <w:t>96,55%</w:t>
            </w:r>
          </w:p>
        </w:tc>
        <w:tc>
          <w:tcPr>
            <w:tcW w:w="1133" w:type="dxa"/>
            <w:tcBorders>
              <w:top w:val="nil"/>
              <w:left w:val="nil"/>
              <w:bottom w:val="single" w:sz="4" w:space="0" w:color="auto"/>
              <w:right w:val="single" w:sz="4" w:space="0" w:color="auto"/>
            </w:tcBorders>
            <w:noWrap/>
            <w:vAlign w:val="center"/>
            <w:hideMark/>
          </w:tcPr>
          <w:p w:rsidR="000E6A73" w:rsidRDefault="000E6A73" w:rsidP="00F93C07">
            <w:pPr>
              <w:spacing w:after="0" w:line="240" w:lineRule="auto"/>
              <w:jc w:val="center"/>
              <w:rPr>
                <w:b/>
                <w:bCs/>
                <w:sz w:val="20"/>
                <w:szCs w:val="20"/>
              </w:rPr>
            </w:pPr>
            <w:r>
              <w:rPr>
                <w:b/>
                <w:bCs/>
                <w:sz w:val="20"/>
                <w:szCs w:val="20"/>
              </w:rPr>
              <w:t>96,08%</w:t>
            </w:r>
          </w:p>
        </w:tc>
        <w:tc>
          <w:tcPr>
            <w:tcW w:w="1134" w:type="dxa"/>
            <w:tcBorders>
              <w:top w:val="nil"/>
              <w:left w:val="nil"/>
              <w:bottom w:val="single" w:sz="4" w:space="0" w:color="auto"/>
              <w:right w:val="single" w:sz="4" w:space="0" w:color="auto"/>
            </w:tcBorders>
            <w:noWrap/>
            <w:vAlign w:val="center"/>
            <w:hideMark/>
          </w:tcPr>
          <w:p w:rsidR="000E6A73" w:rsidRDefault="000E6A73" w:rsidP="00F93C07">
            <w:pPr>
              <w:spacing w:after="0" w:line="240" w:lineRule="auto"/>
              <w:jc w:val="center"/>
              <w:rPr>
                <w:b/>
                <w:bCs/>
                <w:sz w:val="20"/>
                <w:szCs w:val="20"/>
              </w:rPr>
            </w:pPr>
            <w:r>
              <w:rPr>
                <w:b/>
                <w:bCs/>
                <w:sz w:val="20"/>
                <w:szCs w:val="20"/>
              </w:rPr>
              <w:t>100,18 %</w:t>
            </w:r>
          </w:p>
        </w:tc>
        <w:tc>
          <w:tcPr>
            <w:tcW w:w="1134" w:type="dxa"/>
            <w:tcBorders>
              <w:top w:val="nil"/>
              <w:left w:val="nil"/>
              <w:bottom w:val="single" w:sz="4" w:space="0" w:color="auto"/>
              <w:right w:val="single" w:sz="4" w:space="0" w:color="auto"/>
            </w:tcBorders>
            <w:noWrap/>
            <w:vAlign w:val="center"/>
            <w:hideMark/>
          </w:tcPr>
          <w:p w:rsidR="000E6A73" w:rsidRDefault="000E6A73" w:rsidP="00F93C07">
            <w:pPr>
              <w:spacing w:after="0" w:line="240" w:lineRule="auto"/>
              <w:jc w:val="center"/>
              <w:rPr>
                <w:b/>
                <w:bCs/>
                <w:sz w:val="20"/>
                <w:szCs w:val="20"/>
              </w:rPr>
            </w:pPr>
            <w:r>
              <w:rPr>
                <w:b/>
                <w:bCs/>
                <w:sz w:val="20"/>
                <w:szCs w:val="20"/>
              </w:rPr>
              <w:t>86,14%</w:t>
            </w:r>
          </w:p>
        </w:tc>
        <w:tc>
          <w:tcPr>
            <w:tcW w:w="1133" w:type="dxa"/>
            <w:tcBorders>
              <w:top w:val="nil"/>
              <w:left w:val="nil"/>
              <w:bottom w:val="single" w:sz="4" w:space="0" w:color="auto"/>
              <w:right w:val="single" w:sz="4" w:space="0" w:color="auto"/>
            </w:tcBorders>
            <w:vAlign w:val="center"/>
            <w:hideMark/>
          </w:tcPr>
          <w:p w:rsidR="000E6A73" w:rsidRDefault="000E6A73" w:rsidP="00F93C07">
            <w:pPr>
              <w:spacing w:after="0" w:line="240" w:lineRule="auto"/>
              <w:jc w:val="center"/>
              <w:rPr>
                <w:b/>
                <w:bCs/>
                <w:sz w:val="20"/>
                <w:szCs w:val="20"/>
              </w:rPr>
            </w:pPr>
            <w:r>
              <w:rPr>
                <w:b/>
                <w:bCs/>
                <w:sz w:val="20"/>
                <w:szCs w:val="20"/>
              </w:rPr>
              <w:t>101,47 %</w:t>
            </w:r>
          </w:p>
        </w:tc>
      </w:tr>
    </w:tbl>
    <w:p w:rsidR="000E6A73" w:rsidRDefault="000E6A73" w:rsidP="000E6A73">
      <w:pPr>
        <w:pStyle w:val="af"/>
        <w:spacing w:before="0" w:after="0"/>
        <w:ind w:firstLine="567"/>
        <w:jc w:val="both"/>
        <w:outlineLvl w:val="0"/>
        <w:rPr>
          <w:rFonts w:ascii="Times New Roman" w:hAnsi="Times New Roman"/>
          <w:sz w:val="20"/>
          <w:szCs w:val="20"/>
        </w:rPr>
      </w:pPr>
    </w:p>
    <w:p w:rsidR="000E6A73" w:rsidRDefault="000E6A73" w:rsidP="000E6A73">
      <w:pPr>
        <w:pStyle w:val="af"/>
        <w:spacing w:before="0" w:after="0"/>
        <w:ind w:firstLine="567"/>
        <w:jc w:val="both"/>
        <w:outlineLvl w:val="0"/>
        <w:rPr>
          <w:rFonts w:ascii="Times New Roman" w:hAnsi="Times New Roman"/>
          <w:sz w:val="28"/>
          <w:szCs w:val="28"/>
        </w:rPr>
      </w:pPr>
      <w:r>
        <w:rPr>
          <w:rFonts w:ascii="Times New Roman" w:hAnsi="Times New Roman"/>
          <w:sz w:val="28"/>
          <w:szCs w:val="28"/>
        </w:rPr>
        <w:t>Расчетный объем отпущенной питьевой воды на 2020 год определен департаментом в соответствии с пунктом 4 Методических указаний исходя из фактического объема отпущенной питьевой воды (реализация) за последний отчетный год (2018) и динамики объемов отпущенной питьевой воды (реализация) за последние 3 года.</w:t>
      </w:r>
    </w:p>
    <w:p w:rsidR="003D2783" w:rsidRDefault="003D2783" w:rsidP="000E6A73">
      <w:pPr>
        <w:pStyle w:val="af"/>
        <w:spacing w:before="0" w:after="0"/>
        <w:ind w:firstLine="567"/>
        <w:jc w:val="both"/>
        <w:outlineLvl w:val="0"/>
        <w:rPr>
          <w:rFonts w:ascii="Times New Roman" w:hAnsi="Times New Roman"/>
          <w:sz w:val="28"/>
          <w:szCs w:val="28"/>
        </w:rPr>
      </w:pPr>
    </w:p>
    <w:p w:rsidR="005D3E06" w:rsidRDefault="005D3E06" w:rsidP="000E6A73">
      <w:pPr>
        <w:pStyle w:val="af"/>
        <w:spacing w:before="0" w:after="0"/>
        <w:ind w:firstLine="567"/>
        <w:jc w:val="both"/>
        <w:outlineLvl w:val="0"/>
        <w:rPr>
          <w:rFonts w:ascii="Times New Roman" w:hAnsi="Times New Roman"/>
          <w:sz w:val="28"/>
          <w:szCs w:val="28"/>
        </w:rPr>
      </w:pPr>
      <w:r>
        <w:rPr>
          <w:noProof/>
        </w:rPr>
        <w:drawing>
          <wp:inline distT="0" distB="0" distL="0" distR="0" wp14:anchorId="26F0F2CA" wp14:editId="049EEAA8">
            <wp:extent cx="5808268" cy="3825850"/>
            <wp:effectExtent l="0" t="0" r="0" b="0"/>
            <wp:docPr id="24" name="Диаграмма 24"/>
            <wp:cNvGraphicFramePr>
              <a:graphicFrameLocks xmlns:a="http://schemas.openxmlformats.org/drawingml/2006/main"/>
            </wp:cNvGraphicFramePr>
            <a:graphic xmlns:a="http://schemas.openxmlformats.org/drawingml/2006/main">
              <a:graphicData uri="http://schemas.openxmlformats.org/drawingml/2006/chart">
                <c:chart xmlns:c="http://schemas.openxmlformats.org/drawingml/2006/chart" xmlns:r="http://schemas.openxmlformats.org/officeDocument/2006/relationships" r:id="rId57"/>
              </a:graphicData>
            </a:graphic>
          </wp:inline>
        </w:drawing>
      </w:r>
    </w:p>
    <w:p w:rsidR="005D3E06" w:rsidRPr="003D2783" w:rsidRDefault="003D2783" w:rsidP="003D2783">
      <w:pPr>
        <w:pStyle w:val="af"/>
        <w:spacing w:before="0" w:after="0"/>
        <w:ind w:firstLine="567"/>
        <w:jc w:val="center"/>
        <w:outlineLvl w:val="0"/>
        <w:rPr>
          <w:rFonts w:ascii="Times New Roman" w:hAnsi="Times New Roman"/>
        </w:rPr>
      </w:pPr>
      <w:r w:rsidRPr="003D2783">
        <w:rPr>
          <w:rFonts w:ascii="Times New Roman" w:hAnsi="Times New Roman"/>
        </w:rPr>
        <w:t>Рис. 2.4.1.</w:t>
      </w:r>
    </w:p>
    <w:p w:rsidR="007A0559" w:rsidRDefault="007A0559" w:rsidP="000E6A73">
      <w:pPr>
        <w:ind w:firstLine="567"/>
        <w:jc w:val="both"/>
        <w:rPr>
          <w:rFonts w:eastAsia="Calibri"/>
          <w:sz w:val="28"/>
          <w:szCs w:val="28"/>
          <w:u w:val="single"/>
          <w:lang w:eastAsia="en-US"/>
        </w:rPr>
      </w:pPr>
    </w:p>
    <w:p w:rsidR="00F93C07" w:rsidRDefault="00F93C07" w:rsidP="003D2783">
      <w:pPr>
        <w:ind w:firstLine="567"/>
        <w:jc w:val="center"/>
        <w:rPr>
          <w:rFonts w:eastAsia="Calibri"/>
          <w:lang w:eastAsia="en-US"/>
        </w:rPr>
      </w:pPr>
      <w:r>
        <w:rPr>
          <w:noProof/>
        </w:rPr>
        <w:drawing>
          <wp:inline distT="0" distB="0" distL="0" distR="0" wp14:anchorId="5F9CD624" wp14:editId="1ED01C3D">
            <wp:extent cx="5888736" cy="4257447"/>
            <wp:effectExtent l="0" t="0" r="0" b="0"/>
            <wp:docPr id="22" name="Диаграмма 22"/>
            <wp:cNvGraphicFramePr>
              <a:graphicFrameLocks xmlns:a="http://schemas.openxmlformats.org/drawingml/2006/main"/>
            </wp:cNvGraphicFramePr>
            <a:graphic xmlns:a="http://schemas.openxmlformats.org/drawingml/2006/main">
              <a:graphicData uri="http://schemas.openxmlformats.org/drawingml/2006/chart">
                <c:chart xmlns:c="http://schemas.openxmlformats.org/drawingml/2006/chart" xmlns:r="http://schemas.openxmlformats.org/officeDocument/2006/relationships" r:id="rId58"/>
              </a:graphicData>
            </a:graphic>
          </wp:inline>
        </w:drawing>
      </w:r>
    </w:p>
    <w:p w:rsidR="003D2783" w:rsidRPr="003D2783" w:rsidRDefault="003D2783" w:rsidP="003D2783">
      <w:pPr>
        <w:ind w:firstLine="567"/>
        <w:jc w:val="center"/>
        <w:rPr>
          <w:rFonts w:eastAsia="Calibri"/>
          <w:lang w:eastAsia="en-US"/>
        </w:rPr>
      </w:pPr>
      <w:r w:rsidRPr="003D2783">
        <w:rPr>
          <w:rFonts w:eastAsia="Calibri"/>
          <w:lang w:eastAsia="en-US"/>
        </w:rPr>
        <w:t>Рис. 2.4.2</w:t>
      </w:r>
    </w:p>
    <w:p w:rsidR="00F93C07" w:rsidRDefault="00F93C07" w:rsidP="000E6A73">
      <w:pPr>
        <w:ind w:firstLine="567"/>
        <w:jc w:val="both"/>
        <w:rPr>
          <w:rFonts w:eastAsia="Calibri"/>
          <w:sz w:val="28"/>
          <w:szCs w:val="28"/>
          <w:u w:val="single"/>
          <w:lang w:eastAsia="en-US"/>
        </w:rPr>
      </w:pPr>
    </w:p>
    <w:p w:rsidR="000E6A73" w:rsidRDefault="000E6A73" w:rsidP="000E6A73">
      <w:pPr>
        <w:ind w:firstLine="567"/>
        <w:jc w:val="both"/>
        <w:rPr>
          <w:rFonts w:eastAsia="Calibri"/>
          <w:sz w:val="28"/>
          <w:szCs w:val="28"/>
          <w:lang w:eastAsia="en-US"/>
        </w:rPr>
      </w:pPr>
      <w:r w:rsidRPr="004911B6">
        <w:rPr>
          <w:rFonts w:eastAsia="Calibri"/>
          <w:sz w:val="28"/>
          <w:szCs w:val="28"/>
          <w:u w:val="single"/>
          <w:lang w:eastAsia="en-US"/>
        </w:rPr>
        <w:lastRenderedPageBreak/>
        <w:t>Баланс водоотведения</w:t>
      </w:r>
      <w:r>
        <w:rPr>
          <w:rFonts w:eastAsia="Calibri"/>
          <w:sz w:val="28"/>
          <w:szCs w:val="28"/>
          <w:lang w:eastAsia="en-US"/>
        </w:rPr>
        <w:t xml:space="preserve"> </w:t>
      </w:r>
      <w:r>
        <w:rPr>
          <w:sz w:val="28"/>
          <w:szCs w:val="28"/>
        </w:rPr>
        <w:t xml:space="preserve">МУП г. Новосибирска «ГОРВОДОКАНАЛ» </w:t>
      </w:r>
      <w:r>
        <w:rPr>
          <w:rFonts w:eastAsia="Calibri"/>
          <w:sz w:val="28"/>
          <w:szCs w:val="28"/>
          <w:lang w:eastAsia="en-US"/>
        </w:rPr>
        <w:t>за период с 2015 по 2020 годы представлен в таблице</w:t>
      </w:r>
      <w:r w:rsidR="004911B6">
        <w:rPr>
          <w:rFonts w:eastAsia="Calibri"/>
          <w:sz w:val="28"/>
          <w:szCs w:val="28"/>
          <w:lang w:eastAsia="en-US"/>
        </w:rPr>
        <w:t xml:space="preserve"> 2.4.5</w:t>
      </w:r>
      <w:r>
        <w:rPr>
          <w:rFonts w:eastAsia="Calibri"/>
          <w:sz w:val="28"/>
          <w:szCs w:val="28"/>
          <w:lang w:eastAsia="en-US"/>
        </w:rPr>
        <w:t>.</w:t>
      </w:r>
    </w:p>
    <w:p w:rsidR="000E6A73" w:rsidRDefault="004911B6" w:rsidP="000E6A73">
      <w:pPr>
        <w:ind w:firstLine="567"/>
        <w:jc w:val="both"/>
        <w:rPr>
          <w:rFonts w:eastAsia="Calibri"/>
          <w:sz w:val="28"/>
          <w:szCs w:val="28"/>
          <w:u w:val="single"/>
          <w:lang w:eastAsia="en-US"/>
        </w:rPr>
      </w:pPr>
      <w:r>
        <w:rPr>
          <w:b/>
          <w:bCs/>
        </w:rPr>
        <w:t>Баланс водоот</w:t>
      </w:r>
      <w:r w:rsidR="007A0559">
        <w:rPr>
          <w:b/>
          <w:bCs/>
        </w:rPr>
        <w:t>ведения МУП г. Новосибирска «</w:t>
      </w:r>
      <w:r>
        <w:rPr>
          <w:b/>
          <w:bCs/>
        </w:rPr>
        <w:t>ГОРВОДОКАНАЛ</w:t>
      </w:r>
      <w:r w:rsidR="007A0559">
        <w:rPr>
          <w:b/>
          <w:bCs/>
        </w:rPr>
        <w:t xml:space="preserve">»        </w:t>
      </w:r>
      <w:r w:rsidR="007A0559" w:rsidRPr="007A0559">
        <w:rPr>
          <w:bCs/>
        </w:rPr>
        <w:t>Таблица №2.4.5.</w:t>
      </w:r>
      <w:r w:rsidRPr="004911B6">
        <w:rPr>
          <w:b/>
          <w:bCs/>
        </w:rPr>
        <w:t xml:space="preserve"> </w:t>
      </w:r>
    </w:p>
    <w:tbl>
      <w:tblPr>
        <w:tblW w:w="10206" w:type="dxa"/>
        <w:tblInd w:w="108" w:type="dxa"/>
        <w:tblLayout w:type="fixed"/>
        <w:tblLook w:val="04A0" w:firstRow="1" w:lastRow="0" w:firstColumn="1" w:lastColumn="0" w:noHBand="0" w:noVBand="1"/>
      </w:tblPr>
      <w:tblGrid>
        <w:gridCol w:w="708"/>
        <w:gridCol w:w="1986"/>
        <w:gridCol w:w="708"/>
        <w:gridCol w:w="1134"/>
        <w:gridCol w:w="1134"/>
        <w:gridCol w:w="1134"/>
        <w:gridCol w:w="1134"/>
        <w:gridCol w:w="1134"/>
        <w:gridCol w:w="1134"/>
      </w:tblGrid>
      <w:tr w:rsidR="000E6A73" w:rsidTr="004911B6">
        <w:trPr>
          <w:trHeight w:val="315"/>
        </w:trPr>
        <w:tc>
          <w:tcPr>
            <w:tcW w:w="708" w:type="dxa"/>
            <w:vMerge w:val="restart"/>
            <w:tcBorders>
              <w:top w:val="single" w:sz="4" w:space="0" w:color="auto"/>
              <w:left w:val="single" w:sz="4" w:space="0" w:color="auto"/>
              <w:bottom w:val="single" w:sz="4" w:space="0" w:color="auto"/>
              <w:right w:val="single" w:sz="4" w:space="0" w:color="auto"/>
            </w:tcBorders>
            <w:vAlign w:val="center"/>
            <w:hideMark/>
          </w:tcPr>
          <w:p w:rsidR="000E6A73" w:rsidRDefault="000E6A73" w:rsidP="00F93C07">
            <w:pPr>
              <w:spacing w:after="0" w:line="240" w:lineRule="auto"/>
              <w:jc w:val="center"/>
              <w:rPr>
                <w:sz w:val="20"/>
                <w:szCs w:val="20"/>
              </w:rPr>
            </w:pPr>
            <w:r>
              <w:rPr>
                <w:sz w:val="20"/>
                <w:szCs w:val="20"/>
              </w:rPr>
              <w:t>№ п/п</w:t>
            </w:r>
          </w:p>
        </w:tc>
        <w:tc>
          <w:tcPr>
            <w:tcW w:w="1986" w:type="dxa"/>
            <w:vMerge w:val="restart"/>
            <w:tcBorders>
              <w:top w:val="single" w:sz="4" w:space="0" w:color="auto"/>
              <w:left w:val="single" w:sz="4" w:space="0" w:color="auto"/>
              <w:bottom w:val="single" w:sz="4" w:space="0" w:color="auto"/>
              <w:right w:val="single" w:sz="4" w:space="0" w:color="auto"/>
            </w:tcBorders>
            <w:noWrap/>
            <w:vAlign w:val="center"/>
            <w:hideMark/>
          </w:tcPr>
          <w:p w:rsidR="000E6A73" w:rsidRDefault="000E6A73" w:rsidP="00F93C07">
            <w:pPr>
              <w:spacing w:after="0" w:line="240" w:lineRule="auto"/>
              <w:jc w:val="center"/>
              <w:rPr>
                <w:sz w:val="20"/>
                <w:szCs w:val="20"/>
              </w:rPr>
            </w:pPr>
            <w:r>
              <w:rPr>
                <w:sz w:val="20"/>
                <w:szCs w:val="20"/>
              </w:rPr>
              <w:t>Наименование</w:t>
            </w:r>
          </w:p>
        </w:tc>
        <w:tc>
          <w:tcPr>
            <w:tcW w:w="708" w:type="dxa"/>
            <w:vMerge w:val="restart"/>
            <w:tcBorders>
              <w:top w:val="single" w:sz="4" w:space="0" w:color="auto"/>
              <w:left w:val="single" w:sz="4" w:space="0" w:color="auto"/>
              <w:bottom w:val="single" w:sz="4" w:space="0" w:color="auto"/>
              <w:right w:val="single" w:sz="4" w:space="0" w:color="auto"/>
            </w:tcBorders>
            <w:vAlign w:val="center"/>
            <w:hideMark/>
          </w:tcPr>
          <w:p w:rsidR="000E6A73" w:rsidRDefault="000E6A73" w:rsidP="00F93C07">
            <w:pPr>
              <w:spacing w:after="0" w:line="240" w:lineRule="auto"/>
              <w:jc w:val="center"/>
              <w:rPr>
                <w:sz w:val="20"/>
                <w:szCs w:val="20"/>
              </w:rPr>
            </w:pPr>
            <w:r>
              <w:rPr>
                <w:sz w:val="20"/>
                <w:szCs w:val="20"/>
              </w:rPr>
              <w:t>Ед.</w:t>
            </w:r>
            <w:r>
              <w:rPr>
                <w:sz w:val="20"/>
                <w:szCs w:val="20"/>
              </w:rPr>
              <w:br/>
              <w:t>изм.</w:t>
            </w:r>
          </w:p>
        </w:tc>
        <w:tc>
          <w:tcPr>
            <w:tcW w:w="1134" w:type="dxa"/>
            <w:tcBorders>
              <w:top w:val="single" w:sz="4" w:space="0" w:color="auto"/>
              <w:left w:val="nil"/>
              <w:bottom w:val="single" w:sz="4" w:space="0" w:color="auto"/>
              <w:right w:val="single" w:sz="4" w:space="0" w:color="auto"/>
            </w:tcBorders>
            <w:vAlign w:val="center"/>
            <w:hideMark/>
          </w:tcPr>
          <w:p w:rsidR="000E6A73" w:rsidRDefault="000E6A73" w:rsidP="00F93C07">
            <w:pPr>
              <w:spacing w:after="0" w:line="240" w:lineRule="auto"/>
              <w:jc w:val="center"/>
              <w:rPr>
                <w:sz w:val="20"/>
                <w:szCs w:val="20"/>
              </w:rPr>
            </w:pPr>
            <w:r>
              <w:rPr>
                <w:sz w:val="20"/>
                <w:szCs w:val="20"/>
              </w:rPr>
              <w:t>2015</w:t>
            </w:r>
          </w:p>
        </w:tc>
        <w:tc>
          <w:tcPr>
            <w:tcW w:w="1134" w:type="dxa"/>
            <w:tcBorders>
              <w:top w:val="single" w:sz="4" w:space="0" w:color="auto"/>
              <w:left w:val="nil"/>
              <w:bottom w:val="single" w:sz="4" w:space="0" w:color="auto"/>
              <w:right w:val="single" w:sz="4" w:space="0" w:color="auto"/>
            </w:tcBorders>
            <w:vAlign w:val="center"/>
            <w:hideMark/>
          </w:tcPr>
          <w:p w:rsidR="000E6A73" w:rsidRDefault="000E6A73" w:rsidP="00F93C07">
            <w:pPr>
              <w:spacing w:after="0" w:line="240" w:lineRule="auto"/>
              <w:jc w:val="center"/>
              <w:rPr>
                <w:sz w:val="20"/>
                <w:szCs w:val="20"/>
              </w:rPr>
            </w:pPr>
            <w:r>
              <w:rPr>
                <w:sz w:val="20"/>
                <w:szCs w:val="20"/>
              </w:rPr>
              <w:t>2016</w:t>
            </w:r>
          </w:p>
        </w:tc>
        <w:tc>
          <w:tcPr>
            <w:tcW w:w="1134" w:type="dxa"/>
            <w:tcBorders>
              <w:top w:val="single" w:sz="4" w:space="0" w:color="auto"/>
              <w:left w:val="nil"/>
              <w:bottom w:val="single" w:sz="4" w:space="0" w:color="auto"/>
              <w:right w:val="nil"/>
            </w:tcBorders>
            <w:noWrap/>
            <w:vAlign w:val="center"/>
            <w:hideMark/>
          </w:tcPr>
          <w:p w:rsidR="000E6A73" w:rsidRDefault="000E6A73" w:rsidP="00F93C07">
            <w:pPr>
              <w:spacing w:after="0" w:line="240" w:lineRule="auto"/>
              <w:jc w:val="center"/>
              <w:rPr>
                <w:sz w:val="20"/>
                <w:szCs w:val="20"/>
              </w:rPr>
            </w:pPr>
            <w:r>
              <w:rPr>
                <w:sz w:val="20"/>
                <w:szCs w:val="20"/>
              </w:rPr>
              <w:t>2017</w:t>
            </w:r>
          </w:p>
        </w:tc>
        <w:tc>
          <w:tcPr>
            <w:tcW w:w="1134" w:type="dxa"/>
            <w:tcBorders>
              <w:top w:val="single" w:sz="4" w:space="0" w:color="auto"/>
              <w:left w:val="single" w:sz="4" w:space="0" w:color="auto"/>
              <w:bottom w:val="single" w:sz="4" w:space="0" w:color="auto"/>
              <w:right w:val="single" w:sz="4" w:space="0" w:color="auto"/>
            </w:tcBorders>
            <w:noWrap/>
            <w:vAlign w:val="center"/>
            <w:hideMark/>
          </w:tcPr>
          <w:p w:rsidR="000E6A73" w:rsidRDefault="000E6A73" w:rsidP="00F93C07">
            <w:pPr>
              <w:spacing w:after="0" w:line="240" w:lineRule="auto"/>
              <w:jc w:val="center"/>
              <w:rPr>
                <w:sz w:val="20"/>
                <w:szCs w:val="20"/>
              </w:rPr>
            </w:pPr>
            <w:r>
              <w:rPr>
                <w:sz w:val="20"/>
                <w:szCs w:val="20"/>
              </w:rPr>
              <w:t>2018</w:t>
            </w:r>
          </w:p>
        </w:tc>
        <w:tc>
          <w:tcPr>
            <w:tcW w:w="1134" w:type="dxa"/>
            <w:tcBorders>
              <w:top w:val="single" w:sz="4" w:space="0" w:color="auto"/>
              <w:left w:val="nil"/>
              <w:bottom w:val="single" w:sz="4" w:space="0" w:color="auto"/>
              <w:right w:val="single" w:sz="4" w:space="0" w:color="auto"/>
            </w:tcBorders>
            <w:noWrap/>
            <w:vAlign w:val="center"/>
            <w:hideMark/>
          </w:tcPr>
          <w:p w:rsidR="000E6A73" w:rsidRDefault="000E6A73" w:rsidP="00F93C07">
            <w:pPr>
              <w:spacing w:after="0" w:line="240" w:lineRule="auto"/>
              <w:jc w:val="center"/>
              <w:rPr>
                <w:sz w:val="20"/>
                <w:szCs w:val="20"/>
              </w:rPr>
            </w:pPr>
            <w:r>
              <w:rPr>
                <w:sz w:val="20"/>
                <w:szCs w:val="20"/>
              </w:rPr>
              <w:t>2019</w:t>
            </w:r>
          </w:p>
        </w:tc>
        <w:tc>
          <w:tcPr>
            <w:tcW w:w="1134" w:type="dxa"/>
            <w:tcBorders>
              <w:top w:val="single" w:sz="4" w:space="0" w:color="auto"/>
              <w:left w:val="nil"/>
              <w:bottom w:val="single" w:sz="4" w:space="0" w:color="auto"/>
              <w:right w:val="single" w:sz="4" w:space="0" w:color="auto"/>
            </w:tcBorders>
            <w:vAlign w:val="center"/>
            <w:hideMark/>
          </w:tcPr>
          <w:p w:rsidR="000E6A73" w:rsidRDefault="000E6A73" w:rsidP="00F93C07">
            <w:pPr>
              <w:spacing w:after="0" w:line="240" w:lineRule="auto"/>
              <w:jc w:val="center"/>
              <w:rPr>
                <w:sz w:val="20"/>
                <w:szCs w:val="20"/>
              </w:rPr>
            </w:pPr>
            <w:r>
              <w:rPr>
                <w:sz w:val="20"/>
                <w:szCs w:val="20"/>
              </w:rPr>
              <w:t>2020</w:t>
            </w:r>
          </w:p>
        </w:tc>
      </w:tr>
      <w:tr w:rsidR="000E6A73" w:rsidTr="004911B6">
        <w:trPr>
          <w:trHeight w:val="570"/>
        </w:trPr>
        <w:tc>
          <w:tcPr>
            <w:tcW w:w="708" w:type="dxa"/>
            <w:vMerge/>
            <w:tcBorders>
              <w:top w:val="single" w:sz="4" w:space="0" w:color="auto"/>
              <w:left w:val="single" w:sz="4" w:space="0" w:color="auto"/>
              <w:bottom w:val="single" w:sz="4" w:space="0" w:color="auto"/>
              <w:right w:val="single" w:sz="4" w:space="0" w:color="auto"/>
            </w:tcBorders>
            <w:vAlign w:val="center"/>
            <w:hideMark/>
          </w:tcPr>
          <w:p w:rsidR="000E6A73" w:rsidRDefault="000E6A73" w:rsidP="00F93C07">
            <w:pPr>
              <w:spacing w:after="0" w:line="240" w:lineRule="auto"/>
              <w:rPr>
                <w:sz w:val="20"/>
                <w:szCs w:val="20"/>
              </w:rPr>
            </w:pPr>
          </w:p>
        </w:tc>
        <w:tc>
          <w:tcPr>
            <w:tcW w:w="1986" w:type="dxa"/>
            <w:vMerge/>
            <w:tcBorders>
              <w:top w:val="single" w:sz="4" w:space="0" w:color="auto"/>
              <w:left w:val="single" w:sz="4" w:space="0" w:color="auto"/>
              <w:bottom w:val="single" w:sz="4" w:space="0" w:color="auto"/>
              <w:right w:val="single" w:sz="4" w:space="0" w:color="auto"/>
            </w:tcBorders>
            <w:vAlign w:val="center"/>
            <w:hideMark/>
          </w:tcPr>
          <w:p w:rsidR="000E6A73" w:rsidRDefault="000E6A73" w:rsidP="00F93C07">
            <w:pPr>
              <w:spacing w:after="0" w:line="240" w:lineRule="auto"/>
              <w:rPr>
                <w:sz w:val="20"/>
                <w:szCs w:val="20"/>
              </w:rPr>
            </w:pPr>
          </w:p>
        </w:tc>
        <w:tc>
          <w:tcPr>
            <w:tcW w:w="708" w:type="dxa"/>
            <w:vMerge/>
            <w:tcBorders>
              <w:top w:val="single" w:sz="4" w:space="0" w:color="auto"/>
              <w:left w:val="single" w:sz="4" w:space="0" w:color="auto"/>
              <w:bottom w:val="single" w:sz="4" w:space="0" w:color="auto"/>
              <w:right w:val="single" w:sz="4" w:space="0" w:color="auto"/>
            </w:tcBorders>
            <w:vAlign w:val="center"/>
            <w:hideMark/>
          </w:tcPr>
          <w:p w:rsidR="000E6A73" w:rsidRDefault="000E6A73" w:rsidP="00F93C07">
            <w:pPr>
              <w:spacing w:after="0" w:line="240" w:lineRule="auto"/>
              <w:rPr>
                <w:sz w:val="20"/>
                <w:szCs w:val="20"/>
              </w:rPr>
            </w:pPr>
          </w:p>
        </w:tc>
        <w:tc>
          <w:tcPr>
            <w:tcW w:w="1134" w:type="dxa"/>
            <w:tcBorders>
              <w:top w:val="nil"/>
              <w:left w:val="nil"/>
              <w:bottom w:val="single" w:sz="4" w:space="0" w:color="auto"/>
              <w:right w:val="single" w:sz="4" w:space="0" w:color="auto"/>
            </w:tcBorders>
            <w:noWrap/>
            <w:vAlign w:val="center"/>
            <w:hideMark/>
          </w:tcPr>
          <w:p w:rsidR="000E6A73" w:rsidRDefault="000E6A73" w:rsidP="00F93C07">
            <w:pPr>
              <w:spacing w:after="0" w:line="240" w:lineRule="auto"/>
              <w:jc w:val="center"/>
              <w:rPr>
                <w:sz w:val="20"/>
                <w:szCs w:val="20"/>
              </w:rPr>
            </w:pPr>
            <w:r>
              <w:rPr>
                <w:sz w:val="20"/>
                <w:szCs w:val="20"/>
              </w:rPr>
              <w:t>факт</w:t>
            </w:r>
          </w:p>
        </w:tc>
        <w:tc>
          <w:tcPr>
            <w:tcW w:w="1134" w:type="dxa"/>
            <w:tcBorders>
              <w:top w:val="nil"/>
              <w:left w:val="nil"/>
              <w:bottom w:val="single" w:sz="4" w:space="0" w:color="auto"/>
              <w:right w:val="single" w:sz="4" w:space="0" w:color="auto"/>
            </w:tcBorders>
            <w:noWrap/>
            <w:vAlign w:val="center"/>
            <w:hideMark/>
          </w:tcPr>
          <w:p w:rsidR="000E6A73" w:rsidRDefault="000E6A73" w:rsidP="00F93C07">
            <w:pPr>
              <w:spacing w:after="0" w:line="240" w:lineRule="auto"/>
              <w:jc w:val="center"/>
              <w:rPr>
                <w:sz w:val="20"/>
                <w:szCs w:val="20"/>
              </w:rPr>
            </w:pPr>
            <w:r>
              <w:rPr>
                <w:sz w:val="20"/>
                <w:szCs w:val="20"/>
              </w:rPr>
              <w:t>факт</w:t>
            </w:r>
          </w:p>
        </w:tc>
        <w:tc>
          <w:tcPr>
            <w:tcW w:w="1134" w:type="dxa"/>
            <w:tcBorders>
              <w:top w:val="nil"/>
              <w:left w:val="nil"/>
              <w:bottom w:val="single" w:sz="4" w:space="0" w:color="auto"/>
              <w:right w:val="single" w:sz="4" w:space="0" w:color="auto"/>
            </w:tcBorders>
            <w:noWrap/>
            <w:vAlign w:val="center"/>
            <w:hideMark/>
          </w:tcPr>
          <w:p w:rsidR="000E6A73" w:rsidRDefault="000E6A73" w:rsidP="00F93C07">
            <w:pPr>
              <w:spacing w:after="0" w:line="240" w:lineRule="auto"/>
              <w:jc w:val="center"/>
              <w:rPr>
                <w:sz w:val="20"/>
                <w:szCs w:val="20"/>
              </w:rPr>
            </w:pPr>
            <w:r>
              <w:rPr>
                <w:sz w:val="20"/>
                <w:szCs w:val="20"/>
              </w:rPr>
              <w:t>факт</w:t>
            </w:r>
          </w:p>
        </w:tc>
        <w:tc>
          <w:tcPr>
            <w:tcW w:w="1134" w:type="dxa"/>
            <w:tcBorders>
              <w:top w:val="nil"/>
              <w:left w:val="nil"/>
              <w:bottom w:val="single" w:sz="4" w:space="0" w:color="auto"/>
              <w:right w:val="single" w:sz="4" w:space="0" w:color="auto"/>
            </w:tcBorders>
            <w:vAlign w:val="center"/>
            <w:hideMark/>
          </w:tcPr>
          <w:p w:rsidR="000E6A73" w:rsidRDefault="000E6A73" w:rsidP="00F93C07">
            <w:pPr>
              <w:spacing w:after="0" w:line="240" w:lineRule="auto"/>
              <w:jc w:val="center"/>
              <w:rPr>
                <w:sz w:val="20"/>
                <w:szCs w:val="20"/>
              </w:rPr>
            </w:pPr>
            <w:r>
              <w:rPr>
                <w:sz w:val="20"/>
                <w:szCs w:val="20"/>
              </w:rPr>
              <w:t>факт</w:t>
            </w:r>
          </w:p>
        </w:tc>
        <w:tc>
          <w:tcPr>
            <w:tcW w:w="1134" w:type="dxa"/>
            <w:tcBorders>
              <w:top w:val="nil"/>
              <w:left w:val="nil"/>
              <w:bottom w:val="single" w:sz="4" w:space="0" w:color="auto"/>
              <w:right w:val="single" w:sz="4" w:space="0" w:color="auto"/>
            </w:tcBorders>
            <w:vAlign w:val="center"/>
            <w:hideMark/>
          </w:tcPr>
          <w:p w:rsidR="000E6A73" w:rsidRDefault="000E6A73" w:rsidP="00F93C07">
            <w:pPr>
              <w:spacing w:after="0" w:line="240" w:lineRule="auto"/>
              <w:jc w:val="center"/>
              <w:rPr>
                <w:sz w:val="20"/>
                <w:szCs w:val="20"/>
              </w:rPr>
            </w:pPr>
            <w:r>
              <w:rPr>
                <w:sz w:val="20"/>
                <w:szCs w:val="20"/>
              </w:rPr>
              <w:t>план</w:t>
            </w:r>
          </w:p>
        </w:tc>
        <w:tc>
          <w:tcPr>
            <w:tcW w:w="1134" w:type="dxa"/>
            <w:tcBorders>
              <w:top w:val="nil"/>
              <w:left w:val="nil"/>
              <w:bottom w:val="single" w:sz="4" w:space="0" w:color="auto"/>
              <w:right w:val="single" w:sz="4" w:space="0" w:color="auto"/>
            </w:tcBorders>
            <w:vAlign w:val="center"/>
            <w:hideMark/>
          </w:tcPr>
          <w:p w:rsidR="000E6A73" w:rsidRDefault="000E6A73" w:rsidP="00F93C07">
            <w:pPr>
              <w:spacing w:after="0" w:line="240" w:lineRule="auto"/>
              <w:jc w:val="center"/>
              <w:rPr>
                <w:sz w:val="20"/>
                <w:szCs w:val="20"/>
              </w:rPr>
            </w:pPr>
            <w:r>
              <w:rPr>
                <w:sz w:val="20"/>
                <w:szCs w:val="20"/>
              </w:rPr>
              <w:t>план</w:t>
            </w:r>
          </w:p>
        </w:tc>
      </w:tr>
      <w:tr w:rsidR="000E6A73" w:rsidTr="007A0559">
        <w:trPr>
          <w:trHeight w:val="281"/>
        </w:trPr>
        <w:tc>
          <w:tcPr>
            <w:tcW w:w="708" w:type="dxa"/>
            <w:tcBorders>
              <w:top w:val="nil"/>
              <w:left w:val="single" w:sz="4" w:space="0" w:color="auto"/>
              <w:bottom w:val="single" w:sz="4" w:space="0" w:color="auto"/>
              <w:right w:val="single" w:sz="4" w:space="0" w:color="auto"/>
            </w:tcBorders>
            <w:noWrap/>
            <w:vAlign w:val="center"/>
            <w:hideMark/>
          </w:tcPr>
          <w:p w:rsidR="000E6A73" w:rsidRDefault="000E6A73" w:rsidP="00F93C07">
            <w:pPr>
              <w:spacing w:after="0" w:line="240" w:lineRule="auto"/>
              <w:jc w:val="center"/>
              <w:rPr>
                <w:sz w:val="20"/>
                <w:szCs w:val="20"/>
              </w:rPr>
            </w:pPr>
            <w:r>
              <w:rPr>
                <w:sz w:val="20"/>
                <w:szCs w:val="20"/>
              </w:rPr>
              <w:t>1</w:t>
            </w:r>
          </w:p>
        </w:tc>
        <w:tc>
          <w:tcPr>
            <w:tcW w:w="1986" w:type="dxa"/>
            <w:tcBorders>
              <w:top w:val="nil"/>
              <w:left w:val="nil"/>
              <w:bottom w:val="single" w:sz="4" w:space="0" w:color="auto"/>
              <w:right w:val="single" w:sz="4" w:space="0" w:color="auto"/>
            </w:tcBorders>
            <w:noWrap/>
            <w:vAlign w:val="center"/>
            <w:hideMark/>
          </w:tcPr>
          <w:p w:rsidR="000E6A73" w:rsidRDefault="000E6A73" w:rsidP="00F93C07">
            <w:pPr>
              <w:spacing w:after="0" w:line="240" w:lineRule="auto"/>
              <w:jc w:val="center"/>
              <w:rPr>
                <w:sz w:val="20"/>
                <w:szCs w:val="20"/>
              </w:rPr>
            </w:pPr>
            <w:r>
              <w:rPr>
                <w:sz w:val="20"/>
                <w:szCs w:val="20"/>
              </w:rPr>
              <w:t>2</w:t>
            </w:r>
          </w:p>
        </w:tc>
        <w:tc>
          <w:tcPr>
            <w:tcW w:w="708" w:type="dxa"/>
            <w:tcBorders>
              <w:top w:val="nil"/>
              <w:left w:val="nil"/>
              <w:bottom w:val="single" w:sz="4" w:space="0" w:color="auto"/>
              <w:right w:val="single" w:sz="4" w:space="0" w:color="auto"/>
            </w:tcBorders>
            <w:noWrap/>
            <w:vAlign w:val="center"/>
            <w:hideMark/>
          </w:tcPr>
          <w:p w:rsidR="000E6A73" w:rsidRDefault="000E6A73" w:rsidP="00F93C07">
            <w:pPr>
              <w:spacing w:after="0" w:line="240" w:lineRule="auto"/>
              <w:jc w:val="center"/>
              <w:rPr>
                <w:sz w:val="20"/>
                <w:szCs w:val="20"/>
              </w:rPr>
            </w:pPr>
            <w:r>
              <w:rPr>
                <w:sz w:val="20"/>
                <w:szCs w:val="20"/>
              </w:rPr>
              <w:t>3</w:t>
            </w:r>
          </w:p>
        </w:tc>
        <w:tc>
          <w:tcPr>
            <w:tcW w:w="1134" w:type="dxa"/>
            <w:tcBorders>
              <w:top w:val="nil"/>
              <w:left w:val="nil"/>
              <w:bottom w:val="single" w:sz="4" w:space="0" w:color="auto"/>
              <w:right w:val="single" w:sz="4" w:space="0" w:color="auto"/>
            </w:tcBorders>
            <w:noWrap/>
            <w:vAlign w:val="center"/>
            <w:hideMark/>
          </w:tcPr>
          <w:p w:rsidR="000E6A73" w:rsidRDefault="000E6A73" w:rsidP="00F93C07">
            <w:pPr>
              <w:spacing w:after="0" w:line="240" w:lineRule="auto"/>
              <w:jc w:val="center"/>
              <w:rPr>
                <w:sz w:val="20"/>
                <w:szCs w:val="20"/>
              </w:rPr>
            </w:pPr>
            <w:r>
              <w:rPr>
                <w:sz w:val="20"/>
                <w:szCs w:val="20"/>
              </w:rPr>
              <w:t>4</w:t>
            </w:r>
          </w:p>
        </w:tc>
        <w:tc>
          <w:tcPr>
            <w:tcW w:w="1134" w:type="dxa"/>
            <w:tcBorders>
              <w:top w:val="nil"/>
              <w:left w:val="nil"/>
              <w:bottom w:val="single" w:sz="4" w:space="0" w:color="auto"/>
              <w:right w:val="single" w:sz="4" w:space="0" w:color="auto"/>
            </w:tcBorders>
            <w:noWrap/>
            <w:vAlign w:val="center"/>
            <w:hideMark/>
          </w:tcPr>
          <w:p w:rsidR="000E6A73" w:rsidRDefault="000E6A73" w:rsidP="00F93C07">
            <w:pPr>
              <w:spacing w:after="0" w:line="240" w:lineRule="auto"/>
              <w:jc w:val="center"/>
              <w:rPr>
                <w:sz w:val="20"/>
                <w:szCs w:val="20"/>
              </w:rPr>
            </w:pPr>
            <w:r>
              <w:rPr>
                <w:sz w:val="20"/>
                <w:szCs w:val="20"/>
              </w:rPr>
              <w:t>5</w:t>
            </w:r>
          </w:p>
        </w:tc>
        <w:tc>
          <w:tcPr>
            <w:tcW w:w="1134" w:type="dxa"/>
            <w:tcBorders>
              <w:top w:val="nil"/>
              <w:left w:val="nil"/>
              <w:bottom w:val="single" w:sz="4" w:space="0" w:color="auto"/>
              <w:right w:val="single" w:sz="4" w:space="0" w:color="auto"/>
            </w:tcBorders>
            <w:noWrap/>
            <w:vAlign w:val="center"/>
            <w:hideMark/>
          </w:tcPr>
          <w:p w:rsidR="000E6A73" w:rsidRDefault="000E6A73" w:rsidP="00F93C07">
            <w:pPr>
              <w:spacing w:after="0" w:line="240" w:lineRule="auto"/>
              <w:jc w:val="center"/>
              <w:rPr>
                <w:sz w:val="20"/>
                <w:szCs w:val="20"/>
              </w:rPr>
            </w:pPr>
            <w:r>
              <w:rPr>
                <w:sz w:val="20"/>
                <w:szCs w:val="20"/>
              </w:rPr>
              <w:t>6</w:t>
            </w:r>
          </w:p>
        </w:tc>
        <w:tc>
          <w:tcPr>
            <w:tcW w:w="1134" w:type="dxa"/>
            <w:tcBorders>
              <w:top w:val="nil"/>
              <w:left w:val="nil"/>
              <w:bottom w:val="single" w:sz="4" w:space="0" w:color="auto"/>
              <w:right w:val="single" w:sz="4" w:space="0" w:color="auto"/>
            </w:tcBorders>
            <w:noWrap/>
            <w:vAlign w:val="center"/>
            <w:hideMark/>
          </w:tcPr>
          <w:p w:rsidR="000E6A73" w:rsidRDefault="000E6A73" w:rsidP="00F93C07">
            <w:pPr>
              <w:spacing w:after="0" w:line="240" w:lineRule="auto"/>
              <w:jc w:val="center"/>
              <w:rPr>
                <w:sz w:val="20"/>
                <w:szCs w:val="20"/>
              </w:rPr>
            </w:pPr>
            <w:r>
              <w:rPr>
                <w:sz w:val="20"/>
                <w:szCs w:val="20"/>
              </w:rPr>
              <w:t>7</w:t>
            </w:r>
          </w:p>
        </w:tc>
        <w:tc>
          <w:tcPr>
            <w:tcW w:w="1134" w:type="dxa"/>
            <w:tcBorders>
              <w:top w:val="nil"/>
              <w:left w:val="nil"/>
              <w:bottom w:val="single" w:sz="4" w:space="0" w:color="auto"/>
              <w:right w:val="single" w:sz="4" w:space="0" w:color="auto"/>
            </w:tcBorders>
            <w:noWrap/>
            <w:vAlign w:val="center"/>
            <w:hideMark/>
          </w:tcPr>
          <w:p w:rsidR="000E6A73" w:rsidRDefault="000E6A73" w:rsidP="00F93C07">
            <w:pPr>
              <w:spacing w:after="0" w:line="240" w:lineRule="auto"/>
              <w:jc w:val="center"/>
              <w:rPr>
                <w:sz w:val="20"/>
                <w:szCs w:val="20"/>
              </w:rPr>
            </w:pPr>
            <w:r>
              <w:rPr>
                <w:sz w:val="20"/>
                <w:szCs w:val="20"/>
              </w:rPr>
              <w:t>8</w:t>
            </w:r>
          </w:p>
        </w:tc>
        <w:tc>
          <w:tcPr>
            <w:tcW w:w="1134" w:type="dxa"/>
            <w:tcBorders>
              <w:top w:val="nil"/>
              <w:left w:val="nil"/>
              <w:bottom w:val="single" w:sz="4" w:space="0" w:color="auto"/>
              <w:right w:val="single" w:sz="4" w:space="0" w:color="auto"/>
            </w:tcBorders>
            <w:vAlign w:val="center"/>
            <w:hideMark/>
          </w:tcPr>
          <w:p w:rsidR="000E6A73" w:rsidRDefault="000E6A73" w:rsidP="00F93C07">
            <w:pPr>
              <w:spacing w:after="0" w:line="240" w:lineRule="auto"/>
              <w:jc w:val="center"/>
              <w:rPr>
                <w:sz w:val="20"/>
                <w:szCs w:val="20"/>
              </w:rPr>
            </w:pPr>
            <w:r>
              <w:rPr>
                <w:sz w:val="20"/>
                <w:szCs w:val="20"/>
              </w:rPr>
              <w:t>9</w:t>
            </w:r>
          </w:p>
        </w:tc>
      </w:tr>
      <w:tr w:rsidR="000E6A73" w:rsidTr="004911B6">
        <w:trPr>
          <w:trHeight w:val="300"/>
        </w:trPr>
        <w:tc>
          <w:tcPr>
            <w:tcW w:w="708" w:type="dxa"/>
            <w:tcBorders>
              <w:top w:val="nil"/>
              <w:left w:val="single" w:sz="4" w:space="0" w:color="auto"/>
              <w:bottom w:val="single" w:sz="4" w:space="0" w:color="auto"/>
              <w:right w:val="single" w:sz="4" w:space="0" w:color="auto"/>
            </w:tcBorders>
            <w:noWrap/>
            <w:vAlign w:val="center"/>
            <w:hideMark/>
          </w:tcPr>
          <w:p w:rsidR="000E6A73" w:rsidRDefault="000E6A73" w:rsidP="00F93C07">
            <w:pPr>
              <w:spacing w:after="0" w:line="240" w:lineRule="auto"/>
              <w:jc w:val="center"/>
              <w:rPr>
                <w:b/>
                <w:bCs/>
                <w:sz w:val="20"/>
                <w:szCs w:val="20"/>
              </w:rPr>
            </w:pPr>
            <w:r>
              <w:rPr>
                <w:b/>
                <w:bCs/>
                <w:sz w:val="20"/>
                <w:szCs w:val="20"/>
              </w:rPr>
              <w:t>1</w:t>
            </w:r>
          </w:p>
        </w:tc>
        <w:tc>
          <w:tcPr>
            <w:tcW w:w="1986" w:type="dxa"/>
            <w:tcBorders>
              <w:top w:val="nil"/>
              <w:left w:val="nil"/>
              <w:bottom w:val="single" w:sz="4" w:space="0" w:color="auto"/>
              <w:right w:val="single" w:sz="4" w:space="0" w:color="auto"/>
            </w:tcBorders>
            <w:noWrap/>
            <w:vAlign w:val="center"/>
            <w:hideMark/>
          </w:tcPr>
          <w:p w:rsidR="000E6A73" w:rsidRDefault="000E6A73" w:rsidP="00F93C07">
            <w:pPr>
              <w:spacing w:after="0" w:line="240" w:lineRule="auto"/>
              <w:rPr>
                <w:b/>
                <w:bCs/>
                <w:sz w:val="20"/>
                <w:szCs w:val="20"/>
              </w:rPr>
            </w:pPr>
            <w:r>
              <w:rPr>
                <w:b/>
                <w:bCs/>
                <w:sz w:val="20"/>
                <w:szCs w:val="20"/>
              </w:rPr>
              <w:t>Прием сточных вод</w:t>
            </w:r>
          </w:p>
        </w:tc>
        <w:tc>
          <w:tcPr>
            <w:tcW w:w="708" w:type="dxa"/>
            <w:tcBorders>
              <w:top w:val="nil"/>
              <w:left w:val="nil"/>
              <w:bottom w:val="single" w:sz="4" w:space="0" w:color="auto"/>
              <w:right w:val="single" w:sz="4" w:space="0" w:color="auto"/>
            </w:tcBorders>
            <w:noWrap/>
            <w:vAlign w:val="center"/>
            <w:hideMark/>
          </w:tcPr>
          <w:p w:rsidR="000E6A73" w:rsidRDefault="000E6A73" w:rsidP="00F93C07">
            <w:pPr>
              <w:spacing w:after="0" w:line="240" w:lineRule="auto"/>
              <w:jc w:val="center"/>
              <w:rPr>
                <w:sz w:val="20"/>
                <w:szCs w:val="20"/>
              </w:rPr>
            </w:pPr>
            <w:r>
              <w:rPr>
                <w:sz w:val="20"/>
                <w:szCs w:val="20"/>
              </w:rPr>
              <w:t> </w:t>
            </w:r>
          </w:p>
        </w:tc>
        <w:tc>
          <w:tcPr>
            <w:tcW w:w="1134" w:type="dxa"/>
            <w:tcBorders>
              <w:top w:val="nil"/>
              <w:left w:val="nil"/>
              <w:bottom w:val="single" w:sz="4" w:space="0" w:color="auto"/>
              <w:right w:val="single" w:sz="4" w:space="0" w:color="auto"/>
            </w:tcBorders>
            <w:noWrap/>
            <w:vAlign w:val="center"/>
            <w:hideMark/>
          </w:tcPr>
          <w:p w:rsidR="000E6A73" w:rsidRDefault="000E6A73" w:rsidP="00F93C07">
            <w:pPr>
              <w:spacing w:after="0" w:line="240" w:lineRule="auto"/>
              <w:rPr>
                <w:sz w:val="20"/>
                <w:szCs w:val="20"/>
              </w:rPr>
            </w:pPr>
          </w:p>
        </w:tc>
        <w:tc>
          <w:tcPr>
            <w:tcW w:w="1134" w:type="dxa"/>
            <w:tcBorders>
              <w:top w:val="nil"/>
              <w:left w:val="nil"/>
              <w:bottom w:val="single" w:sz="4" w:space="0" w:color="auto"/>
              <w:right w:val="single" w:sz="4" w:space="0" w:color="auto"/>
            </w:tcBorders>
            <w:noWrap/>
            <w:vAlign w:val="center"/>
            <w:hideMark/>
          </w:tcPr>
          <w:p w:rsidR="000E6A73" w:rsidRDefault="000E6A73" w:rsidP="00F93C07">
            <w:pPr>
              <w:spacing w:after="0" w:line="240" w:lineRule="auto"/>
              <w:rPr>
                <w:sz w:val="20"/>
                <w:szCs w:val="20"/>
              </w:rPr>
            </w:pPr>
          </w:p>
        </w:tc>
        <w:tc>
          <w:tcPr>
            <w:tcW w:w="1134" w:type="dxa"/>
            <w:tcBorders>
              <w:top w:val="nil"/>
              <w:left w:val="nil"/>
              <w:bottom w:val="single" w:sz="4" w:space="0" w:color="auto"/>
              <w:right w:val="single" w:sz="4" w:space="0" w:color="auto"/>
            </w:tcBorders>
            <w:noWrap/>
            <w:vAlign w:val="center"/>
            <w:hideMark/>
          </w:tcPr>
          <w:p w:rsidR="000E6A73" w:rsidRDefault="000E6A73" w:rsidP="00F93C07">
            <w:pPr>
              <w:spacing w:after="0" w:line="240" w:lineRule="auto"/>
              <w:rPr>
                <w:sz w:val="20"/>
                <w:szCs w:val="20"/>
              </w:rPr>
            </w:pPr>
          </w:p>
        </w:tc>
        <w:tc>
          <w:tcPr>
            <w:tcW w:w="1134" w:type="dxa"/>
            <w:tcBorders>
              <w:top w:val="nil"/>
              <w:left w:val="nil"/>
              <w:bottom w:val="single" w:sz="4" w:space="0" w:color="auto"/>
              <w:right w:val="single" w:sz="4" w:space="0" w:color="auto"/>
            </w:tcBorders>
            <w:noWrap/>
            <w:vAlign w:val="center"/>
            <w:hideMark/>
          </w:tcPr>
          <w:p w:rsidR="000E6A73" w:rsidRDefault="000E6A73" w:rsidP="00F93C07">
            <w:pPr>
              <w:spacing w:after="0" w:line="240" w:lineRule="auto"/>
              <w:rPr>
                <w:sz w:val="20"/>
                <w:szCs w:val="20"/>
              </w:rPr>
            </w:pPr>
          </w:p>
        </w:tc>
        <w:tc>
          <w:tcPr>
            <w:tcW w:w="1134" w:type="dxa"/>
            <w:tcBorders>
              <w:top w:val="nil"/>
              <w:left w:val="nil"/>
              <w:bottom w:val="single" w:sz="4" w:space="0" w:color="auto"/>
              <w:right w:val="single" w:sz="4" w:space="0" w:color="auto"/>
            </w:tcBorders>
            <w:noWrap/>
            <w:vAlign w:val="center"/>
            <w:hideMark/>
          </w:tcPr>
          <w:p w:rsidR="000E6A73" w:rsidRDefault="000E6A73" w:rsidP="00F93C07">
            <w:pPr>
              <w:spacing w:after="0" w:line="240" w:lineRule="auto"/>
              <w:rPr>
                <w:sz w:val="20"/>
                <w:szCs w:val="20"/>
              </w:rPr>
            </w:pPr>
          </w:p>
        </w:tc>
        <w:tc>
          <w:tcPr>
            <w:tcW w:w="1134" w:type="dxa"/>
            <w:tcBorders>
              <w:top w:val="nil"/>
              <w:left w:val="nil"/>
              <w:bottom w:val="single" w:sz="4" w:space="0" w:color="auto"/>
              <w:right w:val="single" w:sz="4" w:space="0" w:color="auto"/>
            </w:tcBorders>
            <w:vAlign w:val="center"/>
          </w:tcPr>
          <w:p w:rsidR="000E6A73" w:rsidRDefault="000E6A73" w:rsidP="00F93C07">
            <w:pPr>
              <w:spacing w:after="0" w:line="240" w:lineRule="auto"/>
              <w:jc w:val="center"/>
              <w:rPr>
                <w:sz w:val="20"/>
                <w:szCs w:val="20"/>
              </w:rPr>
            </w:pPr>
          </w:p>
        </w:tc>
      </w:tr>
      <w:tr w:rsidR="000E6A73" w:rsidTr="004911B6">
        <w:trPr>
          <w:trHeight w:val="360"/>
        </w:trPr>
        <w:tc>
          <w:tcPr>
            <w:tcW w:w="708" w:type="dxa"/>
            <w:tcBorders>
              <w:top w:val="nil"/>
              <w:left w:val="single" w:sz="4" w:space="0" w:color="auto"/>
              <w:bottom w:val="single" w:sz="4" w:space="0" w:color="auto"/>
              <w:right w:val="single" w:sz="4" w:space="0" w:color="auto"/>
            </w:tcBorders>
            <w:noWrap/>
            <w:vAlign w:val="center"/>
            <w:hideMark/>
          </w:tcPr>
          <w:p w:rsidR="000E6A73" w:rsidRDefault="000E6A73" w:rsidP="00F93C07">
            <w:pPr>
              <w:spacing w:after="0" w:line="240" w:lineRule="auto"/>
              <w:jc w:val="center"/>
              <w:rPr>
                <w:sz w:val="20"/>
                <w:szCs w:val="20"/>
              </w:rPr>
            </w:pPr>
            <w:r>
              <w:rPr>
                <w:sz w:val="20"/>
                <w:szCs w:val="20"/>
              </w:rPr>
              <w:t>1.1</w:t>
            </w:r>
          </w:p>
        </w:tc>
        <w:tc>
          <w:tcPr>
            <w:tcW w:w="1986" w:type="dxa"/>
            <w:tcBorders>
              <w:top w:val="nil"/>
              <w:left w:val="nil"/>
              <w:bottom w:val="single" w:sz="4" w:space="0" w:color="auto"/>
              <w:right w:val="single" w:sz="4" w:space="0" w:color="auto"/>
            </w:tcBorders>
            <w:noWrap/>
            <w:vAlign w:val="bottom"/>
            <w:hideMark/>
          </w:tcPr>
          <w:p w:rsidR="000E6A73" w:rsidRDefault="000E6A73" w:rsidP="00F93C07">
            <w:pPr>
              <w:spacing w:after="0" w:line="240" w:lineRule="auto"/>
              <w:ind w:firstLineChars="100" w:firstLine="200"/>
              <w:rPr>
                <w:sz w:val="20"/>
                <w:szCs w:val="20"/>
              </w:rPr>
            </w:pPr>
            <w:r>
              <w:rPr>
                <w:sz w:val="20"/>
                <w:szCs w:val="20"/>
              </w:rPr>
              <w:t>Объем сточных вод, принятых у абонентов</w:t>
            </w:r>
          </w:p>
        </w:tc>
        <w:tc>
          <w:tcPr>
            <w:tcW w:w="708" w:type="dxa"/>
            <w:tcBorders>
              <w:top w:val="nil"/>
              <w:left w:val="nil"/>
              <w:bottom w:val="single" w:sz="4" w:space="0" w:color="auto"/>
              <w:right w:val="single" w:sz="4" w:space="0" w:color="auto"/>
            </w:tcBorders>
            <w:noWrap/>
            <w:vAlign w:val="center"/>
            <w:hideMark/>
          </w:tcPr>
          <w:p w:rsidR="000E6A73" w:rsidRDefault="000E6A73" w:rsidP="00F93C07">
            <w:pPr>
              <w:spacing w:after="0" w:line="240" w:lineRule="auto"/>
              <w:jc w:val="center"/>
              <w:rPr>
                <w:sz w:val="20"/>
                <w:szCs w:val="20"/>
              </w:rPr>
            </w:pPr>
            <w:r>
              <w:rPr>
                <w:sz w:val="20"/>
                <w:szCs w:val="20"/>
              </w:rPr>
              <w:t>тыс. м</w:t>
            </w:r>
            <w:r>
              <w:rPr>
                <w:sz w:val="20"/>
                <w:szCs w:val="20"/>
                <w:vertAlign w:val="superscript"/>
              </w:rPr>
              <w:t>3</w:t>
            </w:r>
          </w:p>
        </w:tc>
        <w:tc>
          <w:tcPr>
            <w:tcW w:w="1134" w:type="dxa"/>
            <w:tcBorders>
              <w:top w:val="nil"/>
              <w:left w:val="nil"/>
              <w:bottom w:val="single" w:sz="4" w:space="0" w:color="auto"/>
              <w:right w:val="single" w:sz="4" w:space="0" w:color="auto"/>
            </w:tcBorders>
            <w:noWrap/>
            <w:vAlign w:val="center"/>
            <w:hideMark/>
          </w:tcPr>
          <w:p w:rsidR="000E6A73" w:rsidRDefault="000E6A73" w:rsidP="00F93C07">
            <w:pPr>
              <w:spacing w:after="0" w:line="240" w:lineRule="auto"/>
              <w:jc w:val="center"/>
              <w:rPr>
                <w:b/>
                <w:sz w:val="20"/>
                <w:szCs w:val="20"/>
              </w:rPr>
            </w:pPr>
            <w:r>
              <w:rPr>
                <w:b/>
                <w:sz w:val="20"/>
                <w:szCs w:val="20"/>
              </w:rPr>
              <w:t>141 593,85</w:t>
            </w:r>
          </w:p>
        </w:tc>
        <w:tc>
          <w:tcPr>
            <w:tcW w:w="1134" w:type="dxa"/>
            <w:tcBorders>
              <w:top w:val="nil"/>
              <w:left w:val="nil"/>
              <w:bottom w:val="single" w:sz="4" w:space="0" w:color="auto"/>
              <w:right w:val="single" w:sz="4" w:space="0" w:color="auto"/>
            </w:tcBorders>
            <w:noWrap/>
            <w:vAlign w:val="center"/>
            <w:hideMark/>
          </w:tcPr>
          <w:p w:rsidR="000E6A73" w:rsidRDefault="000E6A73" w:rsidP="00F93C07">
            <w:pPr>
              <w:spacing w:after="0" w:line="240" w:lineRule="auto"/>
              <w:jc w:val="center"/>
              <w:rPr>
                <w:b/>
                <w:sz w:val="20"/>
                <w:szCs w:val="20"/>
              </w:rPr>
            </w:pPr>
            <w:r>
              <w:rPr>
                <w:b/>
                <w:sz w:val="20"/>
                <w:szCs w:val="20"/>
              </w:rPr>
              <w:t>139 994,50</w:t>
            </w:r>
          </w:p>
        </w:tc>
        <w:tc>
          <w:tcPr>
            <w:tcW w:w="1134" w:type="dxa"/>
            <w:tcBorders>
              <w:top w:val="nil"/>
              <w:left w:val="nil"/>
              <w:bottom w:val="single" w:sz="4" w:space="0" w:color="auto"/>
              <w:right w:val="single" w:sz="4" w:space="0" w:color="auto"/>
            </w:tcBorders>
            <w:noWrap/>
            <w:vAlign w:val="center"/>
            <w:hideMark/>
          </w:tcPr>
          <w:p w:rsidR="000E6A73" w:rsidRDefault="000E6A73" w:rsidP="00F93C07">
            <w:pPr>
              <w:spacing w:after="0" w:line="240" w:lineRule="auto"/>
              <w:jc w:val="center"/>
              <w:rPr>
                <w:b/>
                <w:sz w:val="20"/>
                <w:szCs w:val="20"/>
              </w:rPr>
            </w:pPr>
            <w:r>
              <w:rPr>
                <w:b/>
                <w:sz w:val="20"/>
                <w:szCs w:val="20"/>
              </w:rPr>
              <w:t>138 564,00</w:t>
            </w:r>
          </w:p>
        </w:tc>
        <w:tc>
          <w:tcPr>
            <w:tcW w:w="1134" w:type="dxa"/>
            <w:tcBorders>
              <w:top w:val="nil"/>
              <w:left w:val="nil"/>
              <w:bottom w:val="single" w:sz="4" w:space="0" w:color="auto"/>
              <w:right w:val="single" w:sz="4" w:space="0" w:color="auto"/>
            </w:tcBorders>
            <w:noWrap/>
            <w:vAlign w:val="center"/>
            <w:hideMark/>
          </w:tcPr>
          <w:p w:rsidR="000E6A73" w:rsidRDefault="000E6A73" w:rsidP="00F93C07">
            <w:pPr>
              <w:spacing w:after="0" w:line="240" w:lineRule="auto"/>
              <w:jc w:val="center"/>
              <w:rPr>
                <w:b/>
                <w:sz w:val="20"/>
                <w:szCs w:val="20"/>
              </w:rPr>
            </w:pPr>
            <w:r>
              <w:rPr>
                <w:b/>
                <w:sz w:val="20"/>
                <w:szCs w:val="20"/>
              </w:rPr>
              <w:t>140 790,73</w:t>
            </w:r>
          </w:p>
        </w:tc>
        <w:tc>
          <w:tcPr>
            <w:tcW w:w="1134" w:type="dxa"/>
            <w:tcBorders>
              <w:top w:val="nil"/>
              <w:left w:val="nil"/>
              <w:bottom w:val="single" w:sz="4" w:space="0" w:color="auto"/>
              <w:right w:val="single" w:sz="4" w:space="0" w:color="auto"/>
            </w:tcBorders>
            <w:noWrap/>
            <w:vAlign w:val="center"/>
            <w:hideMark/>
          </w:tcPr>
          <w:p w:rsidR="000E6A73" w:rsidRDefault="000E6A73" w:rsidP="00F93C07">
            <w:pPr>
              <w:spacing w:after="0" w:line="240" w:lineRule="auto"/>
              <w:jc w:val="center"/>
              <w:rPr>
                <w:b/>
                <w:sz w:val="20"/>
                <w:szCs w:val="20"/>
              </w:rPr>
            </w:pPr>
            <w:r>
              <w:rPr>
                <w:b/>
                <w:sz w:val="20"/>
                <w:szCs w:val="20"/>
              </w:rPr>
              <w:t>138 564,00</w:t>
            </w:r>
          </w:p>
        </w:tc>
        <w:tc>
          <w:tcPr>
            <w:tcW w:w="1134" w:type="dxa"/>
            <w:tcBorders>
              <w:top w:val="nil"/>
              <w:left w:val="nil"/>
              <w:bottom w:val="single" w:sz="4" w:space="0" w:color="auto"/>
              <w:right w:val="single" w:sz="4" w:space="0" w:color="auto"/>
            </w:tcBorders>
            <w:vAlign w:val="center"/>
            <w:hideMark/>
          </w:tcPr>
          <w:p w:rsidR="000E6A73" w:rsidRDefault="000E6A73" w:rsidP="00F93C07">
            <w:pPr>
              <w:spacing w:after="0" w:line="240" w:lineRule="auto"/>
              <w:jc w:val="center"/>
              <w:rPr>
                <w:b/>
                <w:sz w:val="20"/>
                <w:szCs w:val="20"/>
              </w:rPr>
            </w:pPr>
            <w:r>
              <w:rPr>
                <w:b/>
                <w:sz w:val="20"/>
                <w:szCs w:val="20"/>
              </w:rPr>
              <w:t>138 938,77</w:t>
            </w:r>
          </w:p>
        </w:tc>
      </w:tr>
      <w:tr w:rsidR="000E6A73" w:rsidTr="004911B6">
        <w:trPr>
          <w:trHeight w:val="360"/>
        </w:trPr>
        <w:tc>
          <w:tcPr>
            <w:tcW w:w="708" w:type="dxa"/>
            <w:tcBorders>
              <w:top w:val="nil"/>
              <w:left w:val="single" w:sz="4" w:space="0" w:color="auto"/>
              <w:bottom w:val="single" w:sz="4" w:space="0" w:color="auto"/>
              <w:right w:val="single" w:sz="4" w:space="0" w:color="auto"/>
            </w:tcBorders>
            <w:noWrap/>
            <w:vAlign w:val="center"/>
          </w:tcPr>
          <w:p w:rsidR="000E6A73" w:rsidRDefault="003D2783" w:rsidP="00F93C07">
            <w:pPr>
              <w:spacing w:after="0" w:line="240" w:lineRule="auto"/>
              <w:jc w:val="center"/>
              <w:rPr>
                <w:sz w:val="20"/>
                <w:szCs w:val="20"/>
              </w:rPr>
            </w:pPr>
            <w:r>
              <w:rPr>
                <w:sz w:val="20"/>
                <w:szCs w:val="20"/>
              </w:rPr>
              <w:t>1.1.1</w:t>
            </w:r>
          </w:p>
        </w:tc>
        <w:tc>
          <w:tcPr>
            <w:tcW w:w="1986" w:type="dxa"/>
            <w:tcBorders>
              <w:top w:val="nil"/>
              <w:left w:val="nil"/>
              <w:bottom w:val="single" w:sz="4" w:space="0" w:color="auto"/>
              <w:right w:val="single" w:sz="4" w:space="0" w:color="auto"/>
            </w:tcBorders>
            <w:noWrap/>
            <w:vAlign w:val="center"/>
            <w:hideMark/>
          </w:tcPr>
          <w:p w:rsidR="000E6A73" w:rsidRDefault="000E6A73" w:rsidP="00F93C07">
            <w:pPr>
              <w:spacing w:after="0" w:line="240" w:lineRule="auto"/>
              <w:ind w:firstLineChars="300" w:firstLine="600"/>
              <w:rPr>
                <w:sz w:val="20"/>
                <w:szCs w:val="20"/>
              </w:rPr>
            </w:pPr>
            <w:r>
              <w:rPr>
                <w:i/>
                <w:iCs/>
                <w:sz w:val="20"/>
                <w:szCs w:val="20"/>
              </w:rPr>
              <w:t>бюджетные</w:t>
            </w:r>
          </w:p>
        </w:tc>
        <w:tc>
          <w:tcPr>
            <w:tcW w:w="708" w:type="dxa"/>
            <w:tcBorders>
              <w:top w:val="nil"/>
              <w:left w:val="nil"/>
              <w:bottom w:val="single" w:sz="4" w:space="0" w:color="auto"/>
              <w:right w:val="single" w:sz="4" w:space="0" w:color="auto"/>
            </w:tcBorders>
            <w:noWrap/>
            <w:vAlign w:val="center"/>
            <w:hideMark/>
          </w:tcPr>
          <w:p w:rsidR="000E6A73" w:rsidRDefault="000E6A73" w:rsidP="00F93C07">
            <w:pPr>
              <w:spacing w:after="0" w:line="240" w:lineRule="auto"/>
              <w:jc w:val="center"/>
              <w:rPr>
                <w:sz w:val="20"/>
                <w:szCs w:val="20"/>
              </w:rPr>
            </w:pPr>
            <w:r>
              <w:rPr>
                <w:sz w:val="20"/>
                <w:szCs w:val="20"/>
              </w:rPr>
              <w:t>тыс. м</w:t>
            </w:r>
            <w:r>
              <w:rPr>
                <w:sz w:val="20"/>
                <w:szCs w:val="20"/>
                <w:vertAlign w:val="superscript"/>
              </w:rPr>
              <w:t>3</w:t>
            </w:r>
          </w:p>
        </w:tc>
        <w:tc>
          <w:tcPr>
            <w:tcW w:w="1134" w:type="dxa"/>
            <w:tcBorders>
              <w:top w:val="nil"/>
              <w:left w:val="nil"/>
              <w:bottom w:val="single" w:sz="4" w:space="0" w:color="auto"/>
              <w:right w:val="single" w:sz="4" w:space="0" w:color="auto"/>
            </w:tcBorders>
            <w:noWrap/>
            <w:vAlign w:val="center"/>
            <w:hideMark/>
          </w:tcPr>
          <w:p w:rsidR="000E6A73" w:rsidRDefault="000E6A73" w:rsidP="00F93C07">
            <w:pPr>
              <w:spacing w:after="0" w:line="240" w:lineRule="auto"/>
              <w:jc w:val="center"/>
              <w:rPr>
                <w:sz w:val="20"/>
                <w:szCs w:val="20"/>
              </w:rPr>
            </w:pPr>
            <w:r>
              <w:rPr>
                <w:sz w:val="20"/>
                <w:szCs w:val="20"/>
              </w:rPr>
              <w:t>9 692,62</w:t>
            </w:r>
          </w:p>
        </w:tc>
        <w:tc>
          <w:tcPr>
            <w:tcW w:w="1134" w:type="dxa"/>
            <w:tcBorders>
              <w:top w:val="nil"/>
              <w:left w:val="nil"/>
              <w:bottom w:val="single" w:sz="4" w:space="0" w:color="auto"/>
              <w:right w:val="single" w:sz="4" w:space="0" w:color="auto"/>
            </w:tcBorders>
            <w:noWrap/>
            <w:vAlign w:val="center"/>
            <w:hideMark/>
          </w:tcPr>
          <w:p w:rsidR="000E6A73" w:rsidRDefault="000E6A73" w:rsidP="00F93C07">
            <w:pPr>
              <w:spacing w:after="0" w:line="240" w:lineRule="auto"/>
              <w:jc w:val="center"/>
              <w:rPr>
                <w:sz w:val="20"/>
                <w:szCs w:val="20"/>
              </w:rPr>
            </w:pPr>
            <w:r>
              <w:rPr>
                <w:sz w:val="20"/>
                <w:szCs w:val="20"/>
              </w:rPr>
              <w:t>9 047,20</w:t>
            </w:r>
          </w:p>
        </w:tc>
        <w:tc>
          <w:tcPr>
            <w:tcW w:w="1134" w:type="dxa"/>
            <w:tcBorders>
              <w:top w:val="nil"/>
              <w:left w:val="nil"/>
              <w:bottom w:val="single" w:sz="4" w:space="0" w:color="auto"/>
              <w:right w:val="single" w:sz="4" w:space="0" w:color="auto"/>
            </w:tcBorders>
            <w:noWrap/>
            <w:vAlign w:val="center"/>
            <w:hideMark/>
          </w:tcPr>
          <w:p w:rsidR="000E6A73" w:rsidRDefault="000E6A73" w:rsidP="00F93C07">
            <w:pPr>
              <w:spacing w:after="0" w:line="240" w:lineRule="auto"/>
              <w:jc w:val="center"/>
              <w:rPr>
                <w:sz w:val="20"/>
                <w:szCs w:val="20"/>
              </w:rPr>
            </w:pPr>
            <w:r>
              <w:rPr>
                <w:sz w:val="20"/>
                <w:szCs w:val="20"/>
              </w:rPr>
              <w:t>8692,00</w:t>
            </w:r>
          </w:p>
        </w:tc>
        <w:tc>
          <w:tcPr>
            <w:tcW w:w="1134" w:type="dxa"/>
            <w:tcBorders>
              <w:top w:val="nil"/>
              <w:left w:val="nil"/>
              <w:bottom w:val="single" w:sz="4" w:space="0" w:color="auto"/>
              <w:right w:val="single" w:sz="4" w:space="0" w:color="auto"/>
            </w:tcBorders>
            <w:noWrap/>
            <w:vAlign w:val="center"/>
            <w:hideMark/>
          </w:tcPr>
          <w:p w:rsidR="000E6A73" w:rsidRDefault="000E6A73" w:rsidP="00F93C07">
            <w:pPr>
              <w:spacing w:after="0" w:line="240" w:lineRule="auto"/>
              <w:jc w:val="center"/>
              <w:rPr>
                <w:sz w:val="20"/>
                <w:szCs w:val="20"/>
              </w:rPr>
            </w:pPr>
            <w:r>
              <w:rPr>
                <w:sz w:val="20"/>
                <w:szCs w:val="20"/>
              </w:rPr>
              <w:t>8 575,88</w:t>
            </w:r>
          </w:p>
        </w:tc>
        <w:tc>
          <w:tcPr>
            <w:tcW w:w="1134" w:type="dxa"/>
            <w:tcBorders>
              <w:top w:val="nil"/>
              <w:left w:val="nil"/>
              <w:bottom w:val="single" w:sz="4" w:space="0" w:color="auto"/>
              <w:right w:val="single" w:sz="4" w:space="0" w:color="auto"/>
            </w:tcBorders>
            <w:noWrap/>
            <w:vAlign w:val="center"/>
            <w:hideMark/>
          </w:tcPr>
          <w:p w:rsidR="000E6A73" w:rsidRDefault="000E6A73" w:rsidP="00F93C07">
            <w:pPr>
              <w:spacing w:after="0" w:line="240" w:lineRule="auto"/>
              <w:jc w:val="center"/>
              <w:rPr>
                <w:sz w:val="20"/>
                <w:szCs w:val="20"/>
              </w:rPr>
            </w:pPr>
            <w:r>
              <w:rPr>
                <w:sz w:val="20"/>
                <w:szCs w:val="20"/>
              </w:rPr>
              <w:t>8 692,00</w:t>
            </w:r>
          </w:p>
        </w:tc>
        <w:tc>
          <w:tcPr>
            <w:tcW w:w="1134" w:type="dxa"/>
            <w:tcBorders>
              <w:top w:val="nil"/>
              <w:left w:val="nil"/>
              <w:bottom w:val="single" w:sz="4" w:space="0" w:color="auto"/>
              <w:right w:val="single" w:sz="4" w:space="0" w:color="auto"/>
            </w:tcBorders>
            <w:vAlign w:val="center"/>
            <w:hideMark/>
          </w:tcPr>
          <w:p w:rsidR="000E6A73" w:rsidRDefault="000E6A73" w:rsidP="00F93C07">
            <w:pPr>
              <w:spacing w:after="0" w:line="240" w:lineRule="auto"/>
              <w:jc w:val="center"/>
              <w:rPr>
                <w:sz w:val="20"/>
                <w:szCs w:val="20"/>
              </w:rPr>
            </w:pPr>
            <w:r>
              <w:rPr>
                <w:sz w:val="20"/>
                <w:szCs w:val="20"/>
              </w:rPr>
              <w:t>8 463,07</w:t>
            </w:r>
          </w:p>
        </w:tc>
      </w:tr>
      <w:tr w:rsidR="000E6A73" w:rsidTr="004911B6">
        <w:trPr>
          <w:trHeight w:val="360"/>
        </w:trPr>
        <w:tc>
          <w:tcPr>
            <w:tcW w:w="708" w:type="dxa"/>
            <w:tcBorders>
              <w:top w:val="nil"/>
              <w:left w:val="single" w:sz="4" w:space="0" w:color="auto"/>
              <w:bottom w:val="single" w:sz="4" w:space="0" w:color="auto"/>
              <w:right w:val="single" w:sz="4" w:space="0" w:color="auto"/>
            </w:tcBorders>
            <w:noWrap/>
            <w:vAlign w:val="center"/>
          </w:tcPr>
          <w:p w:rsidR="000E6A73" w:rsidRDefault="003D2783" w:rsidP="00F93C07">
            <w:pPr>
              <w:spacing w:after="0" w:line="240" w:lineRule="auto"/>
              <w:jc w:val="center"/>
              <w:rPr>
                <w:sz w:val="20"/>
                <w:szCs w:val="20"/>
              </w:rPr>
            </w:pPr>
            <w:r>
              <w:rPr>
                <w:sz w:val="20"/>
                <w:szCs w:val="20"/>
              </w:rPr>
              <w:t>1.1.2</w:t>
            </w:r>
          </w:p>
        </w:tc>
        <w:tc>
          <w:tcPr>
            <w:tcW w:w="1986" w:type="dxa"/>
            <w:tcBorders>
              <w:top w:val="nil"/>
              <w:left w:val="nil"/>
              <w:bottom w:val="single" w:sz="4" w:space="0" w:color="auto"/>
              <w:right w:val="single" w:sz="4" w:space="0" w:color="auto"/>
            </w:tcBorders>
            <w:noWrap/>
            <w:vAlign w:val="center"/>
            <w:hideMark/>
          </w:tcPr>
          <w:p w:rsidR="000E6A73" w:rsidRDefault="000E6A73" w:rsidP="00F93C07">
            <w:pPr>
              <w:spacing w:after="0" w:line="240" w:lineRule="auto"/>
              <w:ind w:firstLineChars="300" w:firstLine="600"/>
              <w:rPr>
                <w:sz w:val="20"/>
                <w:szCs w:val="20"/>
              </w:rPr>
            </w:pPr>
            <w:r>
              <w:rPr>
                <w:i/>
                <w:iCs/>
                <w:sz w:val="20"/>
                <w:szCs w:val="20"/>
              </w:rPr>
              <w:t>население</w:t>
            </w:r>
          </w:p>
        </w:tc>
        <w:tc>
          <w:tcPr>
            <w:tcW w:w="708" w:type="dxa"/>
            <w:tcBorders>
              <w:top w:val="nil"/>
              <w:left w:val="nil"/>
              <w:bottom w:val="single" w:sz="4" w:space="0" w:color="auto"/>
              <w:right w:val="single" w:sz="4" w:space="0" w:color="auto"/>
            </w:tcBorders>
            <w:noWrap/>
            <w:vAlign w:val="center"/>
            <w:hideMark/>
          </w:tcPr>
          <w:p w:rsidR="000E6A73" w:rsidRDefault="000E6A73" w:rsidP="00F93C07">
            <w:pPr>
              <w:spacing w:after="0" w:line="240" w:lineRule="auto"/>
              <w:jc w:val="center"/>
              <w:rPr>
                <w:sz w:val="20"/>
                <w:szCs w:val="20"/>
              </w:rPr>
            </w:pPr>
            <w:r>
              <w:rPr>
                <w:sz w:val="20"/>
                <w:szCs w:val="20"/>
              </w:rPr>
              <w:t>тыс. м</w:t>
            </w:r>
            <w:r>
              <w:rPr>
                <w:sz w:val="20"/>
                <w:szCs w:val="20"/>
                <w:vertAlign w:val="superscript"/>
              </w:rPr>
              <w:t>3</w:t>
            </w:r>
          </w:p>
        </w:tc>
        <w:tc>
          <w:tcPr>
            <w:tcW w:w="1134" w:type="dxa"/>
            <w:tcBorders>
              <w:top w:val="nil"/>
              <w:left w:val="nil"/>
              <w:bottom w:val="single" w:sz="4" w:space="0" w:color="auto"/>
              <w:right w:val="single" w:sz="4" w:space="0" w:color="auto"/>
            </w:tcBorders>
            <w:noWrap/>
            <w:vAlign w:val="center"/>
            <w:hideMark/>
          </w:tcPr>
          <w:p w:rsidR="000E6A73" w:rsidRDefault="000E6A73" w:rsidP="00F93C07">
            <w:pPr>
              <w:spacing w:after="0" w:line="240" w:lineRule="auto"/>
              <w:jc w:val="center"/>
              <w:rPr>
                <w:sz w:val="20"/>
                <w:szCs w:val="20"/>
              </w:rPr>
            </w:pPr>
            <w:r>
              <w:rPr>
                <w:sz w:val="20"/>
                <w:szCs w:val="20"/>
              </w:rPr>
              <w:t>96 297,81</w:t>
            </w:r>
          </w:p>
        </w:tc>
        <w:tc>
          <w:tcPr>
            <w:tcW w:w="1134" w:type="dxa"/>
            <w:tcBorders>
              <w:top w:val="nil"/>
              <w:left w:val="nil"/>
              <w:bottom w:val="single" w:sz="4" w:space="0" w:color="auto"/>
              <w:right w:val="single" w:sz="4" w:space="0" w:color="auto"/>
            </w:tcBorders>
            <w:noWrap/>
            <w:vAlign w:val="center"/>
            <w:hideMark/>
          </w:tcPr>
          <w:p w:rsidR="000E6A73" w:rsidRDefault="000E6A73" w:rsidP="00F93C07">
            <w:pPr>
              <w:spacing w:after="0" w:line="240" w:lineRule="auto"/>
              <w:jc w:val="center"/>
              <w:rPr>
                <w:sz w:val="20"/>
                <w:szCs w:val="20"/>
              </w:rPr>
            </w:pPr>
            <w:r>
              <w:rPr>
                <w:sz w:val="20"/>
                <w:szCs w:val="20"/>
              </w:rPr>
              <w:t>94 361,00</w:t>
            </w:r>
          </w:p>
        </w:tc>
        <w:tc>
          <w:tcPr>
            <w:tcW w:w="1134" w:type="dxa"/>
            <w:tcBorders>
              <w:top w:val="nil"/>
              <w:left w:val="nil"/>
              <w:bottom w:val="single" w:sz="4" w:space="0" w:color="auto"/>
              <w:right w:val="single" w:sz="4" w:space="0" w:color="auto"/>
            </w:tcBorders>
            <w:noWrap/>
            <w:vAlign w:val="center"/>
            <w:hideMark/>
          </w:tcPr>
          <w:p w:rsidR="000E6A73" w:rsidRDefault="000E6A73" w:rsidP="00F93C07">
            <w:pPr>
              <w:spacing w:after="0" w:line="240" w:lineRule="auto"/>
              <w:jc w:val="center"/>
              <w:rPr>
                <w:sz w:val="20"/>
                <w:szCs w:val="20"/>
              </w:rPr>
            </w:pPr>
            <w:r>
              <w:rPr>
                <w:sz w:val="20"/>
                <w:szCs w:val="20"/>
              </w:rPr>
              <w:t>93 822,00</w:t>
            </w:r>
          </w:p>
        </w:tc>
        <w:tc>
          <w:tcPr>
            <w:tcW w:w="1134" w:type="dxa"/>
            <w:tcBorders>
              <w:top w:val="nil"/>
              <w:left w:val="nil"/>
              <w:bottom w:val="single" w:sz="4" w:space="0" w:color="auto"/>
              <w:right w:val="single" w:sz="4" w:space="0" w:color="auto"/>
            </w:tcBorders>
            <w:noWrap/>
            <w:vAlign w:val="center"/>
            <w:hideMark/>
          </w:tcPr>
          <w:p w:rsidR="000E6A73" w:rsidRDefault="000E6A73" w:rsidP="00F93C07">
            <w:pPr>
              <w:spacing w:after="0" w:line="240" w:lineRule="auto"/>
              <w:jc w:val="center"/>
              <w:rPr>
                <w:sz w:val="20"/>
                <w:szCs w:val="20"/>
              </w:rPr>
            </w:pPr>
            <w:r>
              <w:rPr>
                <w:sz w:val="20"/>
                <w:szCs w:val="20"/>
              </w:rPr>
              <w:t>97 191,74</w:t>
            </w:r>
          </w:p>
        </w:tc>
        <w:tc>
          <w:tcPr>
            <w:tcW w:w="1134" w:type="dxa"/>
            <w:tcBorders>
              <w:top w:val="nil"/>
              <w:left w:val="nil"/>
              <w:bottom w:val="single" w:sz="4" w:space="0" w:color="auto"/>
              <w:right w:val="single" w:sz="4" w:space="0" w:color="auto"/>
            </w:tcBorders>
            <w:noWrap/>
            <w:vAlign w:val="center"/>
            <w:hideMark/>
          </w:tcPr>
          <w:p w:rsidR="000E6A73" w:rsidRDefault="000E6A73" w:rsidP="00F93C07">
            <w:pPr>
              <w:spacing w:after="0" w:line="240" w:lineRule="auto"/>
              <w:jc w:val="center"/>
              <w:rPr>
                <w:sz w:val="20"/>
                <w:szCs w:val="20"/>
              </w:rPr>
            </w:pPr>
            <w:r>
              <w:rPr>
                <w:sz w:val="20"/>
                <w:szCs w:val="20"/>
              </w:rPr>
              <w:t>93 822,00</w:t>
            </w:r>
          </w:p>
        </w:tc>
        <w:tc>
          <w:tcPr>
            <w:tcW w:w="1134" w:type="dxa"/>
            <w:tcBorders>
              <w:top w:val="nil"/>
              <w:left w:val="nil"/>
              <w:bottom w:val="single" w:sz="4" w:space="0" w:color="auto"/>
              <w:right w:val="single" w:sz="4" w:space="0" w:color="auto"/>
            </w:tcBorders>
            <w:vAlign w:val="center"/>
            <w:hideMark/>
          </w:tcPr>
          <w:p w:rsidR="000E6A73" w:rsidRDefault="000E6A73" w:rsidP="00F93C07">
            <w:pPr>
              <w:spacing w:after="0" w:line="240" w:lineRule="auto"/>
              <w:jc w:val="center"/>
              <w:rPr>
                <w:sz w:val="20"/>
                <w:szCs w:val="20"/>
              </w:rPr>
            </w:pPr>
            <w:r>
              <w:rPr>
                <w:sz w:val="20"/>
                <w:szCs w:val="20"/>
              </w:rPr>
              <w:t>95 913,28</w:t>
            </w:r>
          </w:p>
        </w:tc>
      </w:tr>
      <w:tr w:rsidR="000E6A73" w:rsidTr="004911B6">
        <w:trPr>
          <w:trHeight w:val="360"/>
        </w:trPr>
        <w:tc>
          <w:tcPr>
            <w:tcW w:w="708" w:type="dxa"/>
            <w:tcBorders>
              <w:top w:val="nil"/>
              <w:left w:val="single" w:sz="4" w:space="0" w:color="auto"/>
              <w:bottom w:val="single" w:sz="4" w:space="0" w:color="auto"/>
              <w:right w:val="single" w:sz="4" w:space="0" w:color="auto"/>
            </w:tcBorders>
            <w:noWrap/>
            <w:vAlign w:val="center"/>
          </w:tcPr>
          <w:p w:rsidR="000E6A73" w:rsidRDefault="003D2783" w:rsidP="00F93C07">
            <w:pPr>
              <w:spacing w:after="0" w:line="240" w:lineRule="auto"/>
              <w:jc w:val="center"/>
              <w:rPr>
                <w:sz w:val="20"/>
                <w:szCs w:val="20"/>
              </w:rPr>
            </w:pPr>
            <w:r>
              <w:rPr>
                <w:sz w:val="20"/>
                <w:szCs w:val="20"/>
              </w:rPr>
              <w:t>1.1.3</w:t>
            </w:r>
          </w:p>
        </w:tc>
        <w:tc>
          <w:tcPr>
            <w:tcW w:w="1986" w:type="dxa"/>
            <w:tcBorders>
              <w:top w:val="nil"/>
              <w:left w:val="nil"/>
              <w:bottom w:val="single" w:sz="4" w:space="0" w:color="auto"/>
              <w:right w:val="single" w:sz="4" w:space="0" w:color="auto"/>
            </w:tcBorders>
            <w:noWrap/>
            <w:vAlign w:val="center"/>
            <w:hideMark/>
          </w:tcPr>
          <w:p w:rsidR="000E6A73" w:rsidRDefault="000E6A73" w:rsidP="00F93C07">
            <w:pPr>
              <w:spacing w:after="0" w:line="240" w:lineRule="auto"/>
              <w:ind w:firstLineChars="300" w:firstLine="600"/>
              <w:rPr>
                <w:sz w:val="20"/>
                <w:szCs w:val="20"/>
              </w:rPr>
            </w:pPr>
            <w:r>
              <w:rPr>
                <w:i/>
                <w:iCs/>
                <w:sz w:val="20"/>
                <w:szCs w:val="20"/>
              </w:rPr>
              <w:t>прочие</w:t>
            </w:r>
          </w:p>
        </w:tc>
        <w:tc>
          <w:tcPr>
            <w:tcW w:w="708" w:type="dxa"/>
            <w:tcBorders>
              <w:top w:val="nil"/>
              <w:left w:val="nil"/>
              <w:bottom w:val="single" w:sz="4" w:space="0" w:color="auto"/>
              <w:right w:val="single" w:sz="4" w:space="0" w:color="auto"/>
            </w:tcBorders>
            <w:noWrap/>
            <w:vAlign w:val="center"/>
            <w:hideMark/>
          </w:tcPr>
          <w:p w:rsidR="000E6A73" w:rsidRDefault="000E6A73" w:rsidP="00F93C07">
            <w:pPr>
              <w:spacing w:after="0" w:line="240" w:lineRule="auto"/>
              <w:jc w:val="center"/>
              <w:rPr>
                <w:sz w:val="20"/>
                <w:szCs w:val="20"/>
              </w:rPr>
            </w:pPr>
            <w:r>
              <w:rPr>
                <w:sz w:val="20"/>
                <w:szCs w:val="20"/>
              </w:rPr>
              <w:t>тыс. м</w:t>
            </w:r>
            <w:r>
              <w:rPr>
                <w:sz w:val="20"/>
                <w:szCs w:val="20"/>
                <w:vertAlign w:val="superscript"/>
              </w:rPr>
              <w:t>3</w:t>
            </w:r>
          </w:p>
        </w:tc>
        <w:tc>
          <w:tcPr>
            <w:tcW w:w="1134" w:type="dxa"/>
            <w:tcBorders>
              <w:top w:val="nil"/>
              <w:left w:val="nil"/>
              <w:bottom w:val="single" w:sz="4" w:space="0" w:color="auto"/>
              <w:right w:val="single" w:sz="4" w:space="0" w:color="auto"/>
            </w:tcBorders>
            <w:noWrap/>
            <w:vAlign w:val="center"/>
            <w:hideMark/>
          </w:tcPr>
          <w:p w:rsidR="000E6A73" w:rsidRDefault="000E6A73" w:rsidP="00F93C07">
            <w:pPr>
              <w:spacing w:after="0" w:line="240" w:lineRule="auto"/>
              <w:jc w:val="center"/>
              <w:rPr>
                <w:sz w:val="20"/>
                <w:szCs w:val="20"/>
              </w:rPr>
            </w:pPr>
            <w:r>
              <w:rPr>
                <w:sz w:val="20"/>
                <w:szCs w:val="20"/>
              </w:rPr>
              <w:t>35 603,42</w:t>
            </w:r>
          </w:p>
        </w:tc>
        <w:tc>
          <w:tcPr>
            <w:tcW w:w="1134" w:type="dxa"/>
            <w:tcBorders>
              <w:top w:val="nil"/>
              <w:left w:val="nil"/>
              <w:bottom w:val="single" w:sz="4" w:space="0" w:color="auto"/>
              <w:right w:val="single" w:sz="4" w:space="0" w:color="auto"/>
            </w:tcBorders>
            <w:noWrap/>
            <w:vAlign w:val="center"/>
            <w:hideMark/>
          </w:tcPr>
          <w:p w:rsidR="000E6A73" w:rsidRDefault="000E6A73" w:rsidP="00F93C07">
            <w:pPr>
              <w:spacing w:after="0" w:line="240" w:lineRule="auto"/>
              <w:jc w:val="center"/>
              <w:rPr>
                <w:sz w:val="20"/>
                <w:szCs w:val="20"/>
              </w:rPr>
            </w:pPr>
            <w:r>
              <w:rPr>
                <w:sz w:val="20"/>
                <w:szCs w:val="20"/>
              </w:rPr>
              <w:t>36 586,30</w:t>
            </w:r>
          </w:p>
        </w:tc>
        <w:tc>
          <w:tcPr>
            <w:tcW w:w="1134" w:type="dxa"/>
            <w:tcBorders>
              <w:top w:val="nil"/>
              <w:left w:val="nil"/>
              <w:bottom w:val="single" w:sz="4" w:space="0" w:color="auto"/>
              <w:right w:val="single" w:sz="4" w:space="0" w:color="auto"/>
            </w:tcBorders>
            <w:noWrap/>
            <w:vAlign w:val="center"/>
            <w:hideMark/>
          </w:tcPr>
          <w:p w:rsidR="000E6A73" w:rsidRDefault="000E6A73" w:rsidP="00F93C07">
            <w:pPr>
              <w:spacing w:after="0" w:line="240" w:lineRule="auto"/>
              <w:jc w:val="center"/>
              <w:rPr>
                <w:sz w:val="20"/>
                <w:szCs w:val="20"/>
              </w:rPr>
            </w:pPr>
            <w:r>
              <w:rPr>
                <w:sz w:val="20"/>
                <w:szCs w:val="20"/>
              </w:rPr>
              <w:t>36 050,00</w:t>
            </w:r>
          </w:p>
        </w:tc>
        <w:tc>
          <w:tcPr>
            <w:tcW w:w="1134" w:type="dxa"/>
            <w:tcBorders>
              <w:top w:val="nil"/>
              <w:left w:val="nil"/>
              <w:bottom w:val="single" w:sz="4" w:space="0" w:color="auto"/>
              <w:right w:val="single" w:sz="4" w:space="0" w:color="auto"/>
            </w:tcBorders>
            <w:noWrap/>
            <w:vAlign w:val="center"/>
            <w:hideMark/>
          </w:tcPr>
          <w:p w:rsidR="000E6A73" w:rsidRDefault="000E6A73" w:rsidP="00F93C07">
            <w:pPr>
              <w:spacing w:after="0" w:line="240" w:lineRule="auto"/>
              <w:jc w:val="center"/>
              <w:rPr>
                <w:sz w:val="20"/>
                <w:szCs w:val="20"/>
              </w:rPr>
            </w:pPr>
            <w:r>
              <w:rPr>
                <w:sz w:val="20"/>
                <w:szCs w:val="20"/>
              </w:rPr>
              <w:t>35 023,11</w:t>
            </w:r>
          </w:p>
        </w:tc>
        <w:tc>
          <w:tcPr>
            <w:tcW w:w="1134" w:type="dxa"/>
            <w:tcBorders>
              <w:top w:val="nil"/>
              <w:left w:val="nil"/>
              <w:bottom w:val="single" w:sz="4" w:space="0" w:color="auto"/>
              <w:right w:val="single" w:sz="4" w:space="0" w:color="auto"/>
            </w:tcBorders>
            <w:noWrap/>
            <w:vAlign w:val="center"/>
            <w:hideMark/>
          </w:tcPr>
          <w:p w:rsidR="000E6A73" w:rsidRDefault="000E6A73" w:rsidP="00F93C07">
            <w:pPr>
              <w:spacing w:after="0" w:line="240" w:lineRule="auto"/>
              <w:jc w:val="center"/>
              <w:rPr>
                <w:sz w:val="20"/>
                <w:szCs w:val="20"/>
              </w:rPr>
            </w:pPr>
            <w:r>
              <w:rPr>
                <w:sz w:val="20"/>
                <w:szCs w:val="20"/>
              </w:rPr>
              <w:t>36 050,00</w:t>
            </w:r>
          </w:p>
        </w:tc>
        <w:tc>
          <w:tcPr>
            <w:tcW w:w="1134" w:type="dxa"/>
            <w:tcBorders>
              <w:top w:val="nil"/>
              <w:left w:val="nil"/>
              <w:bottom w:val="single" w:sz="4" w:space="0" w:color="auto"/>
              <w:right w:val="single" w:sz="4" w:space="0" w:color="auto"/>
            </w:tcBorders>
            <w:vAlign w:val="center"/>
            <w:hideMark/>
          </w:tcPr>
          <w:p w:rsidR="000E6A73" w:rsidRDefault="000E6A73" w:rsidP="00F93C07">
            <w:pPr>
              <w:spacing w:after="0" w:line="240" w:lineRule="auto"/>
              <w:jc w:val="center"/>
              <w:rPr>
                <w:sz w:val="20"/>
                <w:szCs w:val="20"/>
              </w:rPr>
            </w:pPr>
            <w:r>
              <w:rPr>
                <w:sz w:val="20"/>
                <w:szCs w:val="20"/>
              </w:rPr>
              <w:t>34 562,42</w:t>
            </w:r>
          </w:p>
        </w:tc>
      </w:tr>
      <w:tr w:rsidR="000E6A73" w:rsidTr="004911B6">
        <w:trPr>
          <w:trHeight w:val="360"/>
        </w:trPr>
        <w:tc>
          <w:tcPr>
            <w:tcW w:w="708" w:type="dxa"/>
            <w:tcBorders>
              <w:top w:val="nil"/>
              <w:left w:val="single" w:sz="4" w:space="0" w:color="auto"/>
              <w:bottom w:val="single" w:sz="4" w:space="0" w:color="auto"/>
              <w:right w:val="single" w:sz="4" w:space="0" w:color="auto"/>
            </w:tcBorders>
            <w:noWrap/>
            <w:vAlign w:val="center"/>
            <w:hideMark/>
          </w:tcPr>
          <w:p w:rsidR="000E6A73" w:rsidRDefault="000E6A73" w:rsidP="00F93C07">
            <w:pPr>
              <w:spacing w:after="0" w:line="240" w:lineRule="auto"/>
              <w:jc w:val="center"/>
              <w:rPr>
                <w:sz w:val="20"/>
                <w:szCs w:val="20"/>
              </w:rPr>
            </w:pPr>
            <w:r>
              <w:rPr>
                <w:sz w:val="20"/>
                <w:szCs w:val="20"/>
              </w:rPr>
              <w:t>1.</w:t>
            </w:r>
            <w:r w:rsidR="003D2783">
              <w:rPr>
                <w:sz w:val="20"/>
                <w:szCs w:val="20"/>
              </w:rPr>
              <w:t>2</w:t>
            </w:r>
          </w:p>
        </w:tc>
        <w:tc>
          <w:tcPr>
            <w:tcW w:w="1986" w:type="dxa"/>
            <w:tcBorders>
              <w:top w:val="nil"/>
              <w:left w:val="nil"/>
              <w:bottom w:val="single" w:sz="4" w:space="0" w:color="auto"/>
              <w:right w:val="single" w:sz="4" w:space="0" w:color="auto"/>
            </w:tcBorders>
            <w:noWrap/>
            <w:vAlign w:val="center"/>
            <w:hideMark/>
          </w:tcPr>
          <w:p w:rsidR="000E6A73" w:rsidRDefault="000E6A73" w:rsidP="00F93C07">
            <w:pPr>
              <w:spacing w:after="0" w:line="240" w:lineRule="auto"/>
              <w:rPr>
                <w:sz w:val="20"/>
                <w:szCs w:val="20"/>
              </w:rPr>
            </w:pPr>
            <w:r>
              <w:rPr>
                <w:sz w:val="20"/>
                <w:szCs w:val="20"/>
              </w:rPr>
              <w:t>Неучтенный приток сточных вод</w:t>
            </w:r>
          </w:p>
        </w:tc>
        <w:tc>
          <w:tcPr>
            <w:tcW w:w="708" w:type="dxa"/>
            <w:tcBorders>
              <w:top w:val="nil"/>
              <w:left w:val="nil"/>
              <w:bottom w:val="single" w:sz="4" w:space="0" w:color="auto"/>
              <w:right w:val="single" w:sz="4" w:space="0" w:color="auto"/>
            </w:tcBorders>
            <w:noWrap/>
            <w:vAlign w:val="center"/>
            <w:hideMark/>
          </w:tcPr>
          <w:p w:rsidR="000E6A73" w:rsidRDefault="000E6A73" w:rsidP="00F93C07">
            <w:pPr>
              <w:spacing w:after="0" w:line="240" w:lineRule="auto"/>
              <w:jc w:val="center"/>
              <w:rPr>
                <w:sz w:val="20"/>
                <w:szCs w:val="20"/>
              </w:rPr>
            </w:pPr>
            <w:r>
              <w:rPr>
                <w:sz w:val="20"/>
                <w:szCs w:val="20"/>
              </w:rPr>
              <w:t>тыс. м</w:t>
            </w:r>
            <w:r>
              <w:rPr>
                <w:sz w:val="20"/>
                <w:szCs w:val="20"/>
                <w:vertAlign w:val="superscript"/>
              </w:rPr>
              <w:t>3</w:t>
            </w:r>
          </w:p>
        </w:tc>
        <w:tc>
          <w:tcPr>
            <w:tcW w:w="1134" w:type="dxa"/>
            <w:tcBorders>
              <w:top w:val="nil"/>
              <w:left w:val="nil"/>
              <w:bottom w:val="single" w:sz="4" w:space="0" w:color="auto"/>
              <w:right w:val="single" w:sz="4" w:space="0" w:color="auto"/>
            </w:tcBorders>
            <w:noWrap/>
            <w:vAlign w:val="center"/>
            <w:hideMark/>
          </w:tcPr>
          <w:p w:rsidR="000E6A73" w:rsidRDefault="000E6A73" w:rsidP="00F93C07">
            <w:pPr>
              <w:spacing w:after="0" w:line="240" w:lineRule="auto"/>
              <w:jc w:val="center"/>
              <w:rPr>
                <w:sz w:val="20"/>
                <w:szCs w:val="20"/>
              </w:rPr>
            </w:pPr>
            <w:r>
              <w:rPr>
                <w:sz w:val="20"/>
                <w:szCs w:val="20"/>
              </w:rPr>
              <w:t>26 979,15</w:t>
            </w:r>
          </w:p>
        </w:tc>
        <w:tc>
          <w:tcPr>
            <w:tcW w:w="1134" w:type="dxa"/>
            <w:tcBorders>
              <w:top w:val="nil"/>
              <w:left w:val="nil"/>
              <w:bottom w:val="single" w:sz="4" w:space="0" w:color="auto"/>
              <w:right w:val="single" w:sz="4" w:space="0" w:color="auto"/>
            </w:tcBorders>
            <w:noWrap/>
            <w:vAlign w:val="center"/>
            <w:hideMark/>
          </w:tcPr>
          <w:p w:rsidR="000E6A73" w:rsidRDefault="000E6A73" w:rsidP="00F93C07">
            <w:pPr>
              <w:spacing w:after="0" w:line="240" w:lineRule="auto"/>
              <w:jc w:val="center"/>
              <w:rPr>
                <w:sz w:val="20"/>
                <w:szCs w:val="20"/>
              </w:rPr>
            </w:pPr>
            <w:r>
              <w:rPr>
                <w:sz w:val="20"/>
                <w:szCs w:val="20"/>
              </w:rPr>
              <w:t>19 265,50</w:t>
            </w:r>
          </w:p>
        </w:tc>
        <w:tc>
          <w:tcPr>
            <w:tcW w:w="1134" w:type="dxa"/>
            <w:tcBorders>
              <w:top w:val="nil"/>
              <w:left w:val="nil"/>
              <w:bottom w:val="single" w:sz="4" w:space="0" w:color="auto"/>
              <w:right w:val="single" w:sz="4" w:space="0" w:color="auto"/>
            </w:tcBorders>
            <w:noWrap/>
            <w:vAlign w:val="center"/>
            <w:hideMark/>
          </w:tcPr>
          <w:p w:rsidR="000E6A73" w:rsidRDefault="000E6A73" w:rsidP="00F93C07">
            <w:pPr>
              <w:spacing w:after="0" w:line="240" w:lineRule="auto"/>
              <w:jc w:val="center"/>
              <w:rPr>
                <w:sz w:val="20"/>
                <w:szCs w:val="20"/>
              </w:rPr>
            </w:pPr>
            <w:r>
              <w:rPr>
                <w:sz w:val="20"/>
                <w:szCs w:val="20"/>
              </w:rPr>
              <w:t>24 281,00</w:t>
            </w:r>
          </w:p>
        </w:tc>
        <w:tc>
          <w:tcPr>
            <w:tcW w:w="1134" w:type="dxa"/>
            <w:tcBorders>
              <w:top w:val="nil"/>
              <w:left w:val="nil"/>
              <w:bottom w:val="single" w:sz="4" w:space="0" w:color="auto"/>
              <w:right w:val="single" w:sz="4" w:space="0" w:color="auto"/>
            </w:tcBorders>
            <w:noWrap/>
            <w:vAlign w:val="center"/>
            <w:hideMark/>
          </w:tcPr>
          <w:p w:rsidR="000E6A73" w:rsidRDefault="000E6A73" w:rsidP="00F93C07">
            <w:pPr>
              <w:spacing w:after="0" w:line="240" w:lineRule="auto"/>
              <w:jc w:val="center"/>
              <w:rPr>
                <w:sz w:val="20"/>
                <w:szCs w:val="20"/>
              </w:rPr>
            </w:pPr>
            <w:r>
              <w:rPr>
                <w:sz w:val="20"/>
                <w:szCs w:val="20"/>
              </w:rPr>
              <w:t>0,00</w:t>
            </w:r>
          </w:p>
        </w:tc>
        <w:tc>
          <w:tcPr>
            <w:tcW w:w="1134" w:type="dxa"/>
            <w:tcBorders>
              <w:top w:val="nil"/>
              <w:left w:val="nil"/>
              <w:bottom w:val="single" w:sz="4" w:space="0" w:color="auto"/>
              <w:right w:val="single" w:sz="4" w:space="0" w:color="auto"/>
            </w:tcBorders>
            <w:noWrap/>
            <w:vAlign w:val="center"/>
          </w:tcPr>
          <w:p w:rsidR="000E6A73" w:rsidRDefault="000E6A73" w:rsidP="00F93C07">
            <w:pPr>
              <w:spacing w:after="0" w:line="240" w:lineRule="auto"/>
              <w:jc w:val="center"/>
              <w:rPr>
                <w:sz w:val="20"/>
                <w:szCs w:val="20"/>
              </w:rPr>
            </w:pPr>
          </w:p>
        </w:tc>
        <w:tc>
          <w:tcPr>
            <w:tcW w:w="1134" w:type="dxa"/>
            <w:tcBorders>
              <w:top w:val="nil"/>
              <w:left w:val="nil"/>
              <w:bottom w:val="single" w:sz="4" w:space="0" w:color="auto"/>
              <w:right w:val="single" w:sz="4" w:space="0" w:color="auto"/>
            </w:tcBorders>
            <w:vAlign w:val="center"/>
          </w:tcPr>
          <w:p w:rsidR="000E6A73" w:rsidRDefault="000E6A73" w:rsidP="00F93C07">
            <w:pPr>
              <w:spacing w:after="0" w:line="240" w:lineRule="auto"/>
              <w:jc w:val="center"/>
              <w:rPr>
                <w:sz w:val="20"/>
                <w:szCs w:val="20"/>
              </w:rPr>
            </w:pPr>
          </w:p>
        </w:tc>
      </w:tr>
      <w:tr w:rsidR="000E6A73" w:rsidTr="004911B6">
        <w:trPr>
          <w:trHeight w:val="360"/>
        </w:trPr>
        <w:tc>
          <w:tcPr>
            <w:tcW w:w="708" w:type="dxa"/>
            <w:tcBorders>
              <w:top w:val="nil"/>
              <w:left w:val="single" w:sz="4" w:space="0" w:color="auto"/>
              <w:bottom w:val="single" w:sz="4" w:space="0" w:color="auto"/>
              <w:right w:val="single" w:sz="4" w:space="0" w:color="auto"/>
            </w:tcBorders>
            <w:noWrap/>
            <w:vAlign w:val="center"/>
            <w:hideMark/>
          </w:tcPr>
          <w:p w:rsidR="000E6A73" w:rsidRDefault="000E6A73" w:rsidP="00F93C07">
            <w:pPr>
              <w:spacing w:after="0" w:line="240" w:lineRule="auto"/>
              <w:jc w:val="center"/>
              <w:rPr>
                <w:sz w:val="20"/>
                <w:szCs w:val="20"/>
              </w:rPr>
            </w:pPr>
            <w:r>
              <w:rPr>
                <w:sz w:val="20"/>
                <w:szCs w:val="20"/>
              </w:rPr>
              <w:t>1.</w:t>
            </w:r>
            <w:r w:rsidR="003D2783">
              <w:rPr>
                <w:sz w:val="20"/>
                <w:szCs w:val="20"/>
              </w:rPr>
              <w:t>2.1</w:t>
            </w:r>
          </w:p>
        </w:tc>
        <w:tc>
          <w:tcPr>
            <w:tcW w:w="1986" w:type="dxa"/>
            <w:tcBorders>
              <w:top w:val="nil"/>
              <w:left w:val="nil"/>
              <w:bottom w:val="single" w:sz="4" w:space="0" w:color="auto"/>
              <w:right w:val="single" w:sz="4" w:space="0" w:color="auto"/>
            </w:tcBorders>
            <w:noWrap/>
            <w:vAlign w:val="center"/>
            <w:hideMark/>
          </w:tcPr>
          <w:p w:rsidR="000E6A73" w:rsidRDefault="000E6A73" w:rsidP="00F93C07">
            <w:pPr>
              <w:spacing w:after="0" w:line="240" w:lineRule="auto"/>
              <w:rPr>
                <w:sz w:val="20"/>
                <w:szCs w:val="20"/>
              </w:rPr>
            </w:pPr>
            <w:r>
              <w:rPr>
                <w:sz w:val="20"/>
                <w:szCs w:val="20"/>
              </w:rPr>
              <w:t>Организованный приток</w:t>
            </w:r>
          </w:p>
        </w:tc>
        <w:tc>
          <w:tcPr>
            <w:tcW w:w="708" w:type="dxa"/>
            <w:tcBorders>
              <w:top w:val="nil"/>
              <w:left w:val="nil"/>
              <w:bottom w:val="single" w:sz="4" w:space="0" w:color="auto"/>
              <w:right w:val="single" w:sz="4" w:space="0" w:color="auto"/>
            </w:tcBorders>
            <w:noWrap/>
            <w:vAlign w:val="center"/>
            <w:hideMark/>
          </w:tcPr>
          <w:p w:rsidR="000E6A73" w:rsidRDefault="000E6A73" w:rsidP="00F93C07">
            <w:pPr>
              <w:spacing w:after="0" w:line="240" w:lineRule="auto"/>
              <w:jc w:val="center"/>
              <w:rPr>
                <w:sz w:val="20"/>
                <w:szCs w:val="20"/>
              </w:rPr>
            </w:pPr>
            <w:r>
              <w:rPr>
                <w:sz w:val="20"/>
                <w:szCs w:val="20"/>
              </w:rPr>
              <w:t>тыс. м</w:t>
            </w:r>
            <w:r>
              <w:rPr>
                <w:sz w:val="20"/>
                <w:szCs w:val="20"/>
                <w:vertAlign w:val="superscript"/>
              </w:rPr>
              <w:t>3</w:t>
            </w:r>
          </w:p>
        </w:tc>
        <w:tc>
          <w:tcPr>
            <w:tcW w:w="1134" w:type="dxa"/>
            <w:tcBorders>
              <w:top w:val="nil"/>
              <w:left w:val="nil"/>
              <w:bottom w:val="single" w:sz="4" w:space="0" w:color="auto"/>
              <w:right w:val="single" w:sz="4" w:space="0" w:color="auto"/>
            </w:tcBorders>
            <w:noWrap/>
            <w:vAlign w:val="center"/>
          </w:tcPr>
          <w:p w:rsidR="000E6A73" w:rsidRDefault="000E6A73" w:rsidP="00F93C07">
            <w:pPr>
              <w:spacing w:after="0" w:line="240" w:lineRule="auto"/>
              <w:jc w:val="center"/>
              <w:rPr>
                <w:sz w:val="20"/>
                <w:szCs w:val="20"/>
              </w:rPr>
            </w:pPr>
          </w:p>
        </w:tc>
        <w:tc>
          <w:tcPr>
            <w:tcW w:w="1134" w:type="dxa"/>
            <w:tcBorders>
              <w:top w:val="nil"/>
              <w:left w:val="nil"/>
              <w:bottom w:val="single" w:sz="4" w:space="0" w:color="auto"/>
              <w:right w:val="single" w:sz="4" w:space="0" w:color="auto"/>
            </w:tcBorders>
            <w:noWrap/>
            <w:vAlign w:val="center"/>
          </w:tcPr>
          <w:p w:rsidR="000E6A73" w:rsidRDefault="000E6A73" w:rsidP="00F93C07">
            <w:pPr>
              <w:spacing w:after="0" w:line="240" w:lineRule="auto"/>
              <w:jc w:val="center"/>
              <w:rPr>
                <w:sz w:val="20"/>
                <w:szCs w:val="20"/>
              </w:rPr>
            </w:pPr>
          </w:p>
        </w:tc>
        <w:tc>
          <w:tcPr>
            <w:tcW w:w="1134" w:type="dxa"/>
            <w:tcBorders>
              <w:top w:val="nil"/>
              <w:left w:val="nil"/>
              <w:bottom w:val="single" w:sz="4" w:space="0" w:color="auto"/>
              <w:right w:val="single" w:sz="4" w:space="0" w:color="auto"/>
            </w:tcBorders>
            <w:noWrap/>
            <w:vAlign w:val="center"/>
            <w:hideMark/>
          </w:tcPr>
          <w:p w:rsidR="000E6A73" w:rsidRDefault="000E6A73" w:rsidP="00F93C07">
            <w:pPr>
              <w:spacing w:after="0" w:line="240" w:lineRule="auto"/>
              <w:jc w:val="center"/>
              <w:rPr>
                <w:sz w:val="20"/>
                <w:szCs w:val="20"/>
              </w:rPr>
            </w:pPr>
            <w:r>
              <w:rPr>
                <w:sz w:val="20"/>
                <w:szCs w:val="20"/>
              </w:rPr>
              <w:t>12 970,00</w:t>
            </w:r>
          </w:p>
        </w:tc>
        <w:tc>
          <w:tcPr>
            <w:tcW w:w="1134" w:type="dxa"/>
            <w:tcBorders>
              <w:top w:val="nil"/>
              <w:left w:val="nil"/>
              <w:bottom w:val="single" w:sz="4" w:space="0" w:color="auto"/>
              <w:right w:val="single" w:sz="4" w:space="0" w:color="auto"/>
            </w:tcBorders>
            <w:noWrap/>
            <w:vAlign w:val="center"/>
            <w:hideMark/>
          </w:tcPr>
          <w:p w:rsidR="000E6A73" w:rsidRDefault="000E6A73" w:rsidP="00F93C07">
            <w:pPr>
              <w:spacing w:after="0" w:line="240" w:lineRule="auto"/>
              <w:rPr>
                <w:sz w:val="20"/>
                <w:szCs w:val="20"/>
              </w:rPr>
            </w:pPr>
          </w:p>
        </w:tc>
        <w:tc>
          <w:tcPr>
            <w:tcW w:w="1134" w:type="dxa"/>
            <w:tcBorders>
              <w:top w:val="nil"/>
              <w:left w:val="nil"/>
              <w:bottom w:val="single" w:sz="4" w:space="0" w:color="auto"/>
              <w:right w:val="single" w:sz="4" w:space="0" w:color="auto"/>
            </w:tcBorders>
            <w:noWrap/>
            <w:vAlign w:val="center"/>
          </w:tcPr>
          <w:p w:rsidR="000E6A73" w:rsidRDefault="000E6A73" w:rsidP="00F93C07">
            <w:pPr>
              <w:spacing w:after="0" w:line="240" w:lineRule="auto"/>
              <w:jc w:val="center"/>
              <w:rPr>
                <w:sz w:val="20"/>
                <w:szCs w:val="20"/>
              </w:rPr>
            </w:pPr>
          </w:p>
        </w:tc>
        <w:tc>
          <w:tcPr>
            <w:tcW w:w="1134" w:type="dxa"/>
            <w:tcBorders>
              <w:top w:val="nil"/>
              <w:left w:val="nil"/>
              <w:bottom w:val="single" w:sz="4" w:space="0" w:color="auto"/>
              <w:right w:val="single" w:sz="4" w:space="0" w:color="auto"/>
            </w:tcBorders>
            <w:vAlign w:val="center"/>
          </w:tcPr>
          <w:p w:rsidR="000E6A73" w:rsidRDefault="000E6A73" w:rsidP="00F93C07">
            <w:pPr>
              <w:spacing w:after="0" w:line="240" w:lineRule="auto"/>
              <w:jc w:val="center"/>
              <w:rPr>
                <w:sz w:val="20"/>
                <w:szCs w:val="20"/>
              </w:rPr>
            </w:pPr>
          </w:p>
        </w:tc>
      </w:tr>
      <w:tr w:rsidR="000E6A73" w:rsidTr="004911B6">
        <w:trPr>
          <w:trHeight w:val="360"/>
        </w:trPr>
        <w:tc>
          <w:tcPr>
            <w:tcW w:w="708" w:type="dxa"/>
            <w:tcBorders>
              <w:top w:val="nil"/>
              <w:left w:val="single" w:sz="4" w:space="0" w:color="auto"/>
              <w:bottom w:val="single" w:sz="4" w:space="0" w:color="auto"/>
              <w:right w:val="single" w:sz="4" w:space="0" w:color="auto"/>
            </w:tcBorders>
            <w:noWrap/>
            <w:vAlign w:val="center"/>
            <w:hideMark/>
          </w:tcPr>
          <w:p w:rsidR="000E6A73" w:rsidRDefault="003D2783" w:rsidP="00F93C07">
            <w:pPr>
              <w:spacing w:after="0" w:line="240" w:lineRule="auto"/>
              <w:jc w:val="center"/>
              <w:rPr>
                <w:sz w:val="20"/>
                <w:szCs w:val="20"/>
              </w:rPr>
            </w:pPr>
            <w:r>
              <w:rPr>
                <w:sz w:val="20"/>
                <w:szCs w:val="20"/>
              </w:rPr>
              <w:t>1.2.2</w:t>
            </w:r>
          </w:p>
        </w:tc>
        <w:tc>
          <w:tcPr>
            <w:tcW w:w="1986" w:type="dxa"/>
            <w:tcBorders>
              <w:top w:val="nil"/>
              <w:left w:val="nil"/>
              <w:bottom w:val="single" w:sz="4" w:space="0" w:color="auto"/>
              <w:right w:val="single" w:sz="4" w:space="0" w:color="auto"/>
            </w:tcBorders>
            <w:noWrap/>
            <w:vAlign w:val="center"/>
            <w:hideMark/>
          </w:tcPr>
          <w:p w:rsidR="000E6A73" w:rsidRDefault="000E6A73" w:rsidP="00F93C07">
            <w:pPr>
              <w:spacing w:after="0" w:line="240" w:lineRule="auto"/>
              <w:rPr>
                <w:sz w:val="20"/>
                <w:szCs w:val="20"/>
              </w:rPr>
            </w:pPr>
            <w:r>
              <w:rPr>
                <w:sz w:val="20"/>
                <w:szCs w:val="20"/>
              </w:rPr>
              <w:t>Неорганизованный приток</w:t>
            </w:r>
          </w:p>
        </w:tc>
        <w:tc>
          <w:tcPr>
            <w:tcW w:w="708" w:type="dxa"/>
            <w:tcBorders>
              <w:top w:val="nil"/>
              <w:left w:val="nil"/>
              <w:bottom w:val="single" w:sz="4" w:space="0" w:color="auto"/>
              <w:right w:val="single" w:sz="4" w:space="0" w:color="auto"/>
            </w:tcBorders>
            <w:noWrap/>
            <w:vAlign w:val="center"/>
            <w:hideMark/>
          </w:tcPr>
          <w:p w:rsidR="000E6A73" w:rsidRDefault="000E6A73" w:rsidP="00F93C07">
            <w:pPr>
              <w:spacing w:after="0" w:line="240" w:lineRule="auto"/>
              <w:jc w:val="center"/>
              <w:rPr>
                <w:sz w:val="20"/>
                <w:szCs w:val="20"/>
              </w:rPr>
            </w:pPr>
            <w:r>
              <w:rPr>
                <w:sz w:val="20"/>
                <w:szCs w:val="20"/>
              </w:rPr>
              <w:t>тыс. м</w:t>
            </w:r>
            <w:r>
              <w:rPr>
                <w:sz w:val="20"/>
                <w:szCs w:val="20"/>
                <w:vertAlign w:val="superscript"/>
              </w:rPr>
              <w:t>3</w:t>
            </w:r>
          </w:p>
        </w:tc>
        <w:tc>
          <w:tcPr>
            <w:tcW w:w="1134" w:type="dxa"/>
            <w:tcBorders>
              <w:top w:val="nil"/>
              <w:left w:val="nil"/>
              <w:bottom w:val="single" w:sz="4" w:space="0" w:color="auto"/>
              <w:right w:val="single" w:sz="4" w:space="0" w:color="auto"/>
            </w:tcBorders>
            <w:noWrap/>
            <w:vAlign w:val="center"/>
            <w:hideMark/>
          </w:tcPr>
          <w:p w:rsidR="000E6A73" w:rsidRDefault="000E6A73" w:rsidP="00F93C07">
            <w:pPr>
              <w:spacing w:after="0" w:line="240" w:lineRule="auto"/>
              <w:jc w:val="center"/>
              <w:rPr>
                <w:sz w:val="20"/>
                <w:szCs w:val="20"/>
              </w:rPr>
            </w:pPr>
            <w:r>
              <w:rPr>
                <w:sz w:val="20"/>
                <w:szCs w:val="20"/>
              </w:rPr>
              <w:t>26 979,15</w:t>
            </w:r>
          </w:p>
        </w:tc>
        <w:tc>
          <w:tcPr>
            <w:tcW w:w="1134" w:type="dxa"/>
            <w:tcBorders>
              <w:top w:val="nil"/>
              <w:left w:val="nil"/>
              <w:bottom w:val="single" w:sz="4" w:space="0" w:color="auto"/>
              <w:right w:val="single" w:sz="4" w:space="0" w:color="auto"/>
            </w:tcBorders>
            <w:noWrap/>
            <w:vAlign w:val="center"/>
            <w:hideMark/>
          </w:tcPr>
          <w:p w:rsidR="000E6A73" w:rsidRDefault="000E6A73" w:rsidP="00F93C07">
            <w:pPr>
              <w:spacing w:after="0" w:line="240" w:lineRule="auto"/>
              <w:jc w:val="center"/>
              <w:rPr>
                <w:sz w:val="20"/>
                <w:szCs w:val="20"/>
              </w:rPr>
            </w:pPr>
            <w:r>
              <w:rPr>
                <w:sz w:val="20"/>
                <w:szCs w:val="20"/>
              </w:rPr>
              <w:t>19 265,50</w:t>
            </w:r>
          </w:p>
        </w:tc>
        <w:tc>
          <w:tcPr>
            <w:tcW w:w="1134" w:type="dxa"/>
            <w:tcBorders>
              <w:top w:val="nil"/>
              <w:left w:val="nil"/>
              <w:bottom w:val="single" w:sz="4" w:space="0" w:color="auto"/>
              <w:right w:val="single" w:sz="4" w:space="0" w:color="auto"/>
            </w:tcBorders>
            <w:noWrap/>
            <w:vAlign w:val="center"/>
            <w:hideMark/>
          </w:tcPr>
          <w:p w:rsidR="000E6A73" w:rsidRDefault="000E6A73" w:rsidP="00F93C07">
            <w:pPr>
              <w:spacing w:after="0" w:line="240" w:lineRule="auto"/>
              <w:jc w:val="center"/>
              <w:rPr>
                <w:sz w:val="20"/>
                <w:szCs w:val="20"/>
              </w:rPr>
            </w:pPr>
            <w:r>
              <w:rPr>
                <w:sz w:val="20"/>
                <w:szCs w:val="20"/>
              </w:rPr>
              <w:t>11 311,00</w:t>
            </w:r>
          </w:p>
        </w:tc>
        <w:tc>
          <w:tcPr>
            <w:tcW w:w="1134" w:type="dxa"/>
            <w:tcBorders>
              <w:top w:val="nil"/>
              <w:left w:val="nil"/>
              <w:bottom w:val="single" w:sz="4" w:space="0" w:color="auto"/>
              <w:right w:val="single" w:sz="4" w:space="0" w:color="auto"/>
            </w:tcBorders>
            <w:noWrap/>
            <w:vAlign w:val="center"/>
            <w:hideMark/>
          </w:tcPr>
          <w:p w:rsidR="000E6A73" w:rsidRDefault="000E6A73" w:rsidP="00F93C07">
            <w:pPr>
              <w:spacing w:after="0" w:line="240" w:lineRule="auto"/>
              <w:jc w:val="center"/>
              <w:rPr>
                <w:sz w:val="20"/>
                <w:szCs w:val="20"/>
              </w:rPr>
            </w:pPr>
            <w:r>
              <w:rPr>
                <w:sz w:val="20"/>
                <w:szCs w:val="20"/>
              </w:rPr>
              <w:t>0,00</w:t>
            </w:r>
          </w:p>
        </w:tc>
        <w:tc>
          <w:tcPr>
            <w:tcW w:w="1134" w:type="dxa"/>
            <w:tcBorders>
              <w:top w:val="nil"/>
              <w:left w:val="nil"/>
              <w:bottom w:val="single" w:sz="4" w:space="0" w:color="auto"/>
              <w:right w:val="single" w:sz="4" w:space="0" w:color="auto"/>
            </w:tcBorders>
            <w:noWrap/>
            <w:vAlign w:val="center"/>
          </w:tcPr>
          <w:p w:rsidR="000E6A73" w:rsidRDefault="000E6A73" w:rsidP="00F93C07">
            <w:pPr>
              <w:spacing w:after="0" w:line="240" w:lineRule="auto"/>
              <w:jc w:val="center"/>
              <w:rPr>
                <w:sz w:val="20"/>
                <w:szCs w:val="20"/>
              </w:rPr>
            </w:pPr>
          </w:p>
        </w:tc>
        <w:tc>
          <w:tcPr>
            <w:tcW w:w="1134" w:type="dxa"/>
            <w:tcBorders>
              <w:top w:val="nil"/>
              <w:left w:val="nil"/>
              <w:bottom w:val="single" w:sz="4" w:space="0" w:color="auto"/>
              <w:right w:val="single" w:sz="4" w:space="0" w:color="auto"/>
            </w:tcBorders>
            <w:vAlign w:val="center"/>
          </w:tcPr>
          <w:p w:rsidR="000E6A73" w:rsidRDefault="000E6A73" w:rsidP="00F93C07">
            <w:pPr>
              <w:spacing w:after="0" w:line="240" w:lineRule="auto"/>
              <w:jc w:val="center"/>
              <w:rPr>
                <w:sz w:val="20"/>
                <w:szCs w:val="20"/>
              </w:rPr>
            </w:pPr>
          </w:p>
        </w:tc>
      </w:tr>
      <w:tr w:rsidR="000E6A73" w:rsidTr="003D2783">
        <w:trPr>
          <w:trHeight w:val="360"/>
        </w:trPr>
        <w:tc>
          <w:tcPr>
            <w:tcW w:w="708" w:type="dxa"/>
            <w:tcBorders>
              <w:top w:val="nil"/>
              <w:left w:val="single" w:sz="4" w:space="0" w:color="auto"/>
              <w:bottom w:val="single" w:sz="4" w:space="0" w:color="auto"/>
              <w:right w:val="single" w:sz="4" w:space="0" w:color="auto"/>
            </w:tcBorders>
            <w:noWrap/>
            <w:vAlign w:val="center"/>
            <w:hideMark/>
          </w:tcPr>
          <w:p w:rsidR="000E6A73" w:rsidRDefault="000E6A73" w:rsidP="00F93C07">
            <w:pPr>
              <w:spacing w:after="0" w:line="240" w:lineRule="auto"/>
              <w:jc w:val="center"/>
              <w:rPr>
                <w:b/>
                <w:bCs/>
                <w:sz w:val="20"/>
                <w:szCs w:val="20"/>
              </w:rPr>
            </w:pPr>
            <w:r>
              <w:rPr>
                <w:b/>
                <w:bCs/>
                <w:sz w:val="20"/>
                <w:szCs w:val="20"/>
              </w:rPr>
              <w:t>2</w:t>
            </w:r>
          </w:p>
        </w:tc>
        <w:tc>
          <w:tcPr>
            <w:tcW w:w="1986" w:type="dxa"/>
            <w:tcBorders>
              <w:top w:val="nil"/>
              <w:left w:val="nil"/>
              <w:bottom w:val="single" w:sz="4" w:space="0" w:color="auto"/>
              <w:right w:val="single" w:sz="4" w:space="0" w:color="auto"/>
            </w:tcBorders>
            <w:noWrap/>
            <w:vAlign w:val="center"/>
            <w:hideMark/>
          </w:tcPr>
          <w:p w:rsidR="000E6A73" w:rsidRDefault="000E6A73" w:rsidP="00F93C07">
            <w:pPr>
              <w:spacing w:after="0" w:line="240" w:lineRule="auto"/>
              <w:rPr>
                <w:b/>
                <w:bCs/>
                <w:sz w:val="20"/>
                <w:szCs w:val="20"/>
              </w:rPr>
            </w:pPr>
            <w:r>
              <w:rPr>
                <w:b/>
                <w:bCs/>
                <w:sz w:val="20"/>
                <w:szCs w:val="20"/>
              </w:rPr>
              <w:t>Объем транспортируемых сточных вод</w:t>
            </w:r>
            <w:r w:rsidR="003D2783">
              <w:rPr>
                <w:b/>
                <w:bCs/>
                <w:sz w:val="20"/>
                <w:szCs w:val="20"/>
              </w:rPr>
              <w:t xml:space="preserve"> н</w:t>
            </w:r>
            <w:r w:rsidR="003D2783" w:rsidRPr="003D2783">
              <w:rPr>
                <w:b/>
                <w:bCs/>
                <w:sz w:val="20"/>
                <w:szCs w:val="20"/>
              </w:rPr>
              <w:t>а собственные очистные сооружения</w:t>
            </w:r>
          </w:p>
        </w:tc>
        <w:tc>
          <w:tcPr>
            <w:tcW w:w="708" w:type="dxa"/>
            <w:tcBorders>
              <w:top w:val="nil"/>
              <w:left w:val="nil"/>
              <w:bottom w:val="single" w:sz="4" w:space="0" w:color="auto"/>
              <w:right w:val="single" w:sz="4" w:space="0" w:color="auto"/>
            </w:tcBorders>
            <w:noWrap/>
            <w:vAlign w:val="center"/>
            <w:hideMark/>
          </w:tcPr>
          <w:p w:rsidR="000E6A73" w:rsidRDefault="000E6A73" w:rsidP="00F93C07">
            <w:pPr>
              <w:spacing w:after="0" w:line="240" w:lineRule="auto"/>
              <w:jc w:val="center"/>
              <w:rPr>
                <w:sz w:val="20"/>
                <w:szCs w:val="20"/>
              </w:rPr>
            </w:pPr>
            <w:r>
              <w:rPr>
                <w:sz w:val="20"/>
                <w:szCs w:val="20"/>
              </w:rPr>
              <w:t>тыс. м</w:t>
            </w:r>
            <w:r>
              <w:rPr>
                <w:sz w:val="20"/>
                <w:szCs w:val="20"/>
                <w:vertAlign w:val="superscript"/>
              </w:rPr>
              <w:t>3</w:t>
            </w:r>
          </w:p>
        </w:tc>
        <w:tc>
          <w:tcPr>
            <w:tcW w:w="1134" w:type="dxa"/>
            <w:tcBorders>
              <w:top w:val="nil"/>
              <w:left w:val="nil"/>
              <w:bottom w:val="single" w:sz="4" w:space="0" w:color="auto"/>
              <w:right w:val="single" w:sz="4" w:space="0" w:color="auto"/>
            </w:tcBorders>
            <w:noWrap/>
            <w:vAlign w:val="center"/>
            <w:hideMark/>
          </w:tcPr>
          <w:p w:rsidR="000E6A73" w:rsidRDefault="000E6A73" w:rsidP="00F93C07">
            <w:pPr>
              <w:spacing w:after="0" w:line="240" w:lineRule="auto"/>
              <w:jc w:val="center"/>
              <w:rPr>
                <w:sz w:val="20"/>
                <w:szCs w:val="20"/>
              </w:rPr>
            </w:pPr>
            <w:r>
              <w:rPr>
                <w:sz w:val="20"/>
                <w:szCs w:val="20"/>
              </w:rPr>
              <w:t>168 573,00</w:t>
            </w:r>
          </w:p>
        </w:tc>
        <w:tc>
          <w:tcPr>
            <w:tcW w:w="1134" w:type="dxa"/>
            <w:tcBorders>
              <w:top w:val="nil"/>
              <w:left w:val="nil"/>
              <w:bottom w:val="single" w:sz="4" w:space="0" w:color="auto"/>
              <w:right w:val="single" w:sz="4" w:space="0" w:color="auto"/>
            </w:tcBorders>
            <w:noWrap/>
            <w:vAlign w:val="center"/>
            <w:hideMark/>
          </w:tcPr>
          <w:p w:rsidR="000E6A73" w:rsidRDefault="000E6A73" w:rsidP="00F93C07">
            <w:pPr>
              <w:spacing w:after="0" w:line="240" w:lineRule="auto"/>
              <w:jc w:val="center"/>
              <w:rPr>
                <w:sz w:val="20"/>
                <w:szCs w:val="20"/>
              </w:rPr>
            </w:pPr>
            <w:r>
              <w:rPr>
                <w:sz w:val="20"/>
                <w:szCs w:val="20"/>
              </w:rPr>
              <w:t>159 260,00</w:t>
            </w:r>
          </w:p>
        </w:tc>
        <w:tc>
          <w:tcPr>
            <w:tcW w:w="1134" w:type="dxa"/>
            <w:tcBorders>
              <w:top w:val="nil"/>
              <w:left w:val="nil"/>
              <w:bottom w:val="single" w:sz="4" w:space="0" w:color="auto"/>
              <w:right w:val="single" w:sz="4" w:space="0" w:color="auto"/>
            </w:tcBorders>
            <w:noWrap/>
            <w:vAlign w:val="center"/>
            <w:hideMark/>
          </w:tcPr>
          <w:p w:rsidR="000E6A73" w:rsidRDefault="000E6A73" w:rsidP="00F93C07">
            <w:pPr>
              <w:spacing w:after="0" w:line="240" w:lineRule="auto"/>
              <w:jc w:val="center"/>
              <w:rPr>
                <w:sz w:val="20"/>
                <w:szCs w:val="20"/>
              </w:rPr>
            </w:pPr>
            <w:r>
              <w:rPr>
                <w:sz w:val="20"/>
                <w:szCs w:val="20"/>
              </w:rPr>
              <w:t>138 564,00</w:t>
            </w:r>
          </w:p>
        </w:tc>
        <w:tc>
          <w:tcPr>
            <w:tcW w:w="1134" w:type="dxa"/>
            <w:tcBorders>
              <w:top w:val="nil"/>
              <w:left w:val="nil"/>
              <w:bottom w:val="single" w:sz="4" w:space="0" w:color="auto"/>
              <w:right w:val="single" w:sz="4" w:space="0" w:color="auto"/>
            </w:tcBorders>
            <w:noWrap/>
            <w:vAlign w:val="center"/>
            <w:hideMark/>
          </w:tcPr>
          <w:p w:rsidR="000E6A73" w:rsidRDefault="000E6A73" w:rsidP="00F93C07">
            <w:pPr>
              <w:spacing w:after="0" w:line="240" w:lineRule="auto"/>
              <w:jc w:val="center"/>
              <w:rPr>
                <w:sz w:val="20"/>
                <w:szCs w:val="20"/>
              </w:rPr>
            </w:pPr>
            <w:r>
              <w:rPr>
                <w:sz w:val="20"/>
                <w:szCs w:val="20"/>
              </w:rPr>
              <w:t>140 790,73</w:t>
            </w:r>
          </w:p>
        </w:tc>
        <w:tc>
          <w:tcPr>
            <w:tcW w:w="1134" w:type="dxa"/>
            <w:tcBorders>
              <w:top w:val="nil"/>
              <w:left w:val="nil"/>
              <w:bottom w:val="single" w:sz="4" w:space="0" w:color="auto"/>
              <w:right w:val="single" w:sz="4" w:space="0" w:color="auto"/>
            </w:tcBorders>
            <w:noWrap/>
            <w:vAlign w:val="center"/>
            <w:hideMark/>
          </w:tcPr>
          <w:p w:rsidR="000E6A73" w:rsidRDefault="000E6A73" w:rsidP="00F93C07">
            <w:pPr>
              <w:spacing w:after="0" w:line="240" w:lineRule="auto"/>
              <w:jc w:val="center"/>
              <w:rPr>
                <w:sz w:val="20"/>
                <w:szCs w:val="20"/>
              </w:rPr>
            </w:pPr>
            <w:r>
              <w:rPr>
                <w:sz w:val="20"/>
                <w:szCs w:val="20"/>
              </w:rPr>
              <w:t>138 564,00</w:t>
            </w:r>
          </w:p>
        </w:tc>
        <w:tc>
          <w:tcPr>
            <w:tcW w:w="1134" w:type="dxa"/>
            <w:tcBorders>
              <w:top w:val="nil"/>
              <w:left w:val="nil"/>
              <w:bottom w:val="single" w:sz="4" w:space="0" w:color="auto"/>
              <w:right w:val="single" w:sz="4" w:space="0" w:color="auto"/>
            </w:tcBorders>
            <w:vAlign w:val="center"/>
            <w:hideMark/>
          </w:tcPr>
          <w:p w:rsidR="000E6A73" w:rsidRDefault="000E6A73" w:rsidP="00F93C07">
            <w:pPr>
              <w:spacing w:after="0" w:line="240" w:lineRule="auto"/>
              <w:jc w:val="center"/>
              <w:rPr>
                <w:sz w:val="20"/>
                <w:szCs w:val="20"/>
              </w:rPr>
            </w:pPr>
            <w:r>
              <w:rPr>
                <w:sz w:val="20"/>
                <w:szCs w:val="20"/>
              </w:rPr>
              <w:t>138 938,77</w:t>
            </w:r>
          </w:p>
        </w:tc>
      </w:tr>
      <w:tr w:rsidR="000E6A73" w:rsidTr="003D2783">
        <w:trPr>
          <w:trHeight w:val="600"/>
        </w:trPr>
        <w:tc>
          <w:tcPr>
            <w:tcW w:w="708" w:type="dxa"/>
            <w:tcBorders>
              <w:top w:val="single" w:sz="4" w:space="0" w:color="auto"/>
              <w:left w:val="single" w:sz="4" w:space="0" w:color="auto"/>
              <w:bottom w:val="single" w:sz="4" w:space="0" w:color="auto"/>
              <w:right w:val="single" w:sz="4" w:space="0" w:color="auto"/>
            </w:tcBorders>
            <w:noWrap/>
            <w:vAlign w:val="center"/>
            <w:hideMark/>
          </w:tcPr>
          <w:p w:rsidR="000E6A73" w:rsidRDefault="000E6A73" w:rsidP="00F93C07">
            <w:pPr>
              <w:spacing w:after="0" w:line="240" w:lineRule="auto"/>
              <w:jc w:val="center"/>
              <w:rPr>
                <w:b/>
                <w:bCs/>
                <w:sz w:val="20"/>
                <w:szCs w:val="20"/>
              </w:rPr>
            </w:pPr>
            <w:r>
              <w:rPr>
                <w:b/>
                <w:bCs/>
                <w:sz w:val="20"/>
                <w:szCs w:val="20"/>
              </w:rPr>
              <w:t>3</w:t>
            </w:r>
          </w:p>
        </w:tc>
        <w:tc>
          <w:tcPr>
            <w:tcW w:w="1986" w:type="dxa"/>
            <w:tcBorders>
              <w:top w:val="single" w:sz="4" w:space="0" w:color="auto"/>
              <w:left w:val="nil"/>
              <w:bottom w:val="single" w:sz="4" w:space="0" w:color="auto"/>
              <w:right w:val="single" w:sz="4" w:space="0" w:color="auto"/>
            </w:tcBorders>
            <w:vAlign w:val="center"/>
            <w:hideMark/>
          </w:tcPr>
          <w:p w:rsidR="000E6A73" w:rsidRDefault="000E6A73" w:rsidP="00F93C07">
            <w:pPr>
              <w:spacing w:after="0" w:line="240" w:lineRule="auto"/>
              <w:rPr>
                <w:b/>
                <w:bCs/>
                <w:sz w:val="20"/>
                <w:szCs w:val="20"/>
              </w:rPr>
            </w:pPr>
            <w:r>
              <w:rPr>
                <w:b/>
                <w:bCs/>
                <w:sz w:val="20"/>
                <w:szCs w:val="20"/>
              </w:rPr>
              <w:t>Объем сточных вод, поступивших на очистные сооружения</w:t>
            </w:r>
          </w:p>
        </w:tc>
        <w:tc>
          <w:tcPr>
            <w:tcW w:w="708" w:type="dxa"/>
            <w:tcBorders>
              <w:top w:val="single" w:sz="4" w:space="0" w:color="auto"/>
              <w:left w:val="nil"/>
              <w:bottom w:val="single" w:sz="4" w:space="0" w:color="auto"/>
              <w:right w:val="single" w:sz="4" w:space="0" w:color="auto"/>
            </w:tcBorders>
            <w:noWrap/>
            <w:vAlign w:val="center"/>
            <w:hideMark/>
          </w:tcPr>
          <w:p w:rsidR="000E6A73" w:rsidRDefault="000E6A73" w:rsidP="00F93C07">
            <w:pPr>
              <w:spacing w:after="0" w:line="240" w:lineRule="auto"/>
              <w:jc w:val="center"/>
              <w:rPr>
                <w:sz w:val="20"/>
                <w:szCs w:val="20"/>
              </w:rPr>
            </w:pPr>
            <w:r>
              <w:rPr>
                <w:sz w:val="20"/>
                <w:szCs w:val="20"/>
              </w:rPr>
              <w:t>тыс. м</w:t>
            </w:r>
            <w:r>
              <w:rPr>
                <w:sz w:val="20"/>
                <w:szCs w:val="20"/>
                <w:vertAlign w:val="superscript"/>
              </w:rPr>
              <w:t>3</w:t>
            </w:r>
          </w:p>
        </w:tc>
        <w:tc>
          <w:tcPr>
            <w:tcW w:w="1134" w:type="dxa"/>
            <w:tcBorders>
              <w:top w:val="single" w:sz="4" w:space="0" w:color="auto"/>
              <w:left w:val="nil"/>
              <w:bottom w:val="single" w:sz="4" w:space="0" w:color="auto"/>
              <w:right w:val="single" w:sz="4" w:space="0" w:color="auto"/>
            </w:tcBorders>
            <w:noWrap/>
            <w:vAlign w:val="center"/>
            <w:hideMark/>
          </w:tcPr>
          <w:p w:rsidR="000E6A73" w:rsidRDefault="000E6A73" w:rsidP="00F93C07">
            <w:pPr>
              <w:spacing w:after="0" w:line="240" w:lineRule="auto"/>
              <w:jc w:val="center"/>
              <w:rPr>
                <w:sz w:val="20"/>
                <w:szCs w:val="20"/>
              </w:rPr>
            </w:pPr>
            <w:r>
              <w:rPr>
                <w:sz w:val="20"/>
                <w:szCs w:val="20"/>
              </w:rPr>
              <w:t>168 573,00</w:t>
            </w:r>
          </w:p>
        </w:tc>
        <w:tc>
          <w:tcPr>
            <w:tcW w:w="1134" w:type="dxa"/>
            <w:tcBorders>
              <w:top w:val="single" w:sz="4" w:space="0" w:color="auto"/>
              <w:left w:val="nil"/>
              <w:bottom w:val="single" w:sz="4" w:space="0" w:color="auto"/>
              <w:right w:val="single" w:sz="4" w:space="0" w:color="auto"/>
            </w:tcBorders>
            <w:noWrap/>
            <w:vAlign w:val="center"/>
            <w:hideMark/>
          </w:tcPr>
          <w:p w:rsidR="000E6A73" w:rsidRDefault="000E6A73" w:rsidP="00F93C07">
            <w:pPr>
              <w:spacing w:after="0" w:line="240" w:lineRule="auto"/>
              <w:jc w:val="center"/>
              <w:rPr>
                <w:sz w:val="20"/>
                <w:szCs w:val="20"/>
              </w:rPr>
            </w:pPr>
            <w:r>
              <w:rPr>
                <w:sz w:val="20"/>
                <w:szCs w:val="20"/>
              </w:rPr>
              <w:t>159 260,00</w:t>
            </w:r>
          </w:p>
        </w:tc>
        <w:tc>
          <w:tcPr>
            <w:tcW w:w="1134" w:type="dxa"/>
            <w:tcBorders>
              <w:top w:val="single" w:sz="4" w:space="0" w:color="auto"/>
              <w:left w:val="nil"/>
              <w:bottom w:val="single" w:sz="4" w:space="0" w:color="auto"/>
              <w:right w:val="single" w:sz="4" w:space="0" w:color="auto"/>
            </w:tcBorders>
            <w:noWrap/>
            <w:vAlign w:val="center"/>
            <w:hideMark/>
          </w:tcPr>
          <w:p w:rsidR="000E6A73" w:rsidRDefault="000E6A73" w:rsidP="00F93C07">
            <w:pPr>
              <w:spacing w:after="0" w:line="240" w:lineRule="auto"/>
              <w:jc w:val="center"/>
              <w:rPr>
                <w:sz w:val="20"/>
                <w:szCs w:val="20"/>
              </w:rPr>
            </w:pPr>
            <w:r>
              <w:rPr>
                <w:sz w:val="20"/>
                <w:szCs w:val="20"/>
              </w:rPr>
              <w:t>162 845,00</w:t>
            </w:r>
          </w:p>
        </w:tc>
        <w:tc>
          <w:tcPr>
            <w:tcW w:w="1134" w:type="dxa"/>
            <w:tcBorders>
              <w:top w:val="single" w:sz="4" w:space="0" w:color="auto"/>
              <w:left w:val="nil"/>
              <w:bottom w:val="single" w:sz="4" w:space="0" w:color="auto"/>
              <w:right w:val="single" w:sz="4" w:space="0" w:color="auto"/>
            </w:tcBorders>
            <w:noWrap/>
            <w:vAlign w:val="center"/>
            <w:hideMark/>
          </w:tcPr>
          <w:p w:rsidR="000E6A73" w:rsidRDefault="000E6A73" w:rsidP="00F93C07">
            <w:pPr>
              <w:spacing w:after="0" w:line="240" w:lineRule="auto"/>
              <w:jc w:val="center"/>
              <w:rPr>
                <w:sz w:val="20"/>
                <w:szCs w:val="20"/>
              </w:rPr>
            </w:pPr>
            <w:r>
              <w:rPr>
                <w:sz w:val="20"/>
                <w:szCs w:val="20"/>
              </w:rPr>
              <w:t>140 790,73</w:t>
            </w:r>
          </w:p>
        </w:tc>
        <w:tc>
          <w:tcPr>
            <w:tcW w:w="1134" w:type="dxa"/>
            <w:tcBorders>
              <w:top w:val="single" w:sz="4" w:space="0" w:color="auto"/>
              <w:left w:val="nil"/>
              <w:bottom w:val="single" w:sz="4" w:space="0" w:color="auto"/>
              <w:right w:val="single" w:sz="4" w:space="0" w:color="auto"/>
            </w:tcBorders>
            <w:noWrap/>
            <w:vAlign w:val="center"/>
            <w:hideMark/>
          </w:tcPr>
          <w:p w:rsidR="000E6A73" w:rsidRDefault="000E6A73" w:rsidP="00F93C07">
            <w:pPr>
              <w:spacing w:after="0" w:line="240" w:lineRule="auto"/>
              <w:jc w:val="center"/>
              <w:rPr>
                <w:sz w:val="20"/>
                <w:szCs w:val="20"/>
              </w:rPr>
            </w:pPr>
            <w:r>
              <w:rPr>
                <w:sz w:val="20"/>
                <w:szCs w:val="20"/>
              </w:rPr>
              <w:t>138 564,00</w:t>
            </w:r>
          </w:p>
        </w:tc>
        <w:tc>
          <w:tcPr>
            <w:tcW w:w="1134" w:type="dxa"/>
            <w:tcBorders>
              <w:top w:val="single" w:sz="4" w:space="0" w:color="auto"/>
              <w:left w:val="nil"/>
              <w:bottom w:val="single" w:sz="4" w:space="0" w:color="auto"/>
              <w:right w:val="single" w:sz="4" w:space="0" w:color="auto"/>
            </w:tcBorders>
            <w:vAlign w:val="center"/>
            <w:hideMark/>
          </w:tcPr>
          <w:p w:rsidR="000E6A73" w:rsidRDefault="000E6A73" w:rsidP="00F93C07">
            <w:pPr>
              <w:spacing w:after="0" w:line="240" w:lineRule="auto"/>
              <w:jc w:val="center"/>
              <w:rPr>
                <w:sz w:val="20"/>
                <w:szCs w:val="20"/>
              </w:rPr>
            </w:pPr>
            <w:r>
              <w:rPr>
                <w:sz w:val="20"/>
                <w:szCs w:val="20"/>
              </w:rPr>
              <w:t>138 938,77</w:t>
            </w:r>
          </w:p>
        </w:tc>
      </w:tr>
      <w:tr w:rsidR="000E6A73" w:rsidTr="004911B6">
        <w:trPr>
          <w:trHeight w:val="360"/>
        </w:trPr>
        <w:tc>
          <w:tcPr>
            <w:tcW w:w="708" w:type="dxa"/>
            <w:tcBorders>
              <w:top w:val="nil"/>
              <w:left w:val="single" w:sz="4" w:space="0" w:color="auto"/>
              <w:bottom w:val="single" w:sz="4" w:space="0" w:color="auto"/>
              <w:right w:val="single" w:sz="4" w:space="0" w:color="auto"/>
            </w:tcBorders>
            <w:noWrap/>
            <w:vAlign w:val="center"/>
            <w:hideMark/>
          </w:tcPr>
          <w:p w:rsidR="000E6A73" w:rsidRDefault="000E6A73" w:rsidP="00F93C07">
            <w:pPr>
              <w:spacing w:after="0" w:line="240" w:lineRule="auto"/>
              <w:jc w:val="center"/>
              <w:rPr>
                <w:sz w:val="20"/>
                <w:szCs w:val="20"/>
              </w:rPr>
            </w:pPr>
            <w:r>
              <w:rPr>
                <w:sz w:val="20"/>
                <w:szCs w:val="20"/>
              </w:rPr>
              <w:t>3.1</w:t>
            </w:r>
          </w:p>
        </w:tc>
        <w:tc>
          <w:tcPr>
            <w:tcW w:w="1986" w:type="dxa"/>
            <w:tcBorders>
              <w:top w:val="nil"/>
              <w:left w:val="nil"/>
              <w:bottom w:val="single" w:sz="4" w:space="0" w:color="auto"/>
              <w:right w:val="single" w:sz="4" w:space="0" w:color="auto"/>
            </w:tcBorders>
            <w:noWrap/>
            <w:vAlign w:val="center"/>
            <w:hideMark/>
          </w:tcPr>
          <w:p w:rsidR="000E6A73" w:rsidRDefault="000E6A73" w:rsidP="00F93C07">
            <w:pPr>
              <w:spacing w:after="0" w:line="240" w:lineRule="auto"/>
              <w:rPr>
                <w:sz w:val="20"/>
                <w:szCs w:val="20"/>
              </w:rPr>
            </w:pPr>
            <w:r>
              <w:rPr>
                <w:sz w:val="20"/>
                <w:szCs w:val="20"/>
              </w:rPr>
              <w:t>Объем сточных вод, прошедших очистку</w:t>
            </w:r>
          </w:p>
        </w:tc>
        <w:tc>
          <w:tcPr>
            <w:tcW w:w="708" w:type="dxa"/>
            <w:tcBorders>
              <w:top w:val="nil"/>
              <w:left w:val="nil"/>
              <w:bottom w:val="single" w:sz="4" w:space="0" w:color="auto"/>
              <w:right w:val="single" w:sz="4" w:space="0" w:color="auto"/>
            </w:tcBorders>
            <w:noWrap/>
            <w:vAlign w:val="center"/>
            <w:hideMark/>
          </w:tcPr>
          <w:p w:rsidR="000E6A73" w:rsidRDefault="000E6A73" w:rsidP="00F93C07">
            <w:pPr>
              <w:spacing w:after="0" w:line="240" w:lineRule="auto"/>
              <w:jc w:val="center"/>
              <w:rPr>
                <w:sz w:val="20"/>
                <w:szCs w:val="20"/>
              </w:rPr>
            </w:pPr>
            <w:r>
              <w:rPr>
                <w:sz w:val="20"/>
                <w:szCs w:val="20"/>
              </w:rPr>
              <w:t>тыс. м</w:t>
            </w:r>
            <w:r>
              <w:rPr>
                <w:sz w:val="20"/>
                <w:szCs w:val="20"/>
                <w:vertAlign w:val="superscript"/>
              </w:rPr>
              <w:t>3</w:t>
            </w:r>
          </w:p>
        </w:tc>
        <w:tc>
          <w:tcPr>
            <w:tcW w:w="1134" w:type="dxa"/>
            <w:tcBorders>
              <w:top w:val="nil"/>
              <w:left w:val="nil"/>
              <w:bottom w:val="single" w:sz="4" w:space="0" w:color="auto"/>
              <w:right w:val="single" w:sz="4" w:space="0" w:color="auto"/>
            </w:tcBorders>
            <w:noWrap/>
            <w:vAlign w:val="center"/>
            <w:hideMark/>
          </w:tcPr>
          <w:p w:rsidR="000E6A73" w:rsidRDefault="000E6A73" w:rsidP="00F93C07">
            <w:pPr>
              <w:spacing w:after="0" w:line="240" w:lineRule="auto"/>
              <w:jc w:val="center"/>
              <w:rPr>
                <w:sz w:val="20"/>
                <w:szCs w:val="20"/>
              </w:rPr>
            </w:pPr>
            <w:r>
              <w:rPr>
                <w:sz w:val="20"/>
                <w:szCs w:val="20"/>
              </w:rPr>
              <w:t>168 573,00</w:t>
            </w:r>
          </w:p>
        </w:tc>
        <w:tc>
          <w:tcPr>
            <w:tcW w:w="1134" w:type="dxa"/>
            <w:tcBorders>
              <w:top w:val="nil"/>
              <w:left w:val="nil"/>
              <w:bottom w:val="single" w:sz="4" w:space="0" w:color="auto"/>
              <w:right w:val="single" w:sz="4" w:space="0" w:color="auto"/>
            </w:tcBorders>
            <w:noWrap/>
            <w:vAlign w:val="center"/>
            <w:hideMark/>
          </w:tcPr>
          <w:p w:rsidR="000E6A73" w:rsidRDefault="000E6A73" w:rsidP="00F93C07">
            <w:pPr>
              <w:spacing w:after="0" w:line="240" w:lineRule="auto"/>
              <w:jc w:val="center"/>
              <w:rPr>
                <w:sz w:val="20"/>
                <w:szCs w:val="20"/>
              </w:rPr>
            </w:pPr>
            <w:r>
              <w:rPr>
                <w:sz w:val="20"/>
                <w:szCs w:val="20"/>
              </w:rPr>
              <w:t>159 260,00</w:t>
            </w:r>
          </w:p>
        </w:tc>
        <w:tc>
          <w:tcPr>
            <w:tcW w:w="1134" w:type="dxa"/>
            <w:tcBorders>
              <w:top w:val="nil"/>
              <w:left w:val="nil"/>
              <w:bottom w:val="single" w:sz="4" w:space="0" w:color="auto"/>
              <w:right w:val="single" w:sz="4" w:space="0" w:color="auto"/>
            </w:tcBorders>
            <w:noWrap/>
            <w:vAlign w:val="center"/>
            <w:hideMark/>
          </w:tcPr>
          <w:p w:rsidR="000E6A73" w:rsidRDefault="000E6A73" w:rsidP="00F93C07">
            <w:pPr>
              <w:spacing w:after="0" w:line="240" w:lineRule="auto"/>
              <w:jc w:val="center"/>
              <w:rPr>
                <w:sz w:val="20"/>
                <w:szCs w:val="20"/>
              </w:rPr>
            </w:pPr>
            <w:r>
              <w:rPr>
                <w:sz w:val="20"/>
                <w:szCs w:val="20"/>
              </w:rPr>
              <w:t>162 845,00</w:t>
            </w:r>
          </w:p>
        </w:tc>
        <w:tc>
          <w:tcPr>
            <w:tcW w:w="1134" w:type="dxa"/>
            <w:tcBorders>
              <w:top w:val="nil"/>
              <w:left w:val="nil"/>
              <w:bottom w:val="single" w:sz="4" w:space="0" w:color="auto"/>
              <w:right w:val="single" w:sz="4" w:space="0" w:color="auto"/>
            </w:tcBorders>
            <w:noWrap/>
            <w:vAlign w:val="center"/>
            <w:hideMark/>
          </w:tcPr>
          <w:p w:rsidR="000E6A73" w:rsidRDefault="000E6A73" w:rsidP="00F93C07">
            <w:pPr>
              <w:spacing w:after="0" w:line="240" w:lineRule="auto"/>
              <w:jc w:val="center"/>
              <w:rPr>
                <w:sz w:val="20"/>
                <w:szCs w:val="20"/>
              </w:rPr>
            </w:pPr>
            <w:r>
              <w:rPr>
                <w:sz w:val="20"/>
                <w:szCs w:val="20"/>
              </w:rPr>
              <w:t>140 790,73</w:t>
            </w:r>
          </w:p>
        </w:tc>
        <w:tc>
          <w:tcPr>
            <w:tcW w:w="1134" w:type="dxa"/>
            <w:tcBorders>
              <w:top w:val="nil"/>
              <w:left w:val="nil"/>
              <w:bottom w:val="single" w:sz="4" w:space="0" w:color="auto"/>
              <w:right w:val="single" w:sz="4" w:space="0" w:color="auto"/>
            </w:tcBorders>
            <w:noWrap/>
            <w:vAlign w:val="center"/>
            <w:hideMark/>
          </w:tcPr>
          <w:p w:rsidR="000E6A73" w:rsidRDefault="000E6A73" w:rsidP="00F93C07">
            <w:pPr>
              <w:spacing w:after="0" w:line="240" w:lineRule="auto"/>
              <w:jc w:val="center"/>
              <w:rPr>
                <w:sz w:val="20"/>
                <w:szCs w:val="20"/>
              </w:rPr>
            </w:pPr>
            <w:r>
              <w:rPr>
                <w:sz w:val="20"/>
                <w:szCs w:val="20"/>
              </w:rPr>
              <w:t>138 564,00</w:t>
            </w:r>
          </w:p>
        </w:tc>
        <w:tc>
          <w:tcPr>
            <w:tcW w:w="1134" w:type="dxa"/>
            <w:tcBorders>
              <w:top w:val="nil"/>
              <w:left w:val="nil"/>
              <w:bottom w:val="single" w:sz="4" w:space="0" w:color="auto"/>
              <w:right w:val="single" w:sz="4" w:space="0" w:color="auto"/>
            </w:tcBorders>
            <w:vAlign w:val="center"/>
            <w:hideMark/>
          </w:tcPr>
          <w:p w:rsidR="000E6A73" w:rsidRDefault="000E6A73" w:rsidP="00F93C07">
            <w:pPr>
              <w:spacing w:after="0" w:line="240" w:lineRule="auto"/>
              <w:jc w:val="center"/>
              <w:rPr>
                <w:sz w:val="20"/>
                <w:szCs w:val="20"/>
              </w:rPr>
            </w:pPr>
            <w:r>
              <w:rPr>
                <w:sz w:val="20"/>
                <w:szCs w:val="20"/>
              </w:rPr>
              <w:t>138 938,77</w:t>
            </w:r>
          </w:p>
        </w:tc>
      </w:tr>
      <w:tr w:rsidR="000E6A73" w:rsidTr="004911B6">
        <w:trPr>
          <w:trHeight w:val="390"/>
        </w:trPr>
        <w:tc>
          <w:tcPr>
            <w:tcW w:w="708" w:type="dxa"/>
            <w:tcBorders>
              <w:top w:val="nil"/>
              <w:left w:val="single" w:sz="4" w:space="0" w:color="auto"/>
              <w:bottom w:val="single" w:sz="4" w:space="0" w:color="auto"/>
              <w:right w:val="single" w:sz="4" w:space="0" w:color="auto"/>
            </w:tcBorders>
            <w:noWrap/>
            <w:vAlign w:val="center"/>
            <w:hideMark/>
          </w:tcPr>
          <w:p w:rsidR="000E6A73" w:rsidRDefault="003D2783" w:rsidP="00F93C07">
            <w:pPr>
              <w:spacing w:after="0" w:line="240" w:lineRule="auto"/>
              <w:jc w:val="center"/>
              <w:rPr>
                <w:b/>
                <w:bCs/>
                <w:sz w:val="20"/>
                <w:szCs w:val="20"/>
              </w:rPr>
            </w:pPr>
            <w:r>
              <w:rPr>
                <w:b/>
                <w:bCs/>
                <w:sz w:val="20"/>
                <w:szCs w:val="20"/>
              </w:rPr>
              <w:t>4</w:t>
            </w:r>
          </w:p>
        </w:tc>
        <w:tc>
          <w:tcPr>
            <w:tcW w:w="1986" w:type="dxa"/>
            <w:tcBorders>
              <w:top w:val="nil"/>
              <w:left w:val="nil"/>
              <w:bottom w:val="single" w:sz="4" w:space="0" w:color="auto"/>
              <w:right w:val="single" w:sz="4" w:space="0" w:color="auto"/>
            </w:tcBorders>
            <w:vAlign w:val="center"/>
            <w:hideMark/>
          </w:tcPr>
          <w:p w:rsidR="000E6A73" w:rsidRDefault="000E6A73" w:rsidP="00F93C07">
            <w:pPr>
              <w:spacing w:after="0" w:line="240" w:lineRule="auto"/>
              <w:rPr>
                <w:b/>
                <w:bCs/>
                <w:sz w:val="20"/>
                <w:szCs w:val="20"/>
              </w:rPr>
            </w:pPr>
            <w:r>
              <w:rPr>
                <w:b/>
                <w:bCs/>
                <w:sz w:val="20"/>
                <w:szCs w:val="20"/>
              </w:rPr>
              <w:t>Темп изменения объема отводимых сточных вод</w:t>
            </w:r>
          </w:p>
        </w:tc>
        <w:tc>
          <w:tcPr>
            <w:tcW w:w="708" w:type="dxa"/>
            <w:tcBorders>
              <w:top w:val="nil"/>
              <w:left w:val="nil"/>
              <w:bottom w:val="single" w:sz="4" w:space="0" w:color="auto"/>
              <w:right w:val="single" w:sz="4" w:space="0" w:color="auto"/>
            </w:tcBorders>
            <w:noWrap/>
            <w:vAlign w:val="center"/>
            <w:hideMark/>
          </w:tcPr>
          <w:p w:rsidR="000E6A73" w:rsidRDefault="000E6A73" w:rsidP="00F93C07">
            <w:pPr>
              <w:spacing w:after="0" w:line="240" w:lineRule="auto"/>
              <w:jc w:val="center"/>
              <w:rPr>
                <w:b/>
                <w:bCs/>
                <w:sz w:val="20"/>
                <w:szCs w:val="20"/>
              </w:rPr>
            </w:pPr>
            <w:r>
              <w:rPr>
                <w:b/>
                <w:bCs/>
                <w:sz w:val="20"/>
                <w:szCs w:val="20"/>
              </w:rPr>
              <w:t>%</w:t>
            </w:r>
          </w:p>
        </w:tc>
        <w:tc>
          <w:tcPr>
            <w:tcW w:w="1134" w:type="dxa"/>
            <w:tcBorders>
              <w:top w:val="nil"/>
              <w:left w:val="nil"/>
              <w:bottom w:val="single" w:sz="4" w:space="0" w:color="auto"/>
              <w:right w:val="single" w:sz="4" w:space="0" w:color="auto"/>
            </w:tcBorders>
            <w:noWrap/>
            <w:vAlign w:val="center"/>
            <w:hideMark/>
          </w:tcPr>
          <w:p w:rsidR="000E6A73" w:rsidRDefault="000E6A73" w:rsidP="00F93C07">
            <w:pPr>
              <w:spacing w:after="0" w:line="240" w:lineRule="auto"/>
              <w:jc w:val="center"/>
              <w:rPr>
                <w:b/>
                <w:bCs/>
                <w:sz w:val="20"/>
                <w:szCs w:val="20"/>
              </w:rPr>
            </w:pPr>
            <w:r>
              <w:rPr>
                <w:b/>
                <w:bCs/>
                <w:sz w:val="20"/>
                <w:szCs w:val="20"/>
              </w:rPr>
              <w:t>95,22%</w:t>
            </w:r>
          </w:p>
        </w:tc>
        <w:tc>
          <w:tcPr>
            <w:tcW w:w="1134" w:type="dxa"/>
            <w:tcBorders>
              <w:top w:val="nil"/>
              <w:left w:val="nil"/>
              <w:bottom w:val="single" w:sz="4" w:space="0" w:color="auto"/>
              <w:right w:val="single" w:sz="4" w:space="0" w:color="auto"/>
            </w:tcBorders>
            <w:noWrap/>
            <w:vAlign w:val="center"/>
            <w:hideMark/>
          </w:tcPr>
          <w:p w:rsidR="000E6A73" w:rsidRDefault="000E6A73" w:rsidP="00F93C07">
            <w:pPr>
              <w:spacing w:after="0" w:line="240" w:lineRule="auto"/>
              <w:jc w:val="center"/>
              <w:rPr>
                <w:b/>
                <w:bCs/>
                <w:sz w:val="20"/>
                <w:szCs w:val="20"/>
              </w:rPr>
            </w:pPr>
            <w:r>
              <w:rPr>
                <w:b/>
                <w:bCs/>
                <w:sz w:val="20"/>
                <w:szCs w:val="20"/>
              </w:rPr>
              <w:t>98,87%</w:t>
            </w:r>
          </w:p>
        </w:tc>
        <w:tc>
          <w:tcPr>
            <w:tcW w:w="1134" w:type="dxa"/>
            <w:tcBorders>
              <w:top w:val="nil"/>
              <w:left w:val="nil"/>
              <w:bottom w:val="single" w:sz="4" w:space="0" w:color="auto"/>
              <w:right w:val="single" w:sz="4" w:space="0" w:color="auto"/>
            </w:tcBorders>
            <w:noWrap/>
            <w:vAlign w:val="center"/>
            <w:hideMark/>
          </w:tcPr>
          <w:p w:rsidR="000E6A73" w:rsidRDefault="000E6A73" w:rsidP="00F93C07">
            <w:pPr>
              <w:spacing w:after="0" w:line="240" w:lineRule="auto"/>
              <w:jc w:val="center"/>
              <w:rPr>
                <w:b/>
                <w:bCs/>
                <w:sz w:val="20"/>
                <w:szCs w:val="20"/>
              </w:rPr>
            </w:pPr>
            <w:r>
              <w:rPr>
                <w:b/>
                <w:bCs/>
                <w:sz w:val="20"/>
                <w:szCs w:val="20"/>
              </w:rPr>
              <w:t>98,98%</w:t>
            </w:r>
          </w:p>
        </w:tc>
        <w:tc>
          <w:tcPr>
            <w:tcW w:w="1134" w:type="dxa"/>
            <w:tcBorders>
              <w:top w:val="nil"/>
              <w:left w:val="nil"/>
              <w:bottom w:val="single" w:sz="4" w:space="0" w:color="auto"/>
              <w:right w:val="single" w:sz="4" w:space="0" w:color="auto"/>
            </w:tcBorders>
            <w:noWrap/>
            <w:vAlign w:val="center"/>
            <w:hideMark/>
          </w:tcPr>
          <w:p w:rsidR="000E6A73" w:rsidRDefault="000E6A73" w:rsidP="00F93C07">
            <w:pPr>
              <w:spacing w:after="0" w:line="240" w:lineRule="auto"/>
              <w:jc w:val="center"/>
              <w:rPr>
                <w:b/>
                <w:bCs/>
                <w:sz w:val="20"/>
                <w:szCs w:val="20"/>
              </w:rPr>
            </w:pPr>
            <w:r>
              <w:rPr>
                <w:b/>
                <w:bCs/>
                <w:sz w:val="20"/>
                <w:szCs w:val="20"/>
              </w:rPr>
              <w:t>101,61%</w:t>
            </w:r>
          </w:p>
        </w:tc>
        <w:tc>
          <w:tcPr>
            <w:tcW w:w="1134" w:type="dxa"/>
            <w:tcBorders>
              <w:top w:val="nil"/>
              <w:left w:val="nil"/>
              <w:bottom w:val="single" w:sz="4" w:space="0" w:color="auto"/>
              <w:right w:val="single" w:sz="4" w:space="0" w:color="auto"/>
            </w:tcBorders>
            <w:noWrap/>
            <w:vAlign w:val="center"/>
            <w:hideMark/>
          </w:tcPr>
          <w:p w:rsidR="000E6A73" w:rsidRDefault="000E6A73" w:rsidP="00F93C07">
            <w:pPr>
              <w:spacing w:after="0" w:line="240" w:lineRule="auto"/>
              <w:jc w:val="center"/>
              <w:rPr>
                <w:b/>
                <w:bCs/>
                <w:sz w:val="20"/>
                <w:szCs w:val="20"/>
              </w:rPr>
            </w:pPr>
            <w:r>
              <w:rPr>
                <w:b/>
                <w:bCs/>
                <w:sz w:val="20"/>
                <w:szCs w:val="20"/>
              </w:rPr>
              <w:t>97,86</w:t>
            </w:r>
          </w:p>
        </w:tc>
        <w:tc>
          <w:tcPr>
            <w:tcW w:w="1134" w:type="dxa"/>
            <w:tcBorders>
              <w:top w:val="nil"/>
              <w:left w:val="nil"/>
              <w:bottom w:val="single" w:sz="4" w:space="0" w:color="auto"/>
              <w:right w:val="single" w:sz="4" w:space="0" w:color="auto"/>
            </w:tcBorders>
            <w:vAlign w:val="center"/>
            <w:hideMark/>
          </w:tcPr>
          <w:p w:rsidR="000E6A73" w:rsidRDefault="000E6A73" w:rsidP="00F93C07">
            <w:pPr>
              <w:spacing w:after="0" w:line="240" w:lineRule="auto"/>
              <w:jc w:val="center"/>
              <w:rPr>
                <w:b/>
                <w:bCs/>
                <w:sz w:val="20"/>
                <w:szCs w:val="20"/>
              </w:rPr>
            </w:pPr>
            <w:r>
              <w:rPr>
                <w:b/>
                <w:bCs/>
                <w:sz w:val="20"/>
                <w:szCs w:val="20"/>
              </w:rPr>
              <w:t>100,27</w:t>
            </w:r>
          </w:p>
        </w:tc>
      </w:tr>
    </w:tbl>
    <w:p w:rsidR="000E6A73" w:rsidRDefault="000E6A73" w:rsidP="004911B6">
      <w:pPr>
        <w:tabs>
          <w:tab w:val="left" w:pos="9356"/>
        </w:tabs>
        <w:spacing w:after="0"/>
        <w:jc w:val="both"/>
        <w:rPr>
          <w:rFonts w:eastAsia="Times New Roman"/>
          <w:bCs/>
          <w:sz w:val="20"/>
          <w:szCs w:val="20"/>
        </w:rPr>
      </w:pPr>
    </w:p>
    <w:p w:rsidR="00185C71" w:rsidRDefault="00185C71" w:rsidP="004911B6">
      <w:pPr>
        <w:spacing w:after="0"/>
        <w:ind w:firstLine="567"/>
        <w:jc w:val="both"/>
        <w:rPr>
          <w:rFonts w:eastAsia="Calibri"/>
          <w:sz w:val="28"/>
          <w:szCs w:val="28"/>
          <w:lang w:eastAsia="en-US"/>
        </w:rPr>
      </w:pPr>
    </w:p>
    <w:p w:rsidR="000E6A73" w:rsidRDefault="000E6A73" w:rsidP="004911B6">
      <w:pPr>
        <w:spacing w:after="0"/>
        <w:ind w:firstLine="567"/>
        <w:jc w:val="both"/>
        <w:rPr>
          <w:rFonts w:eastAsia="Calibri"/>
          <w:sz w:val="28"/>
          <w:szCs w:val="28"/>
          <w:lang w:eastAsia="en-US"/>
        </w:rPr>
      </w:pPr>
      <w:r>
        <w:rPr>
          <w:rFonts w:eastAsia="Calibri"/>
          <w:sz w:val="28"/>
          <w:szCs w:val="28"/>
          <w:lang w:eastAsia="en-US"/>
        </w:rPr>
        <w:t>Фактический объём принятых сточных вод</w:t>
      </w:r>
      <w:r w:rsidR="004911B6">
        <w:rPr>
          <w:rFonts w:eastAsia="Calibri"/>
          <w:sz w:val="28"/>
          <w:szCs w:val="28"/>
          <w:lang w:eastAsia="en-US"/>
        </w:rPr>
        <w:t xml:space="preserve"> (оказанных услуг по водоотведению)</w:t>
      </w:r>
      <w:r>
        <w:rPr>
          <w:rFonts w:eastAsia="Calibri"/>
          <w:sz w:val="28"/>
          <w:szCs w:val="28"/>
          <w:lang w:eastAsia="en-US"/>
        </w:rPr>
        <w:t xml:space="preserve"> за 2018 год </w:t>
      </w:r>
      <w:r w:rsidR="004911B6">
        <w:rPr>
          <w:rFonts w:eastAsia="Calibri"/>
          <w:sz w:val="28"/>
          <w:szCs w:val="28"/>
          <w:lang w:eastAsia="en-US"/>
        </w:rPr>
        <w:t>составил</w:t>
      </w:r>
      <w:r>
        <w:rPr>
          <w:rFonts w:eastAsia="Calibri"/>
          <w:sz w:val="28"/>
          <w:szCs w:val="28"/>
          <w:lang w:eastAsia="en-US"/>
        </w:rPr>
        <w:t xml:space="preserve"> 140 790,73 тыс. м</w:t>
      </w:r>
      <w:r>
        <w:rPr>
          <w:rFonts w:eastAsia="Calibri"/>
          <w:sz w:val="28"/>
          <w:szCs w:val="28"/>
          <w:vertAlign w:val="superscript"/>
          <w:lang w:eastAsia="en-US"/>
        </w:rPr>
        <w:t>3</w:t>
      </w:r>
      <w:r>
        <w:rPr>
          <w:rFonts w:eastAsia="Calibri"/>
          <w:sz w:val="28"/>
          <w:szCs w:val="28"/>
          <w:lang w:eastAsia="en-US"/>
        </w:rPr>
        <w:t>, что</w:t>
      </w:r>
      <w:r w:rsidR="004911B6">
        <w:rPr>
          <w:rFonts w:eastAsia="Calibri"/>
          <w:sz w:val="28"/>
          <w:szCs w:val="28"/>
          <w:lang w:eastAsia="en-US"/>
        </w:rPr>
        <w:t xml:space="preserve"> незначительно ниже </w:t>
      </w:r>
      <w:r>
        <w:rPr>
          <w:rFonts w:eastAsia="Calibri"/>
          <w:sz w:val="28"/>
          <w:szCs w:val="28"/>
          <w:lang w:eastAsia="en-US"/>
        </w:rPr>
        <w:t xml:space="preserve"> плановой величины, учтённой при утверждении тарифов (на 803,12 тыс. м</w:t>
      </w:r>
      <w:r>
        <w:rPr>
          <w:rFonts w:eastAsia="Calibri"/>
          <w:sz w:val="28"/>
          <w:szCs w:val="28"/>
          <w:vertAlign w:val="superscript"/>
          <w:lang w:eastAsia="en-US"/>
        </w:rPr>
        <w:t xml:space="preserve">3 </w:t>
      </w:r>
      <w:r>
        <w:rPr>
          <w:rFonts w:eastAsia="Calibri"/>
          <w:sz w:val="28"/>
          <w:szCs w:val="28"/>
          <w:lang w:eastAsia="en-US"/>
        </w:rPr>
        <w:t>или</w:t>
      </w:r>
      <w:r>
        <w:rPr>
          <w:rFonts w:eastAsia="Calibri"/>
          <w:sz w:val="28"/>
          <w:szCs w:val="28"/>
          <w:vertAlign w:val="superscript"/>
          <w:lang w:eastAsia="en-US"/>
        </w:rPr>
        <w:t xml:space="preserve">  </w:t>
      </w:r>
      <w:r>
        <w:rPr>
          <w:rFonts w:eastAsia="Calibri"/>
          <w:sz w:val="28"/>
          <w:szCs w:val="28"/>
          <w:lang w:eastAsia="en-US"/>
        </w:rPr>
        <w:t xml:space="preserve">0,57 % ниже плановой величины). </w:t>
      </w:r>
    </w:p>
    <w:p w:rsidR="000E6A73" w:rsidRDefault="000E6A73" w:rsidP="000E6A73">
      <w:pPr>
        <w:pStyle w:val="af"/>
        <w:spacing w:before="0" w:after="0"/>
        <w:ind w:firstLine="567"/>
        <w:jc w:val="center"/>
        <w:outlineLvl w:val="0"/>
        <w:rPr>
          <w:rFonts w:ascii="Times New Roman" w:hAnsi="Times New Roman"/>
          <w:color w:val="FF0000"/>
          <w:sz w:val="28"/>
          <w:szCs w:val="28"/>
        </w:rPr>
      </w:pPr>
      <w:r>
        <w:rPr>
          <w:noProof/>
        </w:rPr>
        <w:lastRenderedPageBreak/>
        <w:drawing>
          <wp:inline distT="0" distB="0" distL="0" distR="0" wp14:anchorId="30D81EFC" wp14:editId="6E2986AE">
            <wp:extent cx="5961888" cy="3920947"/>
            <wp:effectExtent l="0" t="0" r="0" b="0"/>
            <wp:docPr id="23" name="Диаграмма 23"/>
            <wp:cNvGraphicFramePr>
              <a:graphicFrameLocks xmlns:a="http://schemas.openxmlformats.org/drawingml/2006/main"/>
            </wp:cNvGraphicFramePr>
            <a:graphic xmlns:a="http://schemas.openxmlformats.org/drawingml/2006/main">
              <a:graphicData uri="http://schemas.openxmlformats.org/drawingml/2006/chart">
                <c:chart xmlns:c="http://schemas.openxmlformats.org/drawingml/2006/chart" xmlns:r="http://schemas.openxmlformats.org/officeDocument/2006/relationships" r:id="rId59"/>
              </a:graphicData>
            </a:graphic>
          </wp:inline>
        </w:drawing>
      </w:r>
    </w:p>
    <w:p w:rsidR="005D3E06" w:rsidRDefault="005D3E06" w:rsidP="000E6A73">
      <w:pPr>
        <w:tabs>
          <w:tab w:val="left" w:pos="9356"/>
        </w:tabs>
        <w:ind w:firstLine="567"/>
        <w:jc w:val="center"/>
        <w:rPr>
          <w:bCs/>
          <w:sz w:val="28"/>
          <w:szCs w:val="28"/>
        </w:rPr>
      </w:pPr>
      <w:r>
        <w:rPr>
          <w:rFonts w:eastAsia="Times New Roman"/>
          <w:noProof/>
        </w:rPr>
        <w:drawing>
          <wp:inline distT="0" distB="0" distL="0" distR="0" wp14:anchorId="4A20B8F2" wp14:editId="6463FFF1">
            <wp:extent cx="5610758" cy="4228186"/>
            <wp:effectExtent l="0" t="0" r="0" b="0"/>
            <wp:docPr id="21" name="Диаграмма 21"/>
            <wp:cNvGraphicFramePr>
              <a:graphicFrameLocks xmlns:a="http://schemas.openxmlformats.org/drawingml/2006/main"/>
            </wp:cNvGraphicFramePr>
            <a:graphic xmlns:a="http://schemas.openxmlformats.org/drawingml/2006/main">
              <a:graphicData uri="http://schemas.openxmlformats.org/drawingml/2006/chart">
                <c:chart xmlns:c="http://schemas.openxmlformats.org/drawingml/2006/chart" xmlns:r="http://schemas.openxmlformats.org/officeDocument/2006/relationships" r:id="rId60"/>
              </a:graphicData>
            </a:graphic>
          </wp:inline>
        </w:drawing>
      </w:r>
    </w:p>
    <w:p w:rsidR="000E6A73" w:rsidRDefault="003D2783" w:rsidP="00D66F50">
      <w:pPr>
        <w:autoSpaceDE w:val="0"/>
        <w:autoSpaceDN w:val="0"/>
        <w:adjustRightInd w:val="0"/>
        <w:ind w:firstLine="540"/>
        <w:jc w:val="center"/>
        <w:outlineLvl w:val="1"/>
      </w:pPr>
      <w:r w:rsidRPr="00D66F50">
        <w:t>Рис. 2.4.6.</w:t>
      </w:r>
    </w:p>
    <w:p w:rsidR="00D66F50" w:rsidRPr="00D66F50" w:rsidRDefault="00D66F50" w:rsidP="00D66F50">
      <w:pPr>
        <w:autoSpaceDE w:val="0"/>
        <w:autoSpaceDN w:val="0"/>
        <w:adjustRightInd w:val="0"/>
        <w:ind w:firstLine="540"/>
        <w:jc w:val="center"/>
        <w:outlineLvl w:val="1"/>
      </w:pPr>
    </w:p>
    <w:p w:rsidR="000E6A73" w:rsidRDefault="000E6A73" w:rsidP="000E6A73">
      <w:pPr>
        <w:ind w:firstLine="284"/>
        <w:jc w:val="both"/>
        <w:rPr>
          <w:sz w:val="28"/>
          <w:szCs w:val="28"/>
        </w:rPr>
      </w:pPr>
      <w:r>
        <w:rPr>
          <w:sz w:val="28"/>
          <w:szCs w:val="28"/>
        </w:rPr>
        <w:t xml:space="preserve">Структура тарифов на холодную воду и водоотведение МУП г. Новосибирска «ГОРВОДОКАНАЛ» </w:t>
      </w:r>
      <w:r w:rsidR="005D3E06">
        <w:rPr>
          <w:sz w:val="28"/>
          <w:szCs w:val="28"/>
        </w:rPr>
        <w:t xml:space="preserve">за период </w:t>
      </w:r>
      <w:r>
        <w:rPr>
          <w:sz w:val="28"/>
          <w:szCs w:val="28"/>
        </w:rPr>
        <w:t xml:space="preserve"> 201</w:t>
      </w:r>
      <w:r w:rsidR="005D3E06">
        <w:rPr>
          <w:sz w:val="28"/>
          <w:szCs w:val="28"/>
        </w:rPr>
        <w:t>8</w:t>
      </w:r>
      <w:r>
        <w:rPr>
          <w:sz w:val="28"/>
          <w:szCs w:val="28"/>
        </w:rPr>
        <w:t xml:space="preserve"> - 2020 годы приведена </w:t>
      </w:r>
      <w:r w:rsidR="005D3E06">
        <w:rPr>
          <w:sz w:val="28"/>
          <w:szCs w:val="28"/>
        </w:rPr>
        <w:t>на следующем листе.</w:t>
      </w:r>
    </w:p>
    <w:p w:rsidR="000E6A73" w:rsidRDefault="000E6A73" w:rsidP="000E6A73">
      <w:pPr>
        <w:ind w:firstLine="284"/>
        <w:jc w:val="both"/>
        <w:rPr>
          <w:sz w:val="28"/>
          <w:szCs w:val="28"/>
        </w:rPr>
      </w:pPr>
    </w:p>
    <w:p w:rsidR="000E6A73" w:rsidRDefault="000E6A73" w:rsidP="000E6A73">
      <w:pPr>
        <w:rPr>
          <w:sz w:val="28"/>
          <w:szCs w:val="28"/>
        </w:rPr>
        <w:sectPr w:rsidR="000E6A73">
          <w:pgSz w:w="11906" w:h="16838"/>
          <w:pgMar w:top="851" w:right="567" w:bottom="851" w:left="1134" w:header="709" w:footer="709" w:gutter="0"/>
          <w:cols w:space="720"/>
        </w:sectPr>
      </w:pPr>
    </w:p>
    <w:p w:rsidR="000E6A73" w:rsidRDefault="000E6A73" w:rsidP="000E6A73">
      <w:pPr>
        <w:ind w:firstLine="284"/>
        <w:jc w:val="both"/>
        <w:rPr>
          <w:sz w:val="28"/>
          <w:szCs w:val="28"/>
        </w:rPr>
      </w:pPr>
      <w:r>
        <w:rPr>
          <w:sz w:val="28"/>
          <w:szCs w:val="28"/>
        </w:rPr>
        <w:lastRenderedPageBreak/>
        <w:t xml:space="preserve">      </w:t>
      </w:r>
    </w:p>
    <w:p w:rsidR="000E6A73" w:rsidRDefault="000E6A73" w:rsidP="000E6A73">
      <w:pPr>
        <w:ind w:firstLine="284"/>
        <w:jc w:val="both"/>
        <w:rPr>
          <w:sz w:val="28"/>
          <w:szCs w:val="28"/>
        </w:rPr>
      </w:pPr>
      <w:r>
        <w:rPr>
          <w:noProof/>
          <w:sz w:val="28"/>
          <w:szCs w:val="28"/>
        </w:rPr>
        <w:drawing>
          <wp:inline distT="0" distB="0" distL="0" distR="0" wp14:anchorId="6B5EAD32" wp14:editId="2A273F8A">
            <wp:extent cx="3131185" cy="2319020"/>
            <wp:effectExtent l="0" t="0" r="0" b="5080"/>
            <wp:docPr id="17" name="Рисунок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61" cstate="print">
                      <a:extLst>
                        <a:ext uri="{28A0092B-C50C-407E-A947-70E740481C1C}">
                          <a14:useLocalDpi xmlns:a14="http://schemas.microsoft.com/office/drawing/2010/main" val="0"/>
                        </a:ext>
                      </a:extLst>
                    </a:blip>
                    <a:srcRect/>
                    <a:stretch>
                      <a:fillRect/>
                    </a:stretch>
                  </pic:blipFill>
                  <pic:spPr bwMode="auto">
                    <a:xfrm>
                      <a:off x="0" y="0"/>
                      <a:ext cx="3131185" cy="2319020"/>
                    </a:xfrm>
                    <a:prstGeom prst="rect">
                      <a:avLst/>
                    </a:prstGeom>
                    <a:noFill/>
                    <a:ln>
                      <a:noFill/>
                    </a:ln>
                  </pic:spPr>
                </pic:pic>
              </a:graphicData>
            </a:graphic>
          </wp:inline>
        </w:drawing>
      </w:r>
      <w:r>
        <w:rPr>
          <w:sz w:val="28"/>
          <w:szCs w:val="28"/>
        </w:rPr>
        <w:t xml:space="preserve">   </w:t>
      </w:r>
      <w:r>
        <w:rPr>
          <w:noProof/>
          <w:sz w:val="28"/>
          <w:szCs w:val="28"/>
        </w:rPr>
        <w:drawing>
          <wp:inline distT="0" distB="0" distL="0" distR="0" wp14:anchorId="3EBD6C05" wp14:editId="03E5E253">
            <wp:extent cx="3152775" cy="2319020"/>
            <wp:effectExtent l="0" t="0" r="9525" b="5080"/>
            <wp:docPr id="16" name="Рисунок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62" cstate="print">
                      <a:extLst>
                        <a:ext uri="{28A0092B-C50C-407E-A947-70E740481C1C}">
                          <a14:useLocalDpi xmlns:a14="http://schemas.microsoft.com/office/drawing/2010/main" val="0"/>
                        </a:ext>
                      </a:extLst>
                    </a:blip>
                    <a:srcRect/>
                    <a:stretch>
                      <a:fillRect/>
                    </a:stretch>
                  </pic:blipFill>
                  <pic:spPr bwMode="auto">
                    <a:xfrm>
                      <a:off x="0" y="0"/>
                      <a:ext cx="3152775" cy="2319020"/>
                    </a:xfrm>
                    <a:prstGeom prst="rect">
                      <a:avLst/>
                    </a:prstGeom>
                    <a:noFill/>
                    <a:ln>
                      <a:noFill/>
                    </a:ln>
                  </pic:spPr>
                </pic:pic>
              </a:graphicData>
            </a:graphic>
          </wp:inline>
        </w:drawing>
      </w:r>
      <w:r>
        <w:rPr>
          <w:sz w:val="28"/>
          <w:szCs w:val="28"/>
        </w:rPr>
        <w:t xml:space="preserve">    </w:t>
      </w:r>
      <w:r>
        <w:rPr>
          <w:noProof/>
          <w:sz w:val="28"/>
          <w:szCs w:val="28"/>
        </w:rPr>
        <w:drawing>
          <wp:inline distT="0" distB="0" distL="0" distR="0" wp14:anchorId="252829D9" wp14:editId="10DA3D4E">
            <wp:extent cx="3123565" cy="2319020"/>
            <wp:effectExtent l="0" t="0" r="635" b="5080"/>
            <wp:docPr id="15" name="Рисунок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63" cstate="print">
                      <a:extLst>
                        <a:ext uri="{28A0092B-C50C-407E-A947-70E740481C1C}">
                          <a14:useLocalDpi xmlns:a14="http://schemas.microsoft.com/office/drawing/2010/main" val="0"/>
                        </a:ext>
                      </a:extLst>
                    </a:blip>
                    <a:srcRect/>
                    <a:stretch>
                      <a:fillRect/>
                    </a:stretch>
                  </pic:blipFill>
                  <pic:spPr bwMode="auto">
                    <a:xfrm>
                      <a:off x="0" y="0"/>
                      <a:ext cx="3123565" cy="2319020"/>
                    </a:xfrm>
                    <a:prstGeom prst="rect">
                      <a:avLst/>
                    </a:prstGeom>
                    <a:noFill/>
                    <a:ln>
                      <a:noFill/>
                    </a:ln>
                  </pic:spPr>
                </pic:pic>
              </a:graphicData>
            </a:graphic>
          </wp:inline>
        </w:drawing>
      </w:r>
    </w:p>
    <w:p w:rsidR="000E6A73" w:rsidRDefault="007A0559" w:rsidP="007A0559">
      <w:pPr>
        <w:ind w:firstLine="284"/>
        <w:jc w:val="center"/>
        <w:rPr>
          <w:noProof/>
        </w:rPr>
      </w:pPr>
      <w:r>
        <w:rPr>
          <w:noProof/>
        </w:rPr>
        <w:t>Рис.</w:t>
      </w:r>
      <w:r w:rsidR="00301AE6">
        <w:rPr>
          <w:noProof/>
        </w:rPr>
        <w:t xml:space="preserve"> 2.4.</w:t>
      </w:r>
      <w:r w:rsidR="00D66F50">
        <w:rPr>
          <w:noProof/>
        </w:rPr>
        <w:t>7</w:t>
      </w:r>
    </w:p>
    <w:p w:rsidR="007A0559" w:rsidRDefault="007A0559" w:rsidP="007A0559">
      <w:pPr>
        <w:ind w:firstLine="284"/>
        <w:jc w:val="center"/>
        <w:rPr>
          <w:noProof/>
        </w:rPr>
      </w:pPr>
    </w:p>
    <w:p w:rsidR="000E6A73" w:rsidRDefault="000E6A73" w:rsidP="000E6A73">
      <w:pPr>
        <w:ind w:firstLine="284"/>
        <w:rPr>
          <w:noProof/>
        </w:rPr>
      </w:pPr>
      <w:r>
        <w:rPr>
          <w:noProof/>
        </w:rPr>
        <w:drawing>
          <wp:inline distT="0" distB="0" distL="0" distR="0" wp14:anchorId="1F6E9A27" wp14:editId="711C8236">
            <wp:extent cx="3152775" cy="2435860"/>
            <wp:effectExtent l="0" t="0" r="9525" b="2540"/>
            <wp:docPr id="11" name="Рисунок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pic:cNvPicPr>
                      <a:picLocks noChangeAspect="1" noChangeArrowheads="1"/>
                    </pic:cNvPicPr>
                  </pic:nvPicPr>
                  <pic:blipFill>
                    <a:blip r:embed="rId64" cstate="print">
                      <a:extLst>
                        <a:ext uri="{28A0092B-C50C-407E-A947-70E740481C1C}">
                          <a14:useLocalDpi xmlns:a14="http://schemas.microsoft.com/office/drawing/2010/main" val="0"/>
                        </a:ext>
                      </a:extLst>
                    </a:blip>
                    <a:srcRect/>
                    <a:stretch>
                      <a:fillRect/>
                    </a:stretch>
                  </pic:blipFill>
                  <pic:spPr bwMode="auto">
                    <a:xfrm>
                      <a:off x="0" y="0"/>
                      <a:ext cx="3152775" cy="2435860"/>
                    </a:xfrm>
                    <a:prstGeom prst="rect">
                      <a:avLst/>
                    </a:prstGeom>
                    <a:noFill/>
                    <a:ln>
                      <a:noFill/>
                    </a:ln>
                  </pic:spPr>
                </pic:pic>
              </a:graphicData>
            </a:graphic>
          </wp:inline>
        </w:drawing>
      </w:r>
      <w:r>
        <w:rPr>
          <w:noProof/>
        </w:rPr>
        <w:t xml:space="preserve"> </w:t>
      </w:r>
      <w:r>
        <w:rPr>
          <w:noProof/>
        </w:rPr>
        <w:drawing>
          <wp:inline distT="0" distB="0" distL="0" distR="0" wp14:anchorId="6DBC4CB9" wp14:editId="6BD83FD4">
            <wp:extent cx="3167380" cy="2435860"/>
            <wp:effectExtent l="0" t="0" r="0" b="2540"/>
            <wp:docPr id="10" name="Рисунок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pic:cNvPicPr>
                      <a:picLocks noChangeAspect="1" noChangeArrowheads="1"/>
                    </pic:cNvPicPr>
                  </pic:nvPicPr>
                  <pic:blipFill>
                    <a:blip r:embed="rId65" cstate="print">
                      <a:extLst>
                        <a:ext uri="{28A0092B-C50C-407E-A947-70E740481C1C}">
                          <a14:useLocalDpi xmlns:a14="http://schemas.microsoft.com/office/drawing/2010/main" val="0"/>
                        </a:ext>
                      </a:extLst>
                    </a:blip>
                    <a:srcRect/>
                    <a:stretch>
                      <a:fillRect/>
                    </a:stretch>
                  </pic:blipFill>
                  <pic:spPr bwMode="auto">
                    <a:xfrm>
                      <a:off x="0" y="0"/>
                      <a:ext cx="3167380" cy="2435860"/>
                    </a:xfrm>
                    <a:prstGeom prst="rect">
                      <a:avLst/>
                    </a:prstGeom>
                    <a:noFill/>
                    <a:ln>
                      <a:noFill/>
                    </a:ln>
                  </pic:spPr>
                </pic:pic>
              </a:graphicData>
            </a:graphic>
          </wp:inline>
        </w:drawing>
      </w:r>
      <w:r>
        <w:rPr>
          <w:noProof/>
        </w:rPr>
        <w:t xml:space="preserve"> </w:t>
      </w:r>
      <w:r>
        <w:rPr>
          <w:noProof/>
        </w:rPr>
        <w:drawing>
          <wp:inline distT="0" distB="0" distL="0" distR="0" wp14:anchorId="62159423" wp14:editId="70E0E0BF">
            <wp:extent cx="3306445" cy="2435860"/>
            <wp:effectExtent l="0" t="0" r="8255" b="2540"/>
            <wp:docPr id="9" name="Рисунок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pic:cNvPicPr>
                      <a:picLocks noChangeAspect="1" noChangeArrowheads="1"/>
                    </pic:cNvPicPr>
                  </pic:nvPicPr>
                  <pic:blipFill>
                    <a:blip r:embed="rId66" cstate="print">
                      <a:extLst>
                        <a:ext uri="{28A0092B-C50C-407E-A947-70E740481C1C}">
                          <a14:useLocalDpi xmlns:a14="http://schemas.microsoft.com/office/drawing/2010/main" val="0"/>
                        </a:ext>
                      </a:extLst>
                    </a:blip>
                    <a:srcRect/>
                    <a:stretch>
                      <a:fillRect/>
                    </a:stretch>
                  </pic:blipFill>
                  <pic:spPr bwMode="auto">
                    <a:xfrm>
                      <a:off x="0" y="0"/>
                      <a:ext cx="3306445" cy="2435860"/>
                    </a:xfrm>
                    <a:prstGeom prst="rect">
                      <a:avLst/>
                    </a:prstGeom>
                    <a:noFill/>
                    <a:ln>
                      <a:noFill/>
                    </a:ln>
                  </pic:spPr>
                </pic:pic>
              </a:graphicData>
            </a:graphic>
          </wp:inline>
        </w:drawing>
      </w:r>
    </w:p>
    <w:p w:rsidR="000E6A73" w:rsidRDefault="007A0559" w:rsidP="007A0559">
      <w:pPr>
        <w:jc w:val="center"/>
        <w:rPr>
          <w:noProof/>
        </w:rPr>
        <w:sectPr w:rsidR="000E6A73">
          <w:pgSz w:w="16838" w:h="11906" w:orient="landscape"/>
          <w:pgMar w:top="1134" w:right="851" w:bottom="567" w:left="284" w:header="709" w:footer="709" w:gutter="0"/>
          <w:cols w:space="720"/>
        </w:sectPr>
      </w:pPr>
      <w:r>
        <w:rPr>
          <w:noProof/>
        </w:rPr>
        <w:t>Рис.</w:t>
      </w:r>
      <w:r w:rsidR="00301AE6">
        <w:rPr>
          <w:noProof/>
        </w:rPr>
        <w:t xml:space="preserve"> </w:t>
      </w:r>
      <w:r>
        <w:rPr>
          <w:noProof/>
        </w:rPr>
        <w:t>2</w:t>
      </w:r>
      <w:r w:rsidR="00301AE6">
        <w:rPr>
          <w:noProof/>
        </w:rPr>
        <w:t>.4.</w:t>
      </w:r>
      <w:r w:rsidR="00D66F50">
        <w:rPr>
          <w:noProof/>
        </w:rPr>
        <w:t>8</w:t>
      </w:r>
    </w:p>
    <w:p w:rsidR="000E6A73" w:rsidRDefault="005D3E06" w:rsidP="000E6A73">
      <w:pPr>
        <w:pStyle w:val="af"/>
        <w:spacing w:before="0" w:after="0"/>
        <w:ind w:firstLine="567"/>
        <w:jc w:val="center"/>
        <w:outlineLvl w:val="0"/>
        <w:rPr>
          <w:rFonts w:ascii="Times New Roman" w:hAnsi="Times New Roman"/>
          <w:b/>
          <w:sz w:val="28"/>
          <w:szCs w:val="28"/>
        </w:rPr>
      </w:pPr>
      <w:r>
        <w:rPr>
          <w:rFonts w:ascii="Times New Roman" w:hAnsi="Times New Roman"/>
          <w:b/>
          <w:sz w:val="28"/>
          <w:szCs w:val="28"/>
        </w:rPr>
        <w:lastRenderedPageBreak/>
        <w:t>2.4.2.</w:t>
      </w:r>
      <w:r w:rsidR="000E6A73">
        <w:rPr>
          <w:rFonts w:ascii="Times New Roman" w:hAnsi="Times New Roman"/>
          <w:b/>
          <w:sz w:val="28"/>
          <w:szCs w:val="28"/>
        </w:rPr>
        <w:t>Формирование тарифов</w:t>
      </w:r>
      <w:r w:rsidR="000E6A73">
        <w:rPr>
          <w:b/>
          <w:szCs w:val="28"/>
        </w:rPr>
        <w:t xml:space="preserve"> </w:t>
      </w:r>
      <w:r w:rsidR="000E6A73">
        <w:rPr>
          <w:rFonts w:ascii="Times New Roman" w:hAnsi="Times New Roman"/>
          <w:b/>
          <w:sz w:val="28"/>
          <w:szCs w:val="28"/>
        </w:rPr>
        <w:t>МУП «Комбинат бытовых услуг»</w:t>
      </w:r>
    </w:p>
    <w:p w:rsidR="000E6A73" w:rsidRDefault="000E6A73" w:rsidP="000E6A73">
      <w:pPr>
        <w:ind w:firstLine="567"/>
        <w:jc w:val="both"/>
        <w:rPr>
          <w:rFonts w:eastAsia="Calibri"/>
          <w:sz w:val="28"/>
          <w:szCs w:val="28"/>
          <w:lang w:eastAsia="en-US"/>
        </w:rPr>
      </w:pPr>
    </w:p>
    <w:p w:rsidR="00301AE6" w:rsidRDefault="000E6A73" w:rsidP="000E6A73">
      <w:pPr>
        <w:ind w:firstLine="567"/>
        <w:jc w:val="both"/>
        <w:rPr>
          <w:rFonts w:eastAsia="Calibri"/>
          <w:sz w:val="28"/>
          <w:szCs w:val="28"/>
          <w:lang w:eastAsia="en-US"/>
        </w:rPr>
      </w:pPr>
      <w:r>
        <w:rPr>
          <w:rFonts w:eastAsia="Calibri"/>
          <w:sz w:val="28"/>
          <w:szCs w:val="28"/>
          <w:lang w:eastAsia="en-US"/>
        </w:rPr>
        <w:t xml:space="preserve">Баланс водоснабжения </w:t>
      </w:r>
      <w:r>
        <w:rPr>
          <w:sz w:val="28"/>
          <w:szCs w:val="28"/>
        </w:rPr>
        <w:t xml:space="preserve">МУП «Комбинат бытовых услуг» </w:t>
      </w:r>
      <w:r>
        <w:rPr>
          <w:rFonts w:eastAsia="Calibri"/>
          <w:sz w:val="28"/>
          <w:szCs w:val="28"/>
          <w:lang w:eastAsia="en-US"/>
        </w:rPr>
        <w:t>за период с 2015 по 2020 годы представлен в таблице</w:t>
      </w:r>
      <w:r w:rsidR="00301AE6">
        <w:rPr>
          <w:rFonts w:eastAsia="Calibri"/>
          <w:sz w:val="28"/>
          <w:szCs w:val="28"/>
          <w:lang w:eastAsia="en-US"/>
        </w:rPr>
        <w:t xml:space="preserve"> № 2.4.6</w:t>
      </w:r>
      <w:r>
        <w:rPr>
          <w:rFonts w:eastAsia="Calibri"/>
          <w:sz w:val="28"/>
          <w:szCs w:val="28"/>
          <w:lang w:eastAsia="en-US"/>
        </w:rPr>
        <w:t>.</w:t>
      </w:r>
      <w:r w:rsidR="00301AE6">
        <w:rPr>
          <w:rFonts w:eastAsia="Calibri"/>
          <w:sz w:val="28"/>
          <w:szCs w:val="28"/>
          <w:lang w:eastAsia="en-US"/>
        </w:rPr>
        <w:t xml:space="preserve"> </w:t>
      </w:r>
    </w:p>
    <w:p w:rsidR="000E6A73" w:rsidRPr="00301AE6" w:rsidRDefault="00301AE6" w:rsidP="00301AE6">
      <w:pPr>
        <w:ind w:firstLine="567"/>
        <w:jc w:val="right"/>
        <w:rPr>
          <w:rFonts w:eastAsia="Calibri"/>
          <w:u w:val="single"/>
          <w:lang w:eastAsia="en-US"/>
        </w:rPr>
      </w:pPr>
      <w:r w:rsidRPr="00301AE6">
        <w:t>Таблица</w:t>
      </w:r>
      <w:r>
        <w:t xml:space="preserve"> </w:t>
      </w:r>
      <w:r w:rsidRPr="00301AE6">
        <w:t>2.4.6.</w:t>
      </w:r>
    </w:p>
    <w:tbl>
      <w:tblPr>
        <w:tblW w:w="10490" w:type="dxa"/>
        <w:tblInd w:w="-176" w:type="dxa"/>
        <w:tblLayout w:type="fixed"/>
        <w:tblLook w:val="04A0" w:firstRow="1" w:lastRow="0" w:firstColumn="1" w:lastColumn="0" w:noHBand="0" w:noVBand="1"/>
      </w:tblPr>
      <w:tblGrid>
        <w:gridCol w:w="655"/>
        <w:gridCol w:w="2181"/>
        <w:gridCol w:w="850"/>
        <w:gridCol w:w="1134"/>
        <w:gridCol w:w="1134"/>
        <w:gridCol w:w="1134"/>
        <w:gridCol w:w="1134"/>
        <w:gridCol w:w="1134"/>
        <w:gridCol w:w="1134"/>
      </w:tblGrid>
      <w:tr w:rsidR="000E6A73" w:rsidTr="00301AE6">
        <w:trPr>
          <w:trHeight w:val="330"/>
        </w:trPr>
        <w:tc>
          <w:tcPr>
            <w:tcW w:w="655" w:type="dxa"/>
            <w:vMerge w:val="restart"/>
            <w:tcBorders>
              <w:top w:val="single" w:sz="4" w:space="0" w:color="auto"/>
              <w:left w:val="single" w:sz="4" w:space="0" w:color="auto"/>
              <w:bottom w:val="single" w:sz="4" w:space="0" w:color="auto"/>
              <w:right w:val="single" w:sz="4" w:space="0" w:color="auto"/>
            </w:tcBorders>
            <w:vAlign w:val="center"/>
            <w:hideMark/>
          </w:tcPr>
          <w:p w:rsidR="000E6A73" w:rsidRDefault="000E6A73" w:rsidP="00F93C07">
            <w:pPr>
              <w:spacing w:after="0" w:line="240" w:lineRule="auto"/>
              <w:jc w:val="center"/>
              <w:rPr>
                <w:sz w:val="20"/>
                <w:szCs w:val="20"/>
              </w:rPr>
            </w:pPr>
            <w:bookmarkStart w:id="7" w:name="RANGE!A1:M92"/>
            <w:bookmarkEnd w:id="7"/>
            <w:r>
              <w:rPr>
                <w:sz w:val="20"/>
                <w:szCs w:val="20"/>
              </w:rPr>
              <w:t>№ п/п</w:t>
            </w:r>
          </w:p>
        </w:tc>
        <w:tc>
          <w:tcPr>
            <w:tcW w:w="2181" w:type="dxa"/>
            <w:vMerge w:val="restart"/>
            <w:tcBorders>
              <w:top w:val="single" w:sz="4" w:space="0" w:color="auto"/>
              <w:left w:val="single" w:sz="4" w:space="0" w:color="auto"/>
              <w:bottom w:val="single" w:sz="4" w:space="0" w:color="auto"/>
              <w:right w:val="single" w:sz="4" w:space="0" w:color="auto"/>
            </w:tcBorders>
            <w:noWrap/>
            <w:vAlign w:val="center"/>
            <w:hideMark/>
          </w:tcPr>
          <w:p w:rsidR="000E6A73" w:rsidRDefault="000E6A73" w:rsidP="00F93C07">
            <w:pPr>
              <w:spacing w:after="0" w:line="240" w:lineRule="auto"/>
              <w:jc w:val="center"/>
              <w:rPr>
                <w:sz w:val="20"/>
                <w:szCs w:val="20"/>
              </w:rPr>
            </w:pPr>
            <w:r>
              <w:rPr>
                <w:sz w:val="20"/>
                <w:szCs w:val="20"/>
              </w:rPr>
              <w:t>Наименование</w:t>
            </w:r>
          </w:p>
        </w:tc>
        <w:tc>
          <w:tcPr>
            <w:tcW w:w="850" w:type="dxa"/>
            <w:vMerge w:val="restart"/>
            <w:tcBorders>
              <w:top w:val="single" w:sz="4" w:space="0" w:color="auto"/>
              <w:left w:val="single" w:sz="4" w:space="0" w:color="auto"/>
              <w:bottom w:val="single" w:sz="4" w:space="0" w:color="auto"/>
              <w:right w:val="single" w:sz="4" w:space="0" w:color="auto"/>
            </w:tcBorders>
            <w:vAlign w:val="center"/>
            <w:hideMark/>
          </w:tcPr>
          <w:p w:rsidR="000E6A73" w:rsidRDefault="000E6A73" w:rsidP="00F93C07">
            <w:pPr>
              <w:spacing w:after="0" w:line="240" w:lineRule="auto"/>
              <w:jc w:val="center"/>
              <w:rPr>
                <w:sz w:val="20"/>
                <w:szCs w:val="20"/>
              </w:rPr>
            </w:pPr>
            <w:r>
              <w:rPr>
                <w:sz w:val="20"/>
                <w:szCs w:val="20"/>
              </w:rPr>
              <w:t>Единица</w:t>
            </w:r>
            <w:r>
              <w:rPr>
                <w:sz w:val="20"/>
                <w:szCs w:val="20"/>
              </w:rPr>
              <w:br/>
              <w:t>измерения</w:t>
            </w:r>
          </w:p>
        </w:tc>
        <w:tc>
          <w:tcPr>
            <w:tcW w:w="1134" w:type="dxa"/>
            <w:tcBorders>
              <w:top w:val="single" w:sz="4" w:space="0" w:color="auto"/>
              <w:left w:val="nil"/>
              <w:bottom w:val="single" w:sz="4" w:space="0" w:color="auto"/>
              <w:right w:val="single" w:sz="4" w:space="0" w:color="auto"/>
            </w:tcBorders>
            <w:vAlign w:val="center"/>
            <w:hideMark/>
          </w:tcPr>
          <w:p w:rsidR="000E6A73" w:rsidRDefault="000E6A73" w:rsidP="00F93C07">
            <w:pPr>
              <w:spacing w:after="0" w:line="240" w:lineRule="auto"/>
              <w:jc w:val="center"/>
              <w:rPr>
                <w:sz w:val="20"/>
                <w:szCs w:val="20"/>
              </w:rPr>
            </w:pPr>
            <w:r>
              <w:rPr>
                <w:sz w:val="20"/>
                <w:szCs w:val="20"/>
              </w:rPr>
              <w:t>2015</w:t>
            </w:r>
          </w:p>
        </w:tc>
        <w:tc>
          <w:tcPr>
            <w:tcW w:w="1134" w:type="dxa"/>
            <w:tcBorders>
              <w:top w:val="single" w:sz="4" w:space="0" w:color="auto"/>
              <w:left w:val="nil"/>
              <w:bottom w:val="single" w:sz="4" w:space="0" w:color="auto"/>
              <w:right w:val="single" w:sz="4" w:space="0" w:color="auto"/>
            </w:tcBorders>
            <w:vAlign w:val="center"/>
            <w:hideMark/>
          </w:tcPr>
          <w:p w:rsidR="000E6A73" w:rsidRDefault="000E6A73" w:rsidP="00F93C07">
            <w:pPr>
              <w:spacing w:after="0" w:line="240" w:lineRule="auto"/>
              <w:jc w:val="center"/>
              <w:rPr>
                <w:sz w:val="20"/>
                <w:szCs w:val="20"/>
              </w:rPr>
            </w:pPr>
            <w:r>
              <w:rPr>
                <w:sz w:val="20"/>
                <w:szCs w:val="20"/>
              </w:rPr>
              <w:t>2016</w:t>
            </w:r>
          </w:p>
        </w:tc>
        <w:tc>
          <w:tcPr>
            <w:tcW w:w="1134" w:type="dxa"/>
            <w:tcBorders>
              <w:top w:val="single" w:sz="4" w:space="0" w:color="auto"/>
              <w:left w:val="nil"/>
              <w:bottom w:val="single" w:sz="4" w:space="0" w:color="auto"/>
              <w:right w:val="single" w:sz="4" w:space="0" w:color="auto"/>
            </w:tcBorders>
            <w:noWrap/>
            <w:vAlign w:val="center"/>
            <w:hideMark/>
          </w:tcPr>
          <w:p w:rsidR="000E6A73" w:rsidRDefault="000E6A73" w:rsidP="00F93C07">
            <w:pPr>
              <w:spacing w:after="0" w:line="240" w:lineRule="auto"/>
              <w:jc w:val="center"/>
              <w:rPr>
                <w:sz w:val="20"/>
                <w:szCs w:val="20"/>
              </w:rPr>
            </w:pPr>
            <w:r>
              <w:rPr>
                <w:sz w:val="20"/>
                <w:szCs w:val="20"/>
              </w:rPr>
              <w:t>2017</w:t>
            </w:r>
          </w:p>
        </w:tc>
        <w:tc>
          <w:tcPr>
            <w:tcW w:w="1134" w:type="dxa"/>
            <w:tcBorders>
              <w:top w:val="single" w:sz="4" w:space="0" w:color="auto"/>
              <w:left w:val="nil"/>
              <w:bottom w:val="single" w:sz="4" w:space="0" w:color="auto"/>
              <w:right w:val="single" w:sz="4" w:space="0" w:color="auto"/>
            </w:tcBorders>
            <w:vAlign w:val="center"/>
            <w:hideMark/>
          </w:tcPr>
          <w:p w:rsidR="000E6A73" w:rsidRDefault="000E6A73" w:rsidP="00F93C07">
            <w:pPr>
              <w:spacing w:after="0" w:line="240" w:lineRule="auto"/>
              <w:jc w:val="center"/>
              <w:rPr>
                <w:sz w:val="20"/>
                <w:szCs w:val="20"/>
              </w:rPr>
            </w:pPr>
            <w:r>
              <w:rPr>
                <w:sz w:val="20"/>
                <w:szCs w:val="20"/>
              </w:rPr>
              <w:t>2018</w:t>
            </w:r>
          </w:p>
        </w:tc>
        <w:tc>
          <w:tcPr>
            <w:tcW w:w="1134" w:type="dxa"/>
            <w:tcBorders>
              <w:top w:val="single" w:sz="4" w:space="0" w:color="auto"/>
              <w:left w:val="nil"/>
              <w:bottom w:val="single" w:sz="4" w:space="0" w:color="auto"/>
              <w:right w:val="single" w:sz="4" w:space="0" w:color="auto"/>
            </w:tcBorders>
            <w:noWrap/>
            <w:vAlign w:val="center"/>
            <w:hideMark/>
          </w:tcPr>
          <w:p w:rsidR="000E6A73" w:rsidRDefault="000E6A73" w:rsidP="00F93C07">
            <w:pPr>
              <w:spacing w:after="0" w:line="240" w:lineRule="auto"/>
              <w:jc w:val="center"/>
              <w:rPr>
                <w:sz w:val="20"/>
                <w:szCs w:val="20"/>
              </w:rPr>
            </w:pPr>
            <w:r>
              <w:rPr>
                <w:sz w:val="20"/>
                <w:szCs w:val="20"/>
              </w:rPr>
              <w:t>2019</w:t>
            </w:r>
          </w:p>
        </w:tc>
        <w:tc>
          <w:tcPr>
            <w:tcW w:w="1134" w:type="dxa"/>
            <w:tcBorders>
              <w:top w:val="single" w:sz="4" w:space="0" w:color="auto"/>
              <w:left w:val="nil"/>
              <w:bottom w:val="single" w:sz="4" w:space="0" w:color="auto"/>
              <w:right w:val="single" w:sz="4" w:space="0" w:color="auto"/>
            </w:tcBorders>
            <w:vAlign w:val="center"/>
            <w:hideMark/>
          </w:tcPr>
          <w:p w:rsidR="000E6A73" w:rsidRDefault="000E6A73" w:rsidP="00F93C07">
            <w:pPr>
              <w:spacing w:after="0" w:line="240" w:lineRule="auto"/>
              <w:jc w:val="center"/>
              <w:rPr>
                <w:sz w:val="20"/>
                <w:szCs w:val="20"/>
              </w:rPr>
            </w:pPr>
            <w:r>
              <w:rPr>
                <w:sz w:val="20"/>
                <w:szCs w:val="20"/>
              </w:rPr>
              <w:t>2020</w:t>
            </w:r>
          </w:p>
        </w:tc>
      </w:tr>
      <w:tr w:rsidR="000E6A73" w:rsidTr="00301AE6">
        <w:trPr>
          <w:trHeight w:val="357"/>
        </w:trPr>
        <w:tc>
          <w:tcPr>
            <w:tcW w:w="655" w:type="dxa"/>
            <w:vMerge/>
            <w:tcBorders>
              <w:top w:val="single" w:sz="4" w:space="0" w:color="auto"/>
              <w:left w:val="single" w:sz="4" w:space="0" w:color="auto"/>
              <w:bottom w:val="single" w:sz="4" w:space="0" w:color="auto"/>
              <w:right w:val="single" w:sz="4" w:space="0" w:color="auto"/>
            </w:tcBorders>
            <w:vAlign w:val="center"/>
            <w:hideMark/>
          </w:tcPr>
          <w:p w:rsidR="000E6A73" w:rsidRDefault="000E6A73" w:rsidP="00F93C07">
            <w:pPr>
              <w:spacing w:after="0" w:line="240" w:lineRule="auto"/>
              <w:rPr>
                <w:sz w:val="20"/>
                <w:szCs w:val="20"/>
              </w:rPr>
            </w:pPr>
          </w:p>
        </w:tc>
        <w:tc>
          <w:tcPr>
            <w:tcW w:w="2181" w:type="dxa"/>
            <w:vMerge/>
            <w:tcBorders>
              <w:top w:val="single" w:sz="4" w:space="0" w:color="auto"/>
              <w:left w:val="single" w:sz="4" w:space="0" w:color="auto"/>
              <w:bottom w:val="single" w:sz="4" w:space="0" w:color="auto"/>
              <w:right w:val="single" w:sz="4" w:space="0" w:color="auto"/>
            </w:tcBorders>
            <w:vAlign w:val="center"/>
            <w:hideMark/>
          </w:tcPr>
          <w:p w:rsidR="000E6A73" w:rsidRDefault="000E6A73" w:rsidP="00F93C07">
            <w:pPr>
              <w:spacing w:after="0" w:line="240" w:lineRule="auto"/>
              <w:rPr>
                <w:sz w:val="20"/>
                <w:szCs w:val="20"/>
              </w:rPr>
            </w:pPr>
          </w:p>
        </w:tc>
        <w:tc>
          <w:tcPr>
            <w:tcW w:w="850" w:type="dxa"/>
            <w:vMerge/>
            <w:tcBorders>
              <w:top w:val="single" w:sz="4" w:space="0" w:color="auto"/>
              <w:left w:val="single" w:sz="4" w:space="0" w:color="auto"/>
              <w:bottom w:val="single" w:sz="4" w:space="0" w:color="auto"/>
              <w:right w:val="single" w:sz="4" w:space="0" w:color="auto"/>
            </w:tcBorders>
            <w:vAlign w:val="center"/>
            <w:hideMark/>
          </w:tcPr>
          <w:p w:rsidR="000E6A73" w:rsidRDefault="000E6A73" w:rsidP="00F93C07">
            <w:pPr>
              <w:spacing w:after="0" w:line="240" w:lineRule="auto"/>
              <w:rPr>
                <w:sz w:val="20"/>
                <w:szCs w:val="20"/>
              </w:rPr>
            </w:pPr>
          </w:p>
        </w:tc>
        <w:tc>
          <w:tcPr>
            <w:tcW w:w="1134" w:type="dxa"/>
            <w:tcBorders>
              <w:top w:val="nil"/>
              <w:left w:val="nil"/>
              <w:bottom w:val="nil"/>
              <w:right w:val="single" w:sz="4" w:space="0" w:color="auto"/>
            </w:tcBorders>
            <w:vAlign w:val="center"/>
            <w:hideMark/>
          </w:tcPr>
          <w:p w:rsidR="000E6A73" w:rsidRDefault="000E6A73" w:rsidP="00F93C07">
            <w:pPr>
              <w:spacing w:after="0" w:line="240" w:lineRule="auto"/>
              <w:jc w:val="center"/>
              <w:rPr>
                <w:sz w:val="20"/>
                <w:szCs w:val="20"/>
              </w:rPr>
            </w:pPr>
            <w:r>
              <w:rPr>
                <w:sz w:val="20"/>
                <w:szCs w:val="20"/>
              </w:rPr>
              <w:t>факт</w:t>
            </w:r>
          </w:p>
        </w:tc>
        <w:tc>
          <w:tcPr>
            <w:tcW w:w="1134" w:type="dxa"/>
            <w:tcBorders>
              <w:top w:val="nil"/>
              <w:left w:val="nil"/>
              <w:bottom w:val="nil"/>
              <w:right w:val="single" w:sz="4" w:space="0" w:color="auto"/>
            </w:tcBorders>
            <w:vAlign w:val="center"/>
            <w:hideMark/>
          </w:tcPr>
          <w:p w:rsidR="000E6A73" w:rsidRDefault="000E6A73" w:rsidP="00F93C07">
            <w:pPr>
              <w:spacing w:after="0" w:line="240" w:lineRule="auto"/>
              <w:jc w:val="center"/>
              <w:rPr>
                <w:sz w:val="20"/>
                <w:szCs w:val="20"/>
              </w:rPr>
            </w:pPr>
            <w:r>
              <w:rPr>
                <w:sz w:val="20"/>
                <w:szCs w:val="20"/>
              </w:rPr>
              <w:t>факт</w:t>
            </w:r>
          </w:p>
        </w:tc>
        <w:tc>
          <w:tcPr>
            <w:tcW w:w="1134" w:type="dxa"/>
            <w:tcBorders>
              <w:top w:val="nil"/>
              <w:left w:val="nil"/>
              <w:bottom w:val="nil"/>
              <w:right w:val="single" w:sz="4" w:space="0" w:color="auto"/>
            </w:tcBorders>
            <w:vAlign w:val="center"/>
            <w:hideMark/>
          </w:tcPr>
          <w:p w:rsidR="000E6A73" w:rsidRDefault="000E6A73" w:rsidP="00F93C07">
            <w:pPr>
              <w:spacing w:after="0" w:line="240" w:lineRule="auto"/>
              <w:jc w:val="center"/>
              <w:rPr>
                <w:sz w:val="20"/>
                <w:szCs w:val="20"/>
              </w:rPr>
            </w:pPr>
            <w:r>
              <w:rPr>
                <w:sz w:val="20"/>
                <w:szCs w:val="20"/>
              </w:rPr>
              <w:t>факт</w:t>
            </w:r>
          </w:p>
        </w:tc>
        <w:tc>
          <w:tcPr>
            <w:tcW w:w="1134" w:type="dxa"/>
            <w:tcBorders>
              <w:top w:val="single" w:sz="4" w:space="0" w:color="auto"/>
              <w:left w:val="nil"/>
              <w:bottom w:val="single" w:sz="4" w:space="0" w:color="auto"/>
              <w:right w:val="single" w:sz="4" w:space="0" w:color="auto"/>
            </w:tcBorders>
            <w:vAlign w:val="center"/>
            <w:hideMark/>
          </w:tcPr>
          <w:p w:rsidR="000E6A73" w:rsidRDefault="000E6A73" w:rsidP="00F93C07">
            <w:pPr>
              <w:spacing w:after="0" w:line="240" w:lineRule="auto"/>
              <w:jc w:val="center"/>
              <w:rPr>
                <w:sz w:val="20"/>
                <w:szCs w:val="20"/>
              </w:rPr>
            </w:pPr>
            <w:r>
              <w:rPr>
                <w:sz w:val="20"/>
                <w:szCs w:val="20"/>
              </w:rPr>
              <w:t>факт</w:t>
            </w:r>
          </w:p>
        </w:tc>
        <w:tc>
          <w:tcPr>
            <w:tcW w:w="1134" w:type="dxa"/>
            <w:tcBorders>
              <w:top w:val="single" w:sz="4" w:space="0" w:color="auto"/>
              <w:left w:val="nil"/>
              <w:bottom w:val="single" w:sz="4" w:space="0" w:color="auto"/>
              <w:right w:val="single" w:sz="4" w:space="0" w:color="auto"/>
            </w:tcBorders>
            <w:vAlign w:val="center"/>
            <w:hideMark/>
          </w:tcPr>
          <w:p w:rsidR="000E6A73" w:rsidRDefault="000E6A73" w:rsidP="00F93C07">
            <w:pPr>
              <w:spacing w:after="0" w:line="240" w:lineRule="auto"/>
              <w:jc w:val="center"/>
              <w:rPr>
                <w:sz w:val="20"/>
                <w:szCs w:val="20"/>
              </w:rPr>
            </w:pPr>
            <w:r>
              <w:rPr>
                <w:sz w:val="20"/>
                <w:szCs w:val="20"/>
              </w:rPr>
              <w:t>план</w:t>
            </w:r>
          </w:p>
        </w:tc>
        <w:tc>
          <w:tcPr>
            <w:tcW w:w="1134" w:type="dxa"/>
            <w:tcBorders>
              <w:top w:val="single" w:sz="4" w:space="0" w:color="auto"/>
              <w:left w:val="nil"/>
              <w:bottom w:val="single" w:sz="4" w:space="0" w:color="auto"/>
              <w:right w:val="single" w:sz="4" w:space="0" w:color="auto"/>
            </w:tcBorders>
            <w:vAlign w:val="center"/>
            <w:hideMark/>
          </w:tcPr>
          <w:p w:rsidR="000E6A73" w:rsidRDefault="000E6A73" w:rsidP="00F93C07">
            <w:pPr>
              <w:spacing w:after="0" w:line="240" w:lineRule="auto"/>
              <w:jc w:val="center"/>
              <w:rPr>
                <w:sz w:val="20"/>
                <w:szCs w:val="20"/>
              </w:rPr>
            </w:pPr>
            <w:r>
              <w:rPr>
                <w:sz w:val="20"/>
                <w:szCs w:val="20"/>
              </w:rPr>
              <w:t>план</w:t>
            </w:r>
          </w:p>
        </w:tc>
      </w:tr>
      <w:tr w:rsidR="000E6A73" w:rsidTr="00301AE6">
        <w:trPr>
          <w:trHeight w:val="300"/>
        </w:trPr>
        <w:tc>
          <w:tcPr>
            <w:tcW w:w="655" w:type="dxa"/>
            <w:tcBorders>
              <w:top w:val="nil"/>
              <w:left w:val="single" w:sz="4" w:space="0" w:color="auto"/>
              <w:bottom w:val="single" w:sz="4" w:space="0" w:color="auto"/>
              <w:right w:val="single" w:sz="4" w:space="0" w:color="auto"/>
            </w:tcBorders>
            <w:noWrap/>
            <w:vAlign w:val="center"/>
            <w:hideMark/>
          </w:tcPr>
          <w:p w:rsidR="000E6A73" w:rsidRDefault="000E6A73" w:rsidP="00F93C07">
            <w:pPr>
              <w:spacing w:after="0" w:line="240" w:lineRule="auto"/>
              <w:jc w:val="center"/>
              <w:rPr>
                <w:sz w:val="20"/>
                <w:szCs w:val="20"/>
              </w:rPr>
            </w:pPr>
            <w:r>
              <w:rPr>
                <w:sz w:val="20"/>
                <w:szCs w:val="20"/>
              </w:rPr>
              <w:t>1</w:t>
            </w:r>
          </w:p>
        </w:tc>
        <w:tc>
          <w:tcPr>
            <w:tcW w:w="2181" w:type="dxa"/>
            <w:tcBorders>
              <w:top w:val="single" w:sz="4" w:space="0" w:color="auto"/>
              <w:left w:val="nil"/>
              <w:bottom w:val="single" w:sz="4" w:space="0" w:color="auto"/>
              <w:right w:val="single" w:sz="4" w:space="0" w:color="auto"/>
            </w:tcBorders>
            <w:noWrap/>
            <w:vAlign w:val="center"/>
            <w:hideMark/>
          </w:tcPr>
          <w:p w:rsidR="000E6A73" w:rsidRDefault="000E6A73" w:rsidP="00F93C07">
            <w:pPr>
              <w:spacing w:after="0" w:line="240" w:lineRule="auto"/>
              <w:jc w:val="center"/>
              <w:rPr>
                <w:sz w:val="20"/>
                <w:szCs w:val="20"/>
              </w:rPr>
            </w:pPr>
            <w:r>
              <w:rPr>
                <w:sz w:val="20"/>
                <w:szCs w:val="20"/>
              </w:rPr>
              <w:t>2</w:t>
            </w:r>
          </w:p>
        </w:tc>
        <w:tc>
          <w:tcPr>
            <w:tcW w:w="850" w:type="dxa"/>
            <w:tcBorders>
              <w:top w:val="single" w:sz="4" w:space="0" w:color="auto"/>
              <w:left w:val="nil"/>
              <w:bottom w:val="single" w:sz="4" w:space="0" w:color="auto"/>
              <w:right w:val="single" w:sz="4" w:space="0" w:color="auto"/>
            </w:tcBorders>
            <w:noWrap/>
            <w:vAlign w:val="center"/>
            <w:hideMark/>
          </w:tcPr>
          <w:p w:rsidR="000E6A73" w:rsidRDefault="000E6A73" w:rsidP="00F93C07">
            <w:pPr>
              <w:spacing w:after="0" w:line="240" w:lineRule="auto"/>
              <w:jc w:val="center"/>
              <w:rPr>
                <w:sz w:val="20"/>
                <w:szCs w:val="20"/>
              </w:rPr>
            </w:pPr>
            <w:r>
              <w:rPr>
                <w:sz w:val="20"/>
                <w:szCs w:val="20"/>
              </w:rPr>
              <w:t>3</w:t>
            </w:r>
          </w:p>
        </w:tc>
        <w:tc>
          <w:tcPr>
            <w:tcW w:w="1134" w:type="dxa"/>
            <w:tcBorders>
              <w:top w:val="single" w:sz="4" w:space="0" w:color="auto"/>
              <w:left w:val="nil"/>
              <w:bottom w:val="single" w:sz="4" w:space="0" w:color="auto"/>
              <w:right w:val="single" w:sz="4" w:space="0" w:color="auto"/>
            </w:tcBorders>
            <w:noWrap/>
            <w:vAlign w:val="center"/>
            <w:hideMark/>
          </w:tcPr>
          <w:p w:rsidR="000E6A73" w:rsidRDefault="000E6A73" w:rsidP="00F93C07">
            <w:pPr>
              <w:spacing w:after="0" w:line="240" w:lineRule="auto"/>
              <w:jc w:val="center"/>
              <w:rPr>
                <w:sz w:val="20"/>
                <w:szCs w:val="20"/>
              </w:rPr>
            </w:pPr>
            <w:r>
              <w:rPr>
                <w:sz w:val="20"/>
                <w:szCs w:val="20"/>
              </w:rPr>
              <w:t>4</w:t>
            </w:r>
          </w:p>
        </w:tc>
        <w:tc>
          <w:tcPr>
            <w:tcW w:w="1134" w:type="dxa"/>
            <w:tcBorders>
              <w:top w:val="single" w:sz="4" w:space="0" w:color="auto"/>
              <w:left w:val="nil"/>
              <w:bottom w:val="single" w:sz="4" w:space="0" w:color="auto"/>
              <w:right w:val="single" w:sz="4" w:space="0" w:color="auto"/>
            </w:tcBorders>
            <w:noWrap/>
            <w:vAlign w:val="center"/>
            <w:hideMark/>
          </w:tcPr>
          <w:p w:rsidR="000E6A73" w:rsidRDefault="000E6A73" w:rsidP="00F93C07">
            <w:pPr>
              <w:spacing w:after="0" w:line="240" w:lineRule="auto"/>
              <w:jc w:val="center"/>
              <w:rPr>
                <w:sz w:val="20"/>
                <w:szCs w:val="20"/>
              </w:rPr>
            </w:pPr>
            <w:r>
              <w:rPr>
                <w:sz w:val="20"/>
                <w:szCs w:val="20"/>
              </w:rPr>
              <w:t>5</w:t>
            </w:r>
          </w:p>
        </w:tc>
        <w:tc>
          <w:tcPr>
            <w:tcW w:w="1134" w:type="dxa"/>
            <w:tcBorders>
              <w:top w:val="single" w:sz="4" w:space="0" w:color="auto"/>
              <w:left w:val="nil"/>
              <w:bottom w:val="single" w:sz="4" w:space="0" w:color="auto"/>
              <w:right w:val="single" w:sz="4" w:space="0" w:color="auto"/>
            </w:tcBorders>
            <w:noWrap/>
            <w:vAlign w:val="center"/>
            <w:hideMark/>
          </w:tcPr>
          <w:p w:rsidR="000E6A73" w:rsidRDefault="000E6A73" w:rsidP="00F93C07">
            <w:pPr>
              <w:spacing w:after="0" w:line="240" w:lineRule="auto"/>
              <w:jc w:val="center"/>
              <w:rPr>
                <w:sz w:val="20"/>
                <w:szCs w:val="20"/>
              </w:rPr>
            </w:pPr>
            <w:r>
              <w:rPr>
                <w:sz w:val="20"/>
                <w:szCs w:val="20"/>
              </w:rPr>
              <w:t>6</w:t>
            </w:r>
          </w:p>
        </w:tc>
        <w:tc>
          <w:tcPr>
            <w:tcW w:w="1134" w:type="dxa"/>
            <w:tcBorders>
              <w:top w:val="single" w:sz="4" w:space="0" w:color="auto"/>
              <w:left w:val="nil"/>
              <w:bottom w:val="single" w:sz="4" w:space="0" w:color="auto"/>
              <w:right w:val="single" w:sz="4" w:space="0" w:color="auto"/>
            </w:tcBorders>
            <w:vAlign w:val="center"/>
            <w:hideMark/>
          </w:tcPr>
          <w:p w:rsidR="000E6A73" w:rsidRDefault="000E6A73" w:rsidP="00F93C07">
            <w:pPr>
              <w:spacing w:after="0" w:line="240" w:lineRule="auto"/>
              <w:jc w:val="center"/>
              <w:rPr>
                <w:sz w:val="20"/>
                <w:szCs w:val="20"/>
              </w:rPr>
            </w:pPr>
            <w:r>
              <w:rPr>
                <w:sz w:val="20"/>
                <w:szCs w:val="20"/>
              </w:rPr>
              <w:t>7</w:t>
            </w:r>
          </w:p>
        </w:tc>
        <w:tc>
          <w:tcPr>
            <w:tcW w:w="1134" w:type="dxa"/>
            <w:tcBorders>
              <w:top w:val="nil"/>
              <w:left w:val="nil"/>
              <w:bottom w:val="single" w:sz="4" w:space="0" w:color="auto"/>
              <w:right w:val="single" w:sz="4" w:space="0" w:color="auto"/>
            </w:tcBorders>
            <w:noWrap/>
            <w:vAlign w:val="center"/>
            <w:hideMark/>
          </w:tcPr>
          <w:p w:rsidR="000E6A73" w:rsidRDefault="000E6A73" w:rsidP="00F93C07">
            <w:pPr>
              <w:spacing w:after="0" w:line="240" w:lineRule="auto"/>
              <w:jc w:val="center"/>
              <w:rPr>
                <w:sz w:val="20"/>
                <w:szCs w:val="20"/>
              </w:rPr>
            </w:pPr>
            <w:r>
              <w:rPr>
                <w:sz w:val="20"/>
                <w:szCs w:val="20"/>
              </w:rPr>
              <w:t>8</w:t>
            </w:r>
          </w:p>
        </w:tc>
        <w:tc>
          <w:tcPr>
            <w:tcW w:w="1134" w:type="dxa"/>
            <w:tcBorders>
              <w:top w:val="nil"/>
              <w:left w:val="nil"/>
              <w:bottom w:val="single" w:sz="4" w:space="0" w:color="auto"/>
              <w:right w:val="single" w:sz="4" w:space="0" w:color="auto"/>
            </w:tcBorders>
            <w:vAlign w:val="center"/>
            <w:hideMark/>
          </w:tcPr>
          <w:p w:rsidR="000E6A73" w:rsidRDefault="000E6A73" w:rsidP="00F93C07">
            <w:pPr>
              <w:spacing w:after="0" w:line="240" w:lineRule="auto"/>
              <w:jc w:val="center"/>
              <w:rPr>
                <w:sz w:val="20"/>
                <w:szCs w:val="20"/>
              </w:rPr>
            </w:pPr>
            <w:r>
              <w:rPr>
                <w:sz w:val="20"/>
                <w:szCs w:val="20"/>
              </w:rPr>
              <w:t>9</w:t>
            </w:r>
          </w:p>
        </w:tc>
      </w:tr>
      <w:tr w:rsidR="000E6A73" w:rsidTr="00301AE6">
        <w:trPr>
          <w:trHeight w:val="300"/>
        </w:trPr>
        <w:tc>
          <w:tcPr>
            <w:tcW w:w="655" w:type="dxa"/>
            <w:tcBorders>
              <w:top w:val="nil"/>
              <w:left w:val="single" w:sz="4" w:space="0" w:color="auto"/>
              <w:bottom w:val="single" w:sz="4" w:space="0" w:color="auto"/>
              <w:right w:val="single" w:sz="4" w:space="0" w:color="auto"/>
            </w:tcBorders>
            <w:noWrap/>
            <w:vAlign w:val="center"/>
            <w:hideMark/>
          </w:tcPr>
          <w:p w:rsidR="000E6A73" w:rsidRDefault="000E6A73" w:rsidP="00F93C07">
            <w:pPr>
              <w:spacing w:after="0" w:line="240" w:lineRule="auto"/>
              <w:jc w:val="center"/>
              <w:rPr>
                <w:b/>
                <w:bCs/>
                <w:sz w:val="20"/>
                <w:szCs w:val="20"/>
              </w:rPr>
            </w:pPr>
            <w:r>
              <w:rPr>
                <w:b/>
                <w:bCs/>
                <w:sz w:val="20"/>
                <w:szCs w:val="20"/>
              </w:rPr>
              <w:t>1</w:t>
            </w:r>
          </w:p>
        </w:tc>
        <w:tc>
          <w:tcPr>
            <w:tcW w:w="2181" w:type="dxa"/>
            <w:tcBorders>
              <w:top w:val="nil"/>
              <w:left w:val="nil"/>
              <w:bottom w:val="single" w:sz="4" w:space="0" w:color="auto"/>
              <w:right w:val="single" w:sz="4" w:space="0" w:color="auto"/>
            </w:tcBorders>
            <w:noWrap/>
            <w:vAlign w:val="center"/>
            <w:hideMark/>
          </w:tcPr>
          <w:p w:rsidR="000E6A73" w:rsidRDefault="000E6A73" w:rsidP="00F93C07">
            <w:pPr>
              <w:spacing w:after="0" w:line="240" w:lineRule="auto"/>
              <w:rPr>
                <w:b/>
                <w:bCs/>
                <w:sz w:val="20"/>
                <w:szCs w:val="20"/>
              </w:rPr>
            </w:pPr>
            <w:r>
              <w:rPr>
                <w:b/>
                <w:bCs/>
                <w:sz w:val="20"/>
                <w:szCs w:val="20"/>
              </w:rPr>
              <w:t>Водоподготовка</w:t>
            </w:r>
          </w:p>
        </w:tc>
        <w:tc>
          <w:tcPr>
            <w:tcW w:w="850" w:type="dxa"/>
            <w:tcBorders>
              <w:top w:val="nil"/>
              <w:left w:val="nil"/>
              <w:bottom w:val="single" w:sz="4" w:space="0" w:color="auto"/>
              <w:right w:val="single" w:sz="4" w:space="0" w:color="auto"/>
            </w:tcBorders>
            <w:noWrap/>
            <w:vAlign w:val="center"/>
          </w:tcPr>
          <w:p w:rsidR="000E6A73" w:rsidRDefault="000E6A73" w:rsidP="00F93C07">
            <w:pPr>
              <w:spacing w:after="0" w:line="240" w:lineRule="auto"/>
              <w:jc w:val="center"/>
              <w:rPr>
                <w:sz w:val="20"/>
                <w:szCs w:val="20"/>
              </w:rPr>
            </w:pPr>
          </w:p>
        </w:tc>
        <w:tc>
          <w:tcPr>
            <w:tcW w:w="1134" w:type="dxa"/>
            <w:tcBorders>
              <w:top w:val="nil"/>
              <w:left w:val="nil"/>
              <w:bottom w:val="single" w:sz="4" w:space="0" w:color="auto"/>
              <w:right w:val="single" w:sz="4" w:space="0" w:color="auto"/>
            </w:tcBorders>
            <w:noWrap/>
            <w:vAlign w:val="bottom"/>
          </w:tcPr>
          <w:p w:rsidR="000E6A73" w:rsidRDefault="000E6A73" w:rsidP="00F93C07">
            <w:pPr>
              <w:spacing w:after="0" w:line="240" w:lineRule="auto"/>
              <w:jc w:val="right"/>
              <w:rPr>
                <w:sz w:val="20"/>
                <w:szCs w:val="20"/>
              </w:rPr>
            </w:pPr>
          </w:p>
        </w:tc>
        <w:tc>
          <w:tcPr>
            <w:tcW w:w="1134" w:type="dxa"/>
            <w:tcBorders>
              <w:top w:val="nil"/>
              <w:left w:val="nil"/>
              <w:bottom w:val="single" w:sz="4" w:space="0" w:color="auto"/>
              <w:right w:val="single" w:sz="4" w:space="0" w:color="auto"/>
            </w:tcBorders>
            <w:noWrap/>
            <w:vAlign w:val="bottom"/>
          </w:tcPr>
          <w:p w:rsidR="000E6A73" w:rsidRDefault="000E6A73" w:rsidP="00F93C07">
            <w:pPr>
              <w:spacing w:after="0" w:line="240" w:lineRule="auto"/>
              <w:jc w:val="right"/>
              <w:rPr>
                <w:sz w:val="20"/>
                <w:szCs w:val="20"/>
              </w:rPr>
            </w:pPr>
          </w:p>
        </w:tc>
        <w:tc>
          <w:tcPr>
            <w:tcW w:w="1134" w:type="dxa"/>
            <w:tcBorders>
              <w:top w:val="nil"/>
              <w:left w:val="nil"/>
              <w:bottom w:val="single" w:sz="4" w:space="0" w:color="auto"/>
              <w:right w:val="single" w:sz="4" w:space="0" w:color="auto"/>
            </w:tcBorders>
            <w:noWrap/>
            <w:vAlign w:val="bottom"/>
          </w:tcPr>
          <w:p w:rsidR="000E6A73" w:rsidRDefault="000E6A73" w:rsidP="00F93C07">
            <w:pPr>
              <w:spacing w:after="0" w:line="240" w:lineRule="auto"/>
              <w:jc w:val="right"/>
              <w:rPr>
                <w:sz w:val="20"/>
                <w:szCs w:val="20"/>
              </w:rPr>
            </w:pPr>
          </w:p>
        </w:tc>
        <w:tc>
          <w:tcPr>
            <w:tcW w:w="1134" w:type="dxa"/>
            <w:tcBorders>
              <w:top w:val="single" w:sz="4" w:space="0" w:color="auto"/>
              <w:left w:val="nil"/>
              <w:bottom w:val="single" w:sz="4" w:space="0" w:color="auto"/>
              <w:right w:val="single" w:sz="4" w:space="0" w:color="auto"/>
            </w:tcBorders>
          </w:tcPr>
          <w:p w:rsidR="000E6A73" w:rsidRDefault="000E6A73" w:rsidP="00F93C07">
            <w:pPr>
              <w:spacing w:after="0" w:line="240" w:lineRule="auto"/>
              <w:jc w:val="right"/>
              <w:rPr>
                <w:sz w:val="20"/>
                <w:szCs w:val="20"/>
              </w:rPr>
            </w:pPr>
          </w:p>
        </w:tc>
        <w:tc>
          <w:tcPr>
            <w:tcW w:w="1134" w:type="dxa"/>
            <w:tcBorders>
              <w:top w:val="nil"/>
              <w:left w:val="nil"/>
              <w:bottom w:val="single" w:sz="4" w:space="0" w:color="auto"/>
              <w:right w:val="single" w:sz="4" w:space="0" w:color="auto"/>
            </w:tcBorders>
            <w:noWrap/>
            <w:vAlign w:val="bottom"/>
          </w:tcPr>
          <w:p w:rsidR="000E6A73" w:rsidRDefault="000E6A73" w:rsidP="00F93C07">
            <w:pPr>
              <w:spacing w:after="0" w:line="240" w:lineRule="auto"/>
            </w:pPr>
          </w:p>
        </w:tc>
        <w:tc>
          <w:tcPr>
            <w:tcW w:w="1134" w:type="dxa"/>
            <w:tcBorders>
              <w:top w:val="nil"/>
              <w:left w:val="nil"/>
              <w:bottom w:val="single" w:sz="4" w:space="0" w:color="auto"/>
              <w:right w:val="single" w:sz="4" w:space="0" w:color="auto"/>
            </w:tcBorders>
          </w:tcPr>
          <w:p w:rsidR="000E6A73" w:rsidRDefault="000E6A73" w:rsidP="00F93C07">
            <w:pPr>
              <w:spacing w:after="0" w:line="240" w:lineRule="auto"/>
            </w:pPr>
          </w:p>
        </w:tc>
      </w:tr>
      <w:tr w:rsidR="000E6A73" w:rsidTr="00301AE6">
        <w:trPr>
          <w:trHeight w:val="363"/>
        </w:trPr>
        <w:tc>
          <w:tcPr>
            <w:tcW w:w="655" w:type="dxa"/>
            <w:tcBorders>
              <w:top w:val="nil"/>
              <w:left w:val="single" w:sz="4" w:space="0" w:color="auto"/>
              <w:bottom w:val="single" w:sz="4" w:space="0" w:color="auto"/>
              <w:right w:val="single" w:sz="4" w:space="0" w:color="auto"/>
            </w:tcBorders>
            <w:noWrap/>
            <w:vAlign w:val="center"/>
            <w:hideMark/>
          </w:tcPr>
          <w:p w:rsidR="000E6A73" w:rsidRDefault="000E6A73" w:rsidP="00F93C07">
            <w:pPr>
              <w:spacing w:after="0" w:line="240" w:lineRule="auto"/>
              <w:jc w:val="center"/>
              <w:rPr>
                <w:sz w:val="20"/>
                <w:szCs w:val="20"/>
              </w:rPr>
            </w:pPr>
            <w:r>
              <w:rPr>
                <w:sz w:val="20"/>
                <w:szCs w:val="20"/>
              </w:rPr>
              <w:t>1.1</w:t>
            </w:r>
          </w:p>
        </w:tc>
        <w:tc>
          <w:tcPr>
            <w:tcW w:w="2181" w:type="dxa"/>
            <w:tcBorders>
              <w:top w:val="nil"/>
              <w:left w:val="nil"/>
              <w:bottom w:val="single" w:sz="4" w:space="0" w:color="auto"/>
              <w:right w:val="single" w:sz="4" w:space="0" w:color="auto"/>
            </w:tcBorders>
            <w:noWrap/>
            <w:vAlign w:val="center"/>
            <w:hideMark/>
          </w:tcPr>
          <w:p w:rsidR="000E6A73" w:rsidRDefault="000E6A73" w:rsidP="00F93C07">
            <w:pPr>
              <w:spacing w:after="0" w:line="240" w:lineRule="auto"/>
              <w:rPr>
                <w:sz w:val="20"/>
                <w:szCs w:val="20"/>
              </w:rPr>
            </w:pPr>
            <w:r>
              <w:rPr>
                <w:sz w:val="20"/>
                <w:szCs w:val="20"/>
              </w:rPr>
              <w:t>Объем воды из источников водоснабжения:</w:t>
            </w:r>
          </w:p>
        </w:tc>
        <w:tc>
          <w:tcPr>
            <w:tcW w:w="850" w:type="dxa"/>
            <w:tcBorders>
              <w:top w:val="nil"/>
              <w:left w:val="nil"/>
              <w:bottom w:val="single" w:sz="4" w:space="0" w:color="auto"/>
              <w:right w:val="single" w:sz="4" w:space="0" w:color="auto"/>
            </w:tcBorders>
            <w:noWrap/>
            <w:vAlign w:val="center"/>
            <w:hideMark/>
          </w:tcPr>
          <w:p w:rsidR="000E6A73" w:rsidRDefault="000E6A73" w:rsidP="00F93C07">
            <w:pPr>
              <w:spacing w:after="0" w:line="240" w:lineRule="auto"/>
              <w:jc w:val="center"/>
              <w:rPr>
                <w:sz w:val="20"/>
                <w:szCs w:val="20"/>
              </w:rPr>
            </w:pPr>
            <w:r>
              <w:rPr>
                <w:sz w:val="20"/>
                <w:szCs w:val="20"/>
              </w:rPr>
              <w:t xml:space="preserve">тыс. </w:t>
            </w:r>
            <w:r>
              <w:rPr>
                <w:rFonts w:eastAsia="Calibri"/>
                <w:sz w:val="20"/>
                <w:szCs w:val="20"/>
                <w:lang w:eastAsia="en-US"/>
              </w:rPr>
              <w:t>м</w:t>
            </w:r>
            <w:r>
              <w:rPr>
                <w:rFonts w:eastAsia="Calibri"/>
                <w:sz w:val="20"/>
                <w:szCs w:val="20"/>
                <w:vertAlign w:val="superscript"/>
                <w:lang w:eastAsia="en-US"/>
              </w:rPr>
              <w:t>3</w:t>
            </w:r>
          </w:p>
        </w:tc>
        <w:tc>
          <w:tcPr>
            <w:tcW w:w="1134" w:type="dxa"/>
            <w:tcBorders>
              <w:top w:val="nil"/>
              <w:left w:val="nil"/>
              <w:bottom w:val="single" w:sz="4" w:space="0" w:color="auto"/>
              <w:right w:val="single" w:sz="4" w:space="0" w:color="auto"/>
            </w:tcBorders>
            <w:noWrap/>
            <w:vAlign w:val="center"/>
            <w:hideMark/>
          </w:tcPr>
          <w:p w:rsidR="000E6A73" w:rsidRDefault="000E6A73" w:rsidP="00F93C07">
            <w:pPr>
              <w:spacing w:after="0" w:line="240" w:lineRule="auto"/>
              <w:jc w:val="center"/>
              <w:rPr>
                <w:sz w:val="20"/>
                <w:szCs w:val="20"/>
              </w:rPr>
            </w:pPr>
            <w:r>
              <w:rPr>
                <w:sz w:val="20"/>
                <w:szCs w:val="20"/>
              </w:rPr>
              <w:t>12 601,49</w:t>
            </w:r>
          </w:p>
        </w:tc>
        <w:tc>
          <w:tcPr>
            <w:tcW w:w="1134" w:type="dxa"/>
            <w:tcBorders>
              <w:top w:val="nil"/>
              <w:left w:val="nil"/>
              <w:bottom w:val="single" w:sz="4" w:space="0" w:color="auto"/>
              <w:right w:val="single" w:sz="4" w:space="0" w:color="auto"/>
            </w:tcBorders>
            <w:noWrap/>
            <w:vAlign w:val="center"/>
            <w:hideMark/>
          </w:tcPr>
          <w:p w:rsidR="000E6A73" w:rsidRDefault="000E6A73" w:rsidP="00F93C07">
            <w:pPr>
              <w:spacing w:after="0" w:line="240" w:lineRule="auto"/>
              <w:jc w:val="center"/>
              <w:rPr>
                <w:sz w:val="20"/>
                <w:szCs w:val="20"/>
              </w:rPr>
            </w:pPr>
            <w:r>
              <w:rPr>
                <w:sz w:val="20"/>
                <w:szCs w:val="20"/>
              </w:rPr>
              <w:t>12 336,71</w:t>
            </w:r>
          </w:p>
        </w:tc>
        <w:tc>
          <w:tcPr>
            <w:tcW w:w="1134" w:type="dxa"/>
            <w:tcBorders>
              <w:top w:val="nil"/>
              <w:left w:val="nil"/>
              <w:bottom w:val="single" w:sz="4" w:space="0" w:color="auto"/>
              <w:right w:val="single" w:sz="4" w:space="0" w:color="auto"/>
            </w:tcBorders>
            <w:noWrap/>
            <w:vAlign w:val="center"/>
            <w:hideMark/>
          </w:tcPr>
          <w:p w:rsidR="000E6A73" w:rsidRDefault="000E6A73" w:rsidP="00F93C07">
            <w:pPr>
              <w:spacing w:after="0" w:line="240" w:lineRule="auto"/>
              <w:jc w:val="center"/>
              <w:rPr>
                <w:sz w:val="20"/>
                <w:szCs w:val="20"/>
              </w:rPr>
            </w:pPr>
            <w:r>
              <w:rPr>
                <w:sz w:val="20"/>
                <w:szCs w:val="20"/>
              </w:rPr>
              <w:t>12 265,60</w:t>
            </w:r>
          </w:p>
        </w:tc>
        <w:tc>
          <w:tcPr>
            <w:tcW w:w="1134" w:type="dxa"/>
            <w:tcBorders>
              <w:top w:val="single" w:sz="4" w:space="0" w:color="auto"/>
              <w:left w:val="nil"/>
              <w:bottom w:val="single" w:sz="4" w:space="0" w:color="auto"/>
              <w:right w:val="single" w:sz="4" w:space="0" w:color="auto"/>
            </w:tcBorders>
            <w:vAlign w:val="center"/>
            <w:hideMark/>
          </w:tcPr>
          <w:p w:rsidR="000E6A73" w:rsidRDefault="000E6A73" w:rsidP="00F93C07">
            <w:pPr>
              <w:spacing w:after="0" w:line="240" w:lineRule="auto"/>
              <w:jc w:val="center"/>
              <w:rPr>
                <w:sz w:val="20"/>
                <w:szCs w:val="20"/>
              </w:rPr>
            </w:pPr>
            <w:r>
              <w:rPr>
                <w:sz w:val="20"/>
                <w:szCs w:val="20"/>
              </w:rPr>
              <w:t>12 198,83</w:t>
            </w:r>
          </w:p>
        </w:tc>
        <w:tc>
          <w:tcPr>
            <w:tcW w:w="1134" w:type="dxa"/>
            <w:tcBorders>
              <w:top w:val="nil"/>
              <w:left w:val="nil"/>
              <w:bottom w:val="single" w:sz="4" w:space="0" w:color="auto"/>
              <w:right w:val="single" w:sz="4" w:space="0" w:color="auto"/>
            </w:tcBorders>
            <w:noWrap/>
            <w:vAlign w:val="center"/>
            <w:hideMark/>
          </w:tcPr>
          <w:p w:rsidR="000E6A73" w:rsidRDefault="000E6A73" w:rsidP="00F93C07">
            <w:pPr>
              <w:spacing w:after="0" w:line="240" w:lineRule="auto"/>
              <w:jc w:val="center"/>
              <w:rPr>
                <w:sz w:val="20"/>
                <w:szCs w:val="20"/>
              </w:rPr>
            </w:pPr>
            <w:r>
              <w:rPr>
                <w:sz w:val="20"/>
                <w:szCs w:val="20"/>
              </w:rPr>
              <w:t>13 084,96</w:t>
            </w:r>
          </w:p>
        </w:tc>
        <w:tc>
          <w:tcPr>
            <w:tcW w:w="1134" w:type="dxa"/>
            <w:tcBorders>
              <w:top w:val="nil"/>
              <w:left w:val="nil"/>
              <w:bottom w:val="single" w:sz="4" w:space="0" w:color="auto"/>
              <w:right w:val="single" w:sz="4" w:space="0" w:color="auto"/>
            </w:tcBorders>
            <w:vAlign w:val="center"/>
            <w:hideMark/>
          </w:tcPr>
          <w:p w:rsidR="000E6A73" w:rsidRDefault="000E6A73" w:rsidP="00F93C07">
            <w:pPr>
              <w:spacing w:after="0" w:line="240" w:lineRule="auto"/>
              <w:jc w:val="center"/>
              <w:rPr>
                <w:sz w:val="20"/>
                <w:szCs w:val="20"/>
              </w:rPr>
            </w:pPr>
            <w:r>
              <w:rPr>
                <w:sz w:val="20"/>
                <w:szCs w:val="20"/>
              </w:rPr>
              <w:t>12 218,85</w:t>
            </w:r>
          </w:p>
        </w:tc>
      </w:tr>
      <w:tr w:rsidR="000E6A73" w:rsidTr="00301AE6">
        <w:trPr>
          <w:trHeight w:val="300"/>
        </w:trPr>
        <w:tc>
          <w:tcPr>
            <w:tcW w:w="655" w:type="dxa"/>
            <w:tcBorders>
              <w:top w:val="nil"/>
              <w:left w:val="single" w:sz="4" w:space="0" w:color="auto"/>
              <w:bottom w:val="single" w:sz="4" w:space="0" w:color="auto"/>
              <w:right w:val="single" w:sz="4" w:space="0" w:color="auto"/>
            </w:tcBorders>
            <w:noWrap/>
            <w:vAlign w:val="center"/>
            <w:hideMark/>
          </w:tcPr>
          <w:p w:rsidR="000E6A73" w:rsidRDefault="000E6A73" w:rsidP="00F93C07">
            <w:pPr>
              <w:spacing w:after="0" w:line="240" w:lineRule="auto"/>
              <w:jc w:val="center"/>
              <w:rPr>
                <w:sz w:val="20"/>
                <w:szCs w:val="20"/>
              </w:rPr>
            </w:pPr>
            <w:r>
              <w:rPr>
                <w:sz w:val="20"/>
                <w:szCs w:val="20"/>
              </w:rPr>
              <w:t>1.1.1</w:t>
            </w:r>
          </w:p>
        </w:tc>
        <w:tc>
          <w:tcPr>
            <w:tcW w:w="2181" w:type="dxa"/>
            <w:tcBorders>
              <w:top w:val="nil"/>
              <w:left w:val="nil"/>
              <w:bottom w:val="single" w:sz="4" w:space="0" w:color="auto"/>
              <w:right w:val="single" w:sz="4" w:space="0" w:color="auto"/>
            </w:tcBorders>
            <w:noWrap/>
            <w:vAlign w:val="center"/>
            <w:hideMark/>
          </w:tcPr>
          <w:p w:rsidR="000E6A73" w:rsidRDefault="000E6A73" w:rsidP="00F93C07">
            <w:pPr>
              <w:spacing w:after="0" w:line="240" w:lineRule="auto"/>
              <w:rPr>
                <w:sz w:val="20"/>
                <w:szCs w:val="20"/>
              </w:rPr>
            </w:pPr>
            <w:r>
              <w:rPr>
                <w:sz w:val="20"/>
                <w:szCs w:val="20"/>
              </w:rPr>
              <w:t>из поверхностных источников</w:t>
            </w:r>
          </w:p>
        </w:tc>
        <w:tc>
          <w:tcPr>
            <w:tcW w:w="850" w:type="dxa"/>
            <w:tcBorders>
              <w:top w:val="nil"/>
              <w:left w:val="nil"/>
              <w:bottom w:val="single" w:sz="4" w:space="0" w:color="auto"/>
              <w:right w:val="single" w:sz="4" w:space="0" w:color="auto"/>
            </w:tcBorders>
            <w:noWrap/>
            <w:vAlign w:val="center"/>
            <w:hideMark/>
          </w:tcPr>
          <w:p w:rsidR="000E6A73" w:rsidRDefault="000E6A73" w:rsidP="00F93C07">
            <w:pPr>
              <w:spacing w:after="0" w:line="240" w:lineRule="auto"/>
              <w:jc w:val="center"/>
              <w:rPr>
                <w:sz w:val="20"/>
                <w:szCs w:val="20"/>
              </w:rPr>
            </w:pPr>
            <w:r>
              <w:rPr>
                <w:sz w:val="20"/>
                <w:szCs w:val="20"/>
              </w:rPr>
              <w:t xml:space="preserve">тыс. </w:t>
            </w:r>
            <w:r>
              <w:rPr>
                <w:rFonts w:eastAsia="Calibri"/>
                <w:sz w:val="20"/>
                <w:szCs w:val="20"/>
                <w:lang w:eastAsia="en-US"/>
              </w:rPr>
              <w:t>м</w:t>
            </w:r>
            <w:r>
              <w:rPr>
                <w:rFonts w:eastAsia="Calibri"/>
                <w:sz w:val="20"/>
                <w:szCs w:val="20"/>
                <w:vertAlign w:val="superscript"/>
                <w:lang w:eastAsia="en-US"/>
              </w:rPr>
              <w:t>3</w:t>
            </w:r>
          </w:p>
        </w:tc>
        <w:tc>
          <w:tcPr>
            <w:tcW w:w="1134" w:type="dxa"/>
            <w:tcBorders>
              <w:top w:val="nil"/>
              <w:left w:val="nil"/>
              <w:bottom w:val="single" w:sz="4" w:space="0" w:color="auto"/>
              <w:right w:val="single" w:sz="4" w:space="0" w:color="auto"/>
            </w:tcBorders>
            <w:noWrap/>
            <w:vAlign w:val="center"/>
            <w:hideMark/>
          </w:tcPr>
          <w:p w:rsidR="000E6A73" w:rsidRDefault="000E6A73" w:rsidP="00F93C07">
            <w:pPr>
              <w:spacing w:after="0" w:line="240" w:lineRule="auto"/>
              <w:jc w:val="center"/>
              <w:rPr>
                <w:sz w:val="20"/>
                <w:szCs w:val="20"/>
              </w:rPr>
            </w:pPr>
            <w:r>
              <w:rPr>
                <w:sz w:val="20"/>
                <w:szCs w:val="20"/>
              </w:rPr>
              <w:t>12 581,19</w:t>
            </w:r>
          </w:p>
        </w:tc>
        <w:tc>
          <w:tcPr>
            <w:tcW w:w="1134" w:type="dxa"/>
            <w:tcBorders>
              <w:top w:val="nil"/>
              <w:left w:val="nil"/>
              <w:bottom w:val="single" w:sz="4" w:space="0" w:color="auto"/>
              <w:right w:val="single" w:sz="4" w:space="0" w:color="auto"/>
            </w:tcBorders>
            <w:noWrap/>
            <w:vAlign w:val="center"/>
            <w:hideMark/>
          </w:tcPr>
          <w:p w:rsidR="000E6A73" w:rsidRDefault="000E6A73" w:rsidP="00F93C07">
            <w:pPr>
              <w:spacing w:after="0" w:line="240" w:lineRule="auto"/>
              <w:jc w:val="center"/>
              <w:rPr>
                <w:sz w:val="20"/>
                <w:szCs w:val="20"/>
              </w:rPr>
            </w:pPr>
            <w:r>
              <w:rPr>
                <w:sz w:val="20"/>
                <w:szCs w:val="20"/>
              </w:rPr>
              <w:t>12 326,11</w:t>
            </w:r>
          </w:p>
        </w:tc>
        <w:tc>
          <w:tcPr>
            <w:tcW w:w="1134" w:type="dxa"/>
            <w:tcBorders>
              <w:top w:val="nil"/>
              <w:left w:val="nil"/>
              <w:bottom w:val="single" w:sz="4" w:space="0" w:color="auto"/>
              <w:right w:val="single" w:sz="4" w:space="0" w:color="auto"/>
            </w:tcBorders>
            <w:noWrap/>
            <w:vAlign w:val="center"/>
            <w:hideMark/>
          </w:tcPr>
          <w:p w:rsidR="000E6A73" w:rsidRDefault="000E6A73" w:rsidP="00F93C07">
            <w:pPr>
              <w:spacing w:after="0" w:line="240" w:lineRule="auto"/>
              <w:jc w:val="center"/>
              <w:rPr>
                <w:sz w:val="20"/>
                <w:szCs w:val="20"/>
              </w:rPr>
            </w:pPr>
            <w:r>
              <w:rPr>
                <w:sz w:val="20"/>
                <w:szCs w:val="20"/>
              </w:rPr>
              <w:t>12 265,60</w:t>
            </w:r>
          </w:p>
        </w:tc>
        <w:tc>
          <w:tcPr>
            <w:tcW w:w="1134" w:type="dxa"/>
            <w:tcBorders>
              <w:top w:val="single" w:sz="4" w:space="0" w:color="auto"/>
              <w:left w:val="nil"/>
              <w:bottom w:val="single" w:sz="4" w:space="0" w:color="auto"/>
              <w:right w:val="single" w:sz="4" w:space="0" w:color="auto"/>
            </w:tcBorders>
            <w:vAlign w:val="center"/>
            <w:hideMark/>
          </w:tcPr>
          <w:p w:rsidR="000E6A73" w:rsidRDefault="000E6A73" w:rsidP="00F93C07">
            <w:pPr>
              <w:spacing w:after="0" w:line="240" w:lineRule="auto"/>
              <w:jc w:val="center"/>
              <w:rPr>
                <w:sz w:val="20"/>
                <w:szCs w:val="20"/>
              </w:rPr>
            </w:pPr>
            <w:r>
              <w:rPr>
                <w:sz w:val="20"/>
                <w:szCs w:val="20"/>
              </w:rPr>
              <w:t>12 198,83</w:t>
            </w:r>
          </w:p>
        </w:tc>
        <w:tc>
          <w:tcPr>
            <w:tcW w:w="1134" w:type="dxa"/>
            <w:tcBorders>
              <w:top w:val="nil"/>
              <w:left w:val="nil"/>
              <w:bottom w:val="single" w:sz="4" w:space="0" w:color="auto"/>
              <w:right w:val="single" w:sz="4" w:space="0" w:color="auto"/>
            </w:tcBorders>
            <w:noWrap/>
            <w:vAlign w:val="center"/>
            <w:hideMark/>
          </w:tcPr>
          <w:p w:rsidR="000E6A73" w:rsidRDefault="000E6A73" w:rsidP="00F93C07">
            <w:pPr>
              <w:spacing w:after="0" w:line="240" w:lineRule="auto"/>
              <w:jc w:val="center"/>
              <w:rPr>
                <w:sz w:val="20"/>
                <w:szCs w:val="20"/>
              </w:rPr>
            </w:pPr>
            <w:r>
              <w:rPr>
                <w:sz w:val="20"/>
                <w:szCs w:val="20"/>
              </w:rPr>
              <w:t>13 084,96</w:t>
            </w:r>
          </w:p>
        </w:tc>
        <w:tc>
          <w:tcPr>
            <w:tcW w:w="1134" w:type="dxa"/>
            <w:tcBorders>
              <w:top w:val="nil"/>
              <w:left w:val="nil"/>
              <w:bottom w:val="single" w:sz="4" w:space="0" w:color="auto"/>
              <w:right w:val="single" w:sz="4" w:space="0" w:color="auto"/>
            </w:tcBorders>
            <w:vAlign w:val="center"/>
            <w:hideMark/>
          </w:tcPr>
          <w:p w:rsidR="000E6A73" w:rsidRDefault="000E6A73" w:rsidP="00F93C07">
            <w:pPr>
              <w:spacing w:after="0" w:line="240" w:lineRule="auto"/>
              <w:jc w:val="center"/>
              <w:rPr>
                <w:sz w:val="20"/>
                <w:szCs w:val="20"/>
              </w:rPr>
            </w:pPr>
            <w:r>
              <w:rPr>
                <w:sz w:val="20"/>
                <w:szCs w:val="20"/>
              </w:rPr>
              <w:t>12 218,85</w:t>
            </w:r>
          </w:p>
        </w:tc>
      </w:tr>
      <w:tr w:rsidR="000E6A73" w:rsidTr="00301AE6">
        <w:trPr>
          <w:trHeight w:val="300"/>
        </w:trPr>
        <w:tc>
          <w:tcPr>
            <w:tcW w:w="655" w:type="dxa"/>
            <w:tcBorders>
              <w:top w:val="nil"/>
              <w:left w:val="single" w:sz="4" w:space="0" w:color="auto"/>
              <w:bottom w:val="single" w:sz="4" w:space="0" w:color="auto"/>
              <w:right w:val="single" w:sz="4" w:space="0" w:color="auto"/>
            </w:tcBorders>
            <w:noWrap/>
            <w:vAlign w:val="center"/>
            <w:hideMark/>
          </w:tcPr>
          <w:p w:rsidR="000E6A73" w:rsidRDefault="000E6A73" w:rsidP="00F93C07">
            <w:pPr>
              <w:spacing w:after="0" w:line="240" w:lineRule="auto"/>
              <w:jc w:val="center"/>
              <w:rPr>
                <w:sz w:val="20"/>
                <w:szCs w:val="20"/>
              </w:rPr>
            </w:pPr>
            <w:r>
              <w:rPr>
                <w:sz w:val="20"/>
                <w:szCs w:val="20"/>
              </w:rPr>
              <w:t>1.1.2</w:t>
            </w:r>
          </w:p>
        </w:tc>
        <w:tc>
          <w:tcPr>
            <w:tcW w:w="2181" w:type="dxa"/>
            <w:tcBorders>
              <w:top w:val="nil"/>
              <w:left w:val="nil"/>
              <w:bottom w:val="single" w:sz="4" w:space="0" w:color="auto"/>
              <w:right w:val="single" w:sz="4" w:space="0" w:color="auto"/>
            </w:tcBorders>
            <w:noWrap/>
            <w:vAlign w:val="center"/>
            <w:hideMark/>
          </w:tcPr>
          <w:p w:rsidR="000E6A73" w:rsidRDefault="000E6A73" w:rsidP="00F93C07">
            <w:pPr>
              <w:spacing w:after="0" w:line="240" w:lineRule="auto"/>
              <w:rPr>
                <w:sz w:val="20"/>
                <w:szCs w:val="20"/>
              </w:rPr>
            </w:pPr>
            <w:r>
              <w:rPr>
                <w:sz w:val="20"/>
                <w:szCs w:val="20"/>
              </w:rPr>
              <w:t>из подземных источников</w:t>
            </w:r>
          </w:p>
        </w:tc>
        <w:tc>
          <w:tcPr>
            <w:tcW w:w="850" w:type="dxa"/>
            <w:tcBorders>
              <w:top w:val="nil"/>
              <w:left w:val="nil"/>
              <w:bottom w:val="single" w:sz="4" w:space="0" w:color="auto"/>
              <w:right w:val="single" w:sz="4" w:space="0" w:color="auto"/>
            </w:tcBorders>
            <w:noWrap/>
            <w:vAlign w:val="center"/>
            <w:hideMark/>
          </w:tcPr>
          <w:p w:rsidR="000E6A73" w:rsidRDefault="000E6A73" w:rsidP="00F93C07">
            <w:pPr>
              <w:spacing w:after="0" w:line="240" w:lineRule="auto"/>
              <w:jc w:val="center"/>
              <w:rPr>
                <w:sz w:val="20"/>
                <w:szCs w:val="20"/>
              </w:rPr>
            </w:pPr>
            <w:r>
              <w:rPr>
                <w:sz w:val="20"/>
                <w:szCs w:val="20"/>
              </w:rPr>
              <w:t xml:space="preserve">тыс. </w:t>
            </w:r>
            <w:r>
              <w:rPr>
                <w:rFonts w:eastAsia="Calibri"/>
                <w:sz w:val="20"/>
                <w:szCs w:val="20"/>
                <w:lang w:eastAsia="en-US"/>
              </w:rPr>
              <w:t>м</w:t>
            </w:r>
            <w:r>
              <w:rPr>
                <w:rFonts w:eastAsia="Calibri"/>
                <w:sz w:val="20"/>
                <w:szCs w:val="20"/>
                <w:vertAlign w:val="superscript"/>
                <w:lang w:eastAsia="en-US"/>
              </w:rPr>
              <w:t>3</w:t>
            </w:r>
          </w:p>
        </w:tc>
        <w:tc>
          <w:tcPr>
            <w:tcW w:w="1134" w:type="dxa"/>
            <w:tcBorders>
              <w:top w:val="nil"/>
              <w:left w:val="nil"/>
              <w:bottom w:val="single" w:sz="4" w:space="0" w:color="auto"/>
              <w:right w:val="single" w:sz="4" w:space="0" w:color="auto"/>
            </w:tcBorders>
            <w:noWrap/>
            <w:vAlign w:val="center"/>
            <w:hideMark/>
          </w:tcPr>
          <w:p w:rsidR="000E6A73" w:rsidRDefault="000E6A73" w:rsidP="00F93C07">
            <w:pPr>
              <w:spacing w:after="0" w:line="240" w:lineRule="auto"/>
              <w:jc w:val="center"/>
              <w:rPr>
                <w:sz w:val="20"/>
                <w:szCs w:val="20"/>
              </w:rPr>
            </w:pPr>
            <w:r>
              <w:rPr>
                <w:sz w:val="20"/>
                <w:szCs w:val="20"/>
              </w:rPr>
              <w:t>20,30</w:t>
            </w:r>
          </w:p>
        </w:tc>
        <w:tc>
          <w:tcPr>
            <w:tcW w:w="1134" w:type="dxa"/>
            <w:tcBorders>
              <w:top w:val="nil"/>
              <w:left w:val="nil"/>
              <w:bottom w:val="single" w:sz="4" w:space="0" w:color="auto"/>
              <w:right w:val="single" w:sz="4" w:space="0" w:color="auto"/>
            </w:tcBorders>
            <w:noWrap/>
            <w:vAlign w:val="center"/>
            <w:hideMark/>
          </w:tcPr>
          <w:p w:rsidR="000E6A73" w:rsidRDefault="000E6A73" w:rsidP="00F93C07">
            <w:pPr>
              <w:spacing w:after="0" w:line="240" w:lineRule="auto"/>
              <w:jc w:val="center"/>
              <w:rPr>
                <w:sz w:val="20"/>
                <w:szCs w:val="20"/>
              </w:rPr>
            </w:pPr>
            <w:r>
              <w:rPr>
                <w:sz w:val="20"/>
                <w:szCs w:val="20"/>
              </w:rPr>
              <w:t>10,60</w:t>
            </w:r>
          </w:p>
        </w:tc>
        <w:tc>
          <w:tcPr>
            <w:tcW w:w="1134" w:type="dxa"/>
            <w:tcBorders>
              <w:top w:val="nil"/>
              <w:left w:val="nil"/>
              <w:bottom w:val="single" w:sz="4" w:space="0" w:color="auto"/>
              <w:right w:val="single" w:sz="4" w:space="0" w:color="auto"/>
            </w:tcBorders>
            <w:noWrap/>
            <w:vAlign w:val="center"/>
            <w:hideMark/>
          </w:tcPr>
          <w:p w:rsidR="000E6A73" w:rsidRDefault="000E6A73" w:rsidP="00F93C07">
            <w:pPr>
              <w:spacing w:after="0" w:line="240" w:lineRule="auto"/>
              <w:rPr>
                <w:sz w:val="20"/>
                <w:szCs w:val="20"/>
              </w:rPr>
            </w:pPr>
          </w:p>
        </w:tc>
        <w:tc>
          <w:tcPr>
            <w:tcW w:w="1134" w:type="dxa"/>
            <w:tcBorders>
              <w:top w:val="single" w:sz="4" w:space="0" w:color="auto"/>
              <w:left w:val="nil"/>
              <w:bottom w:val="single" w:sz="4" w:space="0" w:color="auto"/>
              <w:right w:val="single" w:sz="4" w:space="0" w:color="auto"/>
            </w:tcBorders>
            <w:vAlign w:val="center"/>
          </w:tcPr>
          <w:p w:rsidR="000E6A73" w:rsidRDefault="000E6A73" w:rsidP="00F93C07">
            <w:pPr>
              <w:spacing w:after="0" w:line="240" w:lineRule="auto"/>
              <w:jc w:val="center"/>
              <w:rPr>
                <w:sz w:val="20"/>
                <w:szCs w:val="20"/>
              </w:rPr>
            </w:pPr>
          </w:p>
        </w:tc>
        <w:tc>
          <w:tcPr>
            <w:tcW w:w="1134" w:type="dxa"/>
            <w:tcBorders>
              <w:top w:val="nil"/>
              <w:left w:val="nil"/>
              <w:bottom w:val="single" w:sz="4" w:space="0" w:color="auto"/>
              <w:right w:val="single" w:sz="4" w:space="0" w:color="auto"/>
            </w:tcBorders>
            <w:noWrap/>
            <w:vAlign w:val="center"/>
            <w:hideMark/>
          </w:tcPr>
          <w:p w:rsidR="000E6A73" w:rsidRDefault="000E6A73" w:rsidP="00F93C07">
            <w:pPr>
              <w:spacing w:after="0" w:line="240" w:lineRule="auto"/>
              <w:rPr>
                <w:sz w:val="20"/>
                <w:szCs w:val="20"/>
              </w:rPr>
            </w:pPr>
          </w:p>
        </w:tc>
        <w:tc>
          <w:tcPr>
            <w:tcW w:w="1134" w:type="dxa"/>
            <w:tcBorders>
              <w:top w:val="nil"/>
              <w:left w:val="nil"/>
              <w:bottom w:val="single" w:sz="4" w:space="0" w:color="auto"/>
              <w:right w:val="single" w:sz="4" w:space="0" w:color="auto"/>
            </w:tcBorders>
            <w:vAlign w:val="center"/>
          </w:tcPr>
          <w:p w:rsidR="000E6A73" w:rsidRDefault="000E6A73" w:rsidP="00F93C07">
            <w:pPr>
              <w:spacing w:after="0" w:line="240" w:lineRule="auto"/>
              <w:jc w:val="center"/>
              <w:rPr>
                <w:sz w:val="20"/>
                <w:szCs w:val="20"/>
              </w:rPr>
            </w:pPr>
          </w:p>
        </w:tc>
      </w:tr>
      <w:tr w:rsidR="000E6A73" w:rsidTr="00301AE6">
        <w:trPr>
          <w:trHeight w:val="300"/>
        </w:trPr>
        <w:tc>
          <w:tcPr>
            <w:tcW w:w="655" w:type="dxa"/>
            <w:tcBorders>
              <w:top w:val="nil"/>
              <w:left w:val="single" w:sz="4" w:space="0" w:color="auto"/>
              <w:bottom w:val="single" w:sz="4" w:space="0" w:color="auto"/>
              <w:right w:val="single" w:sz="4" w:space="0" w:color="auto"/>
            </w:tcBorders>
            <w:noWrap/>
            <w:vAlign w:val="center"/>
            <w:hideMark/>
          </w:tcPr>
          <w:p w:rsidR="000E6A73" w:rsidRDefault="000E6A73" w:rsidP="00F93C07">
            <w:pPr>
              <w:spacing w:after="0" w:line="240" w:lineRule="auto"/>
              <w:jc w:val="center"/>
              <w:rPr>
                <w:sz w:val="20"/>
                <w:szCs w:val="20"/>
              </w:rPr>
            </w:pPr>
            <w:r>
              <w:rPr>
                <w:sz w:val="20"/>
                <w:szCs w:val="20"/>
              </w:rPr>
              <w:t>1.2</w:t>
            </w:r>
          </w:p>
        </w:tc>
        <w:tc>
          <w:tcPr>
            <w:tcW w:w="2181" w:type="dxa"/>
            <w:tcBorders>
              <w:top w:val="nil"/>
              <w:left w:val="nil"/>
              <w:bottom w:val="single" w:sz="4" w:space="0" w:color="auto"/>
              <w:right w:val="single" w:sz="4" w:space="0" w:color="auto"/>
            </w:tcBorders>
            <w:noWrap/>
            <w:vAlign w:val="center"/>
            <w:hideMark/>
          </w:tcPr>
          <w:p w:rsidR="000E6A73" w:rsidRDefault="000E6A73" w:rsidP="00F93C07">
            <w:pPr>
              <w:spacing w:after="0" w:line="240" w:lineRule="auto"/>
              <w:rPr>
                <w:sz w:val="20"/>
                <w:szCs w:val="20"/>
              </w:rPr>
            </w:pPr>
            <w:r>
              <w:rPr>
                <w:sz w:val="20"/>
                <w:szCs w:val="20"/>
              </w:rPr>
              <w:t>Объем воды, прошедшей водоподготовку</w:t>
            </w:r>
          </w:p>
        </w:tc>
        <w:tc>
          <w:tcPr>
            <w:tcW w:w="850" w:type="dxa"/>
            <w:tcBorders>
              <w:top w:val="nil"/>
              <w:left w:val="nil"/>
              <w:bottom w:val="single" w:sz="4" w:space="0" w:color="auto"/>
              <w:right w:val="single" w:sz="4" w:space="0" w:color="auto"/>
            </w:tcBorders>
            <w:noWrap/>
            <w:vAlign w:val="center"/>
            <w:hideMark/>
          </w:tcPr>
          <w:p w:rsidR="000E6A73" w:rsidRDefault="000E6A73" w:rsidP="00F93C07">
            <w:pPr>
              <w:spacing w:after="0" w:line="240" w:lineRule="auto"/>
              <w:jc w:val="center"/>
              <w:rPr>
                <w:sz w:val="20"/>
                <w:szCs w:val="20"/>
              </w:rPr>
            </w:pPr>
            <w:r>
              <w:rPr>
                <w:sz w:val="20"/>
                <w:szCs w:val="20"/>
              </w:rPr>
              <w:t xml:space="preserve">тыс. </w:t>
            </w:r>
            <w:r>
              <w:rPr>
                <w:rFonts w:eastAsia="Calibri"/>
                <w:sz w:val="20"/>
                <w:szCs w:val="20"/>
                <w:lang w:eastAsia="en-US"/>
              </w:rPr>
              <w:t>м</w:t>
            </w:r>
            <w:r>
              <w:rPr>
                <w:rFonts w:eastAsia="Calibri"/>
                <w:sz w:val="20"/>
                <w:szCs w:val="20"/>
                <w:vertAlign w:val="superscript"/>
                <w:lang w:eastAsia="en-US"/>
              </w:rPr>
              <w:t>3</w:t>
            </w:r>
          </w:p>
        </w:tc>
        <w:tc>
          <w:tcPr>
            <w:tcW w:w="1134" w:type="dxa"/>
            <w:tcBorders>
              <w:top w:val="nil"/>
              <w:left w:val="nil"/>
              <w:bottom w:val="single" w:sz="4" w:space="0" w:color="auto"/>
              <w:right w:val="single" w:sz="4" w:space="0" w:color="auto"/>
            </w:tcBorders>
            <w:noWrap/>
            <w:vAlign w:val="center"/>
            <w:hideMark/>
          </w:tcPr>
          <w:p w:rsidR="000E6A73" w:rsidRDefault="000E6A73" w:rsidP="00F93C07">
            <w:pPr>
              <w:spacing w:after="0" w:line="240" w:lineRule="auto"/>
              <w:jc w:val="right"/>
              <w:rPr>
                <w:sz w:val="20"/>
                <w:szCs w:val="20"/>
              </w:rPr>
            </w:pPr>
            <w:r>
              <w:rPr>
                <w:sz w:val="20"/>
                <w:szCs w:val="20"/>
              </w:rPr>
              <w:t>12 601,49</w:t>
            </w:r>
          </w:p>
        </w:tc>
        <w:tc>
          <w:tcPr>
            <w:tcW w:w="1134" w:type="dxa"/>
            <w:tcBorders>
              <w:top w:val="nil"/>
              <w:left w:val="nil"/>
              <w:bottom w:val="single" w:sz="4" w:space="0" w:color="auto"/>
              <w:right w:val="single" w:sz="4" w:space="0" w:color="auto"/>
            </w:tcBorders>
            <w:noWrap/>
            <w:vAlign w:val="center"/>
            <w:hideMark/>
          </w:tcPr>
          <w:p w:rsidR="000E6A73" w:rsidRDefault="000E6A73" w:rsidP="00F93C07">
            <w:pPr>
              <w:spacing w:after="0" w:line="240" w:lineRule="auto"/>
              <w:jc w:val="right"/>
              <w:rPr>
                <w:sz w:val="20"/>
                <w:szCs w:val="20"/>
              </w:rPr>
            </w:pPr>
            <w:r>
              <w:rPr>
                <w:sz w:val="20"/>
                <w:szCs w:val="20"/>
              </w:rPr>
              <w:t>12 336,71</w:t>
            </w:r>
          </w:p>
        </w:tc>
        <w:tc>
          <w:tcPr>
            <w:tcW w:w="1134" w:type="dxa"/>
            <w:tcBorders>
              <w:top w:val="nil"/>
              <w:left w:val="nil"/>
              <w:bottom w:val="single" w:sz="4" w:space="0" w:color="auto"/>
              <w:right w:val="single" w:sz="4" w:space="0" w:color="auto"/>
            </w:tcBorders>
            <w:noWrap/>
            <w:vAlign w:val="center"/>
            <w:hideMark/>
          </w:tcPr>
          <w:p w:rsidR="000E6A73" w:rsidRDefault="000E6A73" w:rsidP="00F93C07">
            <w:pPr>
              <w:spacing w:after="0" w:line="240" w:lineRule="auto"/>
              <w:jc w:val="right"/>
              <w:rPr>
                <w:sz w:val="20"/>
                <w:szCs w:val="20"/>
              </w:rPr>
            </w:pPr>
            <w:r>
              <w:rPr>
                <w:sz w:val="20"/>
                <w:szCs w:val="20"/>
              </w:rPr>
              <w:t>12 265,60</w:t>
            </w:r>
          </w:p>
        </w:tc>
        <w:tc>
          <w:tcPr>
            <w:tcW w:w="1134" w:type="dxa"/>
            <w:tcBorders>
              <w:top w:val="single" w:sz="4" w:space="0" w:color="auto"/>
              <w:left w:val="nil"/>
              <w:bottom w:val="single" w:sz="4" w:space="0" w:color="auto"/>
              <w:right w:val="single" w:sz="4" w:space="0" w:color="auto"/>
            </w:tcBorders>
            <w:vAlign w:val="center"/>
            <w:hideMark/>
          </w:tcPr>
          <w:p w:rsidR="000E6A73" w:rsidRDefault="000E6A73" w:rsidP="00F93C07">
            <w:pPr>
              <w:spacing w:after="0" w:line="240" w:lineRule="auto"/>
              <w:jc w:val="center"/>
              <w:rPr>
                <w:sz w:val="20"/>
                <w:szCs w:val="20"/>
              </w:rPr>
            </w:pPr>
            <w:r>
              <w:rPr>
                <w:sz w:val="20"/>
                <w:szCs w:val="20"/>
              </w:rPr>
              <w:t>12 198,83</w:t>
            </w:r>
          </w:p>
        </w:tc>
        <w:tc>
          <w:tcPr>
            <w:tcW w:w="1134" w:type="dxa"/>
            <w:tcBorders>
              <w:top w:val="nil"/>
              <w:left w:val="nil"/>
              <w:bottom w:val="single" w:sz="4" w:space="0" w:color="auto"/>
              <w:right w:val="single" w:sz="4" w:space="0" w:color="auto"/>
            </w:tcBorders>
            <w:noWrap/>
            <w:vAlign w:val="center"/>
            <w:hideMark/>
          </w:tcPr>
          <w:p w:rsidR="000E6A73" w:rsidRDefault="000E6A73" w:rsidP="00F93C07">
            <w:pPr>
              <w:spacing w:after="0" w:line="240" w:lineRule="auto"/>
              <w:jc w:val="right"/>
              <w:rPr>
                <w:sz w:val="20"/>
                <w:szCs w:val="20"/>
              </w:rPr>
            </w:pPr>
            <w:r>
              <w:rPr>
                <w:sz w:val="20"/>
                <w:szCs w:val="20"/>
              </w:rPr>
              <w:t>13 084,96</w:t>
            </w:r>
          </w:p>
        </w:tc>
        <w:tc>
          <w:tcPr>
            <w:tcW w:w="1134" w:type="dxa"/>
            <w:tcBorders>
              <w:top w:val="nil"/>
              <w:left w:val="nil"/>
              <w:bottom w:val="single" w:sz="4" w:space="0" w:color="auto"/>
              <w:right w:val="single" w:sz="4" w:space="0" w:color="auto"/>
            </w:tcBorders>
            <w:vAlign w:val="center"/>
            <w:hideMark/>
          </w:tcPr>
          <w:p w:rsidR="000E6A73" w:rsidRDefault="000E6A73" w:rsidP="00F93C07">
            <w:pPr>
              <w:spacing w:after="0" w:line="240" w:lineRule="auto"/>
              <w:jc w:val="center"/>
              <w:rPr>
                <w:sz w:val="20"/>
                <w:szCs w:val="20"/>
              </w:rPr>
            </w:pPr>
            <w:r>
              <w:rPr>
                <w:sz w:val="20"/>
                <w:szCs w:val="20"/>
              </w:rPr>
              <w:t>12 218,85</w:t>
            </w:r>
          </w:p>
        </w:tc>
      </w:tr>
      <w:tr w:rsidR="000E6A73" w:rsidTr="00301AE6">
        <w:trPr>
          <w:trHeight w:val="300"/>
        </w:trPr>
        <w:tc>
          <w:tcPr>
            <w:tcW w:w="655" w:type="dxa"/>
            <w:tcBorders>
              <w:top w:val="nil"/>
              <w:left w:val="single" w:sz="4" w:space="0" w:color="auto"/>
              <w:bottom w:val="single" w:sz="4" w:space="0" w:color="auto"/>
              <w:right w:val="single" w:sz="4" w:space="0" w:color="auto"/>
            </w:tcBorders>
            <w:noWrap/>
            <w:vAlign w:val="center"/>
            <w:hideMark/>
          </w:tcPr>
          <w:p w:rsidR="000E6A73" w:rsidRDefault="000E6A73" w:rsidP="00F93C07">
            <w:pPr>
              <w:spacing w:after="0" w:line="240" w:lineRule="auto"/>
              <w:jc w:val="center"/>
              <w:rPr>
                <w:sz w:val="20"/>
                <w:szCs w:val="20"/>
              </w:rPr>
            </w:pPr>
            <w:r>
              <w:rPr>
                <w:sz w:val="20"/>
                <w:szCs w:val="20"/>
              </w:rPr>
              <w:t> </w:t>
            </w:r>
          </w:p>
        </w:tc>
        <w:tc>
          <w:tcPr>
            <w:tcW w:w="2181" w:type="dxa"/>
            <w:tcBorders>
              <w:top w:val="nil"/>
              <w:left w:val="nil"/>
              <w:bottom w:val="single" w:sz="4" w:space="0" w:color="auto"/>
              <w:right w:val="single" w:sz="4" w:space="0" w:color="auto"/>
            </w:tcBorders>
            <w:noWrap/>
            <w:vAlign w:val="center"/>
            <w:hideMark/>
          </w:tcPr>
          <w:p w:rsidR="000E6A73" w:rsidRDefault="000E6A73" w:rsidP="00F93C07">
            <w:pPr>
              <w:spacing w:after="0" w:line="240" w:lineRule="auto"/>
              <w:rPr>
                <w:sz w:val="20"/>
                <w:szCs w:val="20"/>
              </w:rPr>
            </w:pPr>
            <w:r>
              <w:rPr>
                <w:sz w:val="20"/>
                <w:szCs w:val="20"/>
              </w:rPr>
              <w:t>Объем воды использованные на нужды ВКХ</w:t>
            </w:r>
          </w:p>
        </w:tc>
        <w:tc>
          <w:tcPr>
            <w:tcW w:w="850" w:type="dxa"/>
            <w:tcBorders>
              <w:top w:val="nil"/>
              <w:left w:val="nil"/>
              <w:bottom w:val="single" w:sz="4" w:space="0" w:color="auto"/>
              <w:right w:val="single" w:sz="4" w:space="0" w:color="auto"/>
            </w:tcBorders>
            <w:noWrap/>
            <w:vAlign w:val="center"/>
            <w:hideMark/>
          </w:tcPr>
          <w:p w:rsidR="000E6A73" w:rsidRDefault="000E6A73" w:rsidP="00F93C07">
            <w:pPr>
              <w:spacing w:after="0" w:line="240" w:lineRule="auto"/>
              <w:jc w:val="center"/>
              <w:rPr>
                <w:sz w:val="20"/>
                <w:szCs w:val="20"/>
              </w:rPr>
            </w:pPr>
            <w:r>
              <w:rPr>
                <w:sz w:val="20"/>
                <w:szCs w:val="20"/>
              </w:rPr>
              <w:t xml:space="preserve">тыс. </w:t>
            </w:r>
            <w:r>
              <w:rPr>
                <w:rFonts w:eastAsia="Calibri"/>
                <w:sz w:val="20"/>
                <w:szCs w:val="20"/>
                <w:lang w:eastAsia="en-US"/>
              </w:rPr>
              <w:t>м</w:t>
            </w:r>
            <w:r>
              <w:rPr>
                <w:rFonts w:eastAsia="Calibri"/>
                <w:sz w:val="20"/>
                <w:szCs w:val="20"/>
                <w:vertAlign w:val="superscript"/>
                <w:lang w:eastAsia="en-US"/>
              </w:rPr>
              <w:t>3</w:t>
            </w:r>
          </w:p>
        </w:tc>
        <w:tc>
          <w:tcPr>
            <w:tcW w:w="1134" w:type="dxa"/>
            <w:tcBorders>
              <w:top w:val="nil"/>
              <w:left w:val="nil"/>
              <w:bottom w:val="single" w:sz="4" w:space="0" w:color="auto"/>
              <w:right w:val="single" w:sz="4" w:space="0" w:color="auto"/>
            </w:tcBorders>
            <w:noWrap/>
            <w:vAlign w:val="center"/>
            <w:hideMark/>
          </w:tcPr>
          <w:p w:rsidR="000E6A73" w:rsidRDefault="000E6A73" w:rsidP="00F93C07">
            <w:pPr>
              <w:spacing w:after="0" w:line="240" w:lineRule="auto"/>
              <w:jc w:val="right"/>
              <w:rPr>
                <w:sz w:val="20"/>
                <w:szCs w:val="20"/>
              </w:rPr>
            </w:pPr>
            <w:r>
              <w:rPr>
                <w:sz w:val="20"/>
                <w:szCs w:val="20"/>
              </w:rPr>
              <w:t>2 035,56</w:t>
            </w:r>
          </w:p>
        </w:tc>
        <w:tc>
          <w:tcPr>
            <w:tcW w:w="1134" w:type="dxa"/>
            <w:tcBorders>
              <w:top w:val="nil"/>
              <w:left w:val="nil"/>
              <w:bottom w:val="single" w:sz="4" w:space="0" w:color="auto"/>
              <w:right w:val="single" w:sz="4" w:space="0" w:color="auto"/>
            </w:tcBorders>
            <w:noWrap/>
            <w:vAlign w:val="center"/>
            <w:hideMark/>
          </w:tcPr>
          <w:p w:rsidR="000E6A73" w:rsidRDefault="000E6A73" w:rsidP="00F93C07">
            <w:pPr>
              <w:spacing w:after="0" w:line="240" w:lineRule="auto"/>
              <w:jc w:val="right"/>
              <w:rPr>
                <w:sz w:val="20"/>
                <w:szCs w:val="20"/>
              </w:rPr>
            </w:pPr>
            <w:r>
              <w:rPr>
                <w:sz w:val="20"/>
                <w:szCs w:val="20"/>
              </w:rPr>
              <w:t>2 036,95</w:t>
            </w:r>
          </w:p>
        </w:tc>
        <w:tc>
          <w:tcPr>
            <w:tcW w:w="1134" w:type="dxa"/>
            <w:tcBorders>
              <w:top w:val="nil"/>
              <w:left w:val="nil"/>
              <w:bottom w:val="single" w:sz="4" w:space="0" w:color="auto"/>
              <w:right w:val="single" w:sz="4" w:space="0" w:color="auto"/>
            </w:tcBorders>
            <w:noWrap/>
            <w:vAlign w:val="center"/>
            <w:hideMark/>
          </w:tcPr>
          <w:p w:rsidR="000E6A73" w:rsidRDefault="000E6A73" w:rsidP="00F93C07">
            <w:pPr>
              <w:spacing w:after="0" w:line="240" w:lineRule="auto"/>
              <w:jc w:val="right"/>
              <w:rPr>
                <w:sz w:val="20"/>
                <w:szCs w:val="20"/>
              </w:rPr>
            </w:pPr>
            <w:r>
              <w:rPr>
                <w:sz w:val="20"/>
                <w:szCs w:val="20"/>
              </w:rPr>
              <w:t>2 175,34</w:t>
            </w:r>
          </w:p>
        </w:tc>
        <w:tc>
          <w:tcPr>
            <w:tcW w:w="1134" w:type="dxa"/>
            <w:tcBorders>
              <w:top w:val="single" w:sz="4" w:space="0" w:color="auto"/>
              <w:left w:val="nil"/>
              <w:bottom w:val="single" w:sz="4" w:space="0" w:color="auto"/>
              <w:right w:val="single" w:sz="4" w:space="0" w:color="auto"/>
            </w:tcBorders>
            <w:vAlign w:val="center"/>
            <w:hideMark/>
          </w:tcPr>
          <w:p w:rsidR="000E6A73" w:rsidRDefault="000E6A73" w:rsidP="00F93C07">
            <w:pPr>
              <w:spacing w:after="0" w:line="240" w:lineRule="auto"/>
              <w:jc w:val="center"/>
              <w:rPr>
                <w:sz w:val="20"/>
                <w:szCs w:val="20"/>
              </w:rPr>
            </w:pPr>
            <w:r>
              <w:rPr>
                <w:sz w:val="20"/>
                <w:szCs w:val="20"/>
              </w:rPr>
              <w:t>1 926,49</w:t>
            </w:r>
          </w:p>
        </w:tc>
        <w:tc>
          <w:tcPr>
            <w:tcW w:w="1134" w:type="dxa"/>
            <w:tcBorders>
              <w:top w:val="nil"/>
              <w:left w:val="nil"/>
              <w:bottom w:val="single" w:sz="4" w:space="0" w:color="auto"/>
              <w:right w:val="single" w:sz="4" w:space="0" w:color="auto"/>
            </w:tcBorders>
            <w:noWrap/>
            <w:vAlign w:val="center"/>
            <w:hideMark/>
          </w:tcPr>
          <w:p w:rsidR="000E6A73" w:rsidRDefault="000E6A73" w:rsidP="00F93C07">
            <w:pPr>
              <w:spacing w:after="0" w:line="240" w:lineRule="auto"/>
              <w:jc w:val="center"/>
              <w:rPr>
                <w:sz w:val="20"/>
                <w:szCs w:val="20"/>
              </w:rPr>
            </w:pPr>
            <w:r>
              <w:rPr>
                <w:sz w:val="20"/>
                <w:szCs w:val="20"/>
              </w:rPr>
              <w:t>2 293,10</w:t>
            </w:r>
          </w:p>
        </w:tc>
        <w:tc>
          <w:tcPr>
            <w:tcW w:w="1134" w:type="dxa"/>
            <w:tcBorders>
              <w:top w:val="nil"/>
              <w:left w:val="nil"/>
              <w:bottom w:val="single" w:sz="4" w:space="0" w:color="auto"/>
              <w:right w:val="single" w:sz="4" w:space="0" w:color="auto"/>
            </w:tcBorders>
            <w:vAlign w:val="center"/>
            <w:hideMark/>
          </w:tcPr>
          <w:p w:rsidR="000E6A73" w:rsidRDefault="000E6A73" w:rsidP="00F93C07">
            <w:pPr>
              <w:spacing w:after="0" w:line="240" w:lineRule="auto"/>
              <w:jc w:val="center"/>
              <w:rPr>
                <w:sz w:val="20"/>
                <w:szCs w:val="20"/>
              </w:rPr>
            </w:pPr>
            <w:r>
              <w:rPr>
                <w:sz w:val="20"/>
                <w:szCs w:val="20"/>
              </w:rPr>
              <w:t>2 140,42</w:t>
            </w:r>
          </w:p>
        </w:tc>
      </w:tr>
      <w:tr w:rsidR="000E6A73" w:rsidTr="00301AE6">
        <w:trPr>
          <w:trHeight w:val="300"/>
        </w:trPr>
        <w:tc>
          <w:tcPr>
            <w:tcW w:w="655" w:type="dxa"/>
            <w:tcBorders>
              <w:top w:val="nil"/>
              <w:left w:val="single" w:sz="4" w:space="0" w:color="auto"/>
              <w:bottom w:val="single" w:sz="4" w:space="0" w:color="auto"/>
              <w:right w:val="single" w:sz="4" w:space="0" w:color="auto"/>
            </w:tcBorders>
            <w:noWrap/>
            <w:vAlign w:val="center"/>
            <w:hideMark/>
          </w:tcPr>
          <w:p w:rsidR="000E6A73" w:rsidRDefault="000E6A73" w:rsidP="00F93C07">
            <w:pPr>
              <w:spacing w:after="0" w:line="240" w:lineRule="auto"/>
              <w:jc w:val="center"/>
              <w:rPr>
                <w:sz w:val="20"/>
                <w:szCs w:val="20"/>
              </w:rPr>
            </w:pPr>
            <w:r>
              <w:rPr>
                <w:sz w:val="20"/>
                <w:szCs w:val="20"/>
              </w:rPr>
              <w:t>1.3</w:t>
            </w:r>
          </w:p>
        </w:tc>
        <w:tc>
          <w:tcPr>
            <w:tcW w:w="2181" w:type="dxa"/>
            <w:tcBorders>
              <w:top w:val="nil"/>
              <w:left w:val="nil"/>
              <w:bottom w:val="single" w:sz="4" w:space="0" w:color="auto"/>
              <w:right w:val="single" w:sz="4" w:space="0" w:color="auto"/>
            </w:tcBorders>
            <w:noWrap/>
            <w:vAlign w:val="center"/>
            <w:hideMark/>
          </w:tcPr>
          <w:p w:rsidR="000E6A73" w:rsidRDefault="000E6A73" w:rsidP="00F93C07">
            <w:pPr>
              <w:spacing w:after="0" w:line="240" w:lineRule="auto"/>
              <w:rPr>
                <w:sz w:val="20"/>
                <w:szCs w:val="20"/>
              </w:rPr>
            </w:pPr>
            <w:r>
              <w:rPr>
                <w:sz w:val="20"/>
                <w:szCs w:val="20"/>
              </w:rPr>
              <w:t>Объем технической воды, поданной в сеть</w:t>
            </w:r>
          </w:p>
        </w:tc>
        <w:tc>
          <w:tcPr>
            <w:tcW w:w="850" w:type="dxa"/>
            <w:tcBorders>
              <w:top w:val="nil"/>
              <w:left w:val="nil"/>
              <w:bottom w:val="single" w:sz="4" w:space="0" w:color="auto"/>
              <w:right w:val="single" w:sz="4" w:space="0" w:color="auto"/>
            </w:tcBorders>
            <w:noWrap/>
            <w:vAlign w:val="center"/>
            <w:hideMark/>
          </w:tcPr>
          <w:p w:rsidR="000E6A73" w:rsidRDefault="000E6A73" w:rsidP="00F93C07">
            <w:pPr>
              <w:spacing w:after="0" w:line="240" w:lineRule="auto"/>
              <w:jc w:val="center"/>
              <w:rPr>
                <w:sz w:val="20"/>
                <w:szCs w:val="20"/>
              </w:rPr>
            </w:pPr>
            <w:r>
              <w:rPr>
                <w:sz w:val="20"/>
                <w:szCs w:val="20"/>
              </w:rPr>
              <w:t xml:space="preserve">тыс. </w:t>
            </w:r>
            <w:r>
              <w:rPr>
                <w:rFonts w:eastAsia="Calibri"/>
                <w:sz w:val="20"/>
                <w:szCs w:val="20"/>
                <w:lang w:eastAsia="en-US"/>
              </w:rPr>
              <w:t>м</w:t>
            </w:r>
            <w:r>
              <w:rPr>
                <w:rFonts w:eastAsia="Calibri"/>
                <w:sz w:val="20"/>
                <w:szCs w:val="20"/>
                <w:vertAlign w:val="superscript"/>
                <w:lang w:eastAsia="en-US"/>
              </w:rPr>
              <w:t>3</w:t>
            </w:r>
          </w:p>
        </w:tc>
        <w:tc>
          <w:tcPr>
            <w:tcW w:w="1134" w:type="dxa"/>
            <w:tcBorders>
              <w:top w:val="nil"/>
              <w:left w:val="nil"/>
              <w:bottom w:val="single" w:sz="4" w:space="0" w:color="auto"/>
              <w:right w:val="single" w:sz="4" w:space="0" w:color="auto"/>
            </w:tcBorders>
            <w:noWrap/>
            <w:vAlign w:val="center"/>
            <w:hideMark/>
          </w:tcPr>
          <w:p w:rsidR="000E6A73" w:rsidRDefault="000E6A73" w:rsidP="00F93C07">
            <w:pPr>
              <w:spacing w:after="0" w:line="240" w:lineRule="auto"/>
              <w:jc w:val="right"/>
              <w:rPr>
                <w:sz w:val="20"/>
                <w:szCs w:val="20"/>
              </w:rPr>
            </w:pPr>
            <w:r>
              <w:rPr>
                <w:sz w:val="20"/>
                <w:szCs w:val="20"/>
              </w:rPr>
              <w:t> </w:t>
            </w:r>
          </w:p>
        </w:tc>
        <w:tc>
          <w:tcPr>
            <w:tcW w:w="1134" w:type="dxa"/>
            <w:tcBorders>
              <w:top w:val="nil"/>
              <w:left w:val="nil"/>
              <w:bottom w:val="single" w:sz="4" w:space="0" w:color="auto"/>
              <w:right w:val="single" w:sz="4" w:space="0" w:color="auto"/>
            </w:tcBorders>
            <w:noWrap/>
            <w:vAlign w:val="center"/>
            <w:hideMark/>
          </w:tcPr>
          <w:p w:rsidR="000E6A73" w:rsidRDefault="000E6A73" w:rsidP="00F93C07">
            <w:pPr>
              <w:spacing w:after="0" w:line="240" w:lineRule="auto"/>
              <w:jc w:val="right"/>
              <w:rPr>
                <w:sz w:val="20"/>
                <w:szCs w:val="20"/>
              </w:rPr>
            </w:pPr>
            <w:r>
              <w:rPr>
                <w:sz w:val="20"/>
                <w:szCs w:val="20"/>
              </w:rPr>
              <w:t> </w:t>
            </w:r>
          </w:p>
        </w:tc>
        <w:tc>
          <w:tcPr>
            <w:tcW w:w="1134" w:type="dxa"/>
            <w:tcBorders>
              <w:top w:val="nil"/>
              <w:left w:val="nil"/>
              <w:bottom w:val="single" w:sz="4" w:space="0" w:color="auto"/>
              <w:right w:val="single" w:sz="4" w:space="0" w:color="auto"/>
            </w:tcBorders>
            <w:noWrap/>
            <w:vAlign w:val="center"/>
            <w:hideMark/>
          </w:tcPr>
          <w:p w:rsidR="000E6A73" w:rsidRDefault="000E6A73" w:rsidP="00F93C07">
            <w:pPr>
              <w:spacing w:after="0" w:line="240" w:lineRule="auto"/>
              <w:jc w:val="right"/>
              <w:rPr>
                <w:sz w:val="20"/>
                <w:szCs w:val="20"/>
              </w:rPr>
            </w:pPr>
            <w:r>
              <w:rPr>
                <w:sz w:val="20"/>
                <w:szCs w:val="20"/>
              </w:rPr>
              <w:t> </w:t>
            </w:r>
          </w:p>
        </w:tc>
        <w:tc>
          <w:tcPr>
            <w:tcW w:w="1134" w:type="dxa"/>
            <w:tcBorders>
              <w:top w:val="single" w:sz="4" w:space="0" w:color="auto"/>
              <w:left w:val="nil"/>
              <w:bottom w:val="single" w:sz="4" w:space="0" w:color="auto"/>
              <w:right w:val="single" w:sz="4" w:space="0" w:color="auto"/>
            </w:tcBorders>
          </w:tcPr>
          <w:p w:rsidR="000E6A73" w:rsidRDefault="000E6A73" w:rsidP="00F93C07">
            <w:pPr>
              <w:spacing w:after="0" w:line="240" w:lineRule="auto"/>
              <w:jc w:val="right"/>
              <w:rPr>
                <w:sz w:val="20"/>
                <w:szCs w:val="20"/>
              </w:rPr>
            </w:pPr>
          </w:p>
        </w:tc>
        <w:tc>
          <w:tcPr>
            <w:tcW w:w="1134" w:type="dxa"/>
            <w:tcBorders>
              <w:top w:val="nil"/>
              <w:left w:val="nil"/>
              <w:bottom w:val="single" w:sz="4" w:space="0" w:color="auto"/>
              <w:right w:val="single" w:sz="4" w:space="0" w:color="auto"/>
            </w:tcBorders>
            <w:noWrap/>
            <w:vAlign w:val="center"/>
            <w:hideMark/>
          </w:tcPr>
          <w:p w:rsidR="000E6A73" w:rsidRDefault="000E6A73" w:rsidP="00F93C07">
            <w:pPr>
              <w:spacing w:after="0" w:line="240" w:lineRule="auto"/>
              <w:jc w:val="right"/>
              <w:rPr>
                <w:sz w:val="20"/>
                <w:szCs w:val="20"/>
              </w:rPr>
            </w:pPr>
            <w:r>
              <w:rPr>
                <w:sz w:val="20"/>
                <w:szCs w:val="20"/>
              </w:rPr>
              <w:t> </w:t>
            </w:r>
          </w:p>
        </w:tc>
        <w:tc>
          <w:tcPr>
            <w:tcW w:w="1134" w:type="dxa"/>
            <w:tcBorders>
              <w:top w:val="nil"/>
              <w:left w:val="nil"/>
              <w:bottom w:val="single" w:sz="4" w:space="0" w:color="auto"/>
              <w:right w:val="single" w:sz="4" w:space="0" w:color="auto"/>
            </w:tcBorders>
          </w:tcPr>
          <w:p w:rsidR="000E6A73" w:rsidRDefault="000E6A73" w:rsidP="00F93C07">
            <w:pPr>
              <w:spacing w:after="0" w:line="240" w:lineRule="auto"/>
              <w:jc w:val="right"/>
              <w:rPr>
                <w:sz w:val="20"/>
                <w:szCs w:val="20"/>
              </w:rPr>
            </w:pPr>
          </w:p>
        </w:tc>
      </w:tr>
      <w:tr w:rsidR="000E6A73" w:rsidTr="00301AE6">
        <w:trPr>
          <w:trHeight w:val="300"/>
        </w:trPr>
        <w:tc>
          <w:tcPr>
            <w:tcW w:w="655" w:type="dxa"/>
            <w:tcBorders>
              <w:top w:val="nil"/>
              <w:left w:val="single" w:sz="4" w:space="0" w:color="auto"/>
              <w:bottom w:val="single" w:sz="4" w:space="0" w:color="auto"/>
              <w:right w:val="single" w:sz="4" w:space="0" w:color="auto"/>
            </w:tcBorders>
            <w:noWrap/>
            <w:vAlign w:val="center"/>
            <w:hideMark/>
          </w:tcPr>
          <w:p w:rsidR="000E6A73" w:rsidRDefault="000E6A73" w:rsidP="00F93C07">
            <w:pPr>
              <w:spacing w:after="0" w:line="240" w:lineRule="auto"/>
              <w:jc w:val="center"/>
              <w:rPr>
                <w:sz w:val="20"/>
                <w:szCs w:val="20"/>
              </w:rPr>
            </w:pPr>
            <w:r>
              <w:rPr>
                <w:sz w:val="20"/>
                <w:szCs w:val="20"/>
              </w:rPr>
              <w:t>1.4</w:t>
            </w:r>
          </w:p>
        </w:tc>
        <w:tc>
          <w:tcPr>
            <w:tcW w:w="2181" w:type="dxa"/>
            <w:tcBorders>
              <w:top w:val="nil"/>
              <w:left w:val="nil"/>
              <w:bottom w:val="single" w:sz="4" w:space="0" w:color="auto"/>
              <w:right w:val="single" w:sz="4" w:space="0" w:color="auto"/>
            </w:tcBorders>
            <w:noWrap/>
            <w:vAlign w:val="center"/>
            <w:hideMark/>
          </w:tcPr>
          <w:p w:rsidR="000E6A73" w:rsidRDefault="000E6A73" w:rsidP="00F93C07">
            <w:pPr>
              <w:spacing w:after="0" w:line="240" w:lineRule="auto"/>
              <w:rPr>
                <w:sz w:val="20"/>
                <w:szCs w:val="20"/>
              </w:rPr>
            </w:pPr>
            <w:r>
              <w:rPr>
                <w:sz w:val="20"/>
                <w:szCs w:val="20"/>
              </w:rPr>
              <w:t>Объем питьевой воды, поданной в сеть</w:t>
            </w:r>
          </w:p>
        </w:tc>
        <w:tc>
          <w:tcPr>
            <w:tcW w:w="850" w:type="dxa"/>
            <w:tcBorders>
              <w:top w:val="nil"/>
              <w:left w:val="nil"/>
              <w:bottom w:val="single" w:sz="4" w:space="0" w:color="auto"/>
              <w:right w:val="single" w:sz="4" w:space="0" w:color="auto"/>
            </w:tcBorders>
            <w:noWrap/>
            <w:vAlign w:val="center"/>
            <w:hideMark/>
          </w:tcPr>
          <w:p w:rsidR="000E6A73" w:rsidRDefault="000E6A73" w:rsidP="00F93C07">
            <w:pPr>
              <w:spacing w:after="0" w:line="240" w:lineRule="auto"/>
              <w:jc w:val="center"/>
              <w:rPr>
                <w:sz w:val="20"/>
                <w:szCs w:val="20"/>
              </w:rPr>
            </w:pPr>
            <w:r>
              <w:rPr>
                <w:sz w:val="20"/>
                <w:szCs w:val="20"/>
              </w:rPr>
              <w:t xml:space="preserve">тыс. </w:t>
            </w:r>
            <w:r>
              <w:rPr>
                <w:rFonts w:eastAsia="Calibri"/>
                <w:sz w:val="20"/>
                <w:szCs w:val="20"/>
                <w:lang w:eastAsia="en-US"/>
              </w:rPr>
              <w:t>м</w:t>
            </w:r>
            <w:r>
              <w:rPr>
                <w:rFonts w:eastAsia="Calibri"/>
                <w:sz w:val="20"/>
                <w:szCs w:val="20"/>
                <w:vertAlign w:val="superscript"/>
                <w:lang w:eastAsia="en-US"/>
              </w:rPr>
              <w:t>3</w:t>
            </w:r>
          </w:p>
        </w:tc>
        <w:tc>
          <w:tcPr>
            <w:tcW w:w="1134" w:type="dxa"/>
            <w:tcBorders>
              <w:top w:val="nil"/>
              <w:left w:val="nil"/>
              <w:bottom w:val="single" w:sz="4" w:space="0" w:color="auto"/>
              <w:right w:val="single" w:sz="4" w:space="0" w:color="auto"/>
            </w:tcBorders>
            <w:noWrap/>
            <w:vAlign w:val="center"/>
            <w:hideMark/>
          </w:tcPr>
          <w:p w:rsidR="000E6A73" w:rsidRDefault="000E6A73" w:rsidP="00F93C07">
            <w:pPr>
              <w:spacing w:after="0" w:line="240" w:lineRule="auto"/>
              <w:jc w:val="right"/>
              <w:rPr>
                <w:sz w:val="20"/>
                <w:szCs w:val="20"/>
              </w:rPr>
            </w:pPr>
            <w:r>
              <w:rPr>
                <w:sz w:val="20"/>
                <w:szCs w:val="20"/>
              </w:rPr>
              <w:t>10 565,93</w:t>
            </w:r>
          </w:p>
        </w:tc>
        <w:tc>
          <w:tcPr>
            <w:tcW w:w="1134" w:type="dxa"/>
            <w:tcBorders>
              <w:top w:val="nil"/>
              <w:left w:val="nil"/>
              <w:bottom w:val="single" w:sz="4" w:space="0" w:color="auto"/>
              <w:right w:val="single" w:sz="4" w:space="0" w:color="auto"/>
            </w:tcBorders>
            <w:noWrap/>
            <w:vAlign w:val="center"/>
            <w:hideMark/>
          </w:tcPr>
          <w:p w:rsidR="000E6A73" w:rsidRDefault="000E6A73" w:rsidP="00F93C07">
            <w:pPr>
              <w:spacing w:after="0" w:line="240" w:lineRule="auto"/>
              <w:jc w:val="right"/>
              <w:rPr>
                <w:sz w:val="20"/>
                <w:szCs w:val="20"/>
              </w:rPr>
            </w:pPr>
            <w:r>
              <w:rPr>
                <w:sz w:val="20"/>
                <w:szCs w:val="20"/>
              </w:rPr>
              <w:t>10 299,76</w:t>
            </w:r>
          </w:p>
        </w:tc>
        <w:tc>
          <w:tcPr>
            <w:tcW w:w="1134" w:type="dxa"/>
            <w:tcBorders>
              <w:top w:val="nil"/>
              <w:left w:val="nil"/>
              <w:bottom w:val="single" w:sz="4" w:space="0" w:color="auto"/>
              <w:right w:val="single" w:sz="4" w:space="0" w:color="auto"/>
            </w:tcBorders>
            <w:noWrap/>
            <w:vAlign w:val="center"/>
            <w:hideMark/>
          </w:tcPr>
          <w:p w:rsidR="000E6A73" w:rsidRDefault="000E6A73" w:rsidP="00F93C07">
            <w:pPr>
              <w:spacing w:after="0" w:line="240" w:lineRule="auto"/>
              <w:jc w:val="right"/>
              <w:rPr>
                <w:sz w:val="20"/>
                <w:szCs w:val="20"/>
              </w:rPr>
            </w:pPr>
            <w:r>
              <w:rPr>
                <w:sz w:val="20"/>
                <w:szCs w:val="20"/>
              </w:rPr>
              <w:t>10 090,26</w:t>
            </w:r>
          </w:p>
        </w:tc>
        <w:tc>
          <w:tcPr>
            <w:tcW w:w="1134" w:type="dxa"/>
            <w:tcBorders>
              <w:top w:val="single" w:sz="4" w:space="0" w:color="auto"/>
              <w:left w:val="nil"/>
              <w:bottom w:val="single" w:sz="4" w:space="0" w:color="auto"/>
              <w:right w:val="single" w:sz="4" w:space="0" w:color="auto"/>
            </w:tcBorders>
            <w:vAlign w:val="center"/>
            <w:hideMark/>
          </w:tcPr>
          <w:p w:rsidR="000E6A73" w:rsidRDefault="000E6A73" w:rsidP="00F93C07">
            <w:pPr>
              <w:spacing w:after="0" w:line="240" w:lineRule="auto"/>
              <w:jc w:val="center"/>
              <w:rPr>
                <w:sz w:val="20"/>
                <w:szCs w:val="20"/>
              </w:rPr>
            </w:pPr>
            <w:r>
              <w:rPr>
                <w:sz w:val="20"/>
                <w:szCs w:val="20"/>
              </w:rPr>
              <w:t>10 272,34</w:t>
            </w:r>
          </w:p>
        </w:tc>
        <w:tc>
          <w:tcPr>
            <w:tcW w:w="1134" w:type="dxa"/>
            <w:tcBorders>
              <w:top w:val="nil"/>
              <w:left w:val="nil"/>
              <w:bottom w:val="single" w:sz="4" w:space="0" w:color="auto"/>
              <w:right w:val="single" w:sz="4" w:space="0" w:color="auto"/>
            </w:tcBorders>
            <w:noWrap/>
            <w:vAlign w:val="center"/>
            <w:hideMark/>
          </w:tcPr>
          <w:p w:rsidR="000E6A73" w:rsidRDefault="000E6A73" w:rsidP="00F93C07">
            <w:pPr>
              <w:spacing w:after="0" w:line="240" w:lineRule="auto"/>
              <w:jc w:val="right"/>
              <w:rPr>
                <w:sz w:val="20"/>
                <w:szCs w:val="20"/>
              </w:rPr>
            </w:pPr>
            <w:r>
              <w:rPr>
                <w:sz w:val="20"/>
                <w:szCs w:val="20"/>
              </w:rPr>
              <w:t>10 791,86</w:t>
            </w:r>
          </w:p>
        </w:tc>
        <w:tc>
          <w:tcPr>
            <w:tcW w:w="1134" w:type="dxa"/>
            <w:tcBorders>
              <w:top w:val="nil"/>
              <w:left w:val="nil"/>
              <w:bottom w:val="single" w:sz="4" w:space="0" w:color="auto"/>
              <w:right w:val="single" w:sz="4" w:space="0" w:color="auto"/>
            </w:tcBorders>
            <w:vAlign w:val="center"/>
            <w:hideMark/>
          </w:tcPr>
          <w:p w:rsidR="000E6A73" w:rsidRDefault="000E6A73" w:rsidP="00F93C07">
            <w:pPr>
              <w:spacing w:after="0" w:line="240" w:lineRule="auto"/>
              <w:jc w:val="center"/>
              <w:rPr>
                <w:sz w:val="20"/>
                <w:szCs w:val="20"/>
              </w:rPr>
            </w:pPr>
            <w:r>
              <w:rPr>
                <w:sz w:val="20"/>
                <w:szCs w:val="20"/>
              </w:rPr>
              <w:t>10 078,43</w:t>
            </w:r>
          </w:p>
        </w:tc>
      </w:tr>
      <w:tr w:rsidR="000E6A73" w:rsidTr="00301AE6">
        <w:trPr>
          <w:trHeight w:val="300"/>
        </w:trPr>
        <w:tc>
          <w:tcPr>
            <w:tcW w:w="655" w:type="dxa"/>
            <w:tcBorders>
              <w:top w:val="nil"/>
              <w:left w:val="single" w:sz="4" w:space="0" w:color="auto"/>
              <w:bottom w:val="single" w:sz="4" w:space="0" w:color="auto"/>
              <w:right w:val="single" w:sz="4" w:space="0" w:color="auto"/>
            </w:tcBorders>
            <w:noWrap/>
            <w:vAlign w:val="center"/>
            <w:hideMark/>
          </w:tcPr>
          <w:p w:rsidR="000E6A73" w:rsidRDefault="000E6A73" w:rsidP="00F93C07">
            <w:pPr>
              <w:spacing w:after="0" w:line="240" w:lineRule="auto"/>
              <w:jc w:val="center"/>
              <w:rPr>
                <w:b/>
                <w:bCs/>
                <w:sz w:val="20"/>
                <w:szCs w:val="20"/>
              </w:rPr>
            </w:pPr>
            <w:r>
              <w:rPr>
                <w:b/>
                <w:bCs/>
                <w:sz w:val="20"/>
                <w:szCs w:val="20"/>
              </w:rPr>
              <w:t>3</w:t>
            </w:r>
          </w:p>
        </w:tc>
        <w:tc>
          <w:tcPr>
            <w:tcW w:w="2181" w:type="dxa"/>
            <w:tcBorders>
              <w:top w:val="nil"/>
              <w:left w:val="nil"/>
              <w:bottom w:val="single" w:sz="4" w:space="0" w:color="auto"/>
              <w:right w:val="single" w:sz="4" w:space="0" w:color="auto"/>
            </w:tcBorders>
            <w:noWrap/>
            <w:vAlign w:val="center"/>
            <w:hideMark/>
          </w:tcPr>
          <w:p w:rsidR="000E6A73" w:rsidRDefault="000E6A73" w:rsidP="00F93C07">
            <w:pPr>
              <w:spacing w:after="0" w:line="240" w:lineRule="auto"/>
              <w:rPr>
                <w:b/>
                <w:bCs/>
                <w:sz w:val="20"/>
                <w:szCs w:val="20"/>
              </w:rPr>
            </w:pPr>
            <w:r>
              <w:rPr>
                <w:b/>
                <w:bCs/>
                <w:sz w:val="20"/>
                <w:szCs w:val="20"/>
              </w:rPr>
              <w:t>Транспортировка питьевой воды</w:t>
            </w:r>
          </w:p>
        </w:tc>
        <w:tc>
          <w:tcPr>
            <w:tcW w:w="850" w:type="dxa"/>
            <w:tcBorders>
              <w:top w:val="nil"/>
              <w:left w:val="nil"/>
              <w:bottom w:val="single" w:sz="4" w:space="0" w:color="auto"/>
              <w:right w:val="single" w:sz="4" w:space="0" w:color="auto"/>
            </w:tcBorders>
            <w:noWrap/>
            <w:vAlign w:val="center"/>
          </w:tcPr>
          <w:p w:rsidR="000E6A73" w:rsidRDefault="000E6A73" w:rsidP="00F93C07">
            <w:pPr>
              <w:spacing w:after="0" w:line="240" w:lineRule="auto"/>
              <w:jc w:val="center"/>
              <w:rPr>
                <w:b/>
                <w:sz w:val="20"/>
                <w:szCs w:val="20"/>
              </w:rPr>
            </w:pPr>
          </w:p>
        </w:tc>
        <w:tc>
          <w:tcPr>
            <w:tcW w:w="1134" w:type="dxa"/>
            <w:tcBorders>
              <w:top w:val="nil"/>
              <w:left w:val="nil"/>
              <w:bottom w:val="single" w:sz="4" w:space="0" w:color="auto"/>
              <w:right w:val="single" w:sz="4" w:space="0" w:color="auto"/>
            </w:tcBorders>
            <w:noWrap/>
            <w:vAlign w:val="bottom"/>
            <w:hideMark/>
          </w:tcPr>
          <w:p w:rsidR="000E6A73" w:rsidRDefault="000E6A73" w:rsidP="00F93C07">
            <w:pPr>
              <w:spacing w:after="0" w:line="240" w:lineRule="auto"/>
              <w:jc w:val="right"/>
              <w:rPr>
                <w:sz w:val="20"/>
                <w:szCs w:val="20"/>
              </w:rPr>
            </w:pPr>
            <w:r>
              <w:rPr>
                <w:sz w:val="20"/>
                <w:szCs w:val="20"/>
              </w:rPr>
              <w:t> </w:t>
            </w:r>
          </w:p>
        </w:tc>
        <w:tc>
          <w:tcPr>
            <w:tcW w:w="1134" w:type="dxa"/>
            <w:tcBorders>
              <w:top w:val="nil"/>
              <w:left w:val="nil"/>
              <w:bottom w:val="single" w:sz="4" w:space="0" w:color="auto"/>
              <w:right w:val="single" w:sz="4" w:space="0" w:color="auto"/>
            </w:tcBorders>
            <w:noWrap/>
            <w:vAlign w:val="bottom"/>
            <w:hideMark/>
          </w:tcPr>
          <w:p w:rsidR="000E6A73" w:rsidRDefault="000E6A73" w:rsidP="00F93C07">
            <w:pPr>
              <w:spacing w:after="0" w:line="240" w:lineRule="auto"/>
              <w:jc w:val="right"/>
              <w:rPr>
                <w:sz w:val="20"/>
                <w:szCs w:val="20"/>
              </w:rPr>
            </w:pPr>
            <w:r>
              <w:rPr>
                <w:sz w:val="20"/>
                <w:szCs w:val="20"/>
              </w:rPr>
              <w:t> </w:t>
            </w:r>
          </w:p>
        </w:tc>
        <w:tc>
          <w:tcPr>
            <w:tcW w:w="1134" w:type="dxa"/>
            <w:tcBorders>
              <w:top w:val="nil"/>
              <w:left w:val="nil"/>
              <w:bottom w:val="single" w:sz="4" w:space="0" w:color="auto"/>
              <w:right w:val="single" w:sz="4" w:space="0" w:color="auto"/>
            </w:tcBorders>
            <w:noWrap/>
            <w:vAlign w:val="bottom"/>
            <w:hideMark/>
          </w:tcPr>
          <w:p w:rsidR="000E6A73" w:rsidRDefault="000E6A73" w:rsidP="00F93C07">
            <w:pPr>
              <w:spacing w:after="0" w:line="240" w:lineRule="auto"/>
              <w:jc w:val="right"/>
              <w:rPr>
                <w:sz w:val="20"/>
                <w:szCs w:val="20"/>
              </w:rPr>
            </w:pPr>
            <w:r>
              <w:rPr>
                <w:sz w:val="20"/>
                <w:szCs w:val="20"/>
              </w:rPr>
              <w:t> </w:t>
            </w:r>
          </w:p>
        </w:tc>
        <w:tc>
          <w:tcPr>
            <w:tcW w:w="1134" w:type="dxa"/>
            <w:tcBorders>
              <w:top w:val="single" w:sz="4" w:space="0" w:color="auto"/>
              <w:left w:val="nil"/>
              <w:bottom w:val="single" w:sz="4" w:space="0" w:color="auto"/>
              <w:right w:val="single" w:sz="4" w:space="0" w:color="auto"/>
            </w:tcBorders>
          </w:tcPr>
          <w:p w:rsidR="000E6A73" w:rsidRDefault="000E6A73" w:rsidP="00F93C07">
            <w:pPr>
              <w:spacing w:after="0" w:line="240" w:lineRule="auto"/>
              <w:jc w:val="right"/>
              <w:rPr>
                <w:sz w:val="20"/>
                <w:szCs w:val="20"/>
              </w:rPr>
            </w:pPr>
          </w:p>
        </w:tc>
        <w:tc>
          <w:tcPr>
            <w:tcW w:w="1134" w:type="dxa"/>
            <w:tcBorders>
              <w:top w:val="nil"/>
              <w:left w:val="nil"/>
              <w:bottom w:val="single" w:sz="4" w:space="0" w:color="auto"/>
              <w:right w:val="single" w:sz="4" w:space="0" w:color="auto"/>
            </w:tcBorders>
            <w:noWrap/>
            <w:vAlign w:val="bottom"/>
            <w:hideMark/>
          </w:tcPr>
          <w:p w:rsidR="000E6A73" w:rsidRDefault="000E6A73" w:rsidP="00F93C07">
            <w:pPr>
              <w:spacing w:after="0" w:line="240" w:lineRule="auto"/>
              <w:rPr>
                <w:sz w:val="20"/>
                <w:szCs w:val="20"/>
              </w:rPr>
            </w:pPr>
            <w:r>
              <w:rPr>
                <w:sz w:val="20"/>
                <w:szCs w:val="20"/>
              </w:rPr>
              <w:t> </w:t>
            </w:r>
          </w:p>
        </w:tc>
        <w:tc>
          <w:tcPr>
            <w:tcW w:w="1134" w:type="dxa"/>
            <w:tcBorders>
              <w:top w:val="nil"/>
              <w:left w:val="nil"/>
              <w:bottom w:val="single" w:sz="4" w:space="0" w:color="auto"/>
              <w:right w:val="single" w:sz="4" w:space="0" w:color="auto"/>
            </w:tcBorders>
          </w:tcPr>
          <w:p w:rsidR="000E6A73" w:rsidRDefault="000E6A73" w:rsidP="00F93C07">
            <w:pPr>
              <w:spacing w:after="0" w:line="240" w:lineRule="auto"/>
              <w:rPr>
                <w:sz w:val="20"/>
                <w:szCs w:val="20"/>
              </w:rPr>
            </w:pPr>
          </w:p>
        </w:tc>
      </w:tr>
      <w:tr w:rsidR="000E6A73" w:rsidTr="00301AE6">
        <w:trPr>
          <w:trHeight w:val="300"/>
        </w:trPr>
        <w:tc>
          <w:tcPr>
            <w:tcW w:w="655" w:type="dxa"/>
            <w:tcBorders>
              <w:top w:val="nil"/>
              <w:left w:val="single" w:sz="4" w:space="0" w:color="auto"/>
              <w:bottom w:val="single" w:sz="4" w:space="0" w:color="auto"/>
              <w:right w:val="single" w:sz="4" w:space="0" w:color="auto"/>
            </w:tcBorders>
            <w:noWrap/>
            <w:vAlign w:val="center"/>
            <w:hideMark/>
          </w:tcPr>
          <w:p w:rsidR="000E6A73" w:rsidRDefault="000E6A73" w:rsidP="00F93C07">
            <w:pPr>
              <w:spacing w:after="0" w:line="240" w:lineRule="auto"/>
              <w:jc w:val="center"/>
              <w:rPr>
                <w:sz w:val="20"/>
                <w:szCs w:val="20"/>
              </w:rPr>
            </w:pPr>
            <w:r>
              <w:rPr>
                <w:sz w:val="20"/>
                <w:szCs w:val="20"/>
              </w:rPr>
              <w:t>3.1</w:t>
            </w:r>
          </w:p>
        </w:tc>
        <w:tc>
          <w:tcPr>
            <w:tcW w:w="2181" w:type="dxa"/>
            <w:tcBorders>
              <w:top w:val="nil"/>
              <w:left w:val="nil"/>
              <w:bottom w:val="single" w:sz="4" w:space="0" w:color="auto"/>
              <w:right w:val="single" w:sz="4" w:space="0" w:color="auto"/>
            </w:tcBorders>
            <w:noWrap/>
            <w:vAlign w:val="center"/>
            <w:hideMark/>
          </w:tcPr>
          <w:p w:rsidR="000E6A73" w:rsidRDefault="000E6A73" w:rsidP="00F93C07">
            <w:pPr>
              <w:spacing w:after="0" w:line="240" w:lineRule="auto"/>
              <w:rPr>
                <w:sz w:val="20"/>
                <w:szCs w:val="20"/>
              </w:rPr>
            </w:pPr>
            <w:r>
              <w:rPr>
                <w:sz w:val="20"/>
                <w:szCs w:val="20"/>
              </w:rPr>
              <w:t>Объем воды, поступившей в сеть:</w:t>
            </w:r>
          </w:p>
        </w:tc>
        <w:tc>
          <w:tcPr>
            <w:tcW w:w="850" w:type="dxa"/>
            <w:tcBorders>
              <w:top w:val="nil"/>
              <w:left w:val="nil"/>
              <w:bottom w:val="single" w:sz="4" w:space="0" w:color="auto"/>
              <w:right w:val="single" w:sz="4" w:space="0" w:color="auto"/>
            </w:tcBorders>
            <w:noWrap/>
            <w:vAlign w:val="center"/>
            <w:hideMark/>
          </w:tcPr>
          <w:p w:rsidR="000E6A73" w:rsidRDefault="000E6A73" w:rsidP="00F93C07">
            <w:pPr>
              <w:spacing w:after="0" w:line="240" w:lineRule="auto"/>
              <w:jc w:val="center"/>
              <w:rPr>
                <w:sz w:val="20"/>
                <w:szCs w:val="20"/>
              </w:rPr>
            </w:pPr>
            <w:r>
              <w:rPr>
                <w:sz w:val="20"/>
                <w:szCs w:val="20"/>
              </w:rPr>
              <w:t xml:space="preserve">тыс. </w:t>
            </w:r>
            <w:r>
              <w:rPr>
                <w:rFonts w:eastAsia="Calibri"/>
                <w:sz w:val="20"/>
                <w:szCs w:val="20"/>
                <w:lang w:eastAsia="en-US"/>
              </w:rPr>
              <w:t>м</w:t>
            </w:r>
            <w:r>
              <w:rPr>
                <w:rFonts w:eastAsia="Calibri"/>
                <w:sz w:val="20"/>
                <w:szCs w:val="20"/>
                <w:vertAlign w:val="superscript"/>
                <w:lang w:eastAsia="en-US"/>
              </w:rPr>
              <w:t>3</w:t>
            </w:r>
          </w:p>
        </w:tc>
        <w:tc>
          <w:tcPr>
            <w:tcW w:w="1134" w:type="dxa"/>
            <w:tcBorders>
              <w:top w:val="nil"/>
              <w:left w:val="nil"/>
              <w:bottom w:val="single" w:sz="4" w:space="0" w:color="auto"/>
              <w:right w:val="single" w:sz="4" w:space="0" w:color="auto"/>
            </w:tcBorders>
            <w:noWrap/>
            <w:vAlign w:val="center"/>
            <w:hideMark/>
          </w:tcPr>
          <w:p w:rsidR="000E6A73" w:rsidRDefault="000E6A73" w:rsidP="00F93C07">
            <w:pPr>
              <w:spacing w:after="0" w:line="240" w:lineRule="auto"/>
              <w:jc w:val="right"/>
              <w:rPr>
                <w:bCs/>
                <w:sz w:val="20"/>
                <w:szCs w:val="20"/>
              </w:rPr>
            </w:pPr>
            <w:r>
              <w:rPr>
                <w:bCs/>
                <w:sz w:val="20"/>
                <w:szCs w:val="20"/>
              </w:rPr>
              <w:t>10 565,93</w:t>
            </w:r>
          </w:p>
        </w:tc>
        <w:tc>
          <w:tcPr>
            <w:tcW w:w="1134" w:type="dxa"/>
            <w:tcBorders>
              <w:top w:val="nil"/>
              <w:left w:val="nil"/>
              <w:bottom w:val="single" w:sz="4" w:space="0" w:color="auto"/>
              <w:right w:val="single" w:sz="4" w:space="0" w:color="auto"/>
            </w:tcBorders>
            <w:noWrap/>
            <w:vAlign w:val="center"/>
            <w:hideMark/>
          </w:tcPr>
          <w:p w:rsidR="000E6A73" w:rsidRDefault="000E6A73" w:rsidP="00F93C07">
            <w:pPr>
              <w:spacing w:after="0" w:line="240" w:lineRule="auto"/>
              <w:jc w:val="right"/>
              <w:rPr>
                <w:bCs/>
                <w:sz w:val="20"/>
                <w:szCs w:val="20"/>
              </w:rPr>
            </w:pPr>
            <w:r>
              <w:rPr>
                <w:bCs/>
                <w:sz w:val="20"/>
                <w:szCs w:val="20"/>
              </w:rPr>
              <w:t>10 299,76</w:t>
            </w:r>
          </w:p>
        </w:tc>
        <w:tc>
          <w:tcPr>
            <w:tcW w:w="1134" w:type="dxa"/>
            <w:tcBorders>
              <w:top w:val="nil"/>
              <w:left w:val="nil"/>
              <w:bottom w:val="single" w:sz="4" w:space="0" w:color="auto"/>
              <w:right w:val="single" w:sz="4" w:space="0" w:color="auto"/>
            </w:tcBorders>
            <w:noWrap/>
            <w:vAlign w:val="center"/>
            <w:hideMark/>
          </w:tcPr>
          <w:p w:rsidR="000E6A73" w:rsidRDefault="000E6A73" w:rsidP="00F93C07">
            <w:pPr>
              <w:spacing w:after="0" w:line="240" w:lineRule="auto"/>
              <w:jc w:val="right"/>
              <w:rPr>
                <w:bCs/>
                <w:sz w:val="20"/>
                <w:szCs w:val="20"/>
              </w:rPr>
            </w:pPr>
            <w:r>
              <w:rPr>
                <w:bCs/>
                <w:sz w:val="20"/>
                <w:szCs w:val="20"/>
              </w:rPr>
              <w:t>10 090,26</w:t>
            </w:r>
          </w:p>
        </w:tc>
        <w:tc>
          <w:tcPr>
            <w:tcW w:w="1134" w:type="dxa"/>
            <w:tcBorders>
              <w:top w:val="single" w:sz="4" w:space="0" w:color="auto"/>
              <w:left w:val="nil"/>
              <w:bottom w:val="single" w:sz="4" w:space="0" w:color="auto"/>
              <w:right w:val="single" w:sz="4" w:space="0" w:color="auto"/>
            </w:tcBorders>
            <w:vAlign w:val="center"/>
            <w:hideMark/>
          </w:tcPr>
          <w:p w:rsidR="000E6A73" w:rsidRDefault="000E6A73" w:rsidP="00F93C07">
            <w:pPr>
              <w:spacing w:after="0" w:line="240" w:lineRule="auto"/>
              <w:jc w:val="center"/>
              <w:rPr>
                <w:bCs/>
                <w:sz w:val="20"/>
                <w:szCs w:val="20"/>
              </w:rPr>
            </w:pPr>
            <w:r>
              <w:rPr>
                <w:bCs/>
                <w:sz w:val="20"/>
                <w:szCs w:val="20"/>
              </w:rPr>
              <w:t>10272,34</w:t>
            </w:r>
          </w:p>
        </w:tc>
        <w:tc>
          <w:tcPr>
            <w:tcW w:w="1134" w:type="dxa"/>
            <w:tcBorders>
              <w:top w:val="nil"/>
              <w:left w:val="nil"/>
              <w:bottom w:val="single" w:sz="4" w:space="0" w:color="auto"/>
              <w:right w:val="single" w:sz="4" w:space="0" w:color="auto"/>
            </w:tcBorders>
            <w:noWrap/>
            <w:vAlign w:val="center"/>
            <w:hideMark/>
          </w:tcPr>
          <w:p w:rsidR="000E6A73" w:rsidRDefault="000E6A73" w:rsidP="00F93C07">
            <w:pPr>
              <w:spacing w:after="0" w:line="240" w:lineRule="auto"/>
              <w:jc w:val="right"/>
              <w:rPr>
                <w:bCs/>
                <w:sz w:val="20"/>
                <w:szCs w:val="20"/>
              </w:rPr>
            </w:pPr>
            <w:r>
              <w:rPr>
                <w:bCs/>
                <w:sz w:val="20"/>
                <w:szCs w:val="20"/>
              </w:rPr>
              <w:t>10 791,86</w:t>
            </w:r>
          </w:p>
        </w:tc>
        <w:tc>
          <w:tcPr>
            <w:tcW w:w="1134" w:type="dxa"/>
            <w:tcBorders>
              <w:top w:val="nil"/>
              <w:left w:val="nil"/>
              <w:bottom w:val="single" w:sz="4" w:space="0" w:color="auto"/>
              <w:right w:val="single" w:sz="4" w:space="0" w:color="auto"/>
            </w:tcBorders>
            <w:vAlign w:val="center"/>
            <w:hideMark/>
          </w:tcPr>
          <w:p w:rsidR="000E6A73" w:rsidRDefault="000E6A73" w:rsidP="00F93C07">
            <w:pPr>
              <w:spacing w:after="0" w:line="240" w:lineRule="auto"/>
              <w:jc w:val="center"/>
              <w:rPr>
                <w:bCs/>
                <w:sz w:val="20"/>
                <w:szCs w:val="20"/>
              </w:rPr>
            </w:pPr>
            <w:r>
              <w:rPr>
                <w:bCs/>
                <w:sz w:val="20"/>
                <w:szCs w:val="20"/>
              </w:rPr>
              <w:t>10 078,43</w:t>
            </w:r>
          </w:p>
        </w:tc>
      </w:tr>
      <w:tr w:rsidR="000E6A73" w:rsidTr="00301AE6">
        <w:trPr>
          <w:trHeight w:val="300"/>
        </w:trPr>
        <w:tc>
          <w:tcPr>
            <w:tcW w:w="655" w:type="dxa"/>
            <w:tcBorders>
              <w:top w:val="nil"/>
              <w:left w:val="single" w:sz="4" w:space="0" w:color="auto"/>
              <w:bottom w:val="single" w:sz="4" w:space="0" w:color="auto"/>
              <w:right w:val="single" w:sz="4" w:space="0" w:color="auto"/>
            </w:tcBorders>
            <w:noWrap/>
            <w:vAlign w:val="center"/>
            <w:hideMark/>
          </w:tcPr>
          <w:p w:rsidR="000E6A73" w:rsidRDefault="000E6A73" w:rsidP="00F93C07">
            <w:pPr>
              <w:spacing w:after="0" w:line="240" w:lineRule="auto"/>
              <w:jc w:val="center"/>
              <w:rPr>
                <w:sz w:val="20"/>
                <w:szCs w:val="20"/>
              </w:rPr>
            </w:pPr>
            <w:r>
              <w:rPr>
                <w:sz w:val="20"/>
                <w:szCs w:val="20"/>
              </w:rPr>
              <w:t>3.2</w:t>
            </w:r>
          </w:p>
        </w:tc>
        <w:tc>
          <w:tcPr>
            <w:tcW w:w="2181" w:type="dxa"/>
            <w:tcBorders>
              <w:top w:val="nil"/>
              <w:left w:val="nil"/>
              <w:bottom w:val="single" w:sz="4" w:space="0" w:color="auto"/>
              <w:right w:val="single" w:sz="4" w:space="0" w:color="auto"/>
            </w:tcBorders>
            <w:noWrap/>
            <w:vAlign w:val="center"/>
            <w:hideMark/>
          </w:tcPr>
          <w:p w:rsidR="000E6A73" w:rsidRDefault="000E6A73" w:rsidP="00F93C07">
            <w:pPr>
              <w:spacing w:after="0" w:line="240" w:lineRule="auto"/>
              <w:rPr>
                <w:sz w:val="20"/>
                <w:szCs w:val="20"/>
              </w:rPr>
            </w:pPr>
            <w:r>
              <w:rPr>
                <w:sz w:val="20"/>
                <w:szCs w:val="20"/>
              </w:rPr>
              <w:t>Потери воды</w:t>
            </w:r>
          </w:p>
        </w:tc>
        <w:tc>
          <w:tcPr>
            <w:tcW w:w="850" w:type="dxa"/>
            <w:tcBorders>
              <w:top w:val="nil"/>
              <w:left w:val="nil"/>
              <w:bottom w:val="single" w:sz="4" w:space="0" w:color="auto"/>
              <w:right w:val="single" w:sz="4" w:space="0" w:color="auto"/>
            </w:tcBorders>
            <w:noWrap/>
            <w:vAlign w:val="center"/>
            <w:hideMark/>
          </w:tcPr>
          <w:p w:rsidR="000E6A73" w:rsidRDefault="000E6A73" w:rsidP="00F93C07">
            <w:pPr>
              <w:spacing w:after="0" w:line="240" w:lineRule="auto"/>
              <w:jc w:val="center"/>
              <w:rPr>
                <w:sz w:val="20"/>
                <w:szCs w:val="20"/>
              </w:rPr>
            </w:pPr>
            <w:r>
              <w:rPr>
                <w:sz w:val="20"/>
                <w:szCs w:val="20"/>
              </w:rPr>
              <w:t xml:space="preserve">тыс. </w:t>
            </w:r>
            <w:r>
              <w:rPr>
                <w:rFonts w:eastAsia="Calibri"/>
                <w:sz w:val="20"/>
                <w:szCs w:val="20"/>
                <w:lang w:eastAsia="en-US"/>
              </w:rPr>
              <w:t>м</w:t>
            </w:r>
            <w:r>
              <w:rPr>
                <w:rFonts w:eastAsia="Calibri"/>
                <w:sz w:val="20"/>
                <w:szCs w:val="20"/>
                <w:vertAlign w:val="superscript"/>
                <w:lang w:eastAsia="en-US"/>
              </w:rPr>
              <w:t>3</w:t>
            </w:r>
          </w:p>
        </w:tc>
        <w:tc>
          <w:tcPr>
            <w:tcW w:w="1134" w:type="dxa"/>
            <w:tcBorders>
              <w:top w:val="nil"/>
              <w:left w:val="nil"/>
              <w:bottom w:val="single" w:sz="4" w:space="0" w:color="auto"/>
              <w:right w:val="single" w:sz="4" w:space="0" w:color="auto"/>
            </w:tcBorders>
            <w:noWrap/>
            <w:vAlign w:val="center"/>
            <w:hideMark/>
          </w:tcPr>
          <w:p w:rsidR="000E6A73" w:rsidRDefault="000E6A73" w:rsidP="00F93C07">
            <w:pPr>
              <w:spacing w:after="0" w:line="240" w:lineRule="auto"/>
              <w:jc w:val="center"/>
              <w:rPr>
                <w:sz w:val="20"/>
                <w:szCs w:val="20"/>
              </w:rPr>
            </w:pPr>
            <w:r>
              <w:rPr>
                <w:sz w:val="20"/>
                <w:szCs w:val="20"/>
              </w:rPr>
              <w:t>2 923,35</w:t>
            </w:r>
          </w:p>
        </w:tc>
        <w:tc>
          <w:tcPr>
            <w:tcW w:w="1134" w:type="dxa"/>
            <w:tcBorders>
              <w:top w:val="nil"/>
              <w:left w:val="nil"/>
              <w:bottom w:val="single" w:sz="4" w:space="0" w:color="auto"/>
              <w:right w:val="single" w:sz="4" w:space="0" w:color="auto"/>
            </w:tcBorders>
            <w:noWrap/>
            <w:vAlign w:val="center"/>
            <w:hideMark/>
          </w:tcPr>
          <w:p w:rsidR="000E6A73" w:rsidRDefault="000E6A73" w:rsidP="00F93C07">
            <w:pPr>
              <w:spacing w:after="0" w:line="240" w:lineRule="auto"/>
              <w:jc w:val="center"/>
              <w:rPr>
                <w:sz w:val="20"/>
                <w:szCs w:val="20"/>
              </w:rPr>
            </w:pPr>
            <w:r>
              <w:rPr>
                <w:sz w:val="20"/>
                <w:szCs w:val="20"/>
              </w:rPr>
              <w:t>2 721,16</w:t>
            </w:r>
          </w:p>
        </w:tc>
        <w:tc>
          <w:tcPr>
            <w:tcW w:w="1134" w:type="dxa"/>
            <w:tcBorders>
              <w:top w:val="nil"/>
              <w:left w:val="nil"/>
              <w:bottom w:val="single" w:sz="4" w:space="0" w:color="auto"/>
              <w:right w:val="single" w:sz="4" w:space="0" w:color="auto"/>
            </w:tcBorders>
            <w:noWrap/>
            <w:vAlign w:val="center"/>
            <w:hideMark/>
          </w:tcPr>
          <w:p w:rsidR="000E6A73" w:rsidRDefault="000E6A73" w:rsidP="00F93C07">
            <w:pPr>
              <w:spacing w:after="0" w:line="240" w:lineRule="auto"/>
              <w:jc w:val="center"/>
              <w:rPr>
                <w:sz w:val="20"/>
                <w:szCs w:val="20"/>
              </w:rPr>
            </w:pPr>
            <w:r>
              <w:rPr>
                <w:sz w:val="20"/>
                <w:szCs w:val="20"/>
              </w:rPr>
              <w:t>2 780,67</w:t>
            </w:r>
          </w:p>
        </w:tc>
        <w:tc>
          <w:tcPr>
            <w:tcW w:w="1134" w:type="dxa"/>
            <w:tcBorders>
              <w:top w:val="single" w:sz="4" w:space="0" w:color="auto"/>
              <w:left w:val="nil"/>
              <w:bottom w:val="single" w:sz="4" w:space="0" w:color="auto"/>
              <w:right w:val="single" w:sz="4" w:space="0" w:color="auto"/>
            </w:tcBorders>
            <w:vAlign w:val="center"/>
            <w:hideMark/>
          </w:tcPr>
          <w:p w:rsidR="000E6A73" w:rsidRDefault="000E6A73" w:rsidP="00F93C07">
            <w:pPr>
              <w:spacing w:after="0" w:line="240" w:lineRule="auto"/>
              <w:jc w:val="center"/>
              <w:rPr>
                <w:sz w:val="20"/>
                <w:szCs w:val="20"/>
              </w:rPr>
            </w:pPr>
            <w:r>
              <w:rPr>
                <w:sz w:val="20"/>
                <w:szCs w:val="20"/>
              </w:rPr>
              <w:t>2 976,32</w:t>
            </w:r>
          </w:p>
        </w:tc>
        <w:tc>
          <w:tcPr>
            <w:tcW w:w="1134" w:type="dxa"/>
            <w:tcBorders>
              <w:top w:val="nil"/>
              <w:left w:val="nil"/>
              <w:bottom w:val="single" w:sz="4" w:space="0" w:color="auto"/>
              <w:right w:val="single" w:sz="4" w:space="0" w:color="auto"/>
            </w:tcBorders>
            <w:noWrap/>
            <w:vAlign w:val="center"/>
            <w:hideMark/>
          </w:tcPr>
          <w:p w:rsidR="000E6A73" w:rsidRDefault="000E6A73" w:rsidP="00F93C07">
            <w:pPr>
              <w:spacing w:after="0" w:line="240" w:lineRule="auto"/>
              <w:jc w:val="center"/>
              <w:rPr>
                <w:sz w:val="20"/>
                <w:szCs w:val="20"/>
              </w:rPr>
            </w:pPr>
            <w:r>
              <w:rPr>
                <w:sz w:val="20"/>
                <w:szCs w:val="20"/>
              </w:rPr>
              <w:t>2 427,30</w:t>
            </w:r>
          </w:p>
        </w:tc>
        <w:tc>
          <w:tcPr>
            <w:tcW w:w="1134" w:type="dxa"/>
            <w:tcBorders>
              <w:top w:val="nil"/>
              <w:left w:val="nil"/>
              <w:bottom w:val="single" w:sz="4" w:space="0" w:color="auto"/>
              <w:right w:val="single" w:sz="4" w:space="0" w:color="auto"/>
            </w:tcBorders>
            <w:vAlign w:val="center"/>
            <w:hideMark/>
          </w:tcPr>
          <w:p w:rsidR="000E6A73" w:rsidRDefault="000E6A73" w:rsidP="00F93C07">
            <w:pPr>
              <w:spacing w:after="0" w:line="240" w:lineRule="auto"/>
              <w:jc w:val="center"/>
              <w:rPr>
                <w:sz w:val="20"/>
                <w:szCs w:val="20"/>
              </w:rPr>
            </w:pPr>
            <w:r>
              <w:rPr>
                <w:sz w:val="20"/>
                <w:szCs w:val="20"/>
              </w:rPr>
              <w:t>2 265,69</w:t>
            </w:r>
          </w:p>
        </w:tc>
      </w:tr>
      <w:tr w:rsidR="000E6A73" w:rsidTr="00301AE6">
        <w:trPr>
          <w:trHeight w:val="300"/>
        </w:trPr>
        <w:tc>
          <w:tcPr>
            <w:tcW w:w="655" w:type="dxa"/>
            <w:tcBorders>
              <w:top w:val="nil"/>
              <w:left w:val="single" w:sz="4" w:space="0" w:color="auto"/>
              <w:bottom w:val="single" w:sz="4" w:space="0" w:color="auto"/>
              <w:right w:val="single" w:sz="4" w:space="0" w:color="auto"/>
            </w:tcBorders>
            <w:noWrap/>
            <w:vAlign w:val="center"/>
            <w:hideMark/>
          </w:tcPr>
          <w:p w:rsidR="000E6A73" w:rsidRDefault="000E6A73" w:rsidP="00F93C07">
            <w:pPr>
              <w:spacing w:after="0" w:line="240" w:lineRule="auto"/>
              <w:jc w:val="center"/>
              <w:rPr>
                <w:sz w:val="20"/>
                <w:szCs w:val="20"/>
              </w:rPr>
            </w:pPr>
            <w:r>
              <w:rPr>
                <w:sz w:val="20"/>
                <w:szCs w:val="20"/>
              </w:rPr>
              <w:t>3.3</w:t>
            </w:r>
          </w:p>
        </w:tc>
        <w:tc>
          <w:tcPr>
            <w:tcW w:w="2181" w:type="dxa"/>
            <w:tcBorders>
              <w:top w:val="nil"/>
              <w:left w:val="nil"/>
              <w:bottom w:val="single" w:sz="4" w:space="0" w:color="auto"/>
              <w:right w:val="single" w:sz="4" w:space="0" w:color="auto"/>
            </w:tcBorders>
            <w:noWrap/>
            <w:vAlign w:val="center"/>
            <w:hideMark/>
          </w:tcPr>
          <w:p w:rsidR="000E6A73" w:rsidRDefault="000E6A73" w:rsidP="00F93C07">
            <w:pPr>
              <w:spacing w:after="0" w:line="240" w:lineRule="auto"/>
              <w:rPr>
                <w:sz w:val="20"/>
                <w:szCs w:val="20"/>
              </w:rPr>
            </w:pPr>
            <w:r>
              <w:rPr>
                <w:sz w:val="20"/>
                <w:szCs w:val="20"/>
              </w:rPr>
              <w:t>Потребление на собственные нужды</w:t>
            </w:r>
          </w:p>
        </w:tc>
        <w:tc>
          <w:tcPr>
            <w:tcW w:w="850" w:type="dxa"/>
            <w:tcBorders>
              <w:top w:val="nil"/>
              <w:left w:val="nil"/>
              <w:bottom w:val="single" w:sz="4" w:space="0" w:color="auto"/>
              <w:right w:val="single" w:sz="4" w:space="0" w:color="auto"/>
            </w:tcBorders>
            <w:noWrap/>
            <w:vAlign w:val="center"/>
            <w:hideMark/>
          </w:tcPr>
          <w:p w:rsidR="000E6A73" w:rsidRDefault="000E6A73" w:rsidP="00F93C07">
            <w:pPr>
              <w:spacing w:after="0" w:line="240" w:lineRule="auto"/>
              <w:jc w:val="center"/>
              <w:rPr>
                <w:sz w:val="20"/>
                <w:szCs w:val="20"/>
              </w:rPr>
            </w:pPr>
            <w:r>
              <w:rPr>
                <w:sz w:val="20"/>
                <w:szCs w:val="20"/>
              </w:rPr>
              <w:t xml:space="preserve">тыс. </w:t>
            </w:r>
            <w:r>
              <w:rPr>
                <w:rFonts w:eastAsia="Calibri"/>
                <w:sz w:val="20"/>
                <w:szCs w:val="20"/>
                <w:lang w:eastAsia="en-US"/>
              </w:rPr>
              <w:t>м</w:t>
            </w:r>
            <w:r>
              <w:rPr>
                <w:rFonts w:eastAsia="Calibri"/>
                <w:sz w:val="20"/>
                <w:szCs w:val="20"/>
                <w:vertAlign w:val="superscript"/>
                <w:lang w:eastAsia="en-US"/>
              </w:rPr>
              <w:t>3</w:t>
            </w:r>
          </w:p>
        </w:tc>
        <w:tc>
          <w:tcPr>
            <w:tcW w:w="1134" w:type="dxa"/>
            <w:tcBorders>
              <w:top w:val="nil"/>
              <w:left w:val="nil"/>
              <w:bottom w:val="single" w:sz="4" w:space="0" w:color="auto"/>
              <w:right w:val="single" w:sz="4" w:space="0" w:color="auto"/>
            </w:tcBorders>
            <w:noWrap/>
            <w:vAlign w:val="center"/>
            <w:hideMark/>
          </w:tcPr>
          <w:p w:rsidR="000E6A73" w:rsidRDefault="000E6A73" w:rsidP="00F93C07">
            <w:pPr>
              <w:spacing w:after="0" w:line="240" w:lineRule="auto"/>
              <w:jc w:val="right"/>
              <w:rPr>
                <w:sz w:val="20"/>
                <w:szCs w:val="20"/>
              </w:rPr>
            </w:pPr>
            <w:r>
              <w:rPr>
                <w:sz w:val="20"/>
                <w:szCs w:val="20"/>
              </w:rPr>
              <w:t>260,61</w:t>
            </w:r>
          </w:p>
        </w:tc>
        <w:tc>
          <w:tcPr>
            <w:tcW w:w="1134" w:type="dxa"/>
            <w:tcBorders>
              <w:top w:val="nil"/>
              <w:left w:val="nil"/>
              <w:bottom w:val="single" w:sz="4" w:space="0" w:color="auto"/>
              <w:right w:val="single" w:sz="4" w:space="0" w:color="auto"/>
            </w:tcBorders>
            <w:noWrap/>
            <w:vAlign w:val="center"/>
            <w:hideMark/>
          </w:tcPr>
          <w:p w:rsidR="000E6A73" w:rsidRDefault="000E6A73" w:rsidP="00F93C07">
            <w:pPr>
              <w:spacing w:after="0" w:line="240" w:lineRule="auto"/>
              <w:jc w:val="right"/>
              <w:rPr>
                <w:sz w:val="20"/>
                <w:szCs w:val="20"/>
              </w:rPr>
            </w:pPr>
            <w:r>
              <w:rPr>
                <w:sz w:val="20"/>
                <w:szCs w:val="20"/>
              </w:rPr>
              <w:t>251,00</w:t>
            </w:r>
          </w:p>
        </w:tc>
        <w:tc>
          <w:tcPr>
            <w:tcW w:w="1134" w:type="dxa"/>
            <w:tcBorders>
              <w:top w:val="nil"/>
              <w:left w:val="nil"/>
              <w:bottom w:val="single" w:sz="4" w:space="0" w:color="auto"/>
              <w:right w:val="single" w:sz="4" w:space="0" w:color="auto"/>
            </w:tcBorders>
            <w:noWrap/>
            <w:vAlign w:val="center"/>
            <w:hideMark/>
          </w:tcPr>
          <w:p w:rsidR="000E6A73" w:rsidRDefault="000E6A73" w:rsidP="00F93C07">
            <w:pPr>
              <w:spacing w:after="0" w:line="240" w:lineRule="auto"/>
              <w:jc w:val="right"/>
              <w:rPr>
                <w:sz w:val="20"/>
                <w:szCs w:val="20"/>
              </w:rPr>
            </w:pPr>
            <w:r>
              <w:rPr>
                <w:sz w:val="20"/>
                <w:szCs w:val="20"/>
              </w:rPr>
              <w:t>280,83</w:t>
            </w:r>
          </w:p>
        </w:tc>
        <w:tc>
          <w:tcPr>
            <w:tcW w:w="1134" w:type="dxa"/>
            <w:tcBorders>
              <w:top w:val="single" w:sz="4" w:space="0" w:color="auto"/>
              <w:left w:val="nil"/>
              <w:bottom w:val="single" w:sz="4" w:space="0" w:color="auto"/>
              <w:right w:val="single" w:sz="4" w:space="0" w:color="auto"/>
            </w:tcBorders>
            <w:vAlign w:val="center"/>
            <w:hideMark/>
          </w:tcPr>
          <w:p w:rsidR="000E6A73" w:rsidRDefault="000E6A73" w:rsidP="00F93C07">
            <w:pPr>
              <w:spacing w:after="0" w:line="240" w:lineRule="auto"/>
              <w:jc w:val="center"/>
              <w:rPr>
                <w:sz w:val="20"/>
                <w:szCs w:val="20"/>
              </w:rPr>
            </w:pPr>
            <w:r>
              <w:rPr>
                <w:sz w:val="20"/>
                <w:szCs w:val="20"/>
              </w:rPr>
              <w:t>251,34</w:t>
            </w:r>
          </w:p>
        </w:tc>
        <w:tc>
          <w:tcPr>
            <w:tcW w:w="1134" w:type="dxa"/>
            <w:tcBorders>
              <w:top w:val="nil"/>
              <w:left w:val="nil"/>
              <w:bottom w:val="single" w:sz="4" w:space="0" w:color="auto"/>
              <w:right w:val="single" w:sz="4" w:space="0" w:color="auto"/>
            </w:tcBorders>
            <w:noWrap/>
            <w:vAlign w:val="center"/>
            <w:hideMark/>
          </w:tcPr>
          <w:p w:rsidR="000E6A73" w:rsidRDefault="000E6A73" w:rsidP="00F93C07">
            <w:pPr>
              <w:spacing w:after="0" w:line="240" w:lineRule="auto"/>
              <w:jc w:val="center"/>
              <w:rPr>
                <w:sz w:val="20"/>
                <w:szCs w:val="20"/>
              </w:rPr>
            </w:pPr>
            <w:r>
              <w:rPr>
                <w:sz w:val="20"/>
                <w:szCs w:val="20"/>
              </w:rPr>
              <w:t>396,11</w:t>
            </w:r>
          </w:p>
        </w:tc>
        <w:tc>
          <w:tcPr>
            <w:tcW w:w="1134" w:type="dxa"/>
            <w:tcBorders>
              <w:top w:val="nil"/>
              <w:left w:val="nil"/>
              <w:bottom w:val="single" w:sz="4" w:space="0" w:color="auto"/>
              <w:right w:val="single" w:sz="4" w:space="0" w:color="auto"/>
            </w:tcBorders>
            <w:vAlign w:val="center"/>
            <w:hideMark/>
          </w:tcPr>
          <w:p w:rsidR="000E6A73" w:rsidRDefault="000E6A73" w:rsidP="00F93C07">
            <w:pPr>
              <w:spacing w:after="0" w:line="240" w:lineRule="auto"/>
              <w:jc w:val="center"/>
              <w:rPr>
                <w:sz w:val="20"/>
                <w:szCs w:val="20"/>
              </w:rPr>
            </w:pPr>
            <w:r>
              <w:rPr>
                <w:sz w:val="20"/>
                <w:szCs w:val="20"/>
              </w:rPr>
              <w:t>337,10</w:t>
            </w:r>
          </w:p>
        </w:tc>
      </w:tr>
      <w:tr w:rsidR="000E6A73" w:rsidTr="00301AE6">
        <w:trPr>
          <w:trHeight w:val="300"/>
        </w:trPr>
        <w:tc>
          <w:tcPr>
            <w:tcW w:w="655" w:type="dxa"/>
            <w:tcBorders>
              <w:top w:val="nil"/>
              <w:left w:val="single" w:sz="4" w:space="0" w:color="auto"/>
              <w:bottom w:val="single" w:sz="4" w:space="0" w:color="auto"/>
              <w:right w:val="single" w:sz="4" w:space="0" w:color="auto"/>
            </w:tcBorders>
            <w:noWrap/>
            <w:vAlign w:val="center"/>
            <w:hideMark/>
          </w:tcPr>
          <w:p w:rsidR="000E6A73" w:rsidRDefault="000E6A73" w:rsidP="00F93C07">
            <w:pPr>
              <w:spacing w:after="0" w:line="240" w:lineRule="auto"/>
              <w:jc w:val="center"/>
              <w:rPr>
                <w:sz w:val="20"/>
                <w:szCs w:val="20"/>
              </w:rPr>
            </w:pPr>
            <w:r>
              <w:rPr>
                <w:sz w:val="20"/>
                <w:szCs w:val="20"/>
              </w:rPr>
              <w:t>3.4</w:t>
            </w:r>
          </w:p>
        </w:tc>
        <w:tc>
          <w:tcPr>
            <w:tcW w:w="2181" w:type="dxa"/>
            <w:tcBorders>
              <w:top w:val="nil"/>
              <w:left w:val="nil"/>
              <w:bottom w:val="single" w:sz="4" w:space="0" w:color="auto"/>
              <w:right w:val="single" w:sz="4" w:space="0" w:color="auto"/>
            </w:tcBorders>
            <w:noWrap/>
            <w:vAlign w:val="center"/>
            <w:hideMark/>
          </w:tcPr>
          <w:p w:rsidR="000E6A73" w:rsidRDefault="000E6A73" w:rsidP="00F93C07">
            <w:pPr>
              <w:spacing w:after="0" w:line="240" w:lineRule="auto"/>
              <w:rPr>
                <w:sz w:val="20"/>
                <w:szCs w:val="20"/>
              </w:rPr>
            </w:pPr>
            <w:r>
              <w:rPr>
                <w:sz w:val="20"/>
                <w:szCs w:val="20"/>
              </w:rPr>
              <w:t>Объем воды, отпущенной из сети</w:t>
            </w:r>
          </w:p>
        </w:tc>
        <w:tc>
          <w:tcPr>
            <w:tcW w:w="850" w:type="dxa"/>
            <w:tcBorders>
              <w:top w:val="nil"/>
              <w:left w:val="nil"/>
              <w:bottom w:val="single" w:sz="4" w:space="0" w:color="auto"/>
              <w:right w:val="single" w:sz="4" w:space="0" w:color="auto"/>
            </w:tcBorders>
            <w:noWrap/>
            <w:vAlign w:val="center"/>
            <w:hideMark/>
          </w:tcPr>
          <w:p w:rsidR="000E6A73" w:rsidRDefault="000E6A73" w:rsidP="00F93C07">
            <w:pPr>
              <w:spacing w:after="0" w:line="240" w:lineRule="auto"/>
              <w:jc w:val="center"/>
              <w:rPr>
                <w:sz w:val="20"/>
                <w:szCs w:val="20"/>
              </w:rPr>
            </w:pPr>
            <w:r>
              <w:rPr>
                <w:sz w:val="20"/>
                <w:szCs w:val="20"/>
              </w:rPr>
              <w:t xml:space="preserve">тыс. </w:t>
            </w:r>
            <w:r>
              <w:rPr>
                <w:rFonts w:eastAsia="Calibri"/>
                <w:sz w:val="20"/>
                <w:szCs w:val="20"/>
                <w:lang w:eastAsia="en-US"/>
              </w:rPr>
              <w:t>м</w:t>
            </w:r>
            <w:r>
              <w:rPr>
                <w:rFonts w:eastAsia="Calibri"/>
                <w:sz w:val="20"/>
                <w:szCs w:val="20"/>
                <w:vertAlign w:val="superscript"/>
                <w:lang w:eastAsia="en-US"/>
              </w:rPr>
              <w:t>3</w:t>
            </w:r>
          </w:p>
        </w:tc>
        <w:tc>
          <w:tcPr>
            <w:tcW w:w="1134" w:type="dxa"/>
            <w:tcBorders>
              <w:top w:val="nil"/>
              <w:left w:val="nil"/>
              <w:bottom w:val="single" w:sz="4" w:space="0" w:color="auto"/>
              <w:right w:val="single" w:sz="4" w:space="0" w:color="auto"/>
            </w:tcBorders>
            <w:noWrap/>
            <w:vAlign w:val="center"/>
            <w:hideMark/>
          </w:tcPr>
          <w:p w:rsidR="000E6A73" w:rsidRDefault="000E6A73" w:rsidP="00F93C07">
            <w:pPr>
              <w:spacing w:after="0" w:line="240" w:lineRule="auto"/>
              <w:jc w:val="right"/>
              <w:rPr>
                <w:sz w:val="20"/>
                <w:szCs w:val="20"/>
              </w:rPr>
            </w:pPr>
            <w:r>
              <w:rPr>
                <w:sz w:val="20"/>
                <w:szCs w:val="20"/>
              </w:rPr>
              <w:t>7 642,58</w:t>
            </w:r>
          </w:p>
        </w:tc>
        <w:tc>
          <w:tcPr>
            <w:tcW w:w="1134" w:type="dxa"/>
            <w:tcBorders>
              <w:top w:val="nil"/>
              <w:left w:val="nil"/>
              <w:bottom w:val="single" w:sz="4" w:space="0" w:color="auto"/>
              <w:right w:val="single" w:sz="4" w:space="0" w:color="auto"/>
            </w:tcBorders>
            <w:noWrap/>
            <w:vAlign w:val="center"/>
            <w:hideMark/>
          </w:tcPr>
          <w:p w:rsidR="000E6A73" w:rsidRDefault="000E6A73" w:rsidP="00F93C07">
            <w:pPr>
              <w:spacing w:after="0" w:line="240" w:lineRule="auto"/>
              <w:jc w:val="right"/>
              <w:rPr>
                <w:sz w:val="20"/>
                <w:szCs w:val="20"/>
              </w:rPr>
            </w:pPr>
            <w:r>
              <w:rPr>
                <w:sz w:val="20"/>
                <w:szCs w:val="20"/>
              </w:rPr>
              <w:t>7 578,60</w:t>
            </w:r>
          </w:p>
        </w:tc>
        <w:tc>
          <w:tcPr>
            <w:tcW w:w="1134" w:type="dxa"/>
            <w:tcBorders>
              <w:top w:val="nil"/>
              <w:left w:val="nil"/>
              <w:bottom w:val="single" w:sz="4" w:space="0" w:color="auto"/>
              <w:right w:val="single" w:sz="4" w:space="0" w:color="auto"/>
            </w:tcBorders>
            <w:noWrap/>
            <w:vAlign w:val="center"/>
            <w:hideMark/>
          </w:tcPr>
          <w:p w:rsidR="000E6A73" w:rsidRDefault="000E6A73" w:rsidP="00F93C07">
            <w:pPr>
              <w:spacing w:after="0" w:line="240" w:lineRule="auto"/>
              <w:jc w:val="right"/>
              <w:rPr>
                <w:sz w:val="20"/>
                <w:szCs w:val="20"/>
              </w:rPr>
            </w:pPr>
            <w:r>
              <w:rPr>
                <w:sz w:val="20"/>
                <w:szCs w:val="20"/>
              </w:rPr>
              <w:t>7 309,59</w:t>
            </w:r>
          </w:p>
        </w:tc>
        <w:tc>
          <w:tcPr>
            <w:tcW w:w="1134" w:type="dxa"/>
            <w:tcBorders>
              <w:top w:val="single" w:sz="4" w:space="0" w:color="auto"/>
              <w:left w:val="nil"/>
              <w:bottom w:val="single" w:sz="4" w:space="0" w:color="auto"/>
              <w:right w:val="single" w:sz="4" w:space="0" w:color="auto"/>
            </w:tcBorders>
            <w:vAlign w:val="center"/>
            <w:hideMark/>
          </w:tcPr>
          <w:p w:rsidR="000E6A73" w:rsidRDefault="000E6A73" w:rsidP="00F93C07">
            <w:pPr>
              <w:spacing w:after="0" w:line="240" w:lineRule="auto"/>
              <w:jc w:val="center"/>
              <w:rPr>
                <w:sz w:val="20"/>
                <w:szCs w:val="20"/>
              </w:rPr>
            </w:pPr>
            <w:r>
              <w:rPr>
                <w:sz w:val="20"/>
                <w:szCs w:val="20"/>
              </w:rPr>
              <w:t>7 296,02</w:t>
            </w:r>
          </w:p>
        </w:tc>
        <w:tc>
          <w:tcPr>
            <w:tcW w:w="1134" w:type="dxa"/>
            <w:tcBorders>
              <w:top w:val="nil"/>
              <w:left w:val="nil"/>
              <w:bottom w:val="single" w:sz="4" w:space="0" w:color="auto"/>
              <w:right w:val="single" w:sz="4" w:space="0" w:color="auto"/>
            </w:tcBorders>
            <w:noWrap/>
            <w:vAlign w:val="center"/>
            <w:hideMark/>
          </w:tcPr>
          <w:p w:rsidR="000E6A73" w:rsidRDefault="000E6A73" w:rsidP="00F93C07">
            <w:pPr>
              <w:spacing w:after="0" w:line="240" w:lineRule="auto"/>
              <w:jc w:val="right"/>
              <w:rPr>
                <w:sz w:val="20"/>
                <w:szCs w:val="20"/>
              </w:rPr>
            </w:pPr>
            <w:r>
              <w:rPr>
                <w:sz w:val="20"/>
                <w:szCs w:val="20"/>
              </w:rPr>
              <w:t>8 364,56</w:t>
            </w:r>
          </w:p>
        </w:tc>
        <w:tc>
          <w:tcPr>
            <w:tcW w:w="1134" w:type="dxa"/>
            <w:tcBorders>
              <w:top w:val="nil"/>
              <w:left w:val="nil"/>
              <w:bottom w:val="single" w:sz="4" w:space="0" w:color="auto"/>
              <w:right w:val="single" w:sz="4" w:space="0" w:color="auto"/>
            </w:tcBorders>
            <w:vAlign w:val="center"/>
            <w:hideMark/>
          </w:tcPr>
          <w:p w:rsidR="000E6A73" w:rsidRDefault="000E6A73" w:rsidP="00F93C07">
            <w:pPr>
              <w:spacing w:after="0" w:line="240" w:lineRule="auto"/>
              <w:jc w:val="center"/>
              <w:rPr>
                <w:sz w:val="20"/>
                <w:szCs w:val="20"/>
              </w:rPr>
            </w:pPr>
            <w:r>
              <w:rPr>
                <w:sz w:val="20"/>
                <w:szCs w:val="20"/>
              </w:rPr>
              <w:t>7 812,74</w:t>
            </w:r>
          </w:p>
        </w:tc>
      </w:tr>
      <w:tr w:rsidR="000E6A73" w:rsidTr="00301AE6">
        <w:trPr>
          <w:trHeight w:val="300"/>
        </w:trPr>
        <w:tc>
          <w:tcPr>
            <w:tcW w:w="655" w:type="dxa"/>
            <w:tcBorders>
              <w:top w:val="nil"/>
              <w:left w:val="single" w:sz="4" w:space="0" w:color="auto"/>
              <w:bottom w:val="single" w:sz="4" w:space="0" w:color="auto"/>
              <w:right w:val="single" w:sz="4" w:space="0" w:color="auto"/>
            </w:tcBorders>
            <w:noWrap/>
            <w:vAlign w:val="center"/>
            <w:hideMark/>
          </w:tcPr>
          <w:p w:rsidR="000E6A73" w:rsidRDefault="000E6A73" w:rsidP="00F93C07">
            <w:pPr>
              <w:spacing w:after="0" w:line="240" w:lineRule="auto"/>
              <w:jc w:val="center"/>
              <w:rPr>
                <w:b/>
                <w:bCs/>
                <w:sz w:val="20"/>
                <w:szCs w:val="20"/>
              </w:rPr>
            </w:pPr>
            <w:r>
              <w:rPr>
                <w:b/>
                <w:bCs/>
                <w:sz w:val="20"/>
                <w:szCs w:val="20"/>
              </w:rPr>
              <w:t>6</w:t>
            </w:r>
          </w:p>
        </w:tc>
        <w:tc>
          <w:tcPr>
            <w:tcW w:w="2181" w:type="dxa"/>
            <w:tcBorders>
              <w:top w:val="nil"/>
              <w:left w:val="nil"/>
              <w:bottom w:val="single" w:sz="4" w:space="0" w:color="auto"/>
              <w:right w:val="single" w:sz="4" w:space="0" w:color="auto"/>
            </w:tcBorders>
            <w:noWrap/>
            <w:vAlign w:val="center"/>
            <w:hideMark/>
          </w:tcPr>
          <w:p w:rsidR="000E6A73" w:rsidRDefault="000E6A73" w:rsidP="00F93C07">
            <w:pPr>
              <w:spacing w:after="0" w:line="240" w:lineRule="auto"/>
              <w:rPr>
                <w:b/>
                <w:bCs/>
                <w:sz w:val="20"/>
                <w:szCs w:val="20"/>
              </w:rPr>
            </w:pPr>
            <w:r>
              <w:rPr>
                <w:b/>
                <w:bCs/>
                <w:sz w:val="20"/>
                <w:szCs w:val="20"/>
              </w:rPr>
              <w:t>Отпуск питьевой воды</w:t>
            </w:r>
          </w:p>
        </w:tc>
        <w:tc>
          <w:tcPr>
            <w:tcW w:w="850" w:type="dxa"/>
            <w:tcBorders>
              <w:top w:val="nil"/>
              <w:left w:val="nil"/>
              <w:bottom w:val="single" w:sz="4" w:space="0" w:color="auto"/>
              <w:right w:val="single" w:sz="4" w:space="0" w:color="auto"/>
            </w:tcBorders>
            <w:noWrap/>
            <w:vAlign w:val="center"/>
          </w:tcPr>
          <w:p w:rsidR="000E6A73" w:rsidRDefault="000E6A73" w:rsidP="00F93C07">
            <w:pPr>
              <w:spacing w:after="0" w:line="240" w:lineRule="auto"/>
              <w:jc w:val="center"/>
              <w:rPr>
                <w:b/>
                <w:sz w:val="20"/>
                <w:szCs w:val="20"/>
              </w:rPr>
            </w:pPr>
          </w:p>
        </w:tc>
        <w:tc>
          <w:tcPr>
            <w:tcW w:w="1134" w:type="dxa"/>
            <w:tcBorders>
              <w:top w:val="nil"/>
              <w:left w:val="nil"/>
              <w:bottom w:val="single" w:sz="4" w:space="0" w:color="auto"/>
              <w:right w:val="single" w:sz="4" w:space="0" w:color="auto"/>
            </w:tcBorders>
            <w:noWrap/>
            <w:vAlign w:val="bottom"/>
            <w:hideMark/>
          </w:tcPr>
          <w:p w:rsidR="000E6A73" w:rsidRDefault="000E6A73" w:rsidP="00F93C07">
            <w:pPr>
              <w:spacing w:after="0" w:line="240" w:lineRule="auto"/>
              <w:jc w:val="right"/>
              <w:rPr>
                <w:sz w:val="20"/>
                <w:szCs w:val="20"/>
              </w:rPr>
            </w:pPr>
            <w:r>
              <w:rPr>
                <w:sz w:val="20"/>
                <w:szCs w:val="20"/>
              </w:rPr>
              <w:t> </w:t>
            </w:r>
          </w:p>
        </w:tc>
        <w:tc>
          <w:tcPr>
            <w:tcW w:w="1134" w:type="dxa"/>
            <w:tcBorders>
              <w:top w:val="nil"/>
              <w:left w:val="nil"/>
              <w:bottom w:val="single" w:sz="4" w:space="0" w:color="auto"/>
              <w:right w:val="single" w:sz="4" w:space="0" w:color="auto"/>
            </w:tcBorders>
            <w:noWrap/>
            <w:vAlign w:val="bottom"/>
            <w:hideMark/>
          </w:tcPr>
          <w:p w:rsidR="000E6A73" w:rsidRDefault="000E6A73" w:rsidP="00F93C07">
            <w:pPr>
              <w:spacing w:after="0" w:line="240" w:lineRule="auto"/>
              <w:jc w:val="right"/>
              <w:rPr>
                <w:sz w:val="20"/>
                <w:szCs w:val="20"/>
              </w:rPr>
            </w:pPr>
            <w:r>
              <w:rPr>
                <w:sz w:val="20"/>
                <w:szCs w:val="20"/>
              </w:rPr>
              <w:t> </w:t>
            </w:r>
          </w:p>
        </w:tc>
        <w:tc>
          <w:tcPr>
            <w:tcW w:w="1134" w:type="dxa"/>
            <w:tcBorders>
              <w:top w:val="nil"/>
              <w:left w:val="nil"/>
              <w:bottom w:val="single" w:sz="4" w:space="0" w:color="auto"/>
              <w:right w:val="single" w:sz="4" w:space="0" w:color="auto"/>
            </w:tcBorders>
            <w:noWrap/>
            <w:vAlign w:val="bottom"/>
            <w:hideMark/>
          </w:tcPr>
          <w:p w:rsidR="000E6A73" w:rsidRDefault="000E6A73" w:rsidP="00F93C07">
            <w:pPr>
              <w:spacing w:after="0" w:line="240" w:lineRule="auto"/>
              <w:jc w:val="right"/>
              <w:rPr>
                <w:sz w:val="20"/>
                <w:szCs w:val="20"/>
              </w:rPr>
            </w:pPr>
            <w:r>
              <w:rPr>
                <w:sz w:val="20"/>
                <w:szCs w:val="20"/>
              </w:rPr>
              <w:t> </w:t>
            </w:r>
          </w:p>
        </w:tc>
        <w:tc>
          <w:tcPr>
            <w:tcW w:w="1134" w:type="dxa"/>
            <w:tcBorders>
              <w:top w:val="single" w:sz="4" w:space="0" w:color="auto"/>
              <w:left w:val="nil"/>
              <w:bottom w:val="single" w:sz="4" w:space="0" w:color="auto"/>
              <w:right w:val="single" w:sz="4" w:space="0" w:color="auto"/>
            </w:tcBorders>
          </w:tcPr>
          <w:p w:rsidR="000E6A73" w:rsidRDefault="000E6A73" w:rsidP="00F93C07">
            <w:pPr>
              <w:spacing w:after="0" w:line="240" w:lineRule="auto"/>
              <w:jc w:val="right"/>
              <w:rPr>
                <w:sz w:val="20"/>
                <w:szCs w:val="20"/>
              </w:rPr>
            </w:pPr>
          </w:p>
        </w:tc>
        <w:tc>
          <w:tcPr>
            <w:tcW w:w="1134" w:type="dxa"/>
            <w:tcBorders>
              <w:top w:val="nil"/>
              <w:left w:val="nil"/>
              <w:bottom w:val="single" w:sz="4" w:space="0" w:color="auto"/>
              <w:right w:val="single" w:sz="4" w:space="0" w:color="auto"/>
            </w:tcBorders>
            <w:noWrap/>
            <w:vAlign w:val="bottom"/>
            <w:hideMark/>
          </w:tcPr>
          <w:p w:rsidR="000E6A73" w:rsidRDefault="000E6A73" w:rsidP="00F93C07">
            <w:pPr>
              <w:spacing w:after="0" w:line="240" w:lineRule="auto"/>
              <w:rPr>
                <w:sz w:val="20"/>
                <w:szCs w:val="20"/>
              </w:rPr>
            </w:pPr>
            <w:r>
              <w:rPr>
                <w:sz w:val="20"/>
                <w:szCs w:val="20"/>
              </w:rPr>
              <w:t> </w:t>
            </w:r>
          </w:p>
        </w:tc>
        <w:tc>
          <w:tcPr>
            <w:tcW w:w="1134" w:type="dxa"/>
            <w:tcBorders>
              <w:top w:val="nil"/>
              <w:left w:val="nil"/>
              <w:bottom w:val="single" w:sz="4" w:space="0" w:color="auto"/>
              <w:right w:val="single" w:sz="4" w:space="0" w:color="auto"/>
            </w:tcBorders>
          </w:tcPr>
          <w:p w:rsidR="000E6A73" w:rsidRDefault="000E6A73" w:rsidP="00F93C07">
            <w:pPr>
              <w:spacing w:after="0" w:line="240" w:lineRule="auto"/>
              <w:rPr>
                <w:sz w:val="20"/>
                <w:szCs w:val="20"/>
              </w:rPr>
            </w:pPr>
          </w:p>
        </w:tc>
      </w:tr>
      <w:tr w:rsidR="000E6A73" w:rsidTr="00301AE6">
        <w:trPr>
          <w:trHeight w:val="300"/>
        </w:trPr>
        <w:tc>
          <w:tcPr>
            <w:tcW w:w="655" w:type="dxa"/>
            <w:tcBorders>
              <w:top w:val="nil"/>
              <w:left w:val="single" w:sz="4" w:space="0" w:color="auto"/>
              <w:bottom w:val="single" w:sz="4" w:space="0" w:color="auto"/>
              <w:right w:val="single" w:sz="4" w:space="0" w:color="auto"/>
            </w:tcBorders>
            <w:noWrap/>
            <w:vAlign w:val="center"/>
            <w:hideMark/>
          </w:tcPr>
          <w:p w:rsidR="000E6A73" w:rsidRDefault="000E6A73" w:rsidP="00F93C07">
            <w:pPr>
              <w:spacing w:after="0" w:line="240" w:lineRule="auto"/>
              <w:jc w:val="center"/>
              <w:rPr>
                <w:sz w:val="20"/>
                <w:szCs w:val="20"/>
              </w:rPr>
            </w:pPr>
            <w:r>
              <w:rPr>
                <w:sz w:val="20"/>
                <w:szCs w:val="20"/>
              </w:rPr>
              <w:t>6.1</w:t>
            </w:r>
          </w:p>
        </w:tc>
        <w:tc>
          <w:tcPr>
            <w:tcW w:w="2181" w:type="dxa"/>
            <w:tcBorders>
              <w:top w:val="nil"/>
              <w:left w:val="nil"/>
              <w:bottom w:val="single" w:sz="4" w:space="0" w:color="auto"/>
              <w:right w:val="single" w:sz="4" w:space="0" w:color="auto"/>
            </w:tcBorders>
            <w:noWrap/>
            <w:vAlign w:val="center"/>
            <w:hideMark/>
          </w:tcPr>
          <w:p w:rsidR="000E6A73" w:rsidRDefault="000E6A73" w:rsidP="00F93C07">
            <w:pPr>
              <w:spacing w:after="0" w:line="240" w:lineRule="auto"/>
              <w:rPr>
                <w:sz w:val="20"/>
                <w:szCs w:val="20"/>
              </w:rPr>
            </w:pPr>
            <w:r>
              <w:rPr>
                <w:sz w:val="20"/>
                <w:szCs w:val="20"/>
              </w:rPr>
              <w:t>Объем воды, отпущенной абонентам:</w:t>
            </w:r>
          </w:p>
        </w:tc>
        <w:tc>
          <w:tcPr>
            <w:tcW w:w="850" w:type="dxa"/>
            <w:tcBorders>
              <w:top w:val="nil"/>
              <w:left w:val="nil"/>
              <w:bottom w:val="single" w:sz="4" w:space="0" w:color="auto"/>
              <w:right w:val="single" w:sz="4" w:space="0" w:color="auto"/>
            </w:tcBorders>
            <w:noWrap/>
            <w:vAlign w:val="center"/>
            <w:hideMark/>
          </w:tcPr>
          <w:p w:rsidR="000E6A73" w:rsidRDefault="000E6A73" w:rsidP="00F93C07">
            <w:pPr>
              <w:spacing w:after="0" w:line="240" w:lineRule="auto"/>
              <w:jc w:val="center"/>
              <w:rPr>
                <w:sz w:val="20"/>
                <w:szCs w:val="20"/>
              </w:rPr>
            </w:pPr>
            <w:r>
              <w:rPr>
                <w:sz w:val="20"/>
                <w:szCs w:val="20"/>
              </w:rPr>
              <w:t xml:space="preserve">тыс. </w:t>
            </w:r>
            <w:r>
              <w:rPr>
                <w:rFonts w:eastAsia="Calibri"/>
                <w:sz w:val="20"/>
                <w:szCs w:val="20"/>
                <w:lang w:eastAsia="en-US"/>
              </w:rPr>
              <w:t>м</w:t>
            </w:r>
            <w:r>
              <w:rPr>
                <w:rFonts w:eastAsia="Calibri"/>
                <w:sz w:val="20"/>
                <w:szCs w:val="20"/>
                <w:vertAlign w:val="superscript"/>
                <w:lang w:eastAsia="en-US"/>
              </w:rPr>
              <w:t>3</w:t>
            </w:r>
          </w:p>
        </w:tc>
        <w:tc>
          <w:tcPr>
            <w:tcW w:w="1134" w:type="dxa"/>
            <w:tcBorders>
              <w:top w:val="nil"/>
              <w:left w:val="nil"/>
              <w:bottom w:val="single" w:sz="4" w:space="0" w:color="auto"/>
              <w:right w:val="single" w:sz="4" w:space="0" w:color="auto"/>
            </w:tcBorders>
            <w:noWrap/>
            <w:vAlign w:val="center"/>
            <w:hideMark/>
          </w:tcPr>
          <w:p w:rsidR="000E6A73" w:rsidRDefault="000E6A73" w:rsidP="00F93C07">
            <w:pPr>
              <w:spacing w:after="0" w:line="240" w:lineRule="auto"/>
              <w:jc w:val="right"/>
              <w:rPr>
                <w:bCs/>
                <w:sz w:val="20"/>
                <w:szCs w:val="20"/>
              </w:rPr>
            </w:pPr>
            <w:r>
              <w:rPr>
                <w:bCs/>
                <w:sz w:val="20"/>
                <w:szCs w:val="20"/>
              </w:rPr>
              <w:t>7 642,58</w:t>
            </w:r>
          </w:p>
        </w:tc>
        <w:tc>
          <w:tcPr>
            <w:tcW w:w="1134" w:type="dxa"/>
            <w:tcBorders>
              <w:top w:val="nil"/>
              <w:left w:val="nil"/>
              <w:bottom w:val="single" w:sz="4" w:space="0" w:color="auto"/>
              <w:right w:val="single" w:sz="4" w:space="0" w:color="auto"/>
            </w:tcBorders>
            <w:noWrap/>
            <w:vAlign w:val="center"/>
            <w:hideMark/>
          </w:tcPr>
          <w:p w:rsidR="000E6A73" w:rsidRDefault="000E6A73" w:rsidP="00F93C07">
            <w:pPr>
              <w:spacing w:after="0" w:line="240" w:lineRule="auto"/>
              <w:jc w:val="right"/>
              <w:rPr>
                <w:bCs/>
                <w:sz w:val="20"/>
                <w:szCs w:val="20"/>
              </w:rPr>
            </w:pPr>
            <w:r>
              <w:rPr>
                <w:bCs/>
                <w:sz w:val="20"/>
                <w:szCs w:val="20"/>
              </w:rPr>
              <w:t>7 578,60</w:t>
            </w:r>
          </w:p>
        </w:tc>
        <w:tc>
          <w:tcPr>
            <w:tcW w:w="1134" w:type="dxa"/>
            <w:tcBorders>
              <w:top w:val="nil"/>
              <w:left w:val="nil"/>
              <w:bottom w:val="single" w:sz="4" w:space="0" w:color="auto"/>
              <w:right w:val="single" w:sz="4" w:space="0" w:color="auto"/>
            </w:tcBorders>
            <w:noWrap/>
            <w:vAlign w:val="center"/>
            <w:hideMark/>
          </w:tcPr>
          <w:p w:rsidR="000E6A73" w:rsidRDefault="000E6A73" w:rsidP="00F93C07">
            <w:pPr>
              <w:spacing w:after="0" w:line="240" w:lineRule="auto"/>
              <w:jc w:val="right"/>
              <w:rPr>
                <w:bCs/>
                <w:sz w:val="20"/>
                <w:szCs w:val="20"/>
              </w:rPr>
            </w:pPr>
            <w:r>
              <w:rPr>
                <w:bCs/>
                <w:sz w:val="20"/>
                <w:szCs w:val="20"/>
              </w:rPr>
              <w:t>7 309,59</w:t>
            </w:r>
          </w:p>
        </w:tc>
        <w:tc>
          <w:tcPr>
            <w:tcW w:w="1134" w:type="dxa"/>
            <w:tcBorders>
              <w:top w:val="single" w:sz="4" w:space="0" w:color="auto"/>
              <w:left w:val="nil"/>
              <w:bottom w:val="single" w:sz="4" w:space="0" w:color="auto"/>
              <w:right w:val="single" w:sz="4" w:space="0" w:color="auto"/>
            </w:tcBorders>
            <w:vAlign w:val="center"/>
            <w:hideMark/>
          </w:tcPr>
          <w:p w:rsidR="000E6A73" w:rsidRDefault="000E6A73" w:rsidP="00F93C07">
            <w:pPr>
              <w:spacing w:after="0" w:line="240" w:lineRule="auto"/>
              <w:jc w:val="center"/>
              <w:rPr>
                <w:bCs/>
                <w:sz w:val="20"/>
                <w:szCs w:val="20"/>
              </w:rPr>
            </w:pPr>
            <w:r>
              <w:rPr>
                <w:bCs/>
                <w:sz w:val="20"/>
                <w:szCs w:val="20"/>
              </w:rPr>
              <w:t>7 296,02</w:t>
            </w:r>
          </w:p>
        </w:tc>
        <w:tc>
          <w:tcPr>
            <w:tcW w:w="1134" w:type="dxa"/>
            <w:tcBorders>
              <w:top w:val="nil"/>
              <w:left w:val="nil"/>
              <w:bottom w:val="single" w:sz="4" w:space="0" w:color="auto"/>
              <w:right w:val="single" w:sz="4" w:space="0" w:color="auto"/>
            </w:tcBorders>
            <w:noWrap/>
            <w:vAlign w:val="center"/>
            <w:hideMark/>
          </w:tcPr>
          <w:p w:rsidR="000E6A73" w:rsidRDefault="000E6A73" w:rsidP="00F93C07">
            <w:pPr>
              <w:spacing w:after="0" w:line="240" w:lineRule="auto"/>
              <w:jc w:val="right"/>
              <w:rPr>
                <w:bCs/>
                <w:sz w:val="20"/>
                <w:szCs w:val="20"/>
              </w:rPr>
            </w:pPr>
            <w:r>
              <w:rPr>
                <w:bCs/>
                <w:sz w:val="20"/>
                <w:szCs w:val="20"/>
              </w:rPr>
              <w:t>8 364,56</w:t>
            </w:r>
          </w:p>
        </w:tc>
        <w:tc>
          <w:tcPr>
            <w:tcW w:w="1134" w:type="dxa"/>
            <w:tcBorders>
              <w:top w:val="nil"/>
              <w:left w:val="nil"/>
              <w:bottom w:val="single" w:sz="4" w:space="0" w:color="auto"/>
              <w:right w:val="single" w:sz="4" w:space="0" w:color="auto"/>
            </w:tcBorders>
            <w:vAlign w:val="center"/>
            <w:hideMark/>
          </w:tcPr>
          <w:p w:rsidR="000E6A73" w:rsidRDefault="000E6A73" w:rsidP="00F93C07">
            <w:pPr>
              <w:spacing w:after="0" w:line="240" w:lineRule="auto"/>
              <w:jc w:val="center"/>
              <w:rPr>
                <w:bCs/>
                <w:sz w:val="20"/>
                <w:szCs w:val="20"/>
              </w:rPr>
            </w:pPr>
            <w:r>
              <w:rPr>
                <w:bCs/>
                <w:sz w:val="20"/>
                <w:szCs w:val="20"/>
              </w:rPr>
              <w:t>7 812,74</w:t>
            </w:r>
          </w:p>
        </w:tc>
      </w:tr>
      <w:tr w:rsidR="000E6A73" w:rsidTr="00301AE6">
        <w:trPr>
          <w:trHeight w:val="300"/>
        </w:trPr>
        <w:tc>
          <w:tcPr>
            <w:tcW w:w="655" w:type="dxa"/>
            <w:tcBorders>
              <w:top w:val="nil"/>
              <w:left w:val="single" w:sz="4" w:space="0" w:color="auto"/>
              <w:bottom w:val="single" w:sz="4" w:space="0" w:color="auto"/>
              <w:right w:val="single" w:sz="4" w:space="0" w:color="auto"/>
            </w:tcBorders>
            <w:noWrap/>
            <w:vAlign w:val="center"/>
            <w:hideMark/>
          </w:tcPr>
          <w:p w:rsidR="000E6A73" w:rsidRDefault="000E6A73" w:rsidP="00F93C07">
            <w:pPr>
              <w:spacing w:after="0" w:line="240" w:lineRule="auto"/>
              <w:jc w:val="center"/>
              <w:rPr>
                <w:sz w:val="20"/>
                <w:szCs w:val="20"/>
              </w:rPr>
            </w:pPr>
            <w:r>
              <w:rPr>
                <w:sz w:val="20"/>
                <w:szCs w:val="20"/>
              </w:rPr>
              <w:t>6.1.1</w:t>
            </w:r>
          </w:p>
        </w:tc>
        <w:tc>
          <w:tcPr>
            <w:tcW w:w="2181" w:type="dxa"/>
            <w:tcBorders>
              <w:top w:val="nil"/>
              <w:left w:val="nil"/>
              <w:bottom w:val="single" w:sz="4" w:space="0" w:color="auto"/>
              <w:right w:val="single" w:sz="4" w:space="0" w:color="auto"/>
            </w:tcBorders>
            <w:noWrap/>
            <w:vAlign w:val="center"/>
            <w:hideMark/>
          </w:tcPr>
          <w:p w:rsidR="000E6A73" w:rsidRDefault="000E6A73" w:rsidP="00F93C07">
            <w:pPr>
              <w:spacing w:after="0" w:line="240" w:lineRule="auto"/>
              <w:rPr>
                <w:sz w:val="20"/>
                <w:szCs w:val="20"/>
              </w:rPr>
            </w:pPr>
            <w:r>
              <w:rPr>
                <w:sz w:val="20"/>
                <w:szCs w:val="20"/>
              </w:rPr>
              <w:t>по приборам учета</w:t>
            </w:r>
          </w:p>
        </w:tc>
        <w:tc>
          <w:tcPr>
            <w:tcW w:w="850" w:type="dxa"/>
            <w:tcBorders>
              <w:top w:val="nil"/>
              <w:left w:val="nil"/>
              <w:bottom w:val="single" w:sz="4" w:space="0" w:color="auto"/>
              <w:right w:val="single" w:sz="4" w:space="0" w:color="auto"/>
            </w:tcBorders>
            <w:noWrap/>
            <w:vAlign w:val="center"/>
            <w:hideMark/>
          </w:tcPr>
          <w:p w:rsidR="000E6A73" w:rsidRDefault="000E6A73" w:rsidP="00F93C07">
            <w:pPr>
              <w:spacing w:after="0" w:line="240" w:lineRule="auto"/>
              <w:jc w:val="center"/>
              <w:rPr>
                <w:sz w:val="20"/>
                <w:szCs w:val="20"/>
              </w:rPr>
            </w:pPr>
            <w:r>
              <w:rPr>
                <w:sz w:val="20"/>
                <w:szCs w:val="20"/>
              </w:rPr>
              <w:t xml:space="preserve">тыс. </w:t>
            </w:r>
            <w:r>
              <w:rPr>
                <w:rFonts w:eastAsia="Calibri"/>
                <w:sz w:val="20"/>
                <w:szCs w:val="20"/>
                <w:lang w:eastAsia="en-US"/>
              </w:rPr>
              <w:t>м</w:t>
            </w:r>
            <w:r>
              <w:rPr>
                <w:rFonts w:eastAsia="Calibri"/>
                <w:sz w:val="20"/>
                <w:szCs w:val="20"/>
                <w:vertAlign w:val="superscript"/>
                <w:lang w:eastAsia="en-US"/>
              </w:rPr>
              <w:t>3</w:t>
            </w:r>
          </w:p>
        </w:tc>
        <w:tc>
          <w:tcPr>
            <w:tcW w:w="1134" w:type="dxa"/>
            <w:tcBorders>
              <w:top w:val="nil"/>
              <w:left w:val="nil"/>
              <w:bottom w:val="single" w:sz="4" w:space="0" w:color="auto"/>
              <w:right w:val="single" w:sz="4" w:space="0" w:color="auto"/>
            </w:tcBorders>
            <w:noWrap/>
            <w:vAlign w:val="center"/>
            <w:hideMark/>
          </w:tcPr>
          <w:p w:rsidR="000E6A73" w:rsidRDefault="000E6A73" w:rsidP="00F93C07">
            <w:pPr>
              <w:spacing w:after="0" w:line="240" w:lineRule="auto"/>
              <w:jc w:val="center"/>
              <w:rPr>
                <w:sz w:val="20"/>
                <w:szCs w:val="20"/>
              </w:rPr>
            </w:pPr>
            <w:r>
              <w:rPr>
                <w:sz w:val="20"/>
                <w:szCs w:val="20"/>
              </w:rPr>
              <w:t>4 099,30</w:t>
            </w:r>
          </w:p>
        </w:tc>
        <w:tc>
          <w:tcPr>
            <w:tcW w:w="1134" w:type="dxa"/>
            <w:tcBorders>
              <w:top w:val="nil"/>
              <w:left w:val="nil"/>
              <w:bottom w:val="single" w:sz="4" w:space="0" w:color="auto"/>
              <w:right w:val="single" w:sz="4" w:space="0" w:color="auto"/>
            </w:tcBorders>
            <w:noWrap/>
            <w:vAlign w:val="center"/>
            <w:hideMark/>
          </w:tcPr>
          <w:p w:rsidR="000E6A73" w:rsidRDefault="000E6A73" w:rsidP="00F93C07">
            <w:pPr>
              <w:spacing w:after="0" w:line="240" w:lineRule="auto"/>
              <w:jc w:val="center"/>
              <w:rPr>
                <w:sz w:val="20"/>
                <w:szCs w:val="20"/>
              </w:rPr>
            </w:pPr>
            <w:r>
              <w:rPr>
                <w:sz w:val="20"/>
                <w:szCs w:val="20"/>
              </w:rPr>
              <w:t>6 436,38</w:t>
            </w:r>
          </w:p>
        </w:tc>
        <w:tc>
          <w:tcPr>
            <w:tcW w:w="1134" w:type="dxa"/>
            <w:tcBorders>
              <w:top w:val="nil"/>
              <w:left w:val="nil"/>
              <w:bottom w:val="single" w:sz="4" w:space="0" w:color="auto"/>
              <w:right w:val="single" w:sz="4" w:space="0" w:color="auto"/>
            </w:tcBorders>
            <w:noWrap/>
            <w:vAlign w:val="center"/>
            <w:hideMark/>
          </w:tcPr>
          <w:p w:rsidR="000E6A73" w:rsidRDefault="000E6A73" w:rsidP="00F93C07">
            <w:pPr>
              <w:spacing w:after="0" w:line="240" w:lineRule="auto"/>
              <w:jc w:val="center"/>
              <w:rPr>
                <w:sz w:val="20"/>
                <w:szCs w:val="20"/>
              </w:rPr>
            </w:pPr>
            <w:r>
              <w:rPr>
                <w:sz w:val="20"/>
                <w:szCs w:val="20"/>
              </w:rPr>
              <w:t>6 071,65</w:t>
            </w:r>
          </w:p>
        </w:tc>
        <w:tc>
          <w:tcPr>
            <w:tcW w:w="1134" w:type="dxa"/>
            <w:tcBorders>
              <w:top w:val="single" w:sz="4" w:space="0" w:color="auto"/>
              <w:left w:val="nil"/>
              <w:bottom w:val="single" w:sz="4" w:space="0" w:color="auto"/>
              <w:right w:val="single" w:sz="4" w:space="0" w:color="auto"/>
            </w:tcBorders>
            <w:vAlign w:val="center"/>
            <w:hideMark/>
          </w:tcPr>
          <w:p w:rsidR="000E6A73" w:rsidRDefault="000E6A73" w:rsidP="00F93C07">
            <w:pPr>
              <w:spacing w:after="0" w:line="240" w:lineRule="auto"/>
              <w:jc w:val="center"/>
              <w:rPr>
                <w:sz w:val="20"/>
                <w:szCs w:val="20"/>
              </w:rPr>
            </w:pPr>
            <w:r>
              <w:rPr>
                <w:sz w:val="20"/>
                <w:szCs w:val="20"/>
              </w:rPr>
              <w:t>6 067,26</w:t>
            </w:r>
          </w:p>
        </w:tc>
        <w:tc>
          <w:tcPr>
            <w:tcW w:w="1134" w:type="dxa"/>
            <w:tcBorders>
              <w:top w:val="nil"/>
              <w:left w:val="nil"/>
              <w:bottom w:val="single" w:sz="4" w:space="0" w:color="auto"/>
              <w:right w:val="single" w:sz="4" w:space="0" w:color="auto"/>
            </w:tcBorders>
            <w:noWrap/>
            <w:vAlign w:val="center"/>
            <w:hideMark/>
          </w:tcPr>
          <w:p w:rsidR="000E6A73" w:rsidRDefault="000E6A73" w:rsidP="00F93C07">
            <w:pPr>
              <w:spacing w:after="0" w:line="240" w:lineRule="auto"/>
              <w:rPr>
                <w:sz w:val="20"/>
                <w:szCs w:val="20"/>
              </w:rPr>
            </w:pPr>
          </w:p>
        </w:tc>
        <w:tc>
          <w:tcPr>
            <w:tcW w:w="1134" w:type="dxa"/>
            <w:tcBorders>
              <w:top w:val="nil"/>
              <w:left w:val="nil"/>
              <w:bottom w:val="single" w:sz="4" w:space="0" w:color="auto"/>
              <w:right w:val="single" w:sz="4" w:space="0" w:color="auto"/>
            </w:tcBorders>
            <w:vAlign w:val="center"/>
            <w:hideMark/>
          </w:tcPr>
          <w:p w:rsidR="000E6A73" w:rsidRDefault="000E6A73" w:rsidP="00F93C07">
            <w:pPr>
              <w:spacing w:after="0" w:line="240" w:lineRule="auto"/>
              <w:jc w:val="center"/>
              <w:rPr>
                <w:sz w:val="20"/>
                <w:szCs w:val="20"/>
              </w:rPr>
            </w:pPr>
            <w:r>
              <w:rPr>
                <w:sz w:val="20"/>
                <w:szCs w:val="20"/>
              </w:rPr>
              <w:t>6 496,95</w:t>
            </w:r>
          </w:p>
        </w:tc>
      </w:tr>
      <w:tr w:rsidR="000E6A73" w:rsidTr="00301AE6">
        <w:trPr>
          <w:trHeight w:val="300"/>
        </w:trPr>
        <w:tc>
          <w:tcPr>
            <w:tcW w:w="655" w:type="dxa"/>
            <w:tcBorders>
              <w:top w:val="nil"/>
              <w:left w:val="single" w:sz="4" w:space="0" w:color="auto"/>
              <w:bottom w:val="single" w:sz="4" w:space="0" w:color="auto"/>
              <w:right w:val="single" w:sz="4" w:space="0" w:color="auto"/>
            </w:tcBorders>
            <w:noWrap/>
            <w:vAlign w:val="center"/>
            <w:hideMark/>
          </w:tcPr>
          <w:p w:rsidR="000E6A73" w:rsidRDefault="000E6A73" w:rsidP="00F93C07">
            <w:pPr>
              <w:spacing w:after="0" w:line="240" w:lineRule="auto"/>
              <w:jc w:val="center"/>
              <w:rPr>
                <w:sz w:val="20"/>
                <w:szCs w:val="20"/>
              </w:rPr>
            </w:pPr>
            <w:r>
              <w:rPr>
                <w:sz w:val="20"/>
                <w:szCs w:val="20"/>
              </w:rPr>
              <w:t>6.1.2</w:t>
            </w:r>
          </w:p>
        </w:tc>
        <w:tc>
          <w:tcPr>
            <w:tcW w:w="2181" w:type="dxa"/>
            <w:tcBorders>
              <w:top w:val="nil"/>
              <w:left w:val="nil"/>
              <w:bottom w:val="single" w:sz="4" w:space="0" w:color="auto"/>
              <w:right w:val="single" w:sz="4" w:space="0" w:color="auto"/>
            </w:tcBorders>
            <w:noWrap/>
            <w:vAlign w:val="center"/>
            <w:hideMark/>
          </w:tcPr>
          <w:p w:rsidR="000E6A73" w:rsidRDefault="000E6A73" w:rsidP="00F93C07">
            <w:pPr>
              <w:spacing w:after="0" w:line="240" w:lineRule="auto"/>
              <w:rPr>
                <w:sz w:val="20"/>
                <w:szCs w:val="20"/>
              </w:rPr>
            </w:pPr>
            <w:r>
              <w:rPr>
                <w:sz w:val="20"/>
                <w:szCs w:val="20"/>
              </w:rPr>
              <w:t>по нормативам</w:t>
            </w:r>
          </w:p>
        </w:tc>
        <w:tc>
          <w:tcPr>
            <w:tcW w:w="850" w:type="dxa"/>
            <w:tcBorders>
              <w:top w:val="nil"/>
              <w:left w:val="nil"/>
              <w:bottom w:val="single" w:sz="4" w:space="0" w:color="auto"/>
              <w:right w:val="single" w:sz="4" w:space="0" w:color="auto"/>
            </w:tcBorders>
            <w:noWrap/>
            <w:vAlign w:val="center"/>
            <w:hideMark/>
          </w:tcPr>
          <w:p w:rsidR="000E6A73" w:rsidRDefault="000E6A73" w:rsidP="00F93C07">
            <w:pPr>
              <w:spacing w:after="0" w:line="240" w:lineRule="auto"/>
              <w:jc w:val="center"/>
              <w:rPr>
                <w:sz w:val="20"/>
                <w:szCs w:val="20"/>
              </w:rPr>
            </w:pPr>
            <w:r>
              <w:rPr>
                <w:sz w:val="20"/>
                <w:szCs w:val="20"/>
              </w:rPr>
              <w:t xml:space="preserve">тыс. </w:t>
            </w:r>
            <w:r>
              <w:rPr>
                <w:rFonts w:eastAsia="Calibri"/>
                <w:sz w:val="20"/>
                <w:szCs w:val="20"/>
                <w:lang w:eastAsia="en-US"/>
              </w:rPr>
              <w:t>м</w:t>
            </w:r>
            <w:r>
              <w:rPr>
                <w:rFonts w:eastAsia="Calibri"/>
                <w:sz w:val="20"/>
                <w:szCs w:val="20"/>
                <w:vertAlign w:val="superscript"/>
                <w:lang w:eastAsia="en-US"/>
              </w:rPr>
              <w:t>3</w:t>
            </w:r>
          </w:p>
        </w:tc>
        <w:tc>
          <w:tcPr>
            <w:tcW w:w="1134" w:type="dxa"/>
            <w:tcBorders>
              <w:top w:val="nil"/>
              <w:left w:val="nil"/>
              <w:bottom w:val="single" w:sz="4" w:space="0" w:color="auto"/>
              <w:right w:val="single" w:sz="4" w:space="0" w:color="auto"/>
            </w:tcBorders>
            <w:noWrap/>
            <w:vAlign w:val="center"/>
            <w:hideMark/>
          </w:tcPr>
          <w:p w:rsidR="000E6A73" w:rsidRDefault="000E6A73" w:rsidP="00F93C07">
            <w:pPr>
              <w:spacing w:after="0" w:line="240" w:lineRule="auto"/>
              <w:jc w:val="center"/>
              <w:rPr>
                <w:sz w:val="20"/>
                <w:szCs w:val="20"/>
              </w:rPr>
            </w:pPr>
            <w:r>
              <w:rPr>
                <w:sz w:val="20"/>
                <w:szCs w:val="20"/>
              </w:rPr>
              <w:t>3 543,29</w:t>
            </w:r>
          </w:p>
        </w:tc>
        <w:tc>
          <w:tcPr>
            <w:tcW w:w="1134" w:type="dxa"/>
            <w:tcBorders>
              <w:top w:val="nil"/>
              <w:left w:val="nil"/>
              <w:bottom w:val="single" w:sz="4" w:space="0" w:color="auto"/>
              <w:right w:val="single" w:sz="4" w:space="0" w:color="auto"/>
            </w:tcBorders>
            <w:noWrap/>
            <w:vAlign w:val="center"/>
            <w:hideMark/>
          </w:tcPr>
          <w:p w:rsidR="000E6A73" w:rsidRDefault="000E6A73" w:rsidP="00F93C07">
            <w:pPr>
              <w:spacing w:after="0" w:line="240" w:lineRule="auto"/>
              <w:jc w:val="center"/>
              <w:rPr>
                <w:sz w:val="20"/>
                <w:szCs w:val="20"/>
              </w:rPr>
            </w:pPr>
            <w:r>
              <w:rPr>
                <w:sz w:val="20"/>
                <w:szCs w:val="20"/>
              </w:rPr>
              <w:t>1 142,21</w:t>
            </w:r>
          </w:p>
        </w:tc>
        <w:tc>
          <w:tcPr>
            <w:tcW w:w="1134" w:type="dxa"/>
            <w:tcBorders>
              <w:top w:val="nil"/>
              <w:left w:val="nil"/>
              <w:bottom w:val="single" w:sz="4" w:space="0" w:color="auto"/>
              <w:right w:val="single" w:sz="4" w:space="0" w:color="auto"/>
            </w:tcBorders>
            <w:noWrap/>
            <w:vAlign w:val="center"/>
            <w:hideMark/>
          </w:tcPr>
          <w:p w:rsidR="000E6A73" w:rsidRDefault="000E6A73" w:rsidP="00F93C07">
            <w:pPr>
              <w:spacing w:after="0" w:line="240" w:lineRule="auto"/>
              <w:jc w:val="center"/>
              <w:rPr>
                <w:sz w:val="20"/>
                <w:szCs w:val="20"/>
              </w:rPr>
            </w:pPr>
            <w:r>
              <w:rPr>
                <w:sz w:val="20"/>
                <w:szCs w:val="20"/>
              </w:rPr>
              <w:t>1 237,94</w:t>
            </w:r>
          </w:p>
        </w:tc>
        <w:tc>
          <w:tcPr>
            <w:tcW w:w="1134" w:type="dxa"/>
            <w:tcBorders>
              <w:top w:val="single" w:sz="4" w:space="0" w:color="auto"/>
              <w:left w:val="nil"/>
              <w:bottom w:val="single" w:sz="4" w:space="0" w:color="auto"/>
              <w:right w:val="single" w:sz="4" w:space="0" w:color="auto"/>
            </w:tcBorders>
            <w:vAlign w:val="center"/>
            <w:hideMark/>
          </w:tcPr>
          <w:p w:rsidR="000E6A73" w:rsidRDefault="000E6A73" w:rsidP="00F93C07">
            <w:pPr>
              <w:spacing w:after="0" w:line="240" w:lineRule="auto"/>
              <w:jc w:val="center"/>
              <w:rPr>
                <w:sz w:val="20"/>
                <w:szCs w:val="20"/>
              </w:rPr>
            </w:pPr>
            <w:r>
              <w:rPr>
                <w:sz w:val="20"/>
                <w:szCs w:val="20"/>
              </w:rPr>
              <w:t>1 228,75</w:t>
            </w:r>
          </w:p>
        </w:tc>
        <w:tc>
          <w:tcPr>
            <w:tcW w:w="1134" w:type="dxa"/>
            <w:tcBorders>
              <w:top w:val="nil"/>
              <w:left w:val="nil"/>
              <w:bottom w:val="single" w:sz="4" w:space="0" w:color="auto"/>
              <w:right w:val="single" w:sz="4" w:space="0" w:color="auto"/>
            </w:tcBorders>
            <w:noWrap/>
            <w:vAlign w:val="center"/>
            <w:hideMark/>
          </w:tcPr>
          <w:p w:rsidR="000E6A73" w:rsidRDefault="000E6A73" w:rsidP="00F93C07">
            <w:pPr>
              <w:spacing w:after="0" w:line="240" w:lineRule="auto"/>
              <w:rPr>
                <w:sz w:val="20"/>
                <w:szCs w:val="20"/>
              </w:rPr>
            </w:pPr>
          </w:p>
        </w:tc>
        <w:tc>
          <w:tcPr>
            <w:tcW w:w="1134" w:type="dxa"/>
            <w:tcBorders>
              <w:top w:val="nil"/>
              <w:left w:val="nil"/>
              <w:bottom w:val="single" w:sz="4" w:space="0" w:color="auto"/>
              <w:right w:val="single" w:sz="4" w:space="0" w:color="auto"/>
            </w:tcBorders>
            <w:vAlign w:val="center"/>
            <w:hideMark/>
          </w:tcPr>
          <w:p w:rsidR="000E6A73" w:rsidRDefault="000E6A73" w:rsidP="00F93C07">
            <w:pPr>
              <w:spacing w:after="0" w:line="240" w:lineRule="auto"/>
              <w:jc w:val="center"/>
              <w:rPr>
                <w:sz w:val="20"/>
                <w:szCs w:val="20"/>
              </w:rPr>
            </w:pPr>
            <w:r>
              <w:rPr>
                <w:sz w:val="20"/>
                <w:szCs w:val="20"/>
              </w:rPr>
              <w:t>1 315,78</w:t>
            </w:r>
          </w:p>
        </w:tc>
      </w:tr>
      <w:tr w:rsidR="000E6A73" w:rsidTr="00301AE6">
        <w:trPr>
          <w:trHeight w:val="285"/>
        </w:trPr>
        <w:tc>
          <w:tcPr>
            <w:tcW w:w="655" w:type="dxa"/>
            <w:tcBorders>
              <w:top w:val="single" w:sz="4" w:space="0" w:color="auto"/>
              <w:left w:val="single" w:sz="4" w:space="0" w:color="auto"/>
              <w:bottom w:val="single" w:sz="4" w:space="0" w:color="auto"/>
              <w:right w:val="single" w:sz="4" w:space="0" w:color="auto"/>
            </w:tcBorders>
            <w:noWrap/>
            <w:vAlign w:val="center"/>
            <w:hideMark/>
          </w:tcPr>
          <w:p w:rsidR="000E6A73" w:rsidRDefault="000E6A73" w:rsidP="00F93C07">
            <w:pPr>
              <w:spacing w:after="0" w:line="240" w:lineRule="auto"/>
              <w:jc w:val="center"/>
              <w:rPr>
                <w:b/>
                <w:bCs/>
                <w:sz w:val="20"/>
                <w:szCs w:val="20"/>
              </w:rPr>
            </w:pPr>
            <w:r>
              <w:rPr>
                <w:b/>
                <w:bCs/>
                <w:sz w:val="20"/>
                <w:szCs w:val="20"/>
              </w:rPr>
              <w:t>6.4</w:t>
            </w:r>
          </w:p>
        </w:tc>
        <w:tc>
          <w:tcPr>
            <w:tcW w:w="2181" w:type="dxa"/>
            <w:tcBorders>
              <w:top w:val="single" w:sz="4" w:space="0" w:color="auto"/>
              <w:left w:val="nil"/>
              <w:bottom w:val="single" w:sz="4" w:space="0" w:color="auto"/>
              <w:right w:val="single" w:sz="4" w:space="0" w:color="auto"/>
            </w:tcBorders>
            <w:noWrap/>
            <w:vAlign w:val="center"/>
            <w:hideMark/>
          </w:tcPr>
          <w:p w:rsidR="000E6A73" w:rsidRDefault="000E6A73" w:rsidP="00F93C07">
            <w:pPr>
              <w:spacing w:after="0" w:line="240" w:lineRule="auto"/>
              <w:rPr>
                <w:b/>
                <w:bCs/>
                <w:sz w:val="20"/>
                <w:szCs w:val="20"/>
              </w:rPr>
            </w:pPr>
            <w:r>
              <w:rPr>
                <w:b/>
                <w:bCs/>
                <w:sz w:val="20"/>
                <w:szCs w:val="20"/>
              </w:rPr>
              <w:t>По абонентам</w:t>
            </w:r>
          </w:p>
        </w:tc>
        <w:tc>
          <w:tcPr>
            <w:tcW w:w="850" w:type="dxa"/>
            <w:tcBorders>
              <w:top w:val="single" w:sz="4" w:space="0" w:color="auto"/>
              <w:left w:val="nil"/>
              <w:bottom w:val="single" w:sz="4" w:space="0" w:color="auto"/>
              <w:right w:val="single" w:sz="4" w:space="0" w:color="auto"/>
            </w:tcBorders>
            <w:noWrap/>
            <w:vAlign w:val="center"/>
            <w:hideMark/>
          </w:tcPr>
          <w:p w:rsidR="000E6A73" w:rsidRDefault="000E6A73" w:rsidP="00F93C07">
            <w:pPr>
              <w:spacing w:after="0" w:line="240" w:lineRule="auto"/>
              <w:jc w:val="center"/>
              <w:rPr>
                <w:b/>
                <w:bCs/>
                <w:sz w:val="20"/>
                <w:szCs w:val="20"/>
              </w:rPr>
            </w:pPr>
            <w:r>
              <w:rPr>
                <w:b/>
                <w:sz w:val="20"/>
                <w:szCs w:val="20"/>
              </w:rPr>
              <w:t xml:space="preserve">тыс. </w:t>
            </w:r>
            <w:r>
              <w:rPr>
                <w:rFonts w:eastAsia="Calibri"/>
                <w:b/>
                <w:sz w:val="20"/>
                <w:szCs w:val="20"/>
                <w:lang w:eastAsia="en-US"/>
              </w:rPr>
              <w:t>м</w:t>
            </w:r>
            <w:r>
              <w:rPr>
                <w:rFonts w:eastAsia="Calibri"/>
                <w:b/>
                <w:sz w:val="20"/>
                <w:szCs w:val="20"/>
                <w:vertAlign w:val="superscript"/>
                <w:lang w:eastAsia="en-US"/>
              </w:rPr>
              <w:t>3</w:t>
            </w:r>
          </w:p>
        </w:tc>
        <w:tc>
          <w:tcPr>
            <w:tcW w:w="1134" w:type="dxa"/>
            <w:tcBorders>
              <w:top w:val="single" w:sz="4" w:space="0" w:color="auto"/>
              <w:left w:val="nil"/>
              <w:bottom w:val="single" w:sz="4" w:space="0" w:color="auto"/>
              <w:right w:val="single" w:sz="4" w:space="0" w:color="auto"/>
            </w:tcBorders>
            <w:noWrap/>
            <w:vAlign w:val="center"/>
            <w:hideMark/>
          </w:tcPr>
          <w:p w:rsidR="000E6A73" w:rsidRDefault="000E6A73" w:rsidP="00F93C07">
            <w:pPr>
              <w:spacing w:after="0" w:line="240" w:lineRule="auto"/>
              <w:jc w:val="right"/>
              <w:rPr>
                <w:b/>
                <w:bCs/>
                <w:sz w:val="20"/>
                <w:szCs w:val="20"/>
              </w:rPr>
            </w:pPr>
            <w:r>
              <w:rPr>
                <w:b/>
                <w:bCs/>
                <w:sz w:val="20"/>
                <w:szCs w:val="20"/>
              </w:rPr>
              <w:t>7 642,58</w:t>
            </w:r>
          </w:p>
        </w:tc>
        <w:tc>
          <w:tcPr>
            <w:tcW w:w="1134" w:type="dxa"/>
            <w:tcBorders>
              <w:top w:val="single" w:sz="4" w:space="0" w:color="auto"/>
              <w:left w:val="nil"/>
              <w:bottom w:val="single" w:sz="4" w:space="0" w:color="auto"/>
              <w:right w:val="single" w:sz="4" w:space="0" w:color="auto"/>
            </w:tcBorders>
            <w:noWrap/>
            <w:vAlign w:val="center"/>
            <w:hideMark/>
          </w:tcPr>
          <w:p w:rsidR="000E6A73" w:rsidRDefault="000E6A73" w:rsidP="00F93C07">
            <w:pPr>
              <w:spacing w:after="0" w:line="240" w:lineRule="auto"/>
              <w:jc w:val="right"/>
              <w:rPr>
                <w:b/>
                <w:bCs/>
                <w:sz w:val="20"/>
                <w:szCs w:val="20"/>
              </w:rPr>
            </w:pPr>
            <w:r>
              <w:rPr>
                <w:b/>
                <w:bCs/>
                <w:sz w:val="20"/>
                <w:szCs w:val="20"/>
              </w:rPr>
              <w:t>7 578,60</w:t>
            </w:r>
          </w:p>
        </w:tc>
        <w:tc>
          <w:tcPr>
            <w:tcW w:w="1134" w:type="dxa"/>
            <w:tcBorders>
              <w:top w:val="single" w:sz="4" w:space="0" w:color="auto"/>
              <w:left w:val="nil"/>
              <w:bottom w:val="single" w:sz="4" w:space="0" w:color="auto"/>
              <w:right w:val="single" w:sz="4" w:space="0" w:color="auto"/>
            </w:tcBorders>
            <w:noWrap/>
            <w:vAlign w:val="center"/>
            <w:hideMark/>
          </w:tcPr>
          <w:p w:rsidR="000E6A73" w:rsidRDefault="000E6A73" w:rsidP="00F93C07">
            <w:pPr>
              <w:spacing w:after="0" w:line="240" w:lineRule="auto"/>
              <w:jc w:val="right"/>
              <w:rPr>
                <w:b/>
                <w:bCs/>
                <w:sz w:val="20"/>
                <w:szCs w:val="20"/>
              </w:rPr>
            </w:pPr>
            <w:r>
              <w:rPr>
                <w:b/>
                <w:bCs/>
                <w:sz w:val="20"/>
                <w:szCs w:val="20"/>
              </w:rPr>
              <w:t>7 309,59</w:t>
            </w:r>
          </w:p>
        </w:tc>
        <w:tc>
          <w:tcPr>
            <w:tcW w:w="1134" w:type="dxa"/>
            <w:tcBorders>
              <w:top w:val="single" w:sz="4" w:space="0" w:color="auto"/>
              <w:left w:val="nil"/>
              <w:bottom w:val="single" w:sz="4" w:space="0" w:color="auto"/>
              <w:right w:val="single" w:sz="4" w:space="0" w:color="auto"/>
            </w:tcBorders>
            <w:vAlign w:val="center"/>
            <w:hideMark/>
          </w:tcPr>
          <w:p w:rsidR="000E6A73" w:rsidRDefault="000E6A73" w:rsidP="00F93C07">
            <w:pPr>
              <w:spacing w:after="0" w:line="240" w:lineRule="auto"/>
              <w:jc w:val="center"/>
              <w:rPr>
                <w:b/>
                <w:bCs/>
                <w:sz w:val="20"/>
                <w:szCs w:val="20"/>
              </w:rPr>
            </w:pPr>
            <w:r>
              <w:rPr>
                <w:b/>
                <w:bCs/>
                <w:sz w:val="20"/>
                <w:szCs w:val="20"/>
              </w:rPr>
              <w:t>7 296,02</w:t>
            </w:r>
          </w:p>
        </w:tc>
        <w:tc>
          <w:tcPr>
            <w:tcW w:w="1134" w:type="dxa"/>
            <w:tcBorders>
              <w:top w:val="single" w:sz="4" w:space="0" w:color="auto"/>
              <w:left w:val="nil"/>
              <w:bottom w:val="single" w:sz="4" w:space="0" w:color="auto"/>
              <w:right w:val="single" w:sz="4" w:space="0" w:color="auto"/>
            </w:tcBorders>
            <w:noWrap/>
            <w:vAlign w:val="center"/>
            <w:hideMark/>
          </w:tcPr>
          <w:p w:rsidR="000E6A73" w:rsidRDefault="000E6A73" w:rsidP="00F93C07">
            <w:pPr>
              <w:spacing w:after="0" w:line="240" w:lineRule="auto"/>
              <w:jc w:val="center"/>
              <w:rPr>
                <w:b/>
                <w:bCs/>
                <w:sz w:val="20"/>
                <w:szCs w:val="20"/>
              </w:rPr>
            </w:pPr>
            <w:r>
              <w:rPr>
                <w:b/>
                <w:bCs/>
                <w:sz w:val="20"/>
                <w:szCs w:val="20"/>
              </w:rPr>
              <w:t>8 364,56</w:t>
            </w:r>
          </w:p>
        </w:tc>
        <w:tc>
          <w:tcPr>
            <w:tcW w:w="1134" w:type="dxa"/>
            <w:tcBorders>
              <w:top w:val="single" w:sz="4" w:space="0" w:color="auto"/>
              <w:left w:val="nil"/>
              <w:bottom w:val="single" w:sz="4" w:space="0" w:color="auto"/>
              <w:right w:val="single" w:sz="4" w:space="0" w:color="auto"/>
            </w:tcBorders>
            <w:vAlign w:val="center"/>
            <w:hideMark/>
          </w:tcPr>
          <w:p w:rsidR="000E6A73" w:rsidRDefault="000E6A73" w:rsidP="00F93C07">
            <w:pPr>
              <w:spacing w:after="0" w:line="240" w:lineRule="auto"/>
              <w:jc w:val="center"/>
              <w:rPr>
                <w:b/>
                <w:bCs/>
                <w:sz w:val="20"/>
                <w:szCs w:val="20"/>
              </w:rPr>
            </w:pPr>
            <w:r>
              <w:rPr>
                <w:b/>
                <w:bCs/>
                <w:sz w:val="20"/>
                <w:szCs w:val="20"/>
              </w:rPr>
              <w:t>7 812,74</w:t>
            </w:r>
          </w:p>
        </w:tc>
      </w:tr>
      <w:tr w:rsidR="000E6A73" w:rsidTr="00301AE6">
        <w:trPr>
          <w:trHeight w:val="285"/>
        </w:trPr>
        <w:tc>
          <w:tcPr>
            <w:tcW w:w="655" w:type="dxa"/>
            <w:tcBorders>
              <w:top w:val="nil"/>
              <w:left w:val="single" w:sz="4" w:space="0" w:color="auto"/>
              <w:bottom w:val="single" w:sz="4" w:space="0" w:color="auto"/>
              <w:right w:val="single" w:sz="4" w:space="0" w:color="auto"/>
            </w:tcBorders>
            <w:noWrap/>
            <w:vAlign w:val="center"/>
            <w:hideMark/>
          </w:tcPr>
          <w:p w:rsidR="000E6A73" w:rsidRDefault="000E6A73" w:rsidP="00F93C07">
            <w:pPr>
              <w:spacing w:after="0" w:line="240" w:lineRule="auto"/>
              <w:jc w:val="center"/>
              <w:rPr>
                <w:b/>
                <w:bCs/>
                <w:sz w:val="20"/>
                <w:szCs w:val="20"/>
              </w:rPr>
            </w:pPr>
            <w:r>
              <w:rPr>
                <w:b/>
                <w:bCs/>
                <w:sz w:val="20"/>
                <w:szCs w:val="20"/>
              </w:rPr>
              <w:t> </w:t>
            </w:r>
          </w:p>
        </w:tc>
        <w:tc>
          <w:tcPr>
            <w:tcW w:w="2181" w:type="dxa"/>
            <w:tcBorders>
              <w:top w:val="nil"/>
              <w:left w:val="nil"/>
              <w:bottom w:val="single" w:sz="4" w:space="0" w:color="auto"/>
              <w:right w:val="single" w:sz="4" w:space="0" w:color="auto"/>
            </w:tcBorders>
            <w:noWrap/>
            <w:vAlign w:val="center"/>
            <w:hideMark/>
          </w:tcPr>
          <w:p w:rsidR="000E6A73" w:rsidRDefault="000E6A73" w:rsidP="00F93C07">
            <w:pPr>
              <w:spacing w:after="0" w:line="240" w:lineRule="auto"/>
              <w:rPr>
                <w:b/>
                <w:bCs/>
                <w:sz w:val="20"/>
                <w:szCs w:val="20"/>
              </w:rPr>
            </w:pPr>
            <w:r>
              <w:rPr>
                <w:b/>
                <w:bCs/>
                <w:sz w:val="20"/>
                <w:szCs w:val="20"/>
              </w:rPr>
              <w:t>Объем реализации</w:t>
            </w:r>
          </w:p>
        </w:tc>
        <w:tc>
          <w:tcPr>
            <w:tcW w:w="850" w:type="dxa"/>
            <w:tcBorders>
              <w:top w:val="nil"/>
              <w:left w:val="nil"/>
              <w:bottom w:val="single" w:sz="4" w:space="0" w:color="auto"/>
              <w:right w:val="single" w:sz="4" w:space="0" w:color="auto"/>
            </w:tcBorders>
            <w:noWrap/>
            <w:vAlign w:val="center"/>
            <w:hideMark/>
          </w:tcPr>
          <w:p w:rsidR="000E6A73" w:rsidRDefault="000E6A73" w:rsidP="00F93C07">
            <w:pPr>
              <w:spacing w:after="0" w:line="240" w:lineRule="auto"/>
              <w:jc w:val="center"/>
              <w:rPr>
                <w:b/>
                <w:bCs/>
                <w:sz w:val="20"/>
                <w:szCs w:val="20"/>
              </w:rPr>
            </w:pPr>
            <w:r>
              <w:rPr>
                <w:b/>
                <w:sz w:val="20"/>
                <w:szCs w:val="20"/>
              </w:rPr>
              <w:t xml:space="preserve">тыс. </w:t>
            </w:r>
            <w:r>
              <w:rPr>
                <w:rFonts w:eastAsia="Calibri"/>
                <w:b/>
                <w:sz w:val="20"/>
                <w:szCs w:val="20"/>
                <w:lang w:eastAsia="en-US"/>
              </w:rPr>
              <w:t>м</w:t>
            </w:r>
            <w:r>
              <w:rPr>
                <w:rFonts w:eastAsia="Calibri"/>
                <w:b/>
                <w:sz w:val="20"/>
                <w:szCs w:val="20"/>
                <w:vertAlign w:val="superscript"/>
                <w:lang w:eastAsia="en-US"/>
              </w:rPr>
              <w:t>3</w:t>
            </w:r>
          </w:p>
        </w:tc>
        <w:tc>
          <w:tcPr>
            <w:tcW w:w="1134" w:type="dxa"/>
            <w:tcBorders>
              <w:top w:val="nil"/>
              <w:left w:val="nil"/>
              <w:bottom w:val="single" w:sz="4" w:space="0" w:color="auto"/>
              <w:right w:val="single" w:sz="4" w:space="0" w:color="auto"/>
            </w:tcBorders>
            <w:noWrap/>
            <w:vAlign w:val="center"/>
            <w:hideMark/>
          </w:tcPr>
          <w:p w:rsidR="000E6A73" w:rsidRDefault="000E6A73" w:rsidP="00F93C07">
            <w:pPr>
              <w:spacing w:after="0" w:line="240" w:lineRule="auto"/>
              <w:jc w:val="right"/>
              <w:rPr>
                <w:b/>
                <w:bCs/>
                <w:sz w:val="20"/>
                <w:szCs w:val="20"/>
              </w:rPr>
            </w:pPr>
            <w:r>
              <w:rPr>
                <w:b/>
                <w:bCs/>
                <w:sz w:val="20"/>
                <w:szCs w:val="20"/>
              </w:rPr>
              <w:t>7 381,97</w:t>
            </w:r>
          </w:p>
        </w:tc>
        <w:tc>
          <w:tcPr>
            <w:tcW w:w="1134" w:type="dxa"/>
            <w:tcBorders>
              <w:top w:val="nil"/>
              <w:left w:val="nil"/>
              <w:bottom w:val="single" w:sz="4" w:space="0" w:color="auto"/>
              <w:right w:val="single" w:sz="4" w:space="0" w:color="auto"/>
            </w:tcBorders>
            <w:noWrap/>
            <w:vAlign w:val="center"/>
            <w:hideMark/>
          </w:tcPr>
          <w:p w:rsidR="000E6A73" w:rsidRDefault="000E6A73" w:rsidP="00F93C07">
            <w:pPr>
              <w:spacing w:after="0" w:line="240" w:lineRule="auto"/>
              <w:jc w:val="right"/>
              <w:rPr>
                <w:b/>
                <w:bCs/>
                <w:sz w:val="20"/>
                <w:szCs w:val="20"/>
              </w:rPr>
            </w:pPr>
            <w:r>
              <w:rPr>
                <w:b/>
                <w:bCs/>
                <w:sz w:val="20"/>
                <w:szCs w:val="20"/>
              </w:rPr>
              <w:t>7 327,60</w:t>
            </w:r>
          </w:p>
        </w:tc>
        <w:tc>
          <w:tcPr>
            <w:tcW w:w="1134" w:type="dxa"/>
            <w:tcBorders>
              <w:top w:val="nil"/>
              <w:left w:val="nil"/>
              <w:bottom w:val="single" w:sz="4" w:space="0" w:color="auto"/>
              <w:right w:val="single" w:sz="4" w:space="0" w:color="auto"/>
            </w:tcBorders>
            <w:noWrap/>
            <w:vAlign w:val="center"/>
            <w:hideMark/>
          </w:tcPr>
          <w:p w:rsidR="000E6A73" w:rsidRDefault="000E6A73" w:rsidP="00F93C07">
            <w:pPr>
              <w:spacing w:after="0" w:line="240" w:lineRule="auto"/>
              <w:jc w:val="right"/>
              <w:rPr>
                <w:b/>
                <w:bCs/>
                <w:sz w:val="20"/>
                <w:szCs w:val="20"/>
              </w:rPr>
            </w:pPr>
            <w:r>
              <w:rPr>
                <w:b/>
                <w:bCs/>
                <w:sz w:val="20"/>
                <w:szCs w:val="20"/>
              </w:rPr>
              <w:t>7 028,76</w:t>
            </w:r>
          </w:p>
        </w:tc>
        <w:tc>
          <w:tcPr>
            <w:tcW w:w="1134" w:type="dxa"/>
            <w:tcBorders>
              <w:top w:val="single" w:sz="4" w:space="0" w:color="auto"/>
              <w:left w:val="nil"/>
              <w:bottom w:val="single" w:sz="4" w:space="0" w:color="auto"/>
              <w:right w:val="single" w:sz="4" w:space="0" w:color="auto"/>
            </w:tcBorders>
            <w:vAlign w:val="center"/>
            <w:hideMark/>
          </w:tcPr>
          <w:p w:rsidR="000E6A73" w:rsidRDefault="000E6A73" w:rsidP="00F93C07">
            <w:pPr>
              <w:spacing w:after="0" w:line="240" w:lineRule="auto"/>
              <w:jc w:val="center"/>
              <w:rPr>
                <w:b/>
                <w:bCs/>
                <w:sz w:val="20"/>
                <w:szCs w:val="20"/>
              </w:rPr>
            </w:pPr>
            <w:r>
              <w:rPr>
                <w:b/>
                <w:bCs/>
                <w:sz w:val="20"/>
                <w:szCs w:val="20"/>
              </w:rPr>
              <w:t>7 044,68</w:t>
            </w:r>
          </w:p>
        </w:tc>
        <w:tc>
          <w:tcPr>
            <w:tcW w:w="1134" w:type="dxa"/>
            <w:tcBorders>
              <w:top w:val="nil"/>
              <w:left w:val="nil"/>
              <w:bottom w:val="single" w:sz="4" w:space="0" w:color="auto"/>
              <w:right w:val="single" w:sz="4" w:space="0" w:color="auto"/>
            </w:tcBorders>
            <w:noWrap/>
            <w:vAlign w:val="center"/>
            <w:hideMark/>
          </w:tcPr>
          <w:p w:rsidR="000E6A73" w:rsidRDefault="000E6A73" w:rsidP="00F93C07">
            <w:pPr>
              <w:spacing w:after="0" w:line="240" w:lineRule="auto"/>
              <w:jc w:val="center"/>
              <w:rPr>
                <w:b/>
                <w:bCs/>
                <w:sz w:val="20"/>
                <w:szCs w:val="20"/>
              </w:rPr>
            </w:pPr>
            <w:r>
              <w:rPr>
                <w:b/>
                <w:bCs/>
                <w:sz w:val="20"/>
                <w:szCs w:val="20"/>
              </w:rPr>
              <w:t>7 968,45</w:t>
            </w:r>
          </w:p>
        </w:tc>
        <w:tc>
          <w:tcPr>
            <w:tcW w:w="1134" w:type="dxa"/>
            <w:tcBorders>
              <w:top w:val="nil"/>
              <w:left w:val="nil"/>
              <w:bottom w:val="single" w:sz="4" w:space="0" w:color="auto"/>
              <w:right w:val="single" w:sz="4" w:space="0" w:color="auto"/>
            </w:tcBorders>
            <w:vAlign w:val="center"/>
            <w:hideMark/>
          </w:tcPr>
          <w:p w:rsidR="000E6A73" w:rsidRDefault="000E6A73" w:rsidP="00F93C07">
            <w:pPr>
              <w:spacing w:after="0" w:line="240" w:lineRule="auto"/>
              <w:jc w:val="center"/>
              <w:rPr>
                <w:b/>
                <w:bCs/>
                <w:sz w:val="20"/>
                <w:szCs w:val="20"/>
              </w:rPr>
            </w:pPr>
            <w:r>
              <w:rPr>
                <w:b/>
                <w:bCs/>
                <w:sz w:val="20"/>
                <w:szCs w:val="20"/>
              </w:rPr>
              <w:t>7 475,64</w:t>
            </w:r>
          </w:p>
        </w:tc>
      </w:tr>
      <w:tr w:rsidR="000E6A73" w:rsidTr="00301AE6">
        <w:trPr>
          <w:trHeight w:val="300"/>
        </w:trPr>
        <w:tc>
          <w:tcPr>
            <w:tcW w:w="655" w:type="dxa"/>
            <w:tcBorders>
              <w:top w:val="nil"/>
              <w:left w:val="single" w:sz="4" w:space="0" w:color="auto"/>
              <w:bottom w:val="single" w:sz="4" w:space="0" w:color="auto"/>
              <w:right w:val="single" w:sz="4" w:space="0" w:color="auto"/>
            </w:tcBorders>
            <w:noWrap/>
            <w:vAlign w:val="center"/>
            <w:hideMark/>
          </w:tcPr>
          <w:p w:rsidR="000E6A73" w:rsidRDefault="000E6A73" w:rsidP="00F93C07">
            <w:pPr>
              <w:spacing w:after="0" w:line="240" w:lineRule="auto"/>
              <w:jc w:val="center"/>
              <w:rPr>
                <w:sz w:val="20"/>
                <w:szCs w:val="20"/>
              </w:rPr>
            </w:pPr>
            <w:r>
              <w:rPr>
                <w:sz w:val="20"/>
                <w:szCs w:val="20"/>
              </w:rPr>
              <w:t> </w:t>
            </w:r>
          </w:p>
        </w:tc>
        <w:tc>
          <w:tcPr>
            <w:tcW w:w="2181" w:type="dxa"/>
            <w:tcBorders>
              <w:top w:val="nil"/>
              <w:left w:val="nil"/>
              <w:bottom w:val="single" w:sz="4" w:space="0" w:color="auto"/>
              <w:right w:val="single" w:sz="4" w:space="0" w:color="auto"/>
            </w:tcBorders>
            <w:noWrap/>
            <w:vAlign w:val="center"/>
            <w:hideMark/>
          </w:tcPr>
          <w:p w:rsidR="000E6A73" w:rsidRDefault="000E6A73" w:rsidP="00F93C07">
            <w:pPr>
              <w:spacing w:after="0" w:line="240" w:lineRule="auto"/>
              <w:rPr>
                <w:sz w:val="20"/>
                <w:szCs w:val="20"/>
              </w:rPr>
            </w:pPr>
            <w:r>
              <w:rPr>
                <w:sz w:val="20"/>
                <w:szCs w:val="20"/>
              </w:rPr>
              <w:t>- бюджетные</w:t>
            </w:r>
          </w:p>
        </w:tc>
        <w:tc>
          <w:tcPr>
            <w:tcW w:w="850" w:type="dxa"/>
            <w:tcBorders>
              <w:top w:val="nil"/>
              <w:left w:val="nil"/>
              <w:bottom w:val="single" w:sz="4" w:space="0" w:color="auto"/>
              <w:right w:val="single" w:sz="4" w:space="0" w:color="auto"/>
            </w:tcBorders>
            <w:noWrap/>
            <w:vAlign w:val="center"/>
            <w:hideMark/>
          </w:tcPr>
          <w:p w:rsidR="000E6A73" w:rsidRDefault="000E6A73" w:rsidP="00F93C07">
            <w:pPr>
              <w:spacing w:after="0" w:line="240" w:lineRule="auto"/>
              <w:jc w:val="center"/>
              <w:rPr>
                <w:sz w:val="20"/>
                <w:szCs w:val="20"/>
              </w:rPr>
            </w:pPr>
            <w:r>
              <w:rPr>
                <w:sz w:val="20"/>
                <w:szCs w:val="20"/>
              </w:rPr>
              <w:t xml:space="preserve">тыс. </w:t>
            </w:r>
            <w:r>
              <w:rPr>
                <w:rFonts w:eastAsia="Calibri"/>
                <w:sz w:val="20"/>
                <w:szCs w:val="20"/>
                <w:lang w:eastAsia="en-US"/>
              </w:rPr>
              <w:t>м</w:t>
            </w:r>
            <w:r>
              <w:rPr>
                <w:rFonts w:eastAsia="Calibri"/>
                <w:sz w:val="20"/>
                <w:szCs w:val="20"/>
                <w:vertAlign w:val="superscript"/>
                <w:lang w:eastAsia="en-US"/>
              </w:rPr>
              <w:t>3</w:t>
            </w:r>
          </w:p>
        </w:tc>
        <w:tc>
          <w:tcPr>
            <w:tcW w:w="1134" w:type="dxa"/>
            <w:tcBorders>
              <w:top w:val="nil"/>
              <w:left w:val="nil"/>
              <w:bottom w:val="single" w:sz="4" w:space="0" w:color="auto"/>
              <w:right w:val="single" w:sz="4" w:space="0" w:color="auto"/>
            </w:tcBorders>
            <w:noWrap/>
            <w:vAlign w:val="center"/>
            <w:hideMark/>
          </w:tcPr>
          <w:p w:rsidR="000E6A73" w:rsidRDefault="000E6A73" w:rsidP="00F93C07">
            <w:pPr>
              <w:spacing w:after="0" w:line="240" w:lineRule="auto"/>
              <w:jc w:val="center"/>
              <w:rPr>
                <w:sz w:val="20"/>
                <w:szCs w:val="20"/>
              </w:rPr>
            </w:pPr>
            <w:r>
              <w:rPr>
                <w:sz w:val="20"/>
                <w:szCs w:val="20"/>
              </w:rPr>
              <w:t>401,72</w:t>
            </w:r>
          </w:p>
        </w:tc>
        <w:tc>
          <w:tcPr>
            <w:tcW w:w="1134" w:type="dxa"/>
            <w:tcBorders>
              <w:top w:val="nil"/>
              <w:left w:val="nil"/>
              <w:bottom w:val="single" w:sz="4" w:space="0" w:color="auto"/>
              <w:right w:val="single" w:sz="4" w:space="0" w:color="auto"/>
            </w:tcBorders>
            <w:noWrap/>
            <w:vAlign w:val="center"/>
            <w:hideMark/>
          </w:tcPr>
          <w:p w:rsidR="000E6A73" w:rsidRDefault="000E6A73" w:rsidP="00F93C07">
            <w:pPr>
              <w:spacing w:after="0" w:line="240" w:lineRule="auto"/>
              <w:jc w:val="center"/>
              <w:rPr>
                <w:sz w:val="20"/>
                <w:szCs w:val="20"/>
              </w:rPr>
            </w:pPr>
            <w:r>
              <w:rPr>
                <w:sz w:val="20"/>
                <w:szCs w:val="20"/>
              </w:rPr>
              <w:t>361,90</w:t>
            </w:r>
          </w:p>
        </w:tc>
        <w:tc>
          <w:tcPr>
            <w:tcW w:w="1134" w:type="dxa"/>
            <w:tcBorders>
              <w:top w:val="nil"/>
              <w:left w:val="nil"/>
              <w:bottom w:val="single" w:sz="4" w:space="0" w:color="auto"/>
              <w:right w:val="single" w:sz="4" w:space="0" w:color="auto"/>
            </w:tcBorders>
            <w:noWrap/>
            <w:vAlign w:val="center"/>
            <w:hideMark/>
          </w:tcPr>
          <w:p w:rsidR="000E6A73" w:rsidRDefault="000E6A73" w:rsidP="00F93C07">
            <w:pPr>
              <w:spacing w:after="0" w:line="240" w:lineRule="auto"/>
              <w:jc w:val="center"/>
              <w:rPr>
                <w:sz w:val="20"/>
                <w:szCs w:val="20"/>
              </w:rPr>
            </w:pPr>
            <w:r>
              <w:rPr>
                <w:sz w:val="20"/>
                <w:szCs w:val="20"/>
              </w:rPr>
              <w:t>290,29</w:t>
            </w:r>
          </w:p>
        </w:tc>
        <w:tc>
          <w:tcPr>
            <w:tcW w:w="1134" w:type="dxa"/>
            <w:tcBorders>
              <w:top w:val="single" w:sz="4" w:space="0" w:color="auto"/>
              <w:left w:val="nil"/>
              <w:bottom w:val="single" w:sz="4" w:space="0" w:color="auto"/>
              <w:right w:val="single" w:sz="4" w:space="0" w:color="auto"/>
            </w:tcBorders>
            <w:vAlign w:val="center"/>
            <w:hideMark/>
          </w:tcPr>
          <w:p w:rsidR="000E6A73" w:rsidRDefault="000E6A73" w:rsidP="00F93C07">
            <w:pPr>
              <w:spacing w:after="0" w:line="240" w:lineRule="auto"/>
              <w:jc w:val="center"/>
              <w:rPr>
                <w:sz w:val="20"/>
                <w:szCs w:val="20"/>
              </w:rPr>
            </w:pPr>
            <w:r>
              <w:rPr>
                <w:sz w:val="20"/>
                <w:szCs w:val="20"/>
              </w:rPr>
              <w:t>313,80</w:t>
            </w:r>
          </w:p>
        </w:tc>
        <w:tc>
          <w:tcPr>
            <w:tcW w:w="1134" w:type="dxa"/>
            <w:tcBorders>
              <w:top w:val="nil"/>
              <w:left w:val="nil"/>
              <w:bottom w:val="single" w:sz="4" w:space="0" w:color="auto"/>
              <w:right w:val="single" w:sz="4" w:space="0" w:color="auto"/>
            </w:tcBorders>
            <w:noWrap/>
            <w:vAlign w:val="center"/>
            <w:hideMark/>
          </w:tcPr>
          <w:p w:rsidR="000E6A73" w:rsidRDefault="000E6A73" w:rsidP="00F93C07">
            <w:pPr>
              <w:spacing w:after="0" w:line="240" w:lineRule="auto"/>
              <w:jc w:val="center"/>
              <w:rPr>
                <w:sz w:val="20"/>
                <w:szCs w:val="20"/>
              </w:rPr>
            </w:pPr>
            <w:r>
              <w:rPr>
                <w:sz w:val="20"/>
                <w:szCs w:val="20"/>
              </w:rPr>
              <w:t>427,99</w:t>
            </w:r>
          </w:p>
        </w:tc>
        <w:tc>
          <w:tcPr>
            <w:tcW w:w="1134" w:type="dxa"/>
            <w:tcBorders>
              <w:top w:val="nil"/>
              <w:left w:val="nil"/>
              <w:bottom w:val="single" w:sz="4" w:space="0" w:color="auto"/>
              <w:right w:val="single" w:sz="4" w:space="0" w:color="auto"/>
            </w:tcBorders>
            <w:vAlign w:val="center"/>
            <w:hideMark/>
          </w:tcPr>
          <w:p w:rsidR="000E6A73" w:rsidRDefault="000E6A73" w:rsidP="00F93C07">
            <w:pPr>
              <w:spacing w:after="0" w:line="240" w:lineRule="auto"/>
              <w:jc w:val="center"/>
              <w:rPr>
                <w:sz w:val="20"/>
                <w:szCs w:val="20"/>
              </w:rPr>
            </w:pPr>
            <w:r>
              <w:rPr>
                <w:sz w:val="20"/>
                <w:szCs w:val="20"/>
              </w:rPr>
              <w:t>307,39</w:t>
            </w:r>
          </w:p>
        </w:tc>
      </w:tr>
      <w:tr w:rsidR="000E6A73" w:rsidTr="00301AE6">
        <w:trPr>
          <w:trHeight w:val="300"/>
        </w:trPr>
        <w:tc>
          <w:tcPr>
            <w:tcW w:w="655" w:type="dxa"/>
            <w:tcBorders>
              <w:top w:val="nil"/>
              <w:left w:val="single" w:sz="4" w:space="0" w:color="auto"/>
              <w:bottom w:val="single" w:sz="4" w:space="0" w:color="auto"/>
              <w:right w:val="single" w:sz="4" w:space="0" w:color="auto"/>
            </w:tcBorders>
            <w:noWrap/>
            <w:vAlign w:val="center"/>
            <w:hideMark/>
          </w:tcPr>
          <w:p w:rsidR="000E6A73" w:rsidRDefault="000E6A73" w:rsidP="00F93C07">
            <w:pPr>
              <w:spacing w:after="0" w:line="240" w:lineRule="auto"/>
              <w:jc w:val="center"/>
              <w:rPr>
                <w:sz w:val="20"/>
                <w:szCs w:val="20"/>
              </w:rPr>
            </w:pPr>
            <w:r>
              <w:rPr>
                <w:sz w:val="20"/>
                <w:szCs w:val="20"/>
              </w:rPr>
              <w:t> </w:t>
            </w:r>
          </w:p>
        </w:tc>
        <w:tc>
          <w:tcPr>
            <w:tcW w:w="2181" w:type="dxa"/>
            <w:tcBorders>
              <w:top w:val="nil"/>
              <w:left w:val="nil"/>
              <w:bottom w:val="single" w:sz="4" w:space="0" w:color="auto"/>
              <w:right w:val="single" w:sz="4" w:space="0" w:color="auto"/>
            </w:tcBorders>
            <w:noWrap/>
            <w:vAlign w:val="center"/>
            <w:hideMark/>
          </w:tcPr>
          <w:p w:rsidR="000E6A73" w:rsidRDefault="000E6A73" w:rsidP="00F93C07">
            <w:pPr>
              <w:spacing w:after="0" w:line="240" w:lineRule="auto"/>
              <w:rPr>
                <w:sz w:val="20"/>
                <w:szCs w:val="20"/>
              </w:rPr>
            </w:pPr>
            <w:r>
              <w:rPr>
                <w:sz w:val="20"/>
                <w:szCs w:val="20"/>
              </w:rPr>
              <w:t>- население</w:t>
            </w:r>
          </w:p>
        </w:tc>
        <w:tc>
          <w:tcPr>
            <w:tcW w:w="850" w:type="dxa"/>
            <w:tcBorders>
              <w:top w:val="nil"/>
              <w:left w:val="nil"/>
              <w:bottom w:val="single" w:sz="4" w:space="0" w:color="auto"/>
              <w:right w:val="single" w:sz="4" w:space="0" w:color="auto"/>
            </w:tcBorders>
            <w:noWrap/>
            <w:vAlign w:val="center"/>
            <w:hideMark/>
          </w:tcPr>
          <w:p w:rsidR="000E6A73" w:rsidRDefault="000E6A73" w:rsidP="00F93C07">
            <w:pPr>
              <w:spacing w:after="0" w:line="240" w:lineRule="auto"/>
              <w:jc w:val="center"/>
              <w:rPr>
                <w:sz w:val="20"/>
                <w:szCs w:val="20"/>
              </w:rPr>
            </w:pPr>
            <w:r>
              <w:rPr>
                <w:sz w:val="20"/>
                <w:szCs w:val="20"/>
              </w:rPr>
              <w:t xml:space="preserve">тыс. </w:t>
            </w:r>
            <w:r>
              <w:rPr>
                <w:rFonts w:eastAsia="Calibri"/>
                <w:sz w:val="20"/>
                <w:szCs w:val="20"/>
                <w:lang w:eastAsia="en-US"/>
              </w:rPr>
              <w:t>м</w:t>
            </w:r>
            <w:r>
              <w:rPr>
                <w:rFonts w:eastAsia="Calibri"/>
                <w:sz w:val="20"/>
                <w:szCs w:val="20"/>
                <w:vertAlign w:val="superscript"/>
                <w:lang w:eastAsia="en-US"/>
              </w:rPr>
              <w:t>3</w:t>
            </w:r>
          </w:p>
        </w:tc>
        <w:tc>
          <w:tcPr>
            <w:tcW w:w="1134" w:type="dxa"/>
            <w:tcBorders>
              <w:top w:val="nil"/>
              <w:left w:val="nil"/>
              <w:bottom w:val="single" w:sz="4" w:space="0" w:color="auto"/>
              <w:right w:val="single" w:sz="4" w:space="0" w:color="auto"/>
            </w:tcBorders>
            <w:noWrap/>
            <w:vAlign w:val="center"/>
            <w:hideMark/>
          </w:tcPr>
          <w:p w:rsidR="000E6A73" w:rsidRDefault="000E6A73" w:rsidP="00F93C07">
            <w:pPr>
              <w:spacing w:after="0" w:line="240" w:lineRule="auto"/>
              <w:jc w:val="center"/>
              <w:rPr>
                <w:sz w:val="20"/>
                <w:szCs w:val="20"/>
              </w:rPr>
            </w:pPr>
            <w:r>
              <w:rPr>
                <w:sz w:val="20"/>
                <w:szCs w:val="20"/>
              </w:rPr>
              <w:t>5 544,38</w:t>
            </w:r>
          </w:p>
        </w:tc>
        <w:tc>
          <w:tcPr>
            <w:tcW w:w="1134" w:type="dxa"/>
            <w:tcBorders>
              <w:top w:val="nil"/>
              <w:left w:val="nil"/>
              <w:bottom w:val="single" w:sz="4" w:space="0" w:color="auto"/>
              <w:right w:val="single" w:sz="4" w:space="0" w:color="auto"/>
            </w:tcBorders>
            <w:noWrap/>
            <w:vAlign w:val="center"/>
            <w:hideMark/>
          </w:tcPr>
          <w:p w:rsidR="000E6A73" w:rsidRDefault="000E6A73" w:rsidP="00F93C07">
            <w:pPr>
              <w:spacing w:after="0" w:line="240" w:lineRule="auto"/>
              <w:jc w:val="center"/>
              <w:rPr>
                <w:sz w:val="20"/>
                <w:szCs w:val="20"/>
              </w:rPr>
            </w:pPr>
            <w:r>
              <w:rPr>
                <w:sz w:val="20"/>
                <w:szCs w:val="20"/>
              </w:rPr>
              <w:t>5 403,61</w:t>
            </w:r>
          </w:p>
        </w:tc>
        <w:tc>
          <w:tcPr>
            <w:tcW w:w="1134" w:type="dxa"/>
            <w:tcBorders>
              <w:top w:val="nil"/>
              <w:left w:val="nil"/>
              <w:bottom w:val="single" w:sz="4" w:space="0" w:color="auto"/>
              <w:right w:val="single" w:sz="4" w:space="0" w:color="auto"/>
            </w:tcBorders>
            <w:noWrap/>
            <w:vAlign w:val="center"/>
            <w:hideMark/>
          </w:tcPr>
          <w:p w:rsidR="000E6A73" w:rsidRDefault="000E6A73" w:rsidP="00F93C07">
            <w:pPr>
              <w:spacing w:after="0" w:line="240" w:lineRule="auto"/>
              <w:jc w:val="center"/>
              <w:rPr>
                <w:sz w:val="20"/>
                <w:szCs w:val="20"/>
              </w:rPr>
            </w:pPr>
            <w:r>
              <w:rPr>
                <w:sz w:val="20"/>
                <w:szCs w:val="20"/>
              </w:rPr>
              <w:t>5 237,44</w:t>
            </w:r>
          </w:p>
        </w:tc>
        <w:tc>
          <w:tcPr>
            <w:tcW w:w="1134" w:type="dxa"/>
            <w:tcBorders>
              <w:top w:val="single" w:sz="4" w:space="0" w:color="auto"/>
              <w:left w:val="nil"/>
              <w:bottom w:val="single" w:sz="4" w:space="0" w:color="auto"/>
              <w:right w:val="single" w:sz="4" w:space="0" w:color="auto"/>
            </w:tcBorders>
            <w:vAlign w:val="center"/>
            <w:hideMark/>
          </w:tcPr>
          <w:p w:rsidR="000E6A73" w:rsidRDefault="000E6A73" w:rsidP="00F93C07">
            <w:pPr>
              <w:spacing w:after="0" w:line="240" w:lineRule="auto"/>
              <w:jc w:val="center"/>
              <w:rPr>
                <w:sz w:val="20"/>
                <w:szCs w:val="20"/>
              </w:rPr>
            </w:pPr>
            <w:r>
              <w:rPr>
                <w:sz w:val="20"/>
                <w:szCs w:val="20"/>
              </w:rPr>
              <w:t>5 244,88</w:t>
            </w:r>
          </w:p>
        </w:tc>
        <w:tc>
          <w:tcPr>
            <w:tcW w:w="1134" w:type="dxa"/>
            <w:tcBorders>
              <w:top w:val="nil"/>
              <w:left w:val="nil"/>
              <w:bottom w:val="single" w:sz="4" w:space="0" w:color="auto"/>
              <w:right w:val="single" w:sz="4" w:space="0" w:color="auto"/>
            </w:tcBorders>
            <w:noWrap/>
            <w:vAlign w:val="center"/>
            <w:hideMark/>
          </w:tcPr>
          <w:p w:rsidR="000E6A73" w:rsidRDefault="000E6A73" w:rsidP="00F93C07">
            <w:pPr>
              <w:spacing w:after="0" w:line="240" w:lineRule="auto"/>
              <w:jc w:val="center"/>
              <w:rPr>
                <w:sz w:val="20"/>
                <w:szCs w:val="20"/>
              </w:rPr>
            </w:pPr>
            <w:r>
              <w:rPr>
                <w:sz w:val="20"/>
                <w:szCs w:val="20"/>
              </w:rPr>
              <w:t>6 191,86</w:t>
            </w:r>
          </w:p>
        </w:tc>
        <w:tc>
          <w:tcPr>
            <w:tcW w:w="1134" w:type="dxa"/>
            <w:tcBorders>
              <w:top w:val="nil"/>
              <w:left w:val="nil"/>
              <w:bottom w:val="single" w:sz="4" w:space="0" w:color="auto"/>
              <w:right w:val="single" w:sz="4" w:space="0" w:color="auto"/>
            </w:tcBorders>
            <w:vAlign w:val="center"/>
            <w:hideMark/>
          </w:tcPr>
          <w:p w:rsidR="000E6A73" w:rsidRDefault="000E6A73" w:rsidP="00F93C07">
            <w:pPr>
              <w:spacing w:after="0" w:line="240" w:lineRule="auto"/>
              <w:jc w:val="center"/>
              <w:rPr>
                <w:sz w:val="20"/>
                <w:szCs w:val="20"/>
              </w:rPr>
            </w:pPr>
            <w:r>
              <w:rPr>
                <w:sz w:val="20"/>
                <w:szCs w:val="20"/>
              </w:rPr>
              <w:t>5 568,33</w:t>
            </w:r>
          </w:p>
        </w:tc>
      </w:tr>
      <w:tr w:rsidR="000E6A73" w:rsidTr="00301AE6">
        <w:trPr>
          <w:trHeight w:val="300"/>
        </w:trPr>
        <w:tc>
          <w:tcPr>
            <w:tcW w:w="655" w:type="dxa"/>
            <w:tcBorders>
              <w:top w:val="nil"/>
              <w:left w:val="single" w:sz="4" w:space="0" w:color="auto"/>
              <w:bottom w:val="single" w:sz="4" w:space="0" w:color="auto"/>
              <w:right w:val="single" w:sz="4" w:space="0" w:color="auto"/>
            </w:tcBorders>
            <w:noWrap/>
            <w:vAlign w:val="center"/>
            <w:hideMark/>
          </w:tcPr>
          <w:p w:rsidR="000E6A73" w:rsidRDefault="000E6A73" w:rsidP="00F93C07">
            <w:pPr>
              <w:spacing w:after="0" w:line="240" w:lineRule="auto"/>
              <w:jc w:val="center"/>
              <w:rPr>
                <w:sz w:val="20"/>
                <w:szCs w:val="20"/>
              </w:rPr>
            </w:pPr>
            <w:r>
              <w:rPr>
                <w:sz w:val="20"/>
                <w:szCs w:val="20"/>
              </w:rPr>
              <w:t> </w:t>
            </w:r>
          </w:p>
        </w:tc>
        <w:tc>
          <w:tcPr>
            <w:tcW w:w="2181" w:type="dxa"/>
            <w:tcBorders>
              <w:top w:val="nil"/>
              <w:left w:val="nil"/>
              <w:bottom w:val="single" w:sz="4" w:space="0" w:color="auto"/>
              <w:right w:val="single" w:sz="4" w:space="0" w:color="auto"/>
            </w:tcBorders>
            <w:noWrap/>
            <w:vAlign w:val="center"/>
            <w:hideMark/>
          </w:tcPr>
          <w:p w:rsidR="000E6A73" w:rsidRDefault="000E6A73" w:rsidP="00F93C07">
            <w:pPr>
              <w:spacing w:after="0" w:line="240" w:lineRule="auto"/>
              <w:rPr>
                <w:sz w:val="20"/>
                <w:szCs w:val="20"/>
              </w:rPr>
            </w:pPr>
            <w:r>
              <w:rPr>
                <w:sz w:val="20"/>
                <w:szCs w:val="20"/>
              </w:rPr>
              <w:t>- прочие</w:t>
            </w:r>
          </w:p>
        </w:tc>
        <w:tc>
          <w:tcPr>
            <w:tcW w:w="850" w:type="dxa"/>
            <w:tcBorders>
              <w:top w:val="nil"/>
              <w:left w:val="nil"/>
              <w:bottom w:val="single" w:sz="4" w:space="0" w:color="auto"/>
              <w:right w:val="single" w:sz="4" w:space="0" w:color="auto"/>
            </w:tcBorders>
            <w:noWrap/>
            <w:vAlign w:val="center"/>
            <w:hideMark/>
          </w:tcPr>
          <w:p w:rsidR="000E6A73" w:rsidRDefault="000E6A73" w:rsidP="00F93C07">
            <w:pPr>
              <w:spacing w:after="0" w:line="240" w:lineRule="auto"/>
              <w:jc w:val="center"/>
              <w:rPr>
                <w:sz w:val="20"/>
                <w:szCs w:val="20"/>
              </w:rPr>
            </w:pPr>
            <w:r>
              <w:rPr>
                <w:sz w:val="20"/>
                <w:szCs w:val="20"/>
              </w:rPr>
              <w:t xml:space="preserve">тыс. </w:t>
            </w:r>
            <w:r>
              <w:rPr>
                <w:rFonts w:eastAsia="Calibri"/>
                <w:sz w:val="20"/>
                <w:szCs w:val="20"/>
                <w:lang w:eastAsia="en-US"/>
              </w:rPr>
              <w:t>м</w:t>
            </w:r>
            <w:r>
              <w:rPr>
                <w:rFonts w:eastAsia="Calibri"/>
                <w:sz w:val="20"/>
                <w:szCs w:val="20"/>
                <w:vertAlign w:val="superscript"/>
                <w:lang w:eastAsia="en-US"/>
              </w:rPr>
              <w:t>3</w:t>
            </w:r>
          </w:p>
        </w:tc>
        <w:tc>
          <w:tcPr>
            <w:tcW w:w="1134" w:type="dxa"/>
            <w:tcBorders>
              <w:top w:val="nil"/>
              <w:left w:val="nil"/>
              <w:bottom w:val="single" w:sz="4" w:space="0" w:color="auto"/>
              <w:right w:val="single" w:sz="4" w:space="0" w:color="auto"/>
            </w:tcBorders>
            <w:noWrap/>
            <w:vAlign w:val="center"/>
            <w:hideMark/>
          </w:tcPr>
          <w:p w:rsidR="000E6A73" w:rsidRDefault="000E6A73" w:rsidP="00F93C07">
            <w:pPr>
              <w:spacing w:after="0" w:line="240" w:lineRule="auto"/>
              <w:jc w:val="center"/>
              <w:rPr>
                <w:sz w:val="20"/>
                <w:szCs w:val="20"/>
              </w:rPr>
            </w:pPr>
            <w:r>
              <w:rPr>
                <w:sz w:val="20"/>
                <w:szCs w:val="20"/>
              </w:rPr>
              <w:t>1 435,87</w:t>
            </w:r>
          </w:p>
        </w:tc>
        <w:tc>
          <w:tcPr>
            <w:tcW w:w="1134" w:type="dxa"/>
            <w:tcBorders>
              <w:top w:val="nil"/>
              <w:left w:val="nil"/>
              <w:bottom w:val="single" w:sz="4" w:space="0" w:color="auto"/>
              <w:right w:val="single" w:sz="4" w:space="0" w:color="auto"/>
            </w:tcBorders>
            <w:noWrap/>
            <w:vAlign w:val="center"/>
            <w:hideMark/>
          </w:tcPr>
          <w:p w:rsidR="000E6A73" w:rsidRDefault="000E6A73" w:rsidP="00F93C07">
            <w:pPr>
              <w:spacing w:after="0" w:line="240" w:lineRule="auto"/>
              <w:jc w:val="center"/>
              <w:rPr>
                <w:sz w:val="20"/>
                <w:szCs w:val="20"/>
              </w:rPr>
            </w:pPr>
            <w:r>
              <w:rPr>
                <w:sz w:val="20"/>
                <w:szCs w:val="20"/>
              </w:rPr>
              <w:t>1 562,09</w:t>
            </w:r>
          </w:p>
        </w:tc>
        <w:tc>
          <w:tcPr>
            <w:tcW w:w="1134" w:type="dxa"/>
            <w:tcBorders>
              <w:top w:val="nil"/>
              <w:left w:val="nil"/>
              <w:bottom w:val="single" w:sz="4" w:space="0" w:color="auto"/>
              <w:right w:val="single" w:sz="4" w:space="0" w:color="auto"/>
            </w:tcBorders>
            <w:noWrap/>
            <w:vAlign w:val="center"/>
            <w:hideMark/>
          </w:tcPr>
          <w:p w:rsidR="000E6A73" w:rsidRDefault="000E6A73" w:rsidP="00F93C07">
            <w:pPr>
              <w:spacing w:after="0" w:line="240" w:lineRule="auto"/>
              <w:jc w:val="center"/>
              <w:rPr>
                <w:sz w:val="20"/>
                <w:szCs w:val="20"/>
              </w:rPr>
            </w:pPr>
            <w:r>
              <w:rPr>
                <w:sz w:val="20"/>
                <w:szCs w:val="20"/>
              </w:rPr>
              <w:t>1 501,03</w:t>
            </w:r>
          </w:p>
        </w:tc>
        <w:tc>
          <w:tcPr>
            <w:tcW w:w="1134" w:type="dxa"/>
            <w:tcBorders>
              <w:top w:val="single" w:sz="4" w:space="0" w:color="auto"/>
              <w:left w:val="nil"/>
              <w:bottom w:val="single" w:sz="4" w:space="0" w:color="auto"/>
              <w:right w:val="single" w:sz="4" w:space="0" w:color="auto"/>
            </w:tcBorders>
            <w:vAlign w:val="center"/>
            <w:hideMark/>
          </w:tcPr>
          <w:p w:rsidR="000E6A73" w:rsidRDefault="000E6A73" w:rsidP="00F93C07">
            <w:pPr>
              <w:spacing w:after="0" w:line="240" w:lineRule="auto"/>
              <w:jc w:val="center"/>
              <w:rPr>
                <w:sz w:val="20"/>
                <w:szCs w:val="20"/>
              </w:rPr>
            </w:pPr>
            <w:r>
              <w:rPr>
                <w:sz w:val="20"/>
                <w:szCs w:val="20"/>
              </w:rPr>
              <w:t>1 486,00</w:t>
            </w:r>
          </w:p>
        </w:tc>
        <w:tc>
          <w:tcPr>
            <w:tcW w:w="1134" w:type="dxa"/>
            <w:tcBorders>
              <w:top w:val="nil"/>
              <w:left w:val="nil"/>
              <w:bottom w:val="single" w:sz="4" w:space="0" w:color="auto"/>
              <w:right w:val="single" w:sz="4" w:space="0" w:color="auto"/>
            </w:tcBorders>
            <w:noWrap/>
            <w:vAlign w:val="center"/>
            <w:hideMark/>
          </w:tcPr>
          <w:p w:rsidR="000E6A73" w:rsidRDefault="000E6A73" w:rsidP="00F93C07">
            <w:pPr>
              <w:spacing w:after="0" w:line="240" w:lineRule="auto"/>
              <w:jc w:val="center"/>
              <w:rPr>
                <w:sz w:val="20"/>
                <w:szCs w:val="20"/>
              </w:rPr>
            </w:pPr>
            <w:r>
              <w:rPr>
                <w:sz w:val="20"/>
                <w:szCs w:val="20"/>
              </w:rPr>
              <w:t>1 348,60</w:t>
            </w:r>
          </w:p>
        </w:tc>
        <w:tc>
          <w:tcPr>
            <w:tcW w:w="1134" w:type="dxa"/>
            <w:tcBorders>
              <w:top w:val="nil"/>
              <w:left w:val="nil"/>
              <w:bottom w:val="single" w:sz="4" w:space="0" w:color="auto"/>
              <w:right w:val="single" w:sz="4" w:space="0" w:color="auto"/>
            </w:tcBorders>
            <w:vAlign w:val="center"/>
            <w:hideMark/>
          </w:tcPr>
          <w:p w:rsidR="000E6A73" w:rsidRDefault="000E6A73" w:rsidP="00F93C07">
            <w:pPr>
              <w:spacing w:after="0" w:line="240" w:lineRule="auto"/>
              <w:jc w:val="center"/>
              <w:rPr>
                <w:sz w:val="20"/>
                <w:szCs w:val="20"/>
              </w:rPr>
            </w:pPr>
            <w:r>
              <w:rPr>
                <w:sz w:val="20"/>
                <w:szCs w:val="20"/>
              </w:rPr>
              <w:t>1 599,92</w:t>
            </w:r>
          </w:p>
        </w:tc>
      </w:tr>
      <w:tr w:rsidR="000E6A73" w:rsidTr="00301AE6">
        <w:trPr>
          <w:trHeight w:val="300"/>
        </w:trPr>
        <w:tc>
          <w:tcPr>
            <w:tcW w:w="655" w:type="dxa"/>
            <w:tcBorders>
              <w:top w:val="nil"/>
              <w:left w:val="single" w:sz="4" w:space="0" w:color="auto"/>
              <w:bottom w:val="single" w:sz="4" w:space="0" w:color="auto"/>
              <w:right w:val="single" w:sz="4" w:space="0" w:color="auto"/>
            </w:tcBorders>
            <w:noWrap/>
            <w:vAlign w:val="center"/>
            <w:hideMark/>
          </w:tcPr>
          <w:p w:rsidR="000E6A73" w:rsidRDefault="000E6A73" w:rsidP="00F93C07">
            <w:pPr>
              <w:spacing w:after="0" w:line="240" w:lineRule="auto"/>
              <w:jc w:val="center"/>
              <w:rPr>
                <w:sz w:val="20"/>
                <w:szCs w:val="20"/>
              </w:rPr>
            </w:pPr>
            <w:r>
              <w:rPr>
                <w:sz w:val="20"/>
                <w:szCs w:val="20"/>
              </w:rPr>
              <w:t>6.4.2</w:t>
            </w:r>
          </w:p>
        </w:tc>
        <w:tc>
          <w:tcPr>
            <w:tcW w:w="2181" w:type="dxa"/>
            <w:tcBorders>
              <w:top w:val="nil"/>
              <w:left w:val="nil"/>
              <w:bottom w:val="single" w:sz="4" w:space="0" w:color="auto"/>
              <w:right w:val="single" w:sz="4" w:space="0" w:color="auto"/>
            </w:tcBorders>
            <w:noWrap/>
            <w:vAlign w:val="center"/>
            <w:hideMark/>
          </w:tcPr>
          <w:p w:rsidR="000E6A73" w:rsidRDefault="000E6A73" w:rsidP="00F93C07">
            <w:pPr>
              <w:spacing w:after="0" w:line="240" w:lineRule="auto"/>
              <w:rPr>
                <w:sz w:val="20"/>
                <w:szCs w:val="20"/>
              </w:rPr>
            </w:pPr>
            <w:r>
              <w:rPr>
                <w:sz w:val="20"/>
                <w:szCs w:val="20"/>
              </w:rPr>
              <w:t>собственным абонентам</w:t>
            </w:r>
          </w:p>
        </w:tc>
        <w:tc>
          <w:tcPr>
            <w:tcW w:w="850" w:type="dxa"/>
            <w:tcBorders>
              <w:top w:val="nil"/>
              <w:left w:val="nil"/>
              <w:bottom w:val="single" w:sz="4" w:space="0" w:color="auto"/>
              <w:right w:val="single" w:sz="4" w:space="0" w:color="auto"/>
            </w:tcBorders>
            <w:noWrap/>
            <w:vAlign w:val="center"/>
          </w:tcPr>
          <w:p w:rsidR="000E6A73" w:rsidRDefault="000E6A73" w:rsidP="00F93C07">
            <w:pPr>
              <w:spacing w:after="0" w:line="240" w:lineRule="auto"/>
              <w:jc w:val="center"/>
              <w:rPr>
                <w:sz w:val="20"/>
                <w:szCs w:val="20"/>
              </w:rPr>
            </w:pPr>
          </w:p>
        </w:tc>
        <w:tc>
          <w:tcPr>
            <w:tcW w:w="1134" w:type="dxa"/>
            <w:tcBorders>
              <w:top w:val="nil"/>
              <w:left w:val="nil"/>
              <w:bottom w:val="single" w:sz="4" w:space="0" w:color="auto"/>
              <w:right w:val="single" w:sz="4" w:space="0" w:color="auto"/>
            </w:tcBorders>
            <w:noWrap/>
            <w:vAlign w:val="center"/>
            <w:hideMark/>
          </w:tcPr>
          <w:p w:rsidR="000E6A73" w:rsidRDefault="000E6A73" w:rsidP="00F93C07">
            <w:pPr>
              <w:spacing w:after="0" w:line="240" w:lineRule="auto"/>
              <w:jc w:val="center"/>
              <w:rPr>
                <w:sz w:val="20"/>
                <w:szCs w:val="20"/>
              </w:rPr>
            </w:pPr>
            <w:r>
              <w:rPr>
                <w:sz w:val="20"/>
                <w:szCs w:val="20"/>
              </w:rPr>
              <w:t>260,61</w:t>
            </w:r>
          </w:p>
        </w:tc>
        <w:tc>
          <w:tcPr>
            <w:tcW w:w="1134" w:type="dxa"/>
            <w:tcBorders>
              <w:top w:val="nil"/>
              <w:left w:val="nil"/>
              <w:bottom w:val="single" w:sz="4" w:space="0" w:color="auto"/>
              <w:right w:val="single" w:sz="4" w:space="0" w:color="auto"/>
            </w:tcBorders>
            <w:noWrap/>
            <w:vAlign w:val="center"/>
            <w:hideMark/>
          </w:tcPr>
          <w:p w:rsidR="000E6A73" w:rsidRDefault="000E6A73" w:rsidP="00F93C07">
            <w:pPr>
              <w:spacing w:after="0" w:line="240" w:lineRule="auto"/>
              <w:jc w:val="center"/>
              <w:rPr>
                <w:sz w:val="20"/>
                <w:szCs w:val="20"/>
              </w:rPr>
            </w:pPr>
            <w:r>
              <w:rPr>
                <w:sz w:val="20"/>
                <w:szCs w:val="20"/>
              </w:rPr>
              <w:t>251,00</w:t>
            </w:r>
          </w:p>
        </w:tc>
        <w:tc>
          <w:tcPr>
            <w:tcW w:w="1134" w:type="dxa"/>
            <w:tcBorders>
              <w:top w:val="nil"/>
              <w:left w:val="nil"/>
              <w:bottom w:val="single" w:sz="4" w:space="0" w:color="auto"/>
              <w:right w:val="single" w:sz="4" w:space="0" w:color="auto"/>
            </w:tcBorders>
            <w:noWrap/>
            <w:vAlign w:val="center"/>
            <w:hideMark/>
          </w:tcPr>
          <w:p w:rsidR="000E6A73" w:rsidRDefault="000E6A73" w:rsidP="00F93C07">
            <w:pPr>
              <w:spacing w:after="0" w:line="240" w:lineRule="auto"/>
              <w:jc w:val="center"/>
              <w:rPr>
                <w:sz w:val="20"/>
                <w:szCs w:val="20"/>
              </w:rPr>
            </w:pPr>
            <w:r>
              <w:rPr>
                <w:sz w:val="20"/>
                <w:szCs w:val="20"/>
              </w:rPr>
              <w:t>280,83</w:t>
            </w:r>
          </w:p>
        </w:tc>
        <w:tc>
          <w:tcPr>
            <w:tcW w:w="1134" w:type="dxa"/>
            <w:tcBorders>
              <w:top w:val="single" w:sz="4" w:space="0" w:color="auto"/>
              <w:left w:val="nil"/>
              <w:bottom w:val="single" w:sz="4" w:space="0" w:color="auto"/>
              <w:right w:val="single" w:sz="4" w:space="0" w:color="auto"/>
            </w:tcBorders>
            <w:vAlign w:val="center"/>
            <w:hideMark/>
          </w:tcPr>
          <w:p w:rsidR="000E6A73" w:rsidRDefault="000E6A73" w:rsidP="00F93C07">
            <w:pPr>
              <w:spacing w:after="0" w:line="240" w:lineRule="auto"/>
              <w:jc w:val="center"/>
              <w:rPr>
                <w:sz w:val="20"/>
                <w:szCs w:val="20"/>
              </w:rPr>
            </w:pPr>
            <w:r>
              <w:rPr>
                <w:sz w:val="20"/>
                <w:szCs w:val="20"/>
              </w:rPr>
              <w:t>251,34</w:t>
            </w:r>
          </w:p>
        </w:tc>
        <w:tc>
          <w:tcPr>
            <w:tcW w:w="1134" w:type="dxa"/>
            <w:tcBorders>
              <w:top w:val="nil"/>
              <w:left w:val="nil"/>
              <w:bottom w:val="single" w:sz="4" w:space="0" w:color="auto"/>
              <w:right w:val="single" w:sz="4" w:space="0" w:color="auto"/>
            </w:tcBorders>
            <w:noWrap/>
            <w:vAlign w:val="center"/>
            <w:hideMark/>
          </w:tcPr>
          <w:p w:rsidR="000E6A73" w:rsidRDefault="000E6A73" w:rsidP="00F93C07">
            <w:pPr>
              <w:spacing w:after="0" w:line="240" w:lineRule="auto"/>
              <w:jc w:val="center"/>
              <w:rPr>
                <w:sz w:val="20"/>
                <w:szCs w:val="20"/>
              </w:rPr>
            </w:pPr>
            <w:r>
              <w:rPr>
                <w:sz w:val="20"/>
                <w:szCs w:val="20"/>
              </w:rPr>
              <w:t>396,11</w:t>
            </w:r>
          </w:p>
        </w:tc>
        <w:tc>
          <w:tcPr>
            <w:tcW w:w="1134" w:type="dxa"/>
            <w:tcBorders>
              <w:top w:val="nil"/>
              <w:left w:val="nil"/>
              <w:bottom w:val="single" w:sz="4" w:space="0" w:color="auto"/>
              <w:right w:val="single" w:sz="4" w:space="0" w:color="auto"/>
            </w:tcBorders>
            <w:vAlign w:val="center"/>
            <w:hideMark/>
          </w:tcPr>
          <w:p w:rsidR="000E6A73" w:rsidRDefault="000E6A73" w:rsidP="00F93C07">
            <w:pPr>
              <w:spacing w:after="0" w:line="240" w:lineRule="auto"/>
              <w:jc w:val="center"/>
              <w:rPr>
                <w:sz w:val="20"/>
                <w:szCs w:val="20"/>
              </w:rPr>
            </w:pPr>
            <w:r>
              <w:rPr>
                <w:sz w:val="20"/>
                <w:szCs w:val="20"/>
              </w:rPr>
              <w:t>337,10</w:t>
            </w:r>
          </w:p>
        </w:tc>
      </w:tr>
      <w:tr w:rsidR="000E6A73" w:rsidTr="00301AE6">
        <w:trPr>
          <w:trHeight w:val="375"/>
        </w:trPr>
        <w:tc>
          <w:tcPr>
            <w:tcW w:w="655" w:type="dxa"/>
            <w:tcBorders>
              <w:top w:val="nil"/>
              <w:left w:val="single" w:sz="4" w:space="0" w:color="auto"/>
              <w:bottom w:val="single" w:sz="4" w:space="0" w:color="auto"/>
              <w:right w:val="single" w:sz="4" w:space="0" w:color="auto"/>
            </w:tcBorders>
            <w:noWrap/>
            <w:vAlign w:val="center"/>
            <w:hideMark/>
          </w:tcPr>
          <w:p w:rsidR="000E6A73" w:rsidRDefault="000E6A73" w:rsidP="00F93C07">
            <w:pPr>
              <w:spacing w:after="0" w:line="240" w:lineRule="auto"/>
              <w:jc w:val="center"/>
              <w:rPr>
                <w:b/>
                <w:bCs/>
                <w:sz w:val="20"/>
                <w:szCs w:val="20"/>
              </w:rPr>
            </w:pPr>
            <w:r>
              <w:rPr>
                <w:b/>
                <w:bCs/>
                <w:sz w:val="20"/>
                <w:szCs w:val="20"/>
              </w:rPr>
              <w:t>11</w:t>
            </w:r>
          </w:p>
        </w:tc>
        <w:tc>
          <w:tcPr>
            <w:tcW w:w="2181" w:type="dxa"/>
            <w:tcBorders>
              <w:top w:val="nil"/>
              <w:left w:val="nil"/>
              <w:bottom w:val="single" w:sz="4" w:space="0" w:color="auto"/>
              <w:right w:val="single" w:sz="4" w:space="0" w:color="auto"/>
            </w:tcBorders>
            <w:noWrap/>
            <w:vAlign w:val="center"/>
            <w:hideMark/>
          </w:tcPr>
          <w:p w:rsidR="000E6A73" w:rsidRDefault="000E6A73" w:rsidP="00F93C07">
            <w:pPr>
              <w:spacing w:after="0" w:line="240" w:lineRule="auto"/>
              <w:rPr>
                <w:b/>
                <w:bCs/>
                <w:sz w:val="20"/>
                <w:szCs w:val="20"/>
              </w:rPr>
            </w:pPr>
            <w:r>
              <w:rPr>
                <w:b/>
                <w:bCs/>
                <w:sz w:val="20"/>
                <w:szCs w:val="20"/>
              </w:rPr>
              <w:t>Темп изменения потребления воды</w:t>
            </w:r>
          </w:p>
        </w:tc>
        <w:tc>
          <w:tcPr>
            <w:tcW w:w="850" w:type="dxa"/>
            <w:tcBorders>
              <w:top w:val="nil"/>
              <w:left w:val="nil"/>
              <w:bottom w:val="single" w:sz="4" w:space="0" w:color="auto"/>
              <w:right w:val="single" w:sz="4" w:space="0" w:color="auto"/>
            </w:tcBorders>
            <w:noWrap/>
            <w:vAlign w:val="center"/>
            <w:hideMark/>
          </w:tcPr>
          <w:p w:rsidR="000E6A73" w:rsidRDefault="000E6A73" w:rsidP="00F93C07">
            <w:pPr>
              <w:spacing w:after="0" w:line="240" w:lineRule="auto"/>
              <w:jc w:val="center"/>
              <w:rPr>
                <w:b/>
                <w:bCs/>
                <w:sz w:val="20"/>
                <w:szCs w:val="20"/>
              </w:rPr>
            </w:pPr>
            <w:r>
              <w:rPr>
                <w:b/>
                <w:bCs/>
                <w:sz w:val="20"/>
                <w:szCs w:val="20"/>
              </w:rPr>
              <w:t>%</w:t>
            </w:r>
          </w:p>
        </w:tc>
        <w:tc>
          <w:tcPr>
            <w:tcW w:w="1134" w:type="dxa"/>
            <w:tcBorders>
              <w:top w:val="nil"/>
              <w:left w:val="nil"/>
              <w:bottom w:val="single" w:sz="4" w:space="0" w:color="auto"/>
              <w:right w:val="single" w:sz="4" w:space="0" w:color="auto"/>
            </w:tcBorders>
            <w:noWrap/>
            <w:vAlign w:val="bottom"/>
            <w:hideMark/>
          </w:tcPr>
          <w:p w:rsidR="000E6A73" w:rsidRDefault="000E6A73" w:rsidP="00F93C07">
            <w:pPr>
              <w:spacing w:after="0" w:line="240" w:lineRule="auto"/>
              <w:jc w:val="right"/>
              <w:rPr>
                <w:b/>
                <w:bCs/>
                <w:sz w:val="20"/>
                <w:szCs w:val="20"/>
              </w:rPr>
            </w:pPr>
            <w:r>
              <w:rPr>
                <w:b/>
                <w:bCs/>
                <w:sz w:val="20"/>
                <w:szCs w:val="20"/>
              </w:rPr>
              <w:t>103,1%</w:t>
            </w:r>
          </w:p>
        </w:tc>
        <w:tc>
          <w:tcPr>
            <w:tcW w:w="1134" w:type="dxa"/>
            <w:tcBorders>
              <w:top w:val="nil"/>
              <w:left w:val="nil"/>
              <w:bottom w:val="single" w:sz="4" w:space="0" w:color="auto"/>
              <w:right w:val="single" w:sz="4" w:space="0" w:color="auto"/>
            </w:tcBorders>
            <w:noWrap/>
            <w:vAlign w:val="bottom"/>
            <w:hideMark/>
          </w:tcPr>
          <w:p w:rsidR="000E6A73" w:rsidRDefault="000E6A73" w:rsidP="00F93C07">
            <w:pPr>
              <w:spacing w:after="0" w:line="240" w:lineRule="auto"/>
              <w:jc w:val="right"/>
              <w:rPr>
                <w:b/>
                <w:bCs/>
                <w:sz w:val="20"/>
                <w:szCs w:val="20"/>
              </w:rPr>
            </w:pPr>
            <w:r>
              <w:rPr>
                <w:b/>
                <w:bCs/>
                <w:sz w:val="20"/>
                <w:szCs w:val="20"/>
              </w:rPr>
              <w:t>99,3%</w:t>
            </w:r>
          </w:p>
        </w:tc>
        <w:tc>
          <w:tcPr>
            <w:tcW w:w="1134" w:type="dxa"/>
            <w:tcBorders>
              <w:top w:val="nil"/>
              <w:left w:val="nil"/>
              <w:bottom w:val="single" w:sz="4" w:space="0" w:color="auto"/>
              <w:right w:val="single" w:sz="4" w:space="0" w:color="auto"/>
            </w:tcBorders>
            <w:noWrap/>
            <w:vAlign w:val="bottom"/>
            <w:hideMark/>
          </w:tcPr>
          <w:p w:rsidR="000E6A73" w:rsidRDefault="000E6A73" w:rsidP="00F93C07">
            <w:pPr>
              <w:spacing w:after="0" w:line="240" w:lineRule="auto"/>
              <w:jc w:val="right"/>
              <w:rPr>
                <w:b/>
                <w:bCs/>
                <w:sz w:val="20"/>
                <w:szCs w:val="20"/>
              </w:rPr>
            </w:pPr>
            <w:r>
              <w:rPr>
                <w:b/>
                <w:bCs/>
                <w:sz w:val="20"/>
                <w:szCs w:val="20"/>
              </w:rPr>
              <w:t>95,9%</w:t>
            </w:r>
          </w:p>
        </w:tc>
        <w:tc>
          <w:tcPr>
            <w:tcW w:w="1134" w:type="dxa"/>
            <w:tcBorders>
              <w:top w:val="single" w:sz="4" w:space="0" w:color="auto"/>
              <w:left w:val="nil"/>
              <w:bottom w:val="single" w:sz="4" w:space="0" w:color="auto"/>
              <w:right w:val="single" w:sz="4" w:space="0" w:color="auto"/>
            </w:tcBorders>
            <w:vAlign w:val="bottom"/>
            <w:hideMark/>
          </w:tcPr>
          <w:p w:rsidR="000E6A73" w:rsidRDefault="000E6A73" w:rsidP="00F93C07">
            <w:pPr>
              <w:spacing w:after="0" w:line="240" w:lineRule="auto"/>
              <w:jc w:val="center"/>
              <w:rPr>
                <w:b/>
                <w:bCs/>
                <w:sz w:val="20"/>
                <w:szCs w:val="20"/>
              </w:rPr>
            </w:pPr>
            <w:r>
              <w:rPr>
                <w:b/>
                <w:bCs/>
                <w:sz w:val="20"/>
                <w:szCs w:val="20"/>
              </w:rPr>
              <w:t>100,2%</w:t>
            </w:r>
          </w:p>
        </w:tc>
        <w:tc>
          <w:tcPr>
            <w:tcW w:w="1134" w:type="dxa"/>
            <w:tcBorders>
              <w:top w:val="nil"/>
              <w:left w:val="nil"/>
              <w:bottom w:val="single" w:sz="4" w:space="0" w:color="auto"/>
              <w:right w:val="single" w:sz="4" w:space="0" w:color="auto"/>
            </w:tcBorders>
            <w:noWrap/>
            <w:vAlign w:val="bottom"/>
            <w:hideMark/>
          </w:tcPr>
          <w:p w:rsidR="000E6A73" w:rsidRDefault="000E6A73" w:rsidP="00F93C07">
            <w:pPr>
              <w:spacing w:after="0" w:line="240" w:lineRule="auto"/>
              <w:jc w:val="center"/>
              <w:rPr>
                <w:b/>
                <w:bCs/>
                <w:sz w:val="20"/>
                <w:szCs w:val="20"/>
              </w:rPr>
            </w:pPr>
            <w:r>
              <w:rPr>
                <w:b/>
                <w:bCs/>
                <w:sz w:val="20"/>
                <w:szCs w:val="20"/>
              </w:rPr>
              <w:t>113,4%</w:t>
            </w:r>
          </w:p>
        </w:tc>
        <w:tc>
          <w:tcPr>
            <w:tcW w:w="1134" w:type="dxa"/>
            <w:tcBorders>
              <w:top w:val="nil"/>
              <w:left w:val="nil"/>
              <w:bottom w:val="single" w:sz="4" w:space="0" w:color="auto"/>
              <w:right w:val="single" w:sz="4" w:space="0" w:color="auto"/>
            </w:tcBorders>
            <w:vAlign w:val="bottom"/>
            <w:hideMark/>
          </w:tcPr>
          <w:p w:rsidR="000E6A73" w:rsidRDefault="000E6A73" w:rsidP="00F93C07">
            <w:pPr>
              <w:spacing w:after="0" w:line="240" w:lineRule="auto"/>
              <w:jc w:val="center"/>
              <w:rPr>
                <w:b/>
                <w:bCs/>
                <w:sz w:val="20"/>
                <w:szCs w:val="20"/>
              </w:rPr>
            </w:pPr>
            <w:r>
              <w:rPr>
                <w:b/>
                <w:bCs/>
                <w:sz w:val="20"/>
                <w:szCs w:val="20"/>
              </w:rPr>
              <w:t>93,8%</w:t>
            </w:r>
          </w:p>
        </w:tc>
      </w:tr>
    </w:tbl>
    <w:p w:rsidR="00301AE6" w:rsidRDefault="00301AE6" w:rsidP="000E6A73">
      <w:pPr>
        <w:ind w:firstLine="567"/>
        <w:jc w:val="both"/>
        <w:rPr>
          <w:rFonts w:eastAsia="Calibri"/>
          <w:sz w:val="28"/>
          <w:szCs w:val="28"/>
          <w:lang w:eastAsia="en-US"/>
        </w:rPr>
      </w:pPr>
    </w:p>
    <w:p w:rsidR="000E6A73" w:rsidRDefault="000E6A73" w:rsidP="00F93C07">
      <w:pPr>
        <w:spacing w:after="0" w:line="240" w:lineRule="auto"/>
        <w:ind w:firstLine="567"/>
        <w:jc w:val="both"/>
        <w:rPr>
          <w:rFonts w:eastAsia="Calibri"/>
          <w:sz w:val="28"/>
          <w:szCs w:val="28"/>
          <w:lang w:eastAsia="en-US"/>
        </w:rPr>
      </w:pPr>
      <w:r>
        <w:rPr>
          <w:rFonts w:eastAsia="Calibri"/>
          <w:sz w:val="28"/>
          <w:szCs w:val="28"/>
          <w:lang w:eastAsia="en-US"/>
        </w:rPr>
        <w:lastRenderedPageBreak/>
        <w:t>Фактический объём реализации воды за 2018 год сложился в размере 7 044,68 тыс. м</w:t>
      </w:r>
      <w:r>
        <w:rPr>
          <w:rFonts w:eastAsia="Calibri"/>
          <w:sz w:val="28"/>
          <w:szCs w:val="28"/>
          <w:vertAlign w:val="superscript"/>
          <w:lang w:eastAsia="en-US"/>
        </w:rPr>
        <w:t>3</w:t>
      </w:r>
      <w:r>
        <w:rPr>
          <w:rFonts w:eastAsia="Calibri"/>
          <w:sz w:val="28"/>
          <w:szCs w:val="28"/>
          <w:lang w:eastAsia="en-US"/>
        </w:rPr>
        <w:t>, что на 923,77 тыс. м</w:t>
      </w:r>
      <w:r>
        <w:rPr>
          <w:rFonts w:eastAsia="Calibri"/>
          <w:sz w:val="28"/>
          <w:szCs w:val="28"/>
          <w:vertAlign w:val="superscript"/>
          <w:lang w:eastAsia="en-US"/>
        </w:rPr>
        <w:t>3</w:t>
      </w:r>
      <w:r>
        <w:rPr>
          <w:rFonts w:eastAsia="Calibri"/>
          <w:sz w:val="28"/>
          <w:szCs w:val="28"/>
          <w:lang w:eastAsia="en-US"/>
        </w:rPr>
        <w:t xml:space="preserve"> (</w:t>
      </w:r>
      <w:r w:rsidR="00301AE6">
        <w:rPr>
          <w:rFonts w:eastAsia="Calibri"/>
          <w:sz w:val="28"/>
          <w:szCs w:val="28"/>
          <w:lang w:eastAsia="en-US"/>
        </w:rPr>
        <w:t xml:space="preserve">или на </w:t>
      </w:r>
      <w:r>
        <w:rPr>
          <w:rFonts w:eastAsia="Calibri"/>
          <w:sz w:val="28"/>
          <w:szCs w:val="28"/>
          <w:lang w:eastAsia="en-US"/>
        </w:rPr>
        <w:t>11,6 %) ниже плановой величины, в том числе по категориям потребителей:</w:t>
      </w:r>
    </w:p>
    <w:p w:rsidR="000E6A73" w:rsidRDefault="000E6A73" w:rsidP="00F93C07">
      <w:pPr>
        <w:spacing w:after="0" w:line="240" w:lineRule="auto"/>
        <w:ind w:firstLine="567"/>
        <w:jc w:val="both"/>
        <w:rPr>
          <w:rFonts w:eastAsia="Calibri"/>
          <w:sz w:val="28"/>
          <w:szCs w:val="28"/>
          <w:lang w:eastAsia="en-US"/>
        </w:rPr>
      </w:pPr>
      <w:r>
        <w:rPr>
          <w:rFonts w:eastAsia="Calibri"/>
          <w:sz w:val="28"/>
          <w:szCs w:val="28"/>
          <w:lang w:eastAsia="en-US"/>
        </w:rPr>
        <w:t xml:space="preserve"> «бюджетные» - снижение 114,19 тыс. м</w:t>
      </w:r>
      <w:r>
        <w:rPr>
          <w:rFonts w:eastAsia="Calibri"/>
          <w:sz w:val="28"/>
          <w:szCs w:val="28"/>
          <w:vertAlign w:val="superscript"/>
          <w:lang w:eastAsia="en-US"/>
        </w:rPr>
        <w:t>3</w:t>
      </w:r>
      <w:r>
        <w:rPr>
          <w:rFonts w:eastAsia="Calibri"/>
          <w:sz w:val="28"/>
          <w:szCs w:val="28"/>
          <w:lang w:eastAsia="en-US"/>
        </w:rPr>
        <w:t xml:space="preserve"> (26,7 %),</w:t>
      </w:r>
    </w:p>
    <w:p w:rsidR="000E6A73" w:rsidRDefault="000E6A73" w:rsidP="00F93C07">
      <w:pPr>
        <w:spacing w:after="0" w:line="240" w:lineRule="auto"/>
        <w:ind w:firstLine="567"/>
        <w:jc w:val="both"/>
        <w:rPr>
          <w:rFonts w:eastAsia="Calibri"/>
          <w:sz w:val="28"/>
          <w:szCs w:val="28"/>
          <w:lang w:eastAsia="en-US"/>
        </w:rPr>
      </w:pPr>
      <w:r>
        <w:rPr>
          <w:rFonts w:eastAsia="Calibri"/>
          <w:sz w:val="28"/>
          <w:szCs w:val="28"/>
          <w:lang w:eastAsia="en-US"/>
        </w:rPr>
        <w:t xml:space="preserve"> «население» - снижение 946,98 тыс. м</w:t>
      </w:r>
      <w:r>
        <w:rPr>
          <w:rFonts w:eastAsia="Calibri"/>
          <w:sz w:val="28"/>
          <w:szCs w:val="28"/>
          <w:vertAlign w:val="superscript"/>
          <w:lang w:eastAsia="en-US"/>
        </w:rPr>
        <w:t>3</w:t>
      </w:r>
      <w:r>
        <w:rPr>
          <w:rFonts w:eastAsia="Calibri"/>
          <w:sz w:val="28"/>
          <w:szCs w:val="28"/>
          <w:lang w:eastAsia="en-US"/>
        </w:rPr>
        <w:t xml:space="preserve"> (15,3%),</w:t>
      </w:r>
    </w:p>
    <w:p w:rsidR="000E6A73" w:rsidRDefault="000E6A73" w:rsidP="00F93C07">
      <w:pPr>
        <w:spacing w:after="0" w:line="240" w:lineRule="auto"/>
        <w:ind w:firstLine="567"/>
        <w:jc w:val="both"/>
        <w:rPr>
          <w:rFonts w:eastAsia="Calibri"/>
          <w:sz w:val="28"/>
          <w:szCs w:val="28"/>
          <w:lang w:eastAsia="en-US"/>
        </w:rPr>
      </w:pPr>
      <w:r>
        <w:rPr>
          <w:rFonts w:eastAsia="Calibri"/>
          <w:sz w:val="28"/>
          <w:szCs w:val="28"/>
          <w:lang w:eastAsia="en-US"/>
        </w:rPr>
        <w:t xml:space="preserve">  «прочие» - рост 137,40 тыс. м</w:t>
      </w:r>
      <w:r>
        <w:rPr>
          <w:rFonts w:eastAsia="Calibri"/>
          <w:sz w:val="28"/>
          <w:szCs w:val="28"/>
          <w:vertAlign w:val="superscript"/>
          <w:lang w:eastAsia="en-US"/>
        </w:rPr>
        <w:t>3</w:t>
      </w:r>
      <w:r>
        <w:rPr>
          <w:rFonts w:eastAsia="Calibri"/>
          <w:sz w:val="28"/>
          <w:szCs w:val="28"/>
          <w:lang w:eastAsia="en-US"/>
        </w:rPr>
        <w:t xml:space="preserve"> (10,2%).</w:t>
      </w:r>
    </w:p>
    <w:p w:rsidR="000E6A73" w:rsidRDefault="000E6A73" w:rsidP="00F93C07">
      <w:pPr>
        <w:spacing w:after="0" w:line="240" w:lineRule="auto"/>
        <w:ind w:firstLine="567"/>
        <w:jc w:val="both"/>
        <w:rPr>
          <w:rFonts w:eastAsia="Calibri"/>
          <w:sz w:val="28"/>
          <w:szCs w:val="28"/>
          <w:lang w:eastAsia="en-US"/>
        </w:rPr>
      </w:pPr>
      <w:r>
        <w:rPr>
          <w:rFonts w:eastAsia="Calibri"/>
          <w:sz w:val="28"/>
          <w:szCs w:val="28"/>
          <w:lang w:eastAsia="en-US"/>
        </w:rPr>
        <w:t>Фактические потери воды составили в 2018 году 2 976,32 тыс. м</w:t>
      </w:r>
      <w:r>
        <w:rPr>
          <w:rFonts w:eastAsia="Calibri"/>
          <w:sz w:val="28"/>
          <w:szCs w:val="28"/>
          <w:vertAlign w:val="superscript"/>
          <w:lang w:eastAsia="en-US"/>
        </w:rPr>
        <w:t>3</w:t>
      </w:r>
      <w:r>
        <w:rPr>
          <w:rFonts w:eastAsia="Calibri"/>
          <w:sz w:val="28"/>
          <w:szCs w:val="28"/>
          <w:lang w:eastAsia="en-US"/>
        </w:rPr>
        <w:t>, что на 549,02 тыс. м</w:t>
      </w:r>
      <w:r>
        <w:rPr>
          <w:rFonts w:eastAsia="Calibri"/>
          <w:sz w:val="28"/>
          <w:szCs w:val="28"/>
          <w:vertAlign w:val="superscript"/>
          <w:lang w:eastAsia="en-US"/>
        </w:rPr>
        <w:t>3</w:t>
      </w:r>
      <w:r>
        <w:rPr>
          <w:rFonts w:eastAsia="Calibri"/>
          <w:sz w:val="28"/>
          <w:szCs w:val="28"/>
          <w:lang w:eastAsia="en-US"/>
        </w:rPr>
        <w:t xml:space="preserve"> (22,6%) выше плановой величины (учтённой при </w:t>
      </w:r>
      <w:r w:rsidR="00301AE6">
        <w:rPr>
          <w:rFonts w:eastAsia="Calibri"/>
          <w:sz w:val="28"/>
          <w:szCs w:val="28"/>
          <w:lang w:eastAsia="en-US"/>
        </w:rPr>
        <w:t>формировании</w:t>
      </w:r>
      <w:r>
        <w:rPr>
          <w:rFonts w:eastAsia="Calibri"/>
          <w:sz w:val="28"/>
          <w:szCs w:val="28"/>
          <w:lang w:eastAsia="en-US"/>
        </w:rPr>
        <w:t xml:space="preserve"> тарифа).</w:t>
      </w:r>
    </w:p>
    <w:p w:rsidR="000E6A73" w:rsidRDefault="000E6A73" w:rsidP="00F93C07">
      <w:pPr>
        <w:pStyle w:val="af"/>
        <w:spacing w:before="0" w:after="0"/>
        <w:ind w:firstLine="567"/>
        <w:jc w:val="both"/>
        <w:outlineLvl w:val="0"/>
        <w:rPr>
          <w:rFonts w:ascii="Times New Roman" w:hAnsi="Times New Roman"/>
          <w:sz w:val="28"/>
          <w:szCs w:val="28"/>
        </w:rPr>
      </w:pPr>
      <w:r>
        <w:rPr>
          <w:rFonts w:ascii="Times New Roman" w:eastAsia="Calibri" w:hAnsi="Times New Roman"/>
          <w:sz w:val="28"/>
          <w:szCs w:val="28"/>
          <w:lang w:eastAsia="en-US"/>
        </w:rPr>
        <w:t>Снижение объемов реализации воды наблюдается по всем категориям потребителей. Снижение реализации воды обусловлено установкой приборов учёта потребителями и их ресурсосбережением.</w:t>
      </w:r>
    </w:p>
    <w:p w:rsidR="000E6A73" w:rsidRDefault="000E6A73" w:rsidP="00F93C07">
      <w:pPr>
        <w:spacing w:after="0" w:line="240" w:lineRule="auto"/>
        <w:ind w:firstLine="567"/>
        <w:jc w:val="both"/>
        <w:rPr>
          <w:rFonts w:eastAsia="Calibri"/>
          <w:sz w:val="28"/>
          <w:szCs w:val="28"/>
          <w:lang w:eastAsia="en-US"/>
        </w:rPr>
      </w:pPr>
      <w:r>
        <w:rPr>
          <w:rFonts w:eastAsia="Calibri"/>
          <w:sz w:val="28"/>
          <w:szCs w:val="28"/>
          <w:lang w:eastAsia="en-US"/>
        </w:rPr>
        <w:t>Объем отпуска питьевой воды (реализация) учтён департаментом для расчёта тарифов на 2020 год по предложению организации.</w:t>
      </w:r>
    </w:p>
    <w:p w:rsidR="000E6A73" w:rsidRDefault="000E6A73" w:rsidP="00F93C07">
      <w:pPr>
        <w:spacing w:after="0" w:line="240" w:lineRule="auto"/>
        <w:ind w:firstLine="284"/>
        <w:jc w:val="both"/>
        <w:rPr>
          <w:rFonts w:eastAsia="Calibri"/>
          <w:sz w:val="28"/>
          <w:szCs w:val="28"/>
          <w:lang w:eastAsia="en-US"/>
        </w:rPr>
      </w:pPr>
      <w:r>
        <w:rPr>
          <w:rFonts w:eastAsia="Calibri"/>
          <w:sz w:val="28"/>
          <w:szCs w:val="28"/>
          <w:lang w:eastAsia="en-US"/>
        </w:rPr>
        <w:t xml:space="preserve">Баланс водоотведения </w:t>
      </w:r>
      <w:r>
        <w:rPr>
          <w:sz w:val="28"/>
          <w:szCs w:val="28"/>
        </w:rPr>
        <w:t xml:space="preserve">МУП «Комбинат бытовых услуг» </w:t>
      </w:r>
      <w:r>
        <w:rPr>
          <w:rFonts w:eastAsia="Calibri"/>
          <w:sz w:val="28"/>
          <w:szCs w:val="28"/>
          <w:lang w:eastAsia="en-US"/>
        </w:rPr>
        <w:t>за период с 2015 по 2020 годы представлен в таблице.</w:t>
      </w:r>
    </w:p>
    <w:p w:rsidR="00301AE6" w:rsidRPr="00301AE6" w:rsidRDefault="00301AE6" w:rsidP="00301AE6">
      <w:pPr>
        <w:spacing w:line="240" w:lineRule="auto"/>
        <w:ind w:firstLine="284"/>
        <w:jc w:val="right"/>
        <w:rPr>
          <w:rFonts w:eastAsia="Times New Roman"/>
        </w:rPr>
      </w:pPr>
      <w:r w:rsidRPr="00301AE6">
        <w:rPr>
          <w:rFonts w:eastAsia="Calibri"/>
          <w:lang w:eastAsia="en-US"/>
        </w:rPr>
        <w:t>Таблица №</w:t>
      </w:r>
      <w:r w:rsidR="00D66F50">
        <w:rPr>
          <w:rFonts w:eastAsia="Calibri"/>
          <w:lang w:eastAsia="en-US"/>
        </w:rPr>
        <w:t xml:space="preserve"> </w:t>
      </w:r>
      <w:r w:rsidRPr="00301AE6">
        <w:rPr>
          <w:rFonts w:eastAsia="Calibri"/>
          <w:lang w:eastAsia="en-US"/>
        </w:rPr>
        <w:t>2.4.7</w:t>
      </w:r>
    </w:p>
    <w:tbl>
      <w:tblPr>
        <w:tblW w:w="10350" w:type="dxa"/>
        <w:tblInd w:w="108" w:type="dxa"/>
        <w:tblLayout w:type="fixed"/>
        <w:tblLook w:val="04A0" w:firstRow="1" w:lastRow="0" w:firstColumn="1" w:lastColumn="0" w:noHBand="0" w:noVBand="1"/>
      </w:tblPr>
      <w:tblGrid>
        <w:gridCol w:w="851"/>
        <w:gridCol w:w="2410"/>
        <w:gridCol w:w="1134"/>
        <w:gridCol w:w="992"/>
        <w:gridCol w:w="992"/>
        <w:gridCol w:w="992"/>
        <w:gridCol w:w="993"/>
        <w:gridCol w:w="993"/>
        <w:gridCol w:w="993"/>
      </w:tblGrid>
      <w:tr w:rsidR="000E6A73" w:rsidTr="000E6A73">
        <w:trPr>
          <w:trHeight w:val="330"/>
        </w:trPr>
        <w:tc>
          <w:tcPr>
            <w:tcW w:w="851" w:type="dxa"/>
            <w:vMerge w:val="restart"/>
            <w:tcBorders>
              <w:top w:val="single" w:sz="4" w:space="0" w:color="auto"/>
              <w:left w:val="single" w:sz="4" w:space="0" w:color="auto"/>
              <w:bottom w:val="single" w:sz="4" w:space="0" w:color="auto"/>
              <w:right w:val="single" w:sz="4" w:space="0" w:color="auto"/>
            </w:tcBorders>
            <w:vAlign w:val="center"/>
            <w:hideMark/>
          </w:tcPr>
          <w:p w:rsidR="000E6A73" w:rsidRDefault="000E6A73" w:rsidP="00262A3F">
            <w:pPr>
              <w:spacing w:after="0" w:line="240" w:lineRule="auto"/>
              <w:jc w:val="center"/>
            </w:pPr>
            <w:bookmarkStart w:id="8" w:name="RANGE!A1:I41"/>
            <w:bookmarkEnd w:id="8"/>
            <w:r>
              <w:rPr>
                <w:sz w:val="22"/>
                <w:szCs w:val="22"/>
              </w:rPr>
              <w:t>№ п/п</w:t>
            </w:r>
          </w:p>
        </w:tc>
        <w:tc>
          <w:tcPr>
            <w:tcW w:w="2410" w:type="dxa"/>
            <w:vMerge w:val="restart"/>
            <w:tcBorders>
              <w:top w:val="single" w:sz="4" w:space="0" w:color="auto"/>
              <w:left w:val="single" w:sz="4" w:space="0" w:color="auto"/>
              <w:bottom w:val="single" w:sz="4" w:space="0" w:color="auto"/>
              <w:right w:val="single" w:sz="4" w:space="0" w:color="auto"/>
            </w:tcBorders>
            <w:noWrap/>
            <w:vAlign w:val="center"/>
            <w:hideMark/>
          </w:tcPr>
          <w:p w:rsidR="000E6A73" w:rsidRDefault="000E6A73" w:rsidP="00262A3F">
            <w:pPr>
              <w:spacing w:after="0" w:line="240" w:lineRule="auto"/>
              <w:jc w:val="center"/>
              <w:rPr>
                <w:sz w:val="20"/>
                <w:szCs w:val="20"/>
              </w:rPr>
            </w:pPr>
            <w:r>
              <w:rPr>
                <w:sz w:val="20"/>
                <w:szCs w:val="20"/>
              </w:rPr>
              <w:t>Наименование</w:t>
            </w:r>
          </w:p>
        </w:tc>
        <w:tc>
          <w:tcPr>
            <w:tcW w:w="1134" w:type="dxa"/>
            <w:vMerge w:val="restart"/>
            <w:tcBorders>
              <w:top w:val="single" w:sz="4" w:space="0" w:color="auto"/>
              <w:left w:val="single" w:sz="4" w:space="0" w:color="auto"/>
              <w:bottom w:val="single" w:sz="4" w:space="0" w:color="auto"/>
              <w:right w:val="single" w:sz="4" w:space="0" w:color="auto"/>
            </w:tcBorders>
            <w:vAlign w:val="center"/>
            <w:hideMark/>
          </w:tcPr>
          <w:p w:rsidR="000E6A73" w:rsidRDefault="000E6A73" w:rsidP="00262A3F">
            <w:pPr>
              <w:spacing w:after="0" w:line="240" w:lineRule="auto"/>
              <w:jc w:val="center"/>
              <w:rPr>
                <w:sz w:val="20"/>
                <w:szCs w:val="20"/>
              </w:rPr>
            </w:pPr>
            <w:r>
              <w:rPr>
                <w:sz w:val="20"/>
                <w:szCs w:val="20"/>
              </w:rPr>
              <w:t>Единица</w:t>
            </w:r>
            <w:r>
              <w:rPr>
                <w:sz w:val="20"/>
                <w:szCs w:val="20"/>
              </w:rPr>
              <w:br/>
              <w:t>измерения</w:t>
            </w:r>
          </w:p>
        </w:tc>
        <w:tc>
          <w:tcPr>
            <w:tcW w:w="992" w:type="dxa"/>
            <w:tcBorders>
              <w:top w:val="single" w:sz="4" w:space="0" w:color="auto"/>
              <w:left w:val="nil"/>
              <w:bottom w:val="single" w:sz="4" w:space="0" w:color="auto"/>
              <w:right w:val="single" w:sz="4" w:space="0" w:color="auto"/>
            </w:tcBorders>
            <w:vAlign w:val="center"/>
            <w:hideMark/>
          </w:tcPr>
          <w:p w:rsidR="000E6A73" w:rsidRDefault="000E6A73" w:rsidP="00262A3F">
            <w:pPr>
              <w:spacing w:after="0" w:line="240" w:lineRule="auto"/>
              <w:jc w:val="center"/>
              <w:rPr>
                <w:sz w:val="20"/>
                <w:szCs w:val="20"/>
              </w:rPr>
            </w:pPr>
            <w:r>
              <w:rPr>
                <w:sz w:val="20"/>
                <w:szCs w:val="20"/>
              </w:rPr>
              <w:t>2015</w:t>
            </w:r>
          </w:p>
        </w:tc>
        <w:tc>
          <w:tcPr>
            <w:tcW w:w="992" w:type="dxa"/>
            <w:tcBorders>
              <w:top w:val="single" w:sz="4" w:space="0" w:color="auto"/>
              <w:left w:val="nil"/>
              <w:bottom w:val="single" w:sz="4" w:space="0" w:color="auto"/>
              <w:right w:val="single" w:sz="4" w:space="0" w:color="auto"/>
            </w:tcBorders>
            <w:vAlign w:val="center"/>
            <w:hideMark/>
          </w:tcPr>
          <w:p w:rsidR="000E6A73" w:rsidRDefault="000E6A73" w:rsidP="00262A3F">
            <w:pPr>
              <w:spacing w:after="0" w:line="240" w:lineRule="auto"/>
              <w:jc w:val="center"/>
              <w:rPr>
                <w:sz w:val="20"/>
                <w:szCs w:val="20"/>
              </w:rPr>
            </w:pPr>
            <w:r>
              <w:rPr>
                <w:sz w:val="20"/>
                <w:szCs w:val="20"/>
              </w:rPr>
              <w:t>2016</w:t>
            </w:r>
          </w:p>
        </w:tc>
        <w:tc>
          <w:tcPr>
            <w:tcW w:w="992" w:type="dxa"/>
            <w:tcBorders>
              <w:top w:val="single" w:sz="4" w:space="0" w:color="auto"/>
              <w:left w:val="nil"/>
              <w:bottom w:val="single" w:sz="4" w:space="0" w:color="auto"/>
              <w:right w:val="single" w:sz="4" w:space="0" w:color="auto"/>
            </w:tcBorders>
            <w:noWrap/>
            <w:vAlign w:val="center"/>
            <w:hideMark/>
          </w:tcPr>
          <w:p w:rsidR="000E6A73" w:rsidRDefault="000E6A73" w:rsidP="00262A3F">
            <w:pPr>
              <w:spacing w:after="0" w:line="240" w:lineRule="auto"/>
              <w:jc w:val="center"/>
              <w:rPr>
                <w:sz w:val="20"/>
                <w:szCs w:val="20"/>
              </w:rPr>
            </w:pPr>
            <w:r>
              <w:rPr>
                <w:sz w:val="20"/>
                <w:szCs w:val="20"/>
              </w:rPr>
              <w:t>2017</w:t>
            </w:r>
          </w:p>
        </w:tc>
        <w:tc>
          <w:tcPr>
            <w:tcW w:w="993" w:type="dxa"/>
            <w:tcBorders>
              <w:top w:val="single" w:sz="4" w:space="0" w:color="auto"/>
              <w:left w:val="nil"/>
              <w:bottom w:val="single" w:sz="4" w:space="0" w:color="auto"/>
              <w:right w:val="single" w:sz="4" w:space="0" w:color="auto"/>
            </w:tcBorders>
            <w:vAlign w:val="center"/>
            <w:hideMark/>
          </w:tcPr>
          <w:p w:rsidR="000E6A73" w:rsidRDefault="000E6A73" w:rsidP="00262A3F">
            <w:pPr>
              <w:spacing w:after="0" w:line="240" w:lineRule="auto"/>
              <w:jc w:val="center"/>
              <w:rPr>
                <w:sz w:val="20"/>
                <w:szCs w:val="20"/>
              </w:rPr>
            </w:pPr>
            <w:r>
              <w:rPr>
                <w:sz w:val="20"/>
                <w:szCs w:val="20"/>
              </w:rPr>
              <w:t>2018</w:t>
            </w:r>
          </w:p>
        </w:tc>
        <w:tc>
          <w:tcPr>
            <w:tcW w:w="993" w:type="dxa"/>
            <w:tcBorders>
              <w:top w:val="single" w:sz="4" w:space="0" w:color="auto"/>
              <w:left w:val="nil"/>
              <w:bottom w:val="single" w:sz="4" w:space="0" w:color="auto"/>
              <w:right w:val="single" w:sz="4" w:space="0" w:color="auto"/>
            </w:tcBorders>
            <w:noWrap/>
            <w:vAlign w:val="center"/>
            <w:hideMark/>
          </w:tcPr>
          <w:p w:rsidR="000E6A73" w:rsidRDefault="000E6A73" w:rsidP="00262A3F">
            <w:pPr>
              <w:spacing w:after="0" w:line="240" w:lineRule="auto"/>
              <w:jc w:val="center"/>
              <w:rPr>
                <w:sz w:val="20"/>
                <w:szCs w:val="20"/>
              </w:rPr>
            </w:pPr>
            <w:r>
              <w:rPr>
                <w:sz w:val="20"/>
                <w:szCs w:val="20"/>
              </w:rPr>
              <w:t>2019</w:t>
            </w:r>
          </w:p>
        </w:tc>
        <w:tc>
          <w:tcPr>
            <w:tcW w:w="993" w:type="dxa"/>
            <w:tcBorders>
              <w:top w:val="single" w:sz="4" w:space="0" w:color="auto"/>
              <w:left w:val="nil"/>
              <w:bottom w:val="single" w:sz="4" w:space="0" w:color="auto"/>
              <w:right w:val="single" w:sz="4" w:space="0" w:color="auto"/>
            </w:tcBorders>
            <w:vAlign w:val="center"/>
            <w:hideMark/>
          </w:tcPr>
          <w:p w:rsidR="000E6A73" w:rsidRDefault="000E6A73" w:rsidP="00262A3F">
            <w:pPr>
              <w:spacing w:after="0" w:line="240" w:lineRule="auto"/>
              <w:jc w:val="center"/>
              <w:rPr>
                <w:sz w:val="20"/>
                <w:szCs w:val="20"/>
              </w:rPr>
            </w:pPr>
            <w:r>
              <w:rPr>
                <w:sz w:val="20"/>
                <w:szCs w:val="20"/>
              </w:rPr>
              <w:t>2020</w:t>
            </w:r>
          </w:p>
        </w:tc>
      </w:tr>
      <w:tr w:rsidR="000E6A73" w:rsidTr="000E6A73">
        <w:trPr>
          <w:trHeight w:val="645"/>
        </w:trPr>
        <w:tc>
          <w:tcPr>
            <w:tcW w:w="851" w:type="dxa"/>
            <w:vMerge/>
            <w:tcBorders>
              <w:top w:val="single" w:sz="4" w:space="0" w:color="auto"/>
              <w:left w:val="single" w:sz="4" w:space="0" w:color="auto"/>
              <w:bottom w:val="single" w:sz="4" w:space="0" w:color="auto"/>
              <w:right w:val="single" w:sz="4" w:space="0" w:color="auto"/>
            </w:tcBorders>
            <w:vAlign w:val="center"/>
            <w:hideMark/>
          </w:tcPr>
          <w:p w:rsidR="000E6A73" w:rsidRDefault="000E6A73" w:rsidP="00262A3F">
            <w:pPr>
              <w:spacing w:after="0" w:line="240" w:lineRule="auto"/>
            </w:pPr>
          </w:p>
        </w:tc>
        <w:tc>
          <w:tcPr>
            <w:tcW w:w="2410" w:type="dxa"/>
            <w:vMerge/>
            <w:tcBorders>
              <w:top w:val="single" w:sz="4" w:space="0" w:color="auto"/>
              <w:left w:val="single" w:sz="4" w:space="0" w:color="auto"/>
              <w:bottom w:val="single" w:sz="4" w:space="0" w:color="auto"/>
              <w:right w:val="single" w:sz="4" w:space="0" w:color="auto"/>
            </w:tcBorders>
            <w:vAlign w:val="center"/>
            <w:hideMark/>
          </w:tcPr>
          <w:p w:rsidR="000E6A73" w:rsidRDefault="000E6A73" w:rsidP="00262A3F">
            <w:pPr>
              <w:spacing w:after="0" w:line="240" w:lineRule="auto"/>
              <w:rPr>
                <w:sz w:val="20"/>
                <w:szCs w:val="20"/>
              </w:rPr>
            </w:pPr>
          </w:p>
        </w:tc>
        <w:tc>
          <w:tcPr>
            <w:tcW w:w="1134" w:type="dxa"/>
            <w:vMerge/>
            <w:tcBorders>
              <w:top w:val="single" w:sz="4" w:space="0" w:color="auto"/>
              <w:left w:val="single" w:sz="4" w:space="0" w:color="auto"/>
              <w:bottom w:val="single" w:sz="4" w:space="0" w:color="auto"/>
              <w:right w:val="single" w:sz="4" w:space="0" w:color="auto"/>
            </w:tcBorders>
            <w:vAlign w:val="center"/>
            <w:hideMark/>
          </w:tcPr>
          <w:p w:rsidR="000E6A73" w:rsidRDefault="000E6A73" w:rsidP="00262A3F">
            <w:pPr>
              <w:spacing w:after="0" w:line="240" w:lineRule="auto"/>
              <w:rPr>
                <w:sz w:val="20"/>
                <w:szCs w:val="20"/>
              </w:rPr>
            </w:pPr>
          </w:p>
        </w:tc>
        <w:tc>
          <w:tcPr>
            <w:tcW w:w="992" w:type="dxa"/>
            <w:tcBorders>
              <w:top w:val="nil"/>
              <w:left w:val="nil"/>
              <w:bottom w:val="single" w:sz="4" w:space="0" w:color="auto"/>
              <w:right w:val="single" w:sz="4" w:space="0" w:color="auto"/>
            </w:tcBorders>
            <w:noWrap/>
            <w:vAlign w:val="center"/>
            <w:hideMark/>
          </w:tcPr>
          <w:p w:rsidR="000E6A73" w:rsidRDefault="000E6A73" w:rsidP="00262A3F">
            <w:pPr>
              <w:spacing w:after="0" w:line="240" w:lineRule="auto"/>
              <w:jc w:val="center"/>
              <w:rPr>
                <w:sz w:val="20"/>
                <w:szCs w:val="20"/>
              </w:rPr>
            </w:pPr>
            <w:r>
              <w:rPr>
                <w:sz w:val="20"/>
                <w:szCs w:val="20"/>
              </w:rPr>
              <w:t>факт</w:t>
            </w:r>
          </w:p>
        </w:tc>
        <w:tc>
          <w:tcPr>
            <w:tcW w:w="992" w:type="dxa"/>
            <w:tcBorders>
              <w:top w:val="nil"/>
              <w:left w:val="nil"/>
              <w:bottom w:val="single" w:sz="4" w:space="0" w:color="auto"/>
              <w:right w:val="single" w:sz="4" w:space="0" w:color="auto"/>
            </w:tcBorders>
            <w:noWrap/>
            <w:vAlign w:val="center"/>
            <w:hideMark/>
          </w:tcPr>
          <w:p w:rsidR="000E6A73" w:rsidRDefault="000E6A73" w:rsidP="00262A3F">
            <w:pPr>
              <w:spacing w:after="0" w:line="240" w:lineRule="auto"/>
              <w:jc w:val="center"/>
              <w:rPr>
                <w:sz w:val="20"/>
                <w:szCs w:val="20"/>
              </w:rPr>
            </w:pPr>
            <w:r>
              <w:rPr>
                <w:sz w:val="20"/>
                <w:szCs w:val="20"/>
              </w:rPr>
              <w:t>факт</w:t>
            </w:r>
          </w:p>
        </w:tc>
        <w:tc>
          <w:tcPr>
            <w:tcW w:w="992" w:type="dxa"/>
            <w:tcBorders>
              <w:top w:val="nil"/>
              <w:left w:val="nil"/>
              <w:bottom w:val="single" w:sz="4" w:space="0" w:color="auto"/>
              <w:right w:val="single" w:sz="4" w:space="0" w:color="auto"/>
            </w:tcBorders>
            <w:vAlign w:val="center"/>
            <w:hideMark/>
          </w:tcPr>
          <w:p w:rsidR="000E6A73" w:rsidRDefault="000E6A73" w:rsidP="00262A3F">
            <w:pPr>
              <w:spacing w:after="0" w:line="240" w:lineRule="auto"/>
              <w:jc w:val="center"/>
              <w:rPr>
                <w:sz w:val="20"/>
                <w:szCs w:val="20"/>
              </w:rPr>
            </w:pPr>
            <w:r>
              <w:rPr>
                <w:sz w:val="20"/>
                <w:szCs w:val="20"/>
              </w:rPr>
              <w:t>факт</w:t>
            </w:r>
          </w:p>
        </w:tc>
        <w:tc>
          <w:tcPr>
            <w:tcW w:w="993" w:type="dxa"/>
            <w:tcBorders>
              <w:top w:val="single" w:sz="4" w:space="0" w:color="auto"/>
              <w:left w:val="nil"/>
              <w:bottom w:val="single" w:sz="4" w:space="0" w:color="auto"/>
              <w:right w:val="single" w:sz="4" w:space="0" w:color="auto"/>
            </w:tcBorders>
            <w:vAlign w:val="center"/>
            <w:hideMark/>
          </w:tcPr>
          <w:p w:rsidR="000E6A73" w:rsidRDefault="000E6A73" w:rsidP="00262A3F">
            <w:pPr>
              <w:spacing w:after="0" w:line="240" w:lineRule="auto"/>
              <w:jc w:val="center"/>
              <w:rPr>
                <w:sz w:val="20"/>
                <w:szCs w:val="20"/>
              </w:rPr>
            </w:pPr>
            <w:r>
              <w:rPr>
                <w:sz w:val="20"/>
                <w:szCs w:val="20"/>
              </w:rPr>
              <w:t>факт</w:t>
            </w:r>
          </w:p>
        </w:tc>
        <w:tc>
          <w:tcPr>
            <w:tcW w:w="993" w:type="dxa"/>
            <w:tcBorders>
              <w:top w:val="nil"/>
              <w:left w:val="nil"/>
              <w:bottom w:val="single" w:sz="4" w:space="0" w:color="auto"/>
              <w:right w:val="single" w:sz="4" w:space="0" w:color="auto"/>
            </w:tcBorders>
            <w:vAlign w:val="center"/>
            <w:hideMark/>
          </w:tcPr>
          <w:p w:rsidR="000E6A73" w:rsidRDefault="000E6A73" w:rsidP="00262A3F">
            <w:pPr>
              <w:spacing w:after="0" w:line="240" w:lineRule="auto"/>
              <w:jc w:val="center"/>
              <w:rPr>
                <w:sz w:val="20"/>
                <w:szCs w:val="20"/>
              </w:rPr>
            </w:pPr>
            <w:r>
              <w:rPr>
                <w:sz w:val="20"/>
                <w:szCs w:val="20"/>
              </w:rPr>
              <w:t>план</w:t>
            </w:r>
          </w:p>
        </w:tc>
        <w:tc>
          <w:tcPr>
            <w:tcW w:w="993" w:type="dxa"/>
            <w:tcBorders>
              <w:top w:val="nil"/>
              <w:left w:val="nil"/>
              <w:bottom w:val="single" w:sz="4" w:space="0" w:color="auto"/>
              <w:right w:val="single" w:sz="4" w:space="0" w:color="auto"/>
            </w:tcBorders>
            <w:vAlign w:val="center"/>
            <w:hideMark/>
          </w:tcPr>
          <w:p w:rsidR="000E6A73" w:rsidRDefault="000E6A73" w:rsidP="00262A3F">
            <w:pPr>
              <w:spacing w:after="0" w:line="240" w:lineRule="auto"/>
              <w:jc w:val="center"/>
              <w:rPr>
                <w:sz w:val="20"/>
                <w:szCs w:val="20"/>
              </w:rPr>
            </w:pPr>
            <w:r>
              <w:rPr>
                <w:sz w:val="20"/>
                <w:szCs w:val="20"/>
              </w:rPr>
              <w:t>план</w:t>
            </w:r>
          </w:p>
        </w:tc>
      </w:tr>
      <w:tr w:rsidR="000E6A73" w:rsidTr="000E6A73">
        <w:trPr>
          <w:trHeight w:val="300"/>
        </w:trPr>
        <w:tc>
          <w:tcPr>
            <w:tcW w:w="851" w:type="dxa"/>
            <w:tcBorders>
              <w:top w:val="nil"/>
              <w:left w:val="single" w:sz="4" w:space="0" w:color="auto"/>
              <w:bottom w:val="single" w:sz="4" w:space="0" w:color="auto"/>
              <w:right w:val="single" w:sz="4" w:space="0" w:color="auto"/>
            </w:tcBorders>
            <w:noWrap/>
            <w:vAlign w:val="center"/>
            <w:hideMark/>
          </w:tcPr>
          <w:p w:rsidR="000E6A73" w:rsidRDefault="000E6A73" w:rsidP="00262A3F">
            <w:pPr>
              <w:spacing w:after="0" w:line="240" w:lineRule="auto"/>
              <w:jc w:val="center"/>
            </w:pPr>
            <w:r>
              <w:rPr>
                <w:sz w:val="22"/>
                <w:szCs w:val="22"/>
              </w:rPr>
              <w:t>1</w:t>
            </w:r>
          </w:p>
        </w:tc>
        <w:tc>
          <w:tcPr>
            <w:tcW w:w="2410" w:type="dxa"/>
            <w:tcBorders>
              <w:top w:val="nil"/>
              <w:left w:val="nil"/>
              <w:bottom w:val="single" w:sz="4" w:space="0" w:color="auto"/>
              <w:right w:val="single" w:sz="4" w:space="0" w:color="auto"/>
            </w:tcBorders>
            <w:noWrap/>
            <w:vAlign w:val="center"/>
            <w:hideMark/>
          </w:tcPr>
          <w:p w:rsidR="000E6A73" w:rsidRDefault="000E6A73" w:rsidP="00262A3F">
            <w:pPr>
              <w:spacing w:after="0" w:line="240" w:lineRule="auto"/>
              <w:jc w:val="center"/>
              <w:rPr>
                <w:sz w:val="20"/>
                <w:szCs w:val="20"/>
              </w:rPr>
            </w:pPr>
            <w:r>
              <w:rPr>
                <w:sz w:val="20"/>
                <w:szCs w:val="20"/>
              </w:rPr>
              <w:t>2</w:t>
            </w:r>
          </w:p>
        </w:tc>
        <w:tc>
          <w:tcPr>
            <w:tcW w:w="1134" w:type="dxa"/>
            <w:tcBorders>
              <w:top w:val="nil"/>
              <w:left w:val="nil"/>
              <w:bottom w:val="single" w:sz="4" w:space="0" w:color="auto"/>
              <w:right w:val="single" w:sz="4" w:space="0" w:color="auto"/>
            </w:tcBorders>
            <w:noWrap/>
            <w:vAlign w:val="center"/>
            <w:hideMark/>
          </w:tcPr>
          <w:p w:rsidR="000E6A73" w:rsidRDefault="000E6A73" w:rsidP="00262A3F">
            <w:pPr>
              <w:spacing w:after="0" w:line="240" w:lineRule="auto"/>
              <w:jc w:val="center"/>
              <w:rPr>
                <w:sz w:val="20"/>
                <w:szCs w:val="20"/>
              </w:rPr>
            </w:pPr>
            <w:r>
              <w:rPr>
                <w:sz w:val="20"/>
                <w:szCs w:val="20"/>
              </w:rPr>
              <w:t>3</w:t>
            </w:r>
          </w:p>
        </w:tc>
        <w:tc>
          <w:tcPr>
            <w:tcW w:w="992" w:type="dxa"/>
            <w:tcBorders>
              <w:top w:val="nil"/>
              <w:left w:val="nil"/>
              <w:bottom w:val="single" w:sz="4" w:space="0" w:color="auto"/>
              <w:right w:val="single" w:sz="4" w:space="0" w:color="auto"/>
            </w:tcBorders>
            <w:noWrap/>
            <w:vAlign w:val="center"/>
            <w:hideMark/>
          </w:tcPr>
          <w:p w:rsidR="000E6A73" w:rsidRDefault="000E6A73" w:rsidP="00262A3F">
            <w:pPr>
              <w:spacing w:after="0" w:line="240" w:lineRule="auto"/>
              <w:jc w:val="center"/>
              <w:rPr>
                <w:sz w:val="20"/>
                <w:szCs w:val="20"/>
              </w:rPr>
            </w:pPr>
            <w:r>
              <w:rPr>
                <w:sz w:val="20"/>
                <w:szCs w:val="20"/>
              </w:rPr>
              <w:t>4</w:t>
            </w:r>
          </w:p>
        </w:tc>
        <w:tc>
          <w:tcPr>
            <w:tcW w:w="992" w:type="dxa"/>
            <w:tcBorders>
              <w:top w:val="nil"/>
              <w:left w:val="nil"/>
              <w:bottom w:val="single" w:sz="4" w:space="0" w:color="auto"/>
              <w:right w:val="single" w:sz="4" w:space="0" w:color="auto"/>
            </w:tcBorders>
            <w:noWrap/>
            <w:vAlign w:val="center"/>
            <w:hideMark/>
          </w:tcPr>
          <w:p w:rsidR="000E6A73" w:rsidRDefault="000E6A73" w:rsidP="00262A3F">
            <w:pPr>
              <w:spacing w:after="0" w:line="240" w:lineRule="auto"/>
              <w:jc w:val="center"/>
              <w:rPr>
                <w:sz w:val="20"/>
                <w:szCs w:val="20"/>
              </w:rPr>
            </w:pPr>
            <w:r>
              <w:rPr>
                <w:sz w:val="20"/>
                <w:szCs w:val="20"/>
              </w:rPr>
              <w:t>5</w:t>
            </w:r>
          </w:p>
        </w:tc>
        <w:tc>
          <w:tcPr>
            <w:tcW w:w="992" w:type="dxa"/>
            <w:tcBorders>
              <w:top w:val="nil"/>
              <w:left w:val="nil"/>
              <w:bottom w:val="single" w:sz="4" w:space="0" w:color="auto"/>
              <w:right w:val="single" w:sz="4" w:space="0" w:color="auto"/>
            </w:tcBorders>
            <w:noWrap/>
            <w:vAlign w:val="center"/>
            <w:hideMark/>
          </w:tcPr>
          <w:p w:rsidR="000E6A73" w:rsidRDefault="000E6A73" w:rsidP="00262A3F">
            <w:pPr>
              <w:spacing w:after="0" w:line="240" w:lineRule="auto"/>
              <w:jc w:val="center"/>
              <w:rPr>
                <w:sz w:val="20"/>
                <w:szCs w:val="20"/>
              </w:rPr>
            </w:pPr>
            <w:r>
              <w:rPr>
                <w:sz w:val="20"/>
                <w:szCs w:val="20"/>
              </w:rPr>
              <w:t>6</w:t>
            </w:r>
          </w:p>
        </w:tc>
        <w:tc>
          <w:tcPr>
            <w:tcW w:w="993" w:type="dxa"/>
            <w:tcBorders>
              <w:top w:val="single" w:sz="4" w:space="0" w:color="auto"/>
              <w:left w:val="nil"/>
              <w:bottom w:val="single" w:sz="4" w:space="0" w:color="auto"/>
              <w:right w:val="single" w:sz="4" w:space="0" w:color="auto"/>
            </w:tcBorders>
            <w:vAlign w:val="center"/>
            <w:hideMark/>
          </w:tcPr>
          <w:p w:rsidR="000E6A73" w:rsidRDefault="000E6A73" w:rsidP="00262A3F">
            <w:pPr>
              <w:spacing w:after="0" w:line="240" w:lineRule="auto"/>
              <w:jc w:val="center"/>
              <w:rPr>
                <w:sz w:val="20"/>
                <w:szCs w:val="20"/>
              </w:rPr>
            </w:pPr>
            <w:r>
              <w:rPr>
                <w:sz w:val="20"/>
                <w:szCs w:val="20"/>
              </w:rPr>
              <w:t>7</w:t>
            </w:r>
          </w:p>
        </w:tc>
        <w:tc>
          <w:tcPr>
            <w:tcW w:w="993" w:type="dxa"/>
            <w:tcBorders>
              <w:top w:val="nil"/>
              <w:left w:val="nil"/>
              <w:bottom w:val="single" w:sz="4" w:space="0" w:color="auto"/>
              <w:right w:val="single" w:sz="4" w:space="0" w:color="auto"/>
            </w:tcBorders>
            <w:noWrap/>
            <w:vAlign w:val="center"/>
            <w:hideMark/>
          </w:tcPr>
          <w:p w:rsidR="000E6A73" w:rsidRDefault="000E6A73" w:rsidP="00262A3F">
            <w:pPr>
              <w:spacing w:after="0" w:line="240" w:lineRule="auto"/>
              <w:jc w:val="center"/>
              <w:rPr>
                <w:sz w:val="20"/>
                <w:szCs w:val="20"/>
              </w:rPr>
            </w:pPr>
            <w:r>
              <w:rPr>
                <w:sz w:val="20"/>
                <w:szCs w:val="20"/>
              </w:rPr>
              <w:t>8</w:t>
            </w:r>
          </w:p>
        </w:tc>
        <w:tc>
          <w:tcPr>
            <w:tcW w:w="993" w:type="dxa"/>
            <w:tcBorders>
              <w:top w:val="nil"/>
              <w:left w:val="nil"/>
              <w:bottom w:val="single" w:sz="4" w:space="0" w:color="auto"/>
              <w:right w:val="single" w:sz="4" w:space="0" w:color="auto"/>
            </w:tcBorders>
            <w:vAlign w:val="center"/>
            <w:hideMark/>
          </w:tcPr>
          <w:p w:rsidR="000E6A73" w:rsidRDefault="000E6A73" w:rsidP="00262A3F">
            <w:pPr>
              <w:spacing w:after="0" w:line="240" w:lineRule="auto"/>
              <w:jc w:val="center"/>
              <w:rPr>
                <w:sz w:val="20"/>
                <w:szCs w:val="20"/>
              </w:rPr>
            </w:pPr>
            <w:r>
              <w:rPr>
                <w:sz w:val="20"/>
                <w:szCs w:val="20"/>
              </w:rPr>
              <w:t>9</w:t>
            </w:r>
          </w:p>
        </w:tc>
      </w:tr>
      <w:tr w:rsidR="000E6A73" w:rsidTr="000E6A73">
        <w:trPr>
          <w:trHeight w:val="300"/>
        </w:trPr>
        <w:tc>
          <w:tcPr>
            <w:tcW w:w="851" w:type="dxa"/>
            <w:tcBorders>
              <w:top w:val="nil"/>
              <w:left w:val="single" w:sz="4" w:space="0" w:color="auto"/>
              <w:bottom w:val="single" w:sz="4" w:space="0" w:color="auto"/>
              <w:right w:val="single" w:sz="4" w:space="0" w:color="auto"/>
            </w:tcBorders>
            <w:noWrap/>
            <w:vAlign w:val="center"/>
            <w:hideMark/>
          </w:tcPr>
          <w:p w:rsidR="000E6A73" w:rsidRDefault="000E6A73" w:rsidP="00262A3F">
            <w:pPr>
              <w:spacing w:after="0" w:line="240" w:lineRule="auto"/>
              <w:jc w:val="center"/>
              <w:rPr>
                <w:b/>
                <w:bCs/>
              </w:rPr>
            </w:pPr>
            <w:r>
              <w:rPr>
                <w:b/>
                <w:bCs/>
                <w:sz w:val="22"/>
                <w:szCs w:val="22"/>
              </w:rPr>
              <w:t>1</w:t>
            </w:r>
          </w:p>
        </w:tc>
        <w:tc>
          <w:tcPr>
            <w:tcW w:w="2410" w:type="dxa"/>
            <w:tcBorders>
              <w:top w:val="nil"/>
              <w:left w:val="nil"/>
              <w:bottom w:val="single" w:sz="4" w:space="0" w:color="auto"/>
              <w:right w:val="single" w:sz="4" w:space="0" w:color="auto"/>
            </w:tcBorders>
            <w:noWrap/>
            <w:vAlign w:val="center"/>
            <w:hideMark/>
          </w:tcPr>
          <w:p w:rsidR="000E6A73" w:rsidRDefault="000E6A73" w:rsidP="00262A3F">
            <w:pPr>
              <w:spacing w:after="0" w:line="240" w:lineRule="auto"/>
              <w:rPr>
                <w:b/>
                <w:bCs/>
                <w:sz w:val="20"/>
                <w:szCs w:val="20"/>
              </w:rPr>
            </w:pPr>
            <w:r>
              <w:rPr>
                <w:b/>
                <w:bCs/>
                <w:sz w:val="20"/>
                <w:szCs w:val="20"/>
              </w:rPr>
              <w:t>Прием сточных вод</w:t>
            </w:r>
          </w:p>
        </w:tc>
        <w:tc>
          <w:tcPr>
            <w:tcW w:w="1134" w:type="dxa"/>
            <w:tcBorders>
              <w:top w:val="nil"/>
              <w:left w:val="nil"/>
              <w:bottom w:val="single" w:sz="4" w:space="0" w:color="auto"/>
              <w:right w:val="single" w:sz="4" w:space="0" w:color="auto"/>
            </w:tcBorders>
            <w:noWrap/>
            <w:vAlign w:val="center"/>
          </w:tcPr>
          <w:p w:rsidR="000E6A73" w:rsidRDefault="000E6A73" w:rsidP="00262A3F">
            <w:pPr>
              <w:spacing w:after="0" w:line="240" w:lineRule="auto"/>
              <w:jc w:val="center"/>
              <w:rPr>
                <w:b/>
                <w:sz w:val="20"/>
                <w:szCs w:val="20"/>
              </w:rPr>
            </w:pPr>
          </w:p>
        </w:tc>
        <w:tc>
          <w:tcPr>
            <w:tcW w:w="992" w:type="dxa"/>
            <w:tcBorders>
              <w:top w:val="nil"/>
              <w:left w:val="nil"/>
              <w:bottom w:val="single" w:sz="4" w:space="0" w:color="auto"/>
              <w:right w:val="single" w:sz="4" w:space="0" w:color="auto"/>
            </w:tcBorders>
            <w:noWrap/>
            <w:vAlign w:val="center"/>
            <w:hideMark/>
          </w:tcPr>
          <w:p w:rsidR="000E6A73" w:rsidRDefault="000E6A73" w:rsidP="00262A3F">
            <w:pPr>
              <w:spacing w:after="0" w:line="240" w:lineRule="auto"/>
              <w:rPr>
                <w:sz w:val="20"/>
                <w:szCs w:val="20"/>
              </w:rPr>
            </w:pPr>
          </w:p>
        </w:tc>
        <w:tc>
          <w:tcPr>
            <w:tcW w:w="992" w:type="dxa"/>
            <w:tcBorders>
              <w:top w:val="nil"/>
              <w:left w:val="nil"/>
              <w:bottom w:val="single" w:sz="4" w:space="0" w:color="auto"/>
              <w:right w:val="single" w:sz="4" w:space="0" w:color="auto"/>
            </w:tcBorders>
            <w:noWrap/>
            <w:vAlign w:val="center"/>
            <w:hideMark/>
          </w:tcPr>
          <w:p w:rsidR="000E6A73" w:rsidRDefault="000E6A73" w:rsidP="00262A3F">
            <w:pPr>
              <w:spacing w:after="0" w:line="240" w:lineRule="auto"/>
              <w:rPr>
                <w:sz w:val="20"/>
                <w:szCs w:val="20"/>
              </w:rPr>
            </w:pPr>
          </w:p>
        </w:tc>
        <w:tc>
          <w:tcPr>
            <w:tcW w:w="992" w:type="dxa"/>
            <w:tcBorders>
              <w:top w:val="nil"/>
              <w:left w:val="nil"/>
              <w:bottom w:val="single" w:sz="4" w:space="0" w:color="auto"/>
              <w:right w:val="single" w:sz="4" w:space="0" w:color="auto"/>
            </w:tcBorders>
            <w:noWrap/>
            <w:vAlign w:val="center"/>
            <w:hideMark/>
          </w:tcPr>
          <w:p w:rsidR="000E6A73" w:rsidRDefault="000E6A73" w:rsidP="00262A3F">
            <w:pPr>
              <w:spacing w:after="0" w:line="240" w:lineRule="auto"/>
              <w:rPr>
                <w:sz w:val="20"/>
                <w:szCs w:val="20"/>
              </w:rPr>
            </w:pPr>
          </w:p>
        </w:tc>
        <w:tc>
          <w:tcPr>
            <w:tcW w:w="993" w:type="dxa"/>
            <w:tcBorders>
              <w:top w:val="single" w:sz="4" w:space="0" w:color="auto"/>
              <w:left w:val="nil"/>
              <w:bottom w:val="single" w:sz="4" w:space="0" w:color="auto"/>
              <w:right w:val="single" w:sz="4" w:space="0" w:color="auto"/>
            </w:tcBorders>
            <w:vAlign w:val="center"/>
          </w:tcPr>
          <w:p w:rsidR="000E6A73" w:rsidRDefault="000E6A73" w:rsidP="00262A3F">
            <w:pPr>
              <w:spacing w:after="0" w:line="240" w:lineRule="auto"/>
              <w:jc w:val="center"/>
              <w:rPr>
                <w:sz w:val="20"/>
                <w:szCs w:val="20"/>
              </w:rPr>
            </w:pPr>
          </w:p>
        </w:tc>
        <w:tc>
          <w:tcPr>
            <w:tcW w:w="993" w:type="dxa"/>
            <w:tcBorders>
              <w:top w:val="nil"/>
              <w:left w:val="nil"/>
              <w:bottom w:val="single" w:sz="4" w:space="0" w:color="auto"/>
              <w:right w:val="single" w:sz="4" w:space="0" w:color="auto"/>
            </w:tcBorders>
            <w:noWrap/>
            <w:vAlign w:val="center"/>
            <w:hideMark/>
          </w:tcPr>
          <w:p w:rsidR="000E6A73" w:rsidRDefault="000E6A73" w:rsidP="00262A3F">
            <w:pPr>
              <w:spacing w:after="0" w:line="240" w:lineRule="auto"/>
              <w:rPr>
                <w:sz w:val="20"/>
                <w:szCs w:val="20"/>
              </w:rPr>
            </w:pPr>
          </w:p>
        </w:tc>
        <w:tc>
          <w:tcPr>
            <w:tcW w:w="993" w:type="dxa"/>
            <w:tcBorders>
              <w:top w:val="nil"/>
              <w:left w:val="nil"/>
              <w:bottom w:val="single" w:sz="4" w:space="0" w:color="auto"/>
              <w:right w:val="single" w:sz="4" w:space="0" w:color="auto"/>
            </w:tcBorders>
            <w:vAlign w:val="center"/>
          </w:tcPr>
          <w:p w:rsidR="000E6A73" w:rsidRDefault="000E6A73" w:rsidP="00262A3F">
            <w:pPr>
              <w:spacing w:after="0" w:line="240" w:lineRule="auto"/>
              <w:jc w:val="center"/>
              <w:rPr>
                <w:sz w:val="20"/>
                <w:szCs w:val="20"/>
              </w:rPr>
            </w:pPr>
          </w:p>
        </w:tc>
      </w:tr>
      <w:tr w:rsidR="000E6A73" w:rsidTr="000E6A73">
        <w:trPr>
          <w:trHeight w:val="411"/>
        </w:trPr>
        <w:tc>
          <w:tcPr>
            <w:tcW w:w="851" w:type="dxa"/>
            <w:tcBorders>
              <w:top w:val="nil"/>
              <w:left w:val="single" w:sz="4" w:space="0" w:color="auto"/>
              <w:bottom w:val="single" w:sz="4" w:space="0" w:color="auto"/>
              <w:right w:val="single" w:sz="4" w:space="0" w:color="auto"/>
            </w:tcBorders>
            <w:noWrap/>
            <w:vAlign w:val="center"/>
            <w:hideMark/>
          </w:tcPr>
          <w:p w:rsidR="000E6A73" w:rsidRDefault="000E6A73" w:rsidP="00262A3F">
            <w:pPr>
              <w:spacing w:after="0" w:line="240" w:lineRule="auto"/>
              <w:jc w:val="center"/>
            </w:pPr>
            <w:r>
              <w:rPr>
                <w:sz w:val="22"/>
                <w:szCs w:val="22"/>
              </w:rPr>
              <w:t>1.1</w:t>
            </w:r>
          </w:p>
        </w:tc>
        <w:tc>
          <w:tcPr>
            <w:tcW w:w="2410" w:type="dxa"/>
            <w:tcBorders>
              <w:top w:val="nil"/>
              <w:left w:val="nil"/>
              <w:bottom w:val="single" w:sz="4" w:space="0" w:color="auto"/>
              <w:right w:val="single" w:sz="4" w:space="0" w:color="auto"/>
            </w:tcBorders>
            <w:noWrap/>
            <w:hideMark/>
          </w:tcPr>
          <w:p w:rsidR="000E6A73" w:rsidRDefault="000E6A73" w:rsidP="00262A3F">
            <w:pPr>
              <w:spacing w:after="0" w:line="240" w:lineRule="auto"/>
              <w:rPr>
                <w:sz w:val="20"/>
                <w:szCs w:val="20"/>
              </w:rPr>
            </w:pPr>
            <w:r>
              <w:rPr>
                <w:sz w:val="20"/>
                <w:szCs w:val="20"/>
              </w:rPr>
              <w:t>Объем сточных вод, принятых у абонентов</w:t>
            </w:r>
          </w:p>
        </w:tc>
        <w:tc>
          <w:tcPr>
            <w:tcW w:w="1134" w:type="dxa"/>
            <w:tcBorders>
              <w:top w:val="nil"/>
              <w:left w:val="nil"/>
              <w:bottom w:val="single" w:sz="4" w:space="0" w:color="auto"/>
              <w:right w:val="single" w:sz="4" w:space="0" w:color="auto"/>
            </w:tcBorders>
            <w:noWrap/>
            <w:vAlign w:val="center"/>
            <w:hideMark/>
          </w:tcPr>
          <w:p w:rsidR="000E6A73" w:rsidRDefault="000E6A73" w:rsidP="00262A3F">
            <w:pPr>
              <w:spacing w:after="0" w:line="240" w:lineRule="auto"/>
              <w:jc w:val="center"/>
              <w:rPr>
                <w:sz w:val="20"/>
                <w:szCs w:val="20"/>
              </w:rPr>
            </w:pPr>
            <w:r>
              <w:rPr>
                <w:sz w:val="20"/>
                <w:szCs w:val="20"/>
              </w:rPr>
              <w:t xml:space="preserve">тыс. </w:t>
            </w:r>
            <w:r>
              <w:rPr>
                <w:rFonts w:eastAsia="Calibri"/>
                <w:sz w:val="20"/>
                <w:szCs w:val="20"/>
                <w:lang w:eastAsia="en-US"/>
              </w:rPr>
              <w:t>м</w:t>
            </w:r>
            <w:r>
              <w:rPr>
                <w:rFonts w:eastAsia="Calibri"/>
                <w:sz w:val="20"/>
                <w:szCs w:val="20"/>
                <w:vertAlign w:val="superscript"/>
                <w:lang w:eastAsia="en-US"/>
              </w:rPr>
              <w:t>3</w:t>
            </w:r>
          </w:p>
        </w:tc>
        <w:tc>
          <w:tcPr>
            <w:tcW w:w="992" w:type="dxa"/>
            <w:tcBorders>
              <w:top w:val="nil"/>
              <w:left w:val="nil"/>
              <w:bottom w:val="single" w:sz="4" w:space="0" w:color="auto"/>
              <w:right w:val="single" w:sz="4" w:space="0" w:color="auto"/>
            </w:tcBorders>
            <w:noWrap/>
            <w:vAlign w:val="center"/>
            <w:hideMark/>
          </w:tcPr>
          <w:p w:rsidR="000E6A73" w:rsidRDefault="000E6A73" w:rsidP="00262A3F">
            <w:pPr>
              <w:spacing w:after="0" w:line="240" w:lineRule="auto"/>
              <w:jc w:val="center"/>
              <w:rPr>
                <w:b/>
                <w:bCs/>
                <w:sz w:val="20"/>
                <w:szCs w:val="20"/>
              </w:rPr>
            </w:pPr>
            <w:r>
              <w:rPr>
                <w:b/>
                <w:bCs/>
                <w:sz w:val="20"/>
                <w:szCs w:val="20"/>
              </w:rPr>
              <w:t>6 521,79</w:t>
            </w:r>
          </w:p>
        </w:tc>
        <w:tc>
          <w:tcPr>
            <w:tcW w:w="992" w:type="dxa"/>
            <w:tcBorders>
              <w:top w:val="nil"/>
              <w:left w:val="nil"/>
              <w:bottom w:val="single" w:sz="4" w:space="0" w:color="auto"/>
              <w:right w:val="single" w:sz="4" w:space="0" w:color="auto"/>
            </w:tcBorders>
            <w:noWrap/>
            <w:vAlign w:val="center"/>
            <w:hideMark/>
          </w:tcPr>
          <w:p w:rsidR="000E6A73" w:rsidRDefault="000E6A73" w:rsidP="00262A3F">
            <w:pPr>
              <w:spacing w:after="0" w:line="240" w:lineRule="auto"/>
              <w:jc w:val="center"/>
              <w:rPr>
                <w:b/>
                <w:bCs/>
                <w:sz w:val="20"/>
                <w:szCs w:val="20"/>
              </w:rPr>
            </w:pPr>
            <w:r>
              <w:rPr>
                <w:b/>
                <w:bCs/>
                <w:sz w:val="20"/>
                <w:szCs w:val="20"/>
              </w:rPr>
              <w:t>6 433,77</w:t>
            </w:r>
          </w:p>
        </w:tc>
        <w:tc>
          <w:tcPr>
            <w:tcW w:w="992" w:type="dxa"/>
            <w:tcBorders>
              <w:top w:val="nil"/>
              <w:left w:val="nil"/>
              <w:bottom w:val="single" w:sz="4" w:space="0" w:color="auto"/>
              <w:right w:val="single" w:sz="4" w:space="0" w:color="auto"/>
            </w:tcBorders>
            <w:noWrap/>
            <w:vAlign w:val="center"/>
            <w:hideMark/>
          </w:tcPr>
          <w:p w:rsidR="000E6A73" w:rsidRDefault="000E6A73" w:rsidP="00262A3F">
            <w:pPr>
              <w:spacing w:after="0" w:line="240" w:lineRule="auto"/>
              <w:jc w:val="center"/>
              <w:rPr>
                <w:b/>
                <w:bCs/>
                <w:sz w:val="20"/>
                <w:szCs w:val="20"/>
              </w:rPr>
            </w:pPr>
            <w:r>
              <w:rPr>
                <w:b/>
                <w:bCs/>
                <w:sz w:val="20"/>
                <w:szCs w:val="20"/>
              </w:rPr>
              <w:t>6 350,44</w:t>
            </w:r>
          </w:p>
        </w:tc>
        <w:tc>
          <w:tcPr>
            <w:tcW w:w="993" w:type="dxa"/>
            <w:tcBorders>
              <w:top w:val="single" w:sz="4" w:space="0" w:color="auto"/>
              <w:left w:val="nil"/>
              <w:bottom w:val="single" w:sz="4" w:space="0" w:color="auto"/>
              <w:right w:val="single" w:sz="4" w:space="0" w:color="auto"/>
            </w:tcBorders>
            <w:vAlign w:val="center"/>
            <w:hideMark/>
          </w:tcPr>
          <w:p w:rsidR="000E6A73" w:rsidRDefault="000E6A73" w:rsidP="00262A3F">
            <w:pPr>
              <w:spacing w:after="0" w:line="240" w:lineRule="auto"/>
              <w:jc w:val="center"/>
              <w:rPr>
                <w:b/>
                <w:bCs/>
                <w:sz w:val="20"/>
                <w:szCs w:val="20"/>
              </w:rPr>
            </w:pPr>
            <w:r>
              <w:rPr>
                <w:b/>
                <w:bCs/>
                <w:sz w:val="20"/>
                <w:szCs w:val="20"/>
              </w:rPr>
              <w:t>6 506,28</w:t>
            </w:r>
          </w:p>
        </w:tc>
        <w:tc>
          <w:tcPr>
            <w:tcW w:w="993" w:type="dxa"/>
            <w:tcBorders>
              <w:top w:val="nil"/>
              <w:left w:val="nil"/>
              <w:bottom w:val="single" w:sz="4" w:space="0" w:color="auto"/>
              <w:right w:val="single" w:sz="4" w:space="0" w:color="auto"/>
            </w:tcBorders>
            <w:noWrap/>
            <w:vAlign w:val="center"/>
            <w:hideMark/>
          </w:tcPr>
          <w:p w:rsidR="000E6A73" w:rsidRDefault="000E6A73" w:rsidP="00262A3F">
            <w:pPr>
              <w:spacing w:after="0" w:line="240" w:lineRule="auto"/>
              <w:jc w:val="center"/>
              <w:rPr>
                <w:b/>
                <w:bCs/>
                <w:sz w:val="20"/>
                <w:szCs w:val="20"/>
              </w:rPr>
            </w:pPr>
            <w:r>
              <w:rPr>
                <w:b/>
                <w:bCs/>
                <w:sz w:val="20"/>
                <w:szCs w:val="20"/>
              </w:rPr>
              <w:t>7 548,20</w:t>
            </w:r>
          </w:p>
        </w:tc>
        <w:tc>
          <w:tcPr>
            <w:tcW w:w="993" w:type="dxa"/>
            <w:tcBorders>
              <w:top w:val="nil"/>
              <w:left w:val="nil"/>
              <w:bottom w:val="single" w:sz="4" w:space="0" w:color="auto"/>
              <w:right w:val="single" w:sz="4" w:space="0" w:color="auto"/>
            </w:tcBorders>
            <w:vAlign w:val="center"/>
            <w:hideMark/>
          </w:tcPr>
          <w:p w:rsidR="000E6A73" w:rsidRDefault="000E6A73" w:rsidP="00262A3F">
            <w:pPr>
              <w:spacing w:after="0" w:line="240" w:lineRule="auto"/>
              <w:jc w:val="center"/>
              <w:rPr>
                <w:b/>
                <w:bCs/>
                <w:sz w:val="20"/>
                <w:szCs w:val="20"/>
              </w:rPr>
            </w:pPr>
            <w:r>
              <w:rPr>
                <w:b/>
                <w:bCs/>
                <w:sz w:val="20"/>
                <w:szCs w:val="20"/>
              </w:rPr>
              <w:t>6 670,25</w:t>
            </w:r>
          </w:p>
        </w:tc>
      </w:tr>
      <w:tr w:rsidR="000E6A73" w:rsidTr="000E6A73">
        <w:trPr>
          <w:trHeight w:val="300"/>
        </w:trPr>
        <w:tc>
          <w:tcPr>
            <w:tcW w:w="851" w:type="dxa"/>
            <w:tcBorders>
              <w:top w:val="nil"/>
              <w:left w:val="single" w:sz="4" w:space="0" w:color="auto"/>
              <w:bottom w:val="single" w:sz="4" w:space="0" w:color="auto"/>
              <w:right w:val="single" w:sz="4" w:space="0" w:color="auto"/>
            </w:tcBorders>
            <w:noWrap/>
            <w:vAlign w:val="center"/>
            <w:hideMark/>
          </w:tcPr>
          <w:p w:rsidR="000E6A73" w:rsidRDefault="00301AE6" w:rsidP="00262A3F">
            <w:pPr>
              <w:spacing w:after="0" w:line="240" w:lineRule="auto"/>
              <w:jc w:val="center"/>
            </w:pPr>
            <w:r>
              <w:rPr>
                <w:sz w:val="22"/>
                <w:szCs w:val="22"/>
              </w:rPr>
              <w:t>1.1.1</w:t>
            </w:r>
          </w:p>
        </w:tc>
        <w:tc>
          <w:tcPr>
            <w:tcW w:w="2410" w:type="dxa"/>
            <w:tcBorders>
              <w:top w:val="nil"/>
              <w:left w:val="nil"/>
              <w:bottom w:val="single" w:sz="4" w:space="0" w:color="auto"/>
              <w:right w:val="single" w:sz="4" w:space="0" w:color="auto"/>
            </w:tcBorders>
            <w:noWrap/>
            <w:vAlign w:val="center"/>
            <w:hideMark/>
          </w:tcPr>
          <w:p w:rsidR="000E6A73" w:rsidRDefault="000E6A73" w:rsidP="00262A3F">
            <w:pPr>
              <w:spacing w:after="0" w:line="240" w:lineRule="auto"/>
              <w:rPr>
                <w:b/>
                <w:sz w:val="20"/>
                <w:szCs w:val="20"/>
              </w:rPr>
            </w:pPr>
            <w:r>
              <w:rPr>
                <w:b/>
                <w:sz w:val="20"/>
                <w:szCs w:val="20"/>
              </w:rPr>
              <w:t>у прочих абонентов, в том числе:</w:t>
            </w:r>
          </w:p>
        </w:tc>
        <w:tc>
          <w:tcPr>
            <w:tcW w:w="1134" w:type="dxa"/>
            <w:tcBorders>
              <w:top w:val="nil"/>
              <w:left w:val="nil"/>
              <w:bottom w:val="single" w:sz="4" w:space="0" w:color="auto"/>
              <w:right w:val="single" w:sz="4" w:space="0" w:color="auto"/>
            </w:tcBorders>
            <w:noWrap/>
            <w:vAlign w:val="center"/>
            <w:hideMark/>
          </w:tcPr>
          <w:p w:rsidR="000E6A73" w:rsidRDefault="000E6A73" w:rsidP="00262A3F">
            <w:pPr>
              <w:spacing w:after="0" w:line="240" w:lineRule="auto"/>
              <w:jc w:val="center"/>
              <w:rPr>
                <w:b/>
                <w:sz w:val="20"/>
                <w:szCs w:val="20"/>
              </w:rPr>
            </w:pPr>
            <w:r>
              <w:rPr>
                <w:b/>
                <w:sz w:val="20"/>
                <w:szCs w:val="20"/>
              </w:rPr>
              <w:t xml:space="preserve">тыс. </w:t>
            </w:r>
            <w:r>
              <w:rPr>
                <w:rFonts w:eastAsia="Calibri"/>
                <w:b/>
                <w:sz w:val="20"/>
                <w:szCs w:val="20"/>
                <w:lang w:eastAsia="en-US"/>
              </w:rPr>
              <w:t>м</w:t>
            </w:r>
            <w:r>
              <w:rPr>
                <w:rFonts w:eastAsia="Calibri"/>
                <w:b/>
                <w:sz w:val="20"/>
                <w:szCs w:val="20"/>
                <w:vertAlign w:val="superscript"/>
                <w:lang w:eastAsia="en-US"/>
              </w:rPr>
              <w:t>3</w:t>
            </w:r>
          </w:p>
        </w:tc>
        <w:tc>
          <w:tcPr>
            <w:tcW w:w="992" w:type="dxa"/>
            <w:tcBorders>
              <w:top w:val="nil"/>
              <w:left w:val="nil"/>
              <w:bottom w:val="single" w:sz="4" w:space="0" w:color="auto"/>
              <w:right w:val="single" w:sz="4" w:space="0" w:color="auto"/>
            </w:tcBorders>
            <w:noWrap/>
            <w:vAlign w:val="center"/>
            <w:hideMark/>
          </w:tcPr>
          <w:p w:rsidR="000E6A73" w:rsidRDefault="000E6A73" w:rsidP="00262A3F">
            <w:pPr>
              <w:spacing w:after="0" w:line="240" w:lineRule="auto"/>
              <w:jc w:val="center"/>
              <w:rPr>
                <w:b/>
                <w:bCs/>
                <w:sz w:val="20"/>
                <w:szCs w:val="20"/>
              </w:rPr>
            </w:pPr>
            <w:r>
              <w:rPr>
                <w:b/>
                <w:bCs/>
                <w:sz w:val="20"/>
                <w:szCs w:val="20"/>
              </w:rPr>
              <w:t>6 510,10</w:t>
            </w:r>
          </w:p>
        </w:tc>
        <w:tc>
          <w:tcPr>
            <w:tcW w:w="992" w:type="dxa"/>
            <w:tcBorders>
              <w:top w:val="nil"/>
              <w:left w:val="nil"/>
              <w:bottom w:val="single" w:sz="4" w:space="0" w:color="auto"/>
              <w:right w:val="single" w:sz="4" w:space="0" w:color="auto"/>
            </w:tcBorders>
            <w:noWrap/>
            <w:vAlign w:val="center"/>
            <w:hideMark/>
          </w:tcPr>
          <w:p w:rsidR="000E6A73" w:rsidRDefault="000E6A73" w:rsidP="00262A3F">
            <w:pPr>
              <w:spacing w:after="0" w:line="240" w:lineRule="auto"/>
              <w:jc w:val="center"/>
              <w:rPr>
                <w:b/>
                <w:bCs/>
                <w:sz w:val="20"/>
                <w:szCs w:val="20"/>
              </w:rPr>
            </w:pPr>
            <w:r>
              <w:rPr>
                <w:b/>
                <w:bCs/>
                <w:sz w:val="20"/>
                <w:szCs w:val="20"/>
              </w:rPr>
              <w:t>6 397,47</w:t>
            </w:r>
          </w:p>
        </w:tc>
        <w:tc>
          <w:tcPr>
            <w:tcW w:w="992" w:type="dxa"/>
            <w:tcBorders>
              <w:top w:val="nil"/>
              <w:left w:val="nil"/>
              <w:bottom w:val="single" w:sz="4" w:space="0" w:color="auto"/>
              <w:right w:val="single" w:sz="4" w:space="0" w:color="auto"/>
            </w:tcBorders>
            <w:noWrap/>
            <w:vAlign w:val="center"/>
            <w:hideMark/>
          </w:tcPr>
          <w:p w:rsidR="000E6A73" w:rsidRDefault="000E6A73" w:rsidP="00262A3F">
            <w:pPr>
              <w:spacing w:after="0" w:line="240" w:lineRule="auto"/>
              <w:jc w:val="center"/>
              <w:rPr>
                <w:b/>
                <w:bCs/>
                <w:sz w:val="20"/>
                <w:szCs w:val="20"/>
              </w:rPr>
            </w:pPr>
            <w:r>
              <w:rPr>
                <w:b/>
                <w:bCs/>
                <w:sz w:val="20"/>
                <w:szCs w:val="20"/>
              </w:rPr>
              <w:t>6 305,11</w:t>
            </w:r>
          </w:p>
        </w:tc>
        <w:tc>
          <w:tcPr>
            <w:tcW w:w="993" w:type="dxa"/>
            <w:tcBorders>
              <w:top w:val="single" w:sz="4" w:space="0" w:color="auto"/>
              <w:left w:val="nil"/>
              <w:bottom w:val="single" w:sz="4" w:space="0" w:color="auto"/>
              <w:right w:val="single" w:sz="4" w:space="0" w:color="auto"/>
            </w:tcBorders>
            <w:vAlign w:val="center"/>
            <w:hideMark/>
          </w:tcPr>
          <w:p w:rsidR="000E6A73" w:rsidRDefault="000E6A73" w:rsidP="00262A3F">
            <w:pPr>
              <w:spacing w:after="0" w:line="240" w:lineRule="auto"/>
              <w:jc w:val="center"/>
              <w:rPr>
                <w:b/>
                <w:bCs/>
                <w:sz w:val="20"/>
                <w:szCs w:val="20"/>
              </w:rPr>
            </w:pPr>
            <w:r>
              <w:rPr>
                <w:b/>
                <w:bCs/>
                <w:sz w:val="20"/>
                <w:szCs w:val="20"/>
              </w:rPr>
              <w:t>6 466,41</w:t>
            </w:r>
          </w:p>
        </w:tc>
        <w:tc>
          <w:tcPr>
            <w:tcW w:w="993" w:type="dxa"/>
            <w:tcBorders>
              <w:top w:val="nil"/>
              <w:left w:val="nil"/>
              <w:bottom w:val="single" w:sz="4" w:space="0" w:color="auto"/>
              <w:right w:val="single" w:sz="4" w:space="0" w:color="auto"/>
            </w:tcBorders>
            <w:noWrap/>
            <w:vAlign w:val="center"/>
            <w:hideMark/>
          </w:tcPr>
          <w:p w:rsidR="000E6A73" w:rsidRDefault="000E6A73" w:rsidP="00262A3F">
            <w:pPr>
              <w:spacing w:after="0" w:line="240" w:lineRule="auto"/>
              <w:jc w:val="center"/>
              <w:rPr>
                <w:b/>
                <w:bCs/>
                <w:sz w:val="20"/>
                <w:szCs w:val="20"/>
              </w:rPr>
            </w:pPr>
            <w:r>
              <w:rPr>
                <w:b/>
                <w:bCs/>
                <w:sz w:val="20"/>
                <w:szCs w:val="20"/>
              </w:rPr>
              <w:t>7 405,40</w:t>
            </w:r>
          </w:p>
        </w:tc>
        <w:tc>
          <w:tcPr>
            <w:tcW w:w="993" w:type="dxa"/>
            <w:tcBorders>
              <w:top w:val="nil"/>
              <w:left w:val="nil"/>
              <w:bottom w:val="single" w:sz="4" w:space="0" w:color="auto"/>
              <w:right w:val="single" w:sz="4" w:space="0" w:color="auto"/>
            </w:tcBorders>
            <w:vAlign w:val="center"/>
            <w:hideMark/>
          </w:tcPr>
          <w:p w:rsidR="000E6A73" w:rsidRDefault="000E6A73" w:rsidP="00262A3F">
            <w:pPr>
              <w:spacing w:after="0" w:line="240" w:lineRule="auto"/>
              <w:jc w:val="center"/>
              <w:rPr>
                <w:b/>
                <w:bCs/>
                <w:sz w:val="20"/>
                <w:szCs w:val="20"/>
              </w:rPr>
            </w:pPr>
            <w:r>
              <w:rPr>
                <w:b/>
                <w:bCs/>
                <w:sz w:val="20"/>
                <w:szCs w:val="20"/>
              </w:rPr>
              <w:t>6 606,58</w:t>
            </w:r>
          </w:p>
        </w:tc>
      </w:tr>
      <w:tr w:rsidR="000E6A73" w:rsidTr="000E6A73">
        <w:trPr>
          <w:trHeight w:val="300"/>
        </w:trPr>
        <w:tc>
          <w:tcPr>
            <w:tcW w:w="851" w:type="dxa"/>
            <w:tcBorders>
              <w:top w:val="nil"/>
              <w:left w:val="single" w:sz="4" w:space="0" w:color="auto"/>
              <w:bottom w:val="single" w:sz="4" w:space="0" w:color="auto"/>
              <w:right w:val="single" w:sz="4" w:space="0" w:color="auto"/>
            </w:tcBorders>
            <w:noWrap/>
            <w:vAlign w:val="center"/>
            <w:hideMark/>
          </w:tcPr>
          <w:p w:rsidR="000E6A73" w:rsidRDefault="000E6A73" w:rsidP="00262A3F">
            <w:pPr>
              <w:spacing w:after="0" w:line="240" w:lineRule="auto"/>
              <w:jc w:val="center"/>
            </w:pPr>
            <w:r>
              <w:rPr>
                <w:sz w:val="22"/>
                <w:szCs w:val="22"/>
              </w:rPr>
              <w:t>1.1</w:t>
            </w:r>
            <w:r w:rsidR="00301AE6">
              <w:rPr>
                <w:sz w:val="22"/>
                <w:szCs w:val="22"/>
              </w:rPr>
              <w:t>.2</w:t>
            </w:r>
          </w:p>
        </w:tc>
        <w:tc>
          <w:tcPr>
            <w:tcW w:w="2410" w:type="dxa"/>
            <w:tcBorders>
              <w:top w:val="nil"/>
              <w:left w:val="nil"/>
              <w:bottom w:val="single" w:sz="4" w:space="0" w:color="auto"/>
              <w:right w:val="single" w:sz="4" w:space="0" w:color="auto"/>
            </w:tcBorders>
            <w:noWrap/>
            <w:vAlign w:val="center"/>
            <w:hideMark/>
          </w:tcPr>
          <w:p w:rsidR="000E6A73" w:rsidRDefault="000E6A73" w:rsidP="00262A3F">
            <w:pPr>
              <w:spacing w:after="0" w:line="240" w:lineRule="auto"/>
              <w:rPr>
                <w:sz w:val="20"/>
                <w:szCs w:val="20"/>
              </w:rPr>
            </w:pPr>
            <w:r>
              <w:rPr>
                <w:i/>
                <w:iCs/>
                <w:sz w:val="20"/>
                <w:szCs w:val="20"/>
              </w:rPr>
              <w:t xml:space="preserve"> бюджетные</w:t>
            </w:r>
          </w:p>
        </w:tc>
        <w:tc>
          <w:tcPr>
            <w:tcW w:w="1134" w:type="dxa"/>
            <w:tcBorders>
              <w:top w:val="nil"/>
              <w:left w:val="nil"/>
              <w:bottom w:val="single" w:sz="4" w:space="0" w:color="auto"/>
              <w:right w:val="single" w:sz="4" w:space="0" w:color="auto"/>
            </w:tcBorders>
            <w:noWrap/>
            <w:vAlign w:val="center"/>
            <w:hideMark/>
          </w:tcPr>
          <w:p w:rsidR="000E6A73" w:rsidRDefault="000E6A73" w:rsidP="00262A3F">
            <w:pPr>
              <w:spacing w:after="0" w:line="240" w:lineRule="auto"/>
              <w:jc w:val="center"/>
              <w:rPr>
                <w:sz w:val="20"/>
                <w:szCs w:val="20"/>
              </w:rPr>
            </w:pPr>
            <w:r>
              <w:rPr>
                <w:sz w:val="20"/>
                <w:szCs w:val="20"/>
              </w:rPr>
              <w:t xml:space="preserve">тыс. </w:t>
            </w:r>
            <w:r>
              <w:rPr>
                <w:rFonts w:eastAsia="Calibri"/>
                <w:sz w:val="20"/>
                <w:szCs w:val="20"/>
                <w:lang w:eastAsia="en-US"/>
              </w:rPr>
              <w:t>м</w:t>
            </w:r>
            <w:r>
              <w:rPr>
                <w:rFonts w:eastAsia="Calibri"/>
                <w:sz w:val="20"/>
                <w:szCs w:val="20"/>
                <w:vertAlign w:val="superscript"/>
                <w:lang w:eastAsia="en-US"/>
              </w:rPr>
              <w:t>3</w:t>
            </w:r>
          </w:p>
        </w:tc>
        <w:tc>
          <w:tcPr>
            <w:tcW w:w="992" w:type="dxa"/>
            <w:tcBorders>
              <w:top w:val="nil"/>
              <w:left w:val="nil"/>
              <w:bottom w:val="single" w:sz="4" w:space="0" w:color="auto"/>
              <w:right w:val="single" w:sz="4" w:space="0" w:color="auto"/>
            </w:tcBorders>
            <w:noWrap/>
            <w:vAlign w:val="center"/>
            <w:hideMark/>
          </w:tcPr>
          <w:p w:rsidR="000E6A73" w:rsidRDefault="000E6A73" w:rsidP="00262A3F">
            <w:pPr>
              <w:spacing w:after="0" w:line="240" w:lineRule="auto"/>
              <w:jc w:val="center"/>
              <w:rPr>
                <w:sz w:val="20"/>
                <w:szCs w:val="20"/>
              </w:rPr>
            </w:pPr>
            <w:r>
              <w:rPr>
                <w:sz w:val="20"/>
                <w:szCs w:val="20"/>
              </w:rPr>
              <w:t>452,88</w:t>
            </w:r>
          </w:p>
        </w:tc>
        <w:tc>
          <w:tcPr>
            <w:tcW w:w="992" w:type="dxa"/>
            <w:tcBorders>
              <w:top w:val="nil"/>
              <w:left w:val="nil"/>
              <w:bottom w:val="single" w:sz="4" w:space="0" w:color="auto"/>
              <w:right w:val="single" w:sz="4" w:space="0" w:color="auto"/>
            </w:tcBorders>
            <w:noWrap/>
            <w:vAlign w:val="center"/>
            <w:hideMark/>
          </w:tcPr>
          <w:p w:rsidR="000E6A73" w:rsidRDefault="000E6A73" w:rsidP="00262A3F">
            <w:pPr>
              <w:spacing w:after="0" w:line="240" w:lineRule="auto"/>
              <w:jc w:val="center"/>
              <w:rPr>
                <w:sz w:val="20"/>
                <w:szCs w:val="20"/>
              </w:rPr>
            </w:pPr>
            <w:r>
              <w:rPr>
                <w:sz w:val="20"/>
                <w:szCs w:val="20"/>
              </w:rPr>
              <w:t>395,80</w:t>
            </w:r>
          </w:p>
        </w:tc>
        <w:tc>
          <w:tcPr>
            <w:tcW w:w="992" w:type="dxa"/>
            <w:tcBorders>
              <w:top w:val="nil"/>
              <w:left w:val="nil"/>
              <w:bottom w:val="single" w:sz="4" w:space="0" w:color="auto"/>
              <w:right w:val="single" w:sz="4" w:space="0" w:color="auto"/>
            </w:tcBorders>
            <w:noWrap/>
            <w:vAlign w:val="center"/>
            <w:hideMark/>
          </w:tcPr>
          <w:p w:rsidR="000E6A73" w:rsidRDefault="000E6A73" w:rsidP="00262A3F">
            <w:pPr>
              <w:spacing w:after="0" w:line="240" w:lineRule="auto"/>
              <w:jc w:val="center"/>
              <w:rPr>
                <w:sz w:val="20"/>
                <w:szCs w:val="20"/>
              </w:rPr>
            </w:pPr>
            <w:r>
              <w:rPr>
                <w:sz w:val="20"/>
                <w:szCs w:val="20"/>
              </w:rPr>
              <w:t>340,65</w:t>
            </w:r>
          </w:p>
        </w:tc>
        <w:tc>
          <w:tcPr>
            <w:tcW w:w="993" w:type="dxa"/>
            <w:tcBorders>
              <w:top w:val="single" w:sz="4" w:space="0" w:color="auto"/>
              <w:left w:val="nil"/>
              <w:bottom w:val="single" w:sz="4" w:space="0" w:color="auto"/>
              <w:right w:val="single" w:sz="4" w:space="0" w:color="auto"/>
            </w:tcBorders>
            <w:vAlign w:val="center"/>
            <w:hideMark/>
          </w:tcPr>
          <w:p w:rsidR="000E6A73" w:rsidRDefault="000E6A73" w:rsidP="00262A3F">
            <w:pPr>
              <w:spacing w:after="0" w:line="240" w:lineRule="auto"/>
              <w:jc w:val="center"/>
              <w:rPr>
                <w:sz w:val="20"/>
                <w:szCs w:val="20"/>
              </w:rPr>
            </w:pPr>
            <w:r>
              <w:rPr>
                <w:sz w:val="20"/>
                <w:szCs w:val="20"/>
              </w:rPr>
              <w:t>361,66</w:t>
            </w:r>
          </w:p>
        </w:tc>
        <w:tc>
          <w:tcPr>
            <w:tcW w:w="993" w:type="dxa"/>
            <w:tcBorders>
              <w:top w:val="nil"/>
              <w:left w:val="nil"/>
              <w:bottom w:val="single" w:sz="4" w:space="0" w:color="auto"/>
              <w:right w:val="single" w:sz="4" w:space="0" w:color="auto"/>
            </w:tcBorders>
            <w:noWrap/>
            <w:vAlign w:val="center"/>
            <w:hideMark/>
          </w:tcPr>
          <w:p w:rsidR="000E6A73" w:rsidRDefault="000E6A73" w:rsidP="00262A3F">
            <w:pPr>
              <w:spacing w:after="0" w:line="240" w:lineRule="auto"/>
              <w:jc w:val="center"/>
              <w:rPr>
                <w:sz w:val="20"/>
                <w:szCs w:val="20"/>
              </w:rPr>
            </w:pPr>
            <w:r>
              <w:rPr>
                <w:sz w:val="20"/>
                <w:szCs w:val="20"/>
              </w:rPr>
              <w:t>541,60</w:t>
            </w:r>
          </w:p>
        </w:tc>
        <w:tc>
          <w:tcPr>
            <w:tcW w:w="993" w:type="dxa"/>
            <w:tcBorders>
              <w:top w:val="nil"/>
              <w:left w:val="nil"/>
              <w:bottom w:val="single" w:sz="4" w:space="0" w:color="auto"/>
              <w:right w:val="single" w:sz="4" w:space="0" w:color="auto"/>
            </w:tcBorders>
            <w:vAlign w:val="center"/>
            <w:hideMark/>
          </w:tcPr>
          <w:p w:rsidR="000E6A73" w:rsidRDefault="000E6A73" w:rsidP="00262A3F">
            <w:pPr>
              <w:spacing w:after="0" w:line="240" w:lineRule="auto"/>
              <w:jc w:val="center"/>
              <w:rPr>
                <w:sz w:val="20"/>
                <w:szCs w:val="20"/>
              </w:rPr>
            </w:pPr>
            <w:r>
              <w:rPr>
                <w:sz w:val="20"/>
                <w:szCs w:val="20"/>
              </w:rPr>
              <w:t>357,84</w:t>
            </w:r>
          </w:p>
        </w:tc>
      </w:tr>
      <w:tr w:rsidR="000E6A73" w:rsidTr="00301AE6">
        <w:trPr>
          <w:trHeight w:val="300"/>
        </w:trPr>
        <w:tc>
          <w:tcPr>
            <w:tcW w:w="851" w:type="dxa"/>
            <w:tcBorders>
              <w:top w:val="nil"/>
              <w:left w:val="single" w:sz="4" w:space="0" w:color="auto"/>
              <w:bottom w:val="single" w:sz="4" w:space="0" w:color="auto"/>
              <w:right w:val="single" w:sz="4" w:space="0" w:color="auto"/>
            </w:tcBorders>
            <w:noWrap/>
            <w:vAlign w:val="center"/>
            <w:hideMark/>
          </w:tcPr>
          <w:p w:rsidR="000E6A73" w:rsidRDefault="000E6A73" w:rsidP="00262A3F">
            <w:pPr>
              <w:spacing w:after="0" w:line="240" w:lineRule="auto"/>
              <w:jc w:val="center"/>
            </w:pPr>
            <w:r>
              <w:rPr>
                <w:sz w:val="22"/>
                <w:szCs w:val="22"/>
              </w:rPr>
              <w:t>1.</w:t>
            </w:r>
            <w:r w:rsidR="00301AE6">
              <w:rPr>
                <w:sz w:val="22"/>
                <w:szCs w:val="22"/>
              </w:rPr>
              <w:t>1.3</w:t>
            </w:r>
          </w:p>
        </w:tc>
        <w:tc>
          <w:tcPr>
            <w:tcW w:w="2410" w:type="dxa"/>
            <w:tcBorders>
              <w:top w:val="nil"/>
              <w:left w:val="nil"/>
              <w:bottom w:val="single" w:sz="4" w:space="0" w:color="auto"/>
              <w:right w:val="single" w:sz="4" w:space="0" w:color="auto"/>
            </w:tcBorders>
            <w:noWrap/>
            <w:vAlign w:val="center"/>
            <w:hideMark/>
          </w:tcPr>
          <w:p w:rsidR="000E6A73" w:rsidRDefault="000E6A73" w:rsidP="00262A3F">
            <w:pPr>
              <w:spacing w:after="0" w:line="240" w:lineRule="auto"/>
              <w:rPr>
                <w:sz w:val="20"/>
                <w:szCs w:val="20"/>
              </w:rPr>
            </w:pPr>
            <w:r>
              <w:rPr>
                <w:sz w:val="20"/>
                <w:szCs w:val="20"/>
              </w:rPr>
              <w:t xml:space="preserve"> </w:t>
            </w:r>
            <w:r>
              <w:rPr>
                <w:i/>
                <w:iCs/>
                <w:sz w:val="20"/>
                <w:szCs w:val="20"/>
              </w:rPr>
              <w:t>население</w:t>
            </w:r>
          </w:p>
        </w:tc>
        <w:tc>
          <w:tcPr>
            <w:tcW w:w="1134" w:type="dxa"/>
            <w:tcBorders>
              <w:top w:val="nil"/>
              <w:left w:val="nil"/>
              <w:bottom w:val="single" w:sz="4" w:space="0" w:color="auto"/>
              <w:right w:val="single" w:sz="4" w:space="0" w:color="auto"/>
            </w:tcBorders>
            <w:noWrap/>
            <w:vAlign w:val="center"/>
            <w:hideMark/>
          </w:tcPr>
          <w:p w:rsidR="000E6A73" w:rsidRDefault="000E6A73" w:rsidP="00262A3F">
            <w:pPr>
              <w:spacing w:after="0" w:line="240" w:lineRule="auto"/>
              <w:jc w:val="center"/>
              <w:rPr>
                <w:sz w:val="20"/>
                <w:szCs w:val="20"/>
              </w:rPr>
            </w:pPr>
            <w:r>
              <w:rPr>
                <w:sz w:val="20"/>
                <w:szCs w:val="20"/>
              </w:rPr>
              <w:t xml:space="preserve">тыс. </w:t>
            </w:r>
            <w:r>
              <w:rPr>
                <w:rFonts w:eastAsia="Calibri"/>
                <w:sz w:val="20"/>
                <w:szCs w:val="20"/>
                <w:lang w:eastAsia="en-US"/>
              </w:rPr>
              <w:t>м</w:t>
            </w:r>
            <w:r>
              <w:rPr>
                <w:rFonts w:eastAsia="Calibri"/>
                <w:sz w:val="20"/>
                <w:szCs w:val="20"/>
                <w:vertAlign w:val="superscript"/>
                <w:lang w:eastAsia="en-US"/>
              </w:rPr>
              <w:t>3</w:t>
            </w:r>
          </w:p>
        </w:tc>
        <w:tc>
          <w:tcPr>
            <w:tcW w:w="992" w:type="dxa"/>
            <w:tcBorders>
              <w:top w:val="nil"/>
              <w:left w:val="nil"/>
              <w:bottom w:val="single" w:sz="4" w:space="0" w:color="auto"/>
              <w:right w:val="single" w:sz="4" w:space="0" w:color="auto"/>
            </w:tcBorders>
            <w:noWrap/>
            <w:vAlign w:val="center"/>
            <w:hideMark/>
          </w:tcPr>
          <w:p w:rsidR="000E6A73" w:rsidRDefault="000E6A73" w:rsidP="00262A3F">
            <w:pPr>
              <w:spacing w:after="0" w:line="240" w:lineRule="auto"/>
              <w:jc w:val="center"/>
              <w:rPr>
                <w:sz w:val="20"/>
                <w:szCs w:val="20"/>
              </w:rPr>
            </w:pPr>
            <w:r>
              <w:rPr>
                <w:sz w:val="20"/>
                <w:szCs w:val="20"/>
              </w:rPr>
              <w:t>4 661,50</w:t>
            </w:r>
          </w:p>
        </w:tc>
        <w:tc>
          <w:tcPr>
            <w:tcW w:w="992" w:type="dxa"/>
            <w:tcBorders>
              <w:top w:val="nil"/>
              <w:left w:val="nil"/>
              <w:bottom w:val="single" w:sz="4" w:space="0" w:color="auto"/>
              <w:right w:val="single" w:sz="4" w:space="0" w:color="auto"/>
            </w:tcBorders>
            <w:noWrap/>
            <w:vAlign w:val="center"/>
            <w:hideMark/>
          </w:tcPr>
          <w:p w:rsidR="000E6A73" w:rsidRDefault="000E6A73" w:rsidP="00262A3F">
            <w:pPr>
              <w:spacing w:after="0" w:line="240" w:lineRule="auto"/>
              <w:jc w:val="center"/>
              <w:rPr>
                <w:sz w:val="20"/>
                <w:szCs w:val="20"/>
              </w:rPr>
            </w:pPr>
            <w:r>
              <w:rPr>
                <w:sz w:val="20"/>
                <w:szCs w:val="20"/>
              </w:rPr>
              <w:t>4 487,73</w:t>
            </w:r>
          </w:p>
        </w:tc>
        <w:tc>
          <w:tcPr>
            <w:tcW w:w="992" w:type="dxa"/>
            <w:tcBorders>
              <w:top w:val="nil"/>
              <w:left w:val="nil"/>
              <w:bottom w:val="single" w:sz="4" w:space="0" w:color="auto"/>
              <w:right w:val="single" w:sz="4" w:space="0" w:color="auto"/>
            </w:tcBorders>
            <w:noWrap/>
            <w:vAlign w:val="center"/>
            <w:hideMark/>
          </w:tcPr>
          <w:p w:rsidR="000E6A73" w:rsidRDefault="000E6A73" w:rsidP="00262A3F">
            <w:pPr>
              <w:spacing w:after="0" w:line="240" w:lineRule="auto"/>
              <w:jc w:val="center"/>
              <w:rPr>
                <w:sz w:val="20"/>
                <w:szCs w:val="20"/>
              </w:rPr>
            </w:pPr>
            <w:r>
              <w:rPr>
                <w:sz w:val="20"/>
                <w:szCs w:val="20"/>
              </w:rPr>
              <w:t>4 452,72</w:t>
            </w:r>
          </w:p>
        </w:tc>
        <w:tc>
          <w:tcPr>
            <w:tcW w:w="993" w:type="dxa"/>
            <w:tcBorders>
              <w:top w:val="single" w:sz="4" w:space="0" w:color="auto"/>
              <w:left w:val="nil"/>
              <w:bottom w:val="single" w:sz="4" w:space="0" w:color="auto"/>
              <w:right w:val="single" w:sz="4" w:space="0" w:color="auto"/>
            </w:tcBorders>
            <w:vAlign w:val="center"/>
            <w:hideMark/>
          </w:tcPr>
          <w:p w:rsidR="000E6A73" w:rsidRDefault="000E6A73" w:rsidP="00262A3F">
            <w:pPr>
              <w:spacing w:after="0" w:line="240" w:lineRule="auto"/>
              <w:jc w:val="center"/>
              <w:rPr>
                <w:sz w:val="20"/>
                <w:szCs w:val="20"/>
              </w:rPr>
            </w:pPr>
            <w:r>
              <w:rPr>
                <w:sz w:val="20"/>
                <w:szCs w:val="20"/>
              </w:rPr>
              <w:t>4 601,26</w:t>
            </w:r>
          </w:p>
        </w:tc>
        <w:tc>
          <w:tcPr>
            <w:tcW w:w="993" w:type="dxa"/>
            <w:tcBorders>
              <w:top w:val="nil"/>
              <w:left w:val="nil"/>
              <w:bottom w:val="single" w:sz="4" w:space="0" w:color="auto"/>
              <w:right w:val="single" w:sz="4" w:space="0" w:color="auto"/>
            </w:tcBorders>
            <w:noWrap/>
            <w:vAlign w:val="center"/>
            <w:hideMark/>
          </w:tcPr>
          <w:p w:rsidR="000E6A73" w:rsidRDefault="000E6A73" w:rsidP="00262A3F">
            <w:pPr>
              <w:spacing w:after="0" w:line="240" w:lineRule="auto"/>
              <w:jc w:val="center"/>
              <w:rPr>
                <w:sz w:val="20"/>
                <w:szCs w:val="20"/>
              </w:rPr>
            </w:pPr>
            <w:r>
              <w:rPr>
                <w:sz w:val="20"/>
                <w:szCs w:val="20"/>
              </w:rPr>
              <w:t>5 569,60</w:t>
            </w:r>
          </w:p>
        </w:tc>
        <w:tc>
          <w:tcPr>
            <w:tcW w:w="993" w:type="dxa"/>
            <w:tcBorders>
              <w:top w:val="nil"/>
              <w:left w:val="nil"/>
              <w:bottom w:val="single" w:sz="4" w:space="0" w:color="auto"/>
              <w:right w:val="single" w:sz="4" w:space="0" w:color="auto"/>
            </w:tcBorders>
            <w:vAlign w:val="center"/>
            <w:hideMark/>
          </w:tcPr>
          <w:p w:rsidR="000E6A73" w:rsidRDefault="000E6A73" w:rsidP="00262A3F">
            <w:pPr>
              <w:spacing w:after="0" w:line="240" w:lineRule="auto"/>
              <w:jc w:val="center"/>
              <w:rPr>
                <w:sz w:val="20"/>
                <w:szCs w:val="20"/>
              </w:rPr>
            </w:pPr>
            <w:r>
              <w:rPr>
                <w:sz w:val="20"/>
                <w:szCs w:val="20"/>
              </w:rPr>
              <w:t>4 669,31</w:t>
            </w:r>
          </w:p>
        </w:tc>
      </w:tr>
      <w:tr w:rsidR="000E6A73" w:rsidTr="00301AE6">
        <w:trPr>
          <w:trHeight w:val="300"/>
        </w:trPr>
        <w:tc>
          <w:tcPr>
            <w:tcW w:w="851" w:type="dxa"/>
            <w:tcBorders>
              <w:top w:val="single" w:sz="4" w:space="0" w:color="auto"/>
              <w:left w:val="single" w:sz="4" w:space="0" w:color="auto"/>
              <w:bottom w:val="single" w:sz="4" w:space="0" w:color="auto"/>
              <w:right w:val="single" w:sz="4" w:space="0" w:color="auto"/>
            </w:tcBorders>
            <w:noWrap/>
            <w:vAlign w:val="center"/>
            <w:hideMark/>
          </w:tcPr>
          <w:p w:rsidR="000E6A73" w:rsidRDefault="000E6A73" w:rsidP="00262A3F">
            <w:pPr>
              <w:spacing w:after="0" w:line="240" w:lineRule="auto"/>
              <w:jc w:val="center"/>
              <w:rPr>
                <w:sz w:val="20"/>
                <w:szCs w:val="20"/>
              </w:rPr>
            </w:pPr>
            <w:r>
              <w:rPr>
                <w:sz w:val="20"/>
                <w:szCs w:val="20"/>
              </w:rPr>
              <w:t>1.</w:t>
            </w:r>
            <w:r w:rsidR="00301AE6">
              <w:rPr>
                <w:sz w:val="20"/>
                <w:szCs w:val="20"/>
              </w:rPr>
              <w:t>1.4</w:t>
            </w:r>
          </w:p>
        </w:tc>
        <w:tc>
          <w:tcPr>
            <w:tcW w:w="2410" w:type="dxa"/>
            <w:tcBorders>
              <w:top w:val="single" w:sz="4" w:space="0" w:color="auto"/>
              <w:left w:val="nil"/>
              <w:bottom w:val="single" w:sz="4" w:space="0" w:color="auto"/>
              <w:right w:val="single" w:sz="4" w:space="0" w:color="auto"/>
            </w:tcBorders>
            <w:noWrap/>
            <w:vAlign w:val="center"/>
            <w:hideMark/>
          </w:tcPr>
          <w:p w:rsidR="000E6A73" w:rsidRDefault="000E6A73" w:rsidP="00262A3F">
            <w:pPr>
              <w:spacing w:after="0" w:line="240" w:lineRule="auto"/>
              <w:rPr>
                <w:sz w:val="20"/>
                <w:szCs w:val="20"/>
              </w:rPr>
            </w:pPr>
            <w:r>
              <w:rPr>
                <w:sz w:val="20"/>
                <w:szCs w:val="20"/>
              </w:rPr>
              <w:t xml:space="preserve"> </w:t>
            </w:r>
            <w:r>
              <w:rPr>
                <w:i/>
                <w:iCs/>
                <w:sz w:val="20"/>
                <w:szCs w:val="20"/>
              </w:rPr>
              <w:t>прочие</w:t>
            </w:r>
          </w:p>
        </w:tc>
        <w:tc>
          <w:tcPr>
            <w:tcW w:w="1134" w:type="dxa"/>
            <w:tcBorders>
              <w:top w:val="single" w:sz="4" w:space="0" w:color="auto"/>
              <w:left w:val="nil"/>
              <w:bottom w:val="single" w:sz="4" w:space="0" w:color="auto"/>
              <w:right w:val="single" w:sz="4" w:space="0" w:color="auto"/>
            </w:tcBorders>
            <w:noWrap/>
            <w:vAlign w:val="center"/>
            <w:hideMark/>
          </w:tcPr>
          <w:p w:rsidR="000E6A73" w:rsidRDefault="000E6A73" w:rsidP="00262A3F">
            <w:pPr>
              <w:spacing w:after="0" w:line="240" w:lineRule="auto"/>
              <w:jc w:val="center"/>
              <w:rPr>
                <w:sz w:val="20"/>
                <w:szCs w:val="20"/>
              </w:rPr>
            </w:pPr>
            <w:r>
              <w:rPr>
                <w:sz w:val="20"/>
                <w:szCs w:val="20"/>
              </w:rPr>
              <w:t xml:space="preserve">тыс. </w:t>
            </w:r>
            <w:r>
              <w:rPr>
                <w:rFonts w:eastAsia="Calibri"/>
                <w:sz w:val="20"/>
                <w:szCs w:val="20"/>
                <w:lang w:eastAsia="en-US"/>
              </w:rPr>
              <w:t>м</w:t>
            </w:r>
            <w:r>
              <w:rPr>
                <w:rFonts w:eastAsia="Calibri"/>
                <w:sz w:val="20"/>
                <w:szCs w:val="20"/>
                <w:vertAlign w:val="superscript"/>
                <w:lang w:eastAsia="en-US"/>
              </w:rPr>
              <w:t>3</w:t>
            </w:r>
          </w:p>
        </w:tc>
        <w:tc>
          <w:tcPr>
            <w:tcW w:w="992" w:type="dxa"/>
            <w:tcBorders>
              <w:top w:val="single" w:sz="4" w:space="0" w:color="auto"/>
              <w:left w:val="nil"/>
              <w:bottom w:val="single" w:sz="4" w:space="0" w:color="auto"/>
              <w:right w:val="single" w:sz="4" w:space="0" w:color="auto"/>
            </w:tcBorders>
            <w:noWrap/>
            <w:vAlign w:val="center"/>
            <w:hideMark/>
          </w:tcPr>
          <w:p w:rsidR="000E6A73" w:rsidRDefault="000E6A73" w:rsidP="00262A3F">
            <w:pPr>
              <w:spacing w:after="0" w:line="240" w:lineRule="auto"/>
              <w:jc w:val="center"/>
              <w:rPr>
                <w:sz w:val="20"/>
                <w:szCs w:val="20"/>
              </w:rPr>
            </w:pPr>
            <w:r>
              <w:rPr>
                <w:sz w:val="20"/>
                <w:szCs w:val="20"/>
              </w:rPr>
              <w:t>1 395,72</w:t>
            </w:r>
          </w:p>
        </w:tc>
        <w:tc>
          <w:tcPr>
            <w:tcW w:w="992" w:type="dxa"/>
            <w:tcBorders>
              <w:top w:val="single" w:sz="4" w:space="0" w:color="auto"/>
              <w:left w:val="nil"/>
              <w:bottom w:val="single" w:sz="4" w:space="0" w:color="auto"/>
              <w:right w:val="single" w:sz="4" w:space="0" w:color="auto"/>
            </w:tcBorders>
            <w:noWrap/>
            <w:vAlign w:val="center"/>
            <w:hideMark/>
          </w:tcPr>
          <w:p w:rsidR="000E6A73" w:rsidRDefault="000E6A73" w:rsidP="00262A3F">
            <w:pPr>
              <w:spacing w:after="0" w:line="240" w:lineRule="auto"/>
              <w:jc w:val="center"/>
              <w:rPr>
                <w:sz w:val="20"/>
                <w:szCs w:val="20"/>
              </w:rPr>
            </w:pPr>
            <w:r>
              <w:rPr>
                <w:sz w:val="20"/>
                <w:szCs w:val="20"/>
              </w:rPr>
              <w:t>1 513,94</w:t>
            </w:r>
          </w:p>
        </w:tc>
        <w:tc>
          <w:tcPr>
            <w:tcW w:w="992" w:type="dxa"/>
            <w:tcBorders>
              <w:top w:val="single" w:sz="4" w:space="0" w:color="auto"/>
              <w:left w:val="nil"/>
              <w:bottom w:val="single" w:sz="4" w:space="0" w:color="auto"/>
              <w:right w:val="single" w:sz="4" w:space="0" w:color="auto"/>
            </w:tcBorders>
            <w:noWrap/>
            <w:vAlign w:val="center"/>
            <w:hideMark/>
          </w:tcPr>
          <w:p w:rsidR="000E6A73" w:rsidRDefault="000E6A73" w:rsidP="00262A3F">
            <w:pPr>
              <w:spacing w:after="0" w:line="240" w:lineRule="auto"/>
              <w:jc w:val="center"/>
              <w:rPr>
                <w:sz w:val="20"/>
                <w:szCs w:val="20"/>
              </w:rPr>
            </w:pPr>
            <w:r>
              <w:rPr>
                <w:sz w:val="20"/>
                <w:szCs w:val="20"/>
              </w:rPr>
              <w:t>1 511,74</w:t>
            </w:r>
          </w:p>
        </w:tc>
        <w:tc>
          <w:tcPr>
            <w:tcW w:w="993" w:type="dxa"/>
            <w:tcBorders>
              <w:top w:val="single" w:sz="4" w:space="0" w:color="auto"/>
              <w:left w:val="nil"/>
              <w:bottom w:val="single" w:sz="4" w:space="0" w:color="auto"/>
              <w:right w:val="single" w:sz="4" w:space="0" w:color="auto"/>
            </w:tcBorders>
            <w:vAlign w:val="center"/>
            <w:hideMark/>
          </w:tcPr>
          <w:p w:rsidR="000E6A73" w:rsidRDefault="000E6A73" w:rsidP="00262A3F">
            <w:pPr>
              <w:spacing w:after="0" w:line="240" w:lineRule="auto"/>
              <w:jc w:val="center"/>
              <w:rPr>
                <w:sz w:val="20"/>
                <w:szCs w:val="20"/>
              </w:rPr>
            </w:pPr>
            <w:r>
              <w:rPr>
                <w:sz w:val="20"/>
                <w:szCs w:val="20"/>
              </w:rPr>
              <w:t>1 503,49</w:t>
            </w:r>
          </w:p>
        </w:tc>
        <w:tc>
          <w:tcPr>
            <w:tcW w:w="993" w:type="dxa"/>
            <w:tcBorders>
              <w:top w:val="single" w:sz="4" w:space="0" w:color="auto"/>
              <w:left w:val="nil"/>
              <w:bottom w:val="single" w:sz="4" w:space="0" w:color="auto"/>
              <w:right w:val="single" w:sz="4" w:space="0" w:color="auto"/>
            </w:tcBorders>
            <w:noWrap/>
            <w:vAlign w:val="center"/>
            <w:hideMark/>
          </w:tcPr>
          <w:p w:rsidR="000E6A73" w:rsidRDefault="000E6A73" w:rsidP="00262A3F">
            <w:pPr>
              <w:spacing w:after="0" w:line="240" w:lineRule="auto"/>
              <w:jc w:val="center"/>
              <w:rPr>
                <w:sz w:val="20"/>
                <w:szCs w:val="20"/>
              </w:rPr>
            </w:pPr>
            <w:r>
              <w:rPr>
                <w:sz w:val="20"/>
                <w:szCs w:val="20"/>
              </w:rPr>
              <w:t>1 294,20</w:t>
            </w:r>
          </w:p>
        </w:tc>
        <w:tc>
          <w:tcPr>
            <w:tcW w:w="993" w:type="dxa"/>
            <w:tcBorders>
              <w:top w:val="single" w:sz="4" w:space="0" w:color="auto"/>
              <w:left w:val="nil"/>
              <w:bottom w:val="single" w:sz="4" w:space="0" w:color="auto"/>
              <w:right w:val="single" w:sz="4" w:space="0" w:color="auto"/>
            </w:tcBorders>
            <w:vAlign w:val="center"/>
            <w:hideMark/>
          </w:tcPr>
          <w:p w:rsidR="000E6A73" w:rsidRDefault="000E6A73" w:rsidP="00262A3F">
            <w:pPr>
              <w:spacing w:after="0" w:line="240" w:lineRule="auto"/>
              <w:jc w:val="center"/>
              <w:rPr>
                <w:sz w:val="20"/>
                <w:szCs w:val="20"/>
              </w:rPr>
            </w:pPr>
            <w:r>
              <w:rPr>
                <w:sz w:val="20"/>
                <w:szCs w:val="20"/>
              </w:rPr>
              <w:t>1 579,43</w:t>
            </w:r>
          </w:p>
        </w:tc>
      </w:tr>
      <w:tr w:rsidR="000E6A73" w:rsidTr="000E6A73">
        <w:trPr>
          <w:trHeight w:val="300"/>
        </w:trPr>
        <w:tc>
          <w:tcPr>
            <w:tcW w:w="851" w:type="dxa"/>
            <w:tcBorders>
              <w:top w:val="nil"/>
              <w:left w:val="single" w:sz="4" w:space="0" w:color="auto"/>
              <w:bottom w:val="single" w:sz="4" w:space="0" w:color="auto"/>
              <w:right w:val="single" w:sz="4" w:space="0" w:color="auto"/>
            </w:tcBorders>
            <w:noWrap/>
            <w:vAlign w:val="center"/>
            <w:hideMark/>
          </w:tcPr>
          <w:p w:rsidR="000E6A73" w:rsidRDefault="000E6A73" w:rsidP="00262A3F">
            <w:pPr>
              <w:spacing w:after="0" w:line="240" w:lineRule="auto"/>
              <w:jc w:val="center"/>
              <w:rPr>
                <w:sz w:val="20"/>
                <w:szCs w:val="20"/>
              </w:rPr>
            </w:pPr>
            <w:r>
              <w:rPr>
                <w:sz w:val="20"/>
                <w:szCs w:val="20"/>
              </w:rPr>
              <w:t>1.2</w:t>
            </w:r>
          </w:p>
        </w:tc>
        <w:tc>
          <w:tcPr>
            <w:tcW w:w="2410" w:type="dxa"/>
            <w:tcBorders>
              <w:top w:val="nil"/>
              <w:left w:val="nil"/>
              <w:bottom w:val="single" w:sz="4" w:space="0" w:color="auto"/>
              <w:right w:val="single" w:sz="4" w:space="0" w:color="auto"/>
            </w:tcBorders>
            <w:noWrap/>
            <w:vAlign w:val="center"/>
            <w:hideMark/>
          </w:tcPr>
          <w:p w:rsidR="000E6A73" w:rsidRDefault="000E6A73" w:rsidP="00262A3F">
            <w:pPr>
              <w:spacing w:after="0" w:line="240" w:lineRule="auto"/>
              <w:rPr>
                <w:sz w:val="20"/>
                <w:szCs w:val="20"/>
              </w:rPr>
            </w:pPr>
            <w:r>
              <w:rPr>
                <w:sz w:val="20"/>
                <w:szCs w:val="20"/>
              </w:rPr>
              <w:t>от собственных абонентов</w:t>
            </w:r>
          </w:p>
        </w:tc>
        <w:tc>
          <w:tcPr>
            <w:tcW w:w="1134" w:type="dxa"/>
            <w:tcBorders>
              <w:top w:val="nil"/>
              <w:left w:val="nil"/>
              <w:bottom w:val="single" w:sz="4" w:space="0" w:color="auto"/>
              <w:right w:val="single" w:sz="4" w:space="0" w:color="auto"/>
            </w:tcBorders>
            <w:noWrap/>
            <w:vAlign w:val="center"/>
            <w:hideMark/>
          </w:tcPr>
          <w:p w:rsidR="000E6A73" w:rsidRDefault="000E6A73" w:rsidP="00262A3F">
            <w:pPr>
              <w:spacing w:after="0" w:line="240" w:lineRule="auto"/>
              <w:jc w:val="center"/>
              <w:rPr>
                <w:sz w:val="20"/>
                <w:szCs w:val="20"/>
              </w:rPr>
            </w:pPr>
            <w:r>
              <w:rPr>
                <w:sz w:val="20"/>
                <w:szCs w:val="20"/>
              </w:rPr>
              <w:t xml:space="preserve">тыс. </w:t>
            </w:r>
            <w:r>
              <w:rPr>
                <w:rFonts w:eastAsia="Calibri"/>
                <w:sz w:val="20"/>
                <w:szCs w:val="20"/>
                <w:lang w:eastAsia="en-US"/>
              </w:rPr>
              <w:t>м</w:t>
            </w:r>
            <w:r>
              <w:rPr>
                <w:rFonts w:eastAsia="Calibri"/>
                <w:sz w:val="20"/>
                <w:szCs w:val="20"/>
                <w:vertAlign w:val="superscript"/>
                <w:lang w:eastAsia="en-US"/>
              </w:rPr>
              <w:t>3</w:t>
            </w:r>
          </w:p>
        </w:tc>
        <w:tc>
          <w:tcPr>
            <w:tcW w:w="992" w:type="dxa"/>
            <w:tcBorders>
              <w:top w:val="nil"/>
              <w:left w:val="nil"/>
              <w:bottom w:val="single" w:sz="4" w:space="0" w:color="auto"/>
              <w:right w:val="single" w:sz="4" w:space="0" w:color="auto"/>
            </w:tcBorders>
            <w:noWrap/>
            <w:vAlign w:val="center"/>
            <w:hideMark/>
          </w:tcPr>
          <w:p w:rsidR="000E6A73" w:rsidRDefault="000E6A73" w:rsidP="00262A3F">
            <w:pPr>
              <w:spacing w:after="0" w:line="240" w:lineRule="auto"/>
              <w:jc w:val="center"/>
              <w:rPr>
                <w:b/>
                <w:bCs/>
                <w:sz w:val="20"/>
                <w:szCs w:val="20"/>
              </w:rPr>
            </w:pPr>
            <w:r>
              <w:rPr>
                <w:b/>
                <w:bCs/>
                <w:sz w:val="20"/>
                <w:szCs w:val="20"/>
              </w:rPr>
              <w:t>11,69</w:t>
            </w:r>
          </w:p>
        </w:tc>
        <w:tc>
          <w:tcPr>
            <w:tcW w:w="992" w:type="dxa"/>
            <w:tcBorders>
              <w:top w:val="nil"/>
              <w:left w:val="nil"/>
              <w:bottom w:val="single" w:sz="4" w:space="0" w:color="auto"/>
              <w:right w:val="single" w:sz="4" w:space="0" w:color="auto"/>
            </w:tcBorders>
            <w:noWrap/>
            <w:vAlign w:val="center"/>
            <w:hideMark/>
          </w:tcPr>
          <w:p w:rsidR="000E6A73" w:rsidRDefault="000E6A73" w:rsidP="00262A3F">
            <w:pPr>
              <w:spacing w:after="0" w:line="240" w:lineRule="auto"/>
              <w:jc w:val="center"/>
              <w:rPr>
                <w:b/>
                <w:bCs/>
                <w:sz w:val="20"/>
                <w:szCs w:val="20"/>
              </w:rPr>
            </w:pPr>
            <w:r>
              <w:rPr>
                <w:b/>
                <w:bCs/>
                <w:sz w:val="20"/>
                <w:szCs w:val="20"/>
              </w:rPr>
              <w:t>36,30</w:t>
            </w:r>
          </w:p>
        </w:tc>
        <w:tc>
          <w:tcPr>
            <w:tcW w:w="992" w:type="dxa"/>
            <w:tcBorders>
              <w:top w:val="nil"/>
              <w:left w:val="nil"/>
              <w:bottom w:val="single" w:sz="4" w:space="0" w:color="auto"/>
              <w:right w:val="single" w:sz="4" w:space="0" w:color="auto"/>
            </w:tcBorders>
            <w:noWrap/>
            <w:vAlign w:val="center"/>
            <w:hideMark/>
          </w:tcPr>
          <w:p w:rsidR="000E6A73" w:rsidRDefault="000E6A73" w:rsidP="00262A3F">
            <w:pPr>
              <w:spacing w:after="0" w:line="240" w:lineRule="auto"/>
              <w:jc w:val="center"/>
              <w:rPr>
                <w:b/>
                <w:bCs/>
                <w:sz w:val="20"/>
                <w:szCs w:val="20"/>
              </w:rPr>
            </w:pPr>
            <w:r>
              <w:rPr>
                <w:b/>
                <w:bCs/>
                <w:sz w:val="20"/>
                <w:szCs w:val="20"/>
              </w:rPr>
              <w:t>45,33</w:t>
            </w:r>
          </w:p>
        </w:tc>
        <w:tc>
          <w:tcPr>
            <w:tcW w:w="993" w:type="dxa"/>
            <w:tcBorders>
              <w:top w:val="single" w:sz="4" w:space="0" w:color="auto"/>
              <w:left w:val="nil"/>
              <w:bottom w:val="single" w:sz="4" w:space="0" w:color="auto"/>
              <w:right w:val="single" w:sz="4" w:space="0" w:color="auto"/>
            </w:tcBorders>
            <w:vAlign w:val="center"/>
            <w:hideMark/>
          </w:tcPr>
          <w:p w:rsidR="000E6A73" w:rsidRDefault="000E6A73" w:rsidP="00262A3F">
            <w:pPr>
              <w:spacing w:after="0" w:line="240" w:lineRule="auto"/>
              <w:jc w:val="center"/>
              <w:rPr>
                <w:b/>
                <w:bCs/>
                <w:sz w:val="20"/>
                <w:szCs w:val="20"/>
              </w:rPr>
            </w:pPr>
            <w:r>
              <w:rPr>
                <w:b/>
                <w:bCs/>
                <w:sz w:val="20"/>
                <w:szCs w:val="20"/>
              </w:rPr>
              <w:t>39,87</w:t>
            </w:r>
          </w:p>
        </w:tc>
        <w:tc>
          <w:tcPr>
            <w:tcW w:w="993" w:type="dxa"/>
            <w:tcBorders>
              <w:top w:val="nil"/>
              <w:left w:val="nil"/>
              <w:bottom w:val="single" w:sz="4" w:space="0" w:color="auto"/>
              <w:right w:val="single" w:sz="4" w:space="0" w:color="auto"/>
            </w:tcBorders>
            <w:noWrap/>
            <w:vAlign w:val="center"/>
            <w:hideMark/>
          </w:tcPr>
          <w:p w:rsidR="000E6A73" w:rsidRDefault="000E6A73" w:rsidP="00262A3F">
            <w:pPr>
              <w:spacing w:after="0" w:line="240" w:lineRule="auto"/>
              <w:jc w:val="center"/>
              <w:rPr>
                <w:b/>
                <w:bCs/>
                <w:sz w:val="20"/>
                <w:szCs w:val="20"/>
              </w:rPr>
            </w:pPr>
            <w:r>
              <w:rPr>
                <w:b/>
                <w:bCs/>
                <w:sz w:val="20"/>
                <w:szCs w:val="20"/>
              </w:rPr>
              <w:t>142,80</w:t>
            </w:r>
          </w:p>
        </w:tc>
        <w:tc>
          <w:tcPr>
            <w:tcW w:w="993" w:type="dxa"/>
            <w:tcBorders>
              <w:top w:val="nil"/>
              <w:left w:val="nil"/>
              <w:bottom w:val="single" w:sz="4" w:space="0" w:color="auto"/>
              <w:right w:val="single" w:sz="4" w:space="0" w:color="auto"/>
            </w:tcBorders>
            <w:vAlign w:val="center"/>
            <w:hideMark/>
          </w:tcPr>
          <w:p w:rsidR="000E6A73" w:rsidRDefault="000E6A73" w:rsidP="00262A3F">
            <w:pPr>
              <w:spacing w:after="0" w:line="240" w:lineRule="auto"/>
              <w:jc w:val="center"/>
              <w:rPr>
                <w:b/>
                <w:bCs/>
                <w:sz w:val="20"/>
                <w:szCs w:val="20"/>
              </w:rPr>
            </w:pPr>
            <w:r>
              <w:rPr>
                <w:b/>
                <w:bCs/>
                <w:sz w:val="20"/>
                <w:szCs w:val="20"/>
              </w:rPr>
              <w:t>63,67</w:t>
            </w:r>
          </w:p>
        </w:tc>
      </w:tr>
      <w:tr w:rsidR="000E6A73" w:rsidTr="000E6A73">
        <w:trPr>
          <w:trHeight w:val="300"/>
        </w:trPr>
        <w:tc>
          <w:tcPr>
            <w:tcW w:w="851" w:type="dxa"/>
            <w:tcBorders>
              <w:top w:val="nil"/>
              <w:left w:val="single" w:sz="4" w:space="0" w:color="auto"/>
              <w:bottom w:val="single" w:sz="4" w:space="0" w:color="auto"/>
              <w:right w:val="single" w:sz="4" w:space="0" w:color="auto"/>
            </w:tcBorders>
            <w:noWrap/>
            <w:vAlign w:val="center"/>
            <w:hideMark/>
          </w:tcPr>
          <w:p w:rsidR="000E6A73" w:rsidRDefault="000E6A73" w:rsidP="00262A3F">
            <w:pPr>
              <w:spacing w:after="0" w:line="240" w:lineRule="auto"/>
              <w:jc w:val="center"/>
              <w:rPr>
                <w:sz w:val="20"/>
                <w:szCs w:val="20"/>
              </w:rPr>
            </w:pPr>
            <w:r>
              <w:rPr>
                <w:sz w:val="20"/>
                <w:szCs w:val="20"/>
              </w:rPr>
              <w:t>1.</w:t>
            </w:r>
            <w:r w:rsidR="00301AE6">
              <w:rPr>
                <w:sz w:val="20"/>
                <w:szCs w:val="20"/>
              </w:rPr>
              <w:t>3</w:t>
            </w:r>
          </w:p>
        </w:tc>
        <w:tc>
          <w:tcPr>
            <w:tcW w:w="2410" w:type="dxa"/>
            <w:tcBorders>
              <w:top w:val="nil"/>
              <w:left w:val="nil"/>
              <w:bottom w:val="single" w:sz="4" w:space="0" w:color="auto"/>
              <w:right w:val="single" w:sz="4" w:space="0" w:color="auto"/>
            </w:tcBorders>
            <w:noWrap/>
            <w:vAlign w:val="center"/>
            <w:hideMark/>
          </w:tcPr>
          <w:p w:rsidR="000E6A73" w:rsidRDefault="000E6A73" w:rsidP="00262A3F">
            <w:pPr>
              <w:spacing w:after="0" w:line="240" w:lineRule="auto"/>
              <w:rPr>
                <w:sz w:val="20"/>
                <w:szCs w:val="20"/>
              </w:rPr>
            </w:pPr>
            <w:r>
              <w:rPr>
                <w:sz w:val="20"/>
                <w:szCs w:val="20"/>
              </w:rPr>
              <w:t>Неучтенный приток сточных вод</w:t>
            </w:r>
          </w:p>
        </w:tc>
        <w:tc>
          <w:tcPr>
            <w:tcW w:w="1134" w:type="dxa"/>
            <w:tcBorders>
              <w:top w:val="nil"/>
              <w:left w:val="nil"/>
              <w:bottom w:val="single" w:sz="4" w:space="0" w:color="auto"/>
              <w:right w:val="single" w:sz="4" w:space="0" w:color="auto"/>
            </w:tcBorders>
            <w:noWrap/>
            <w:vAlign w:val="center"/>
            <w:hideMark/>
          </w:tcPr>
          <w:p w:rsidR="000E6A73" w:rsidRDefault="000E6A73" w:rsidP="00262A3F">
            <w:pPr>
              <w:spacing w:after="0" w:line="240" w:lineRule="auto"/>
              <w:jc w:val="center"/>
              <w:rPr>
                <w:sz w:val="20"/>
                <w:szCs w:val="20"/>
              </w:rPr>
            </w:pPr>
            <w:r>
              <w:rPr>
                <w:sz w:val="20"/>
                <w:szCs w:val="20"/>
              </w:rPr>
              <w:t xml:space="preserve">тыс. </w:t>
            </w:r>
            <w:r>
              <w:rPr>
                <w:rFonts w:eastAsia="Calibri"/>
                <w:sz w:val="20"/>
                <w:szCs w:val="20"/>
                <w:lang w:eastAsia="en-US"/>
              </w:rPr>
              <w:t>м</w:t>
            </w:r>
            <w:r>
              <w:rPr>
                <w:rFonts w:eastAsia="Calibri"/>
                <w:sz w:val="20"/>
                <w:szCs w:val="20"/>
                <w:vertAlign w:val="superscript"/>
                <w:lang w:eastAsia="en-US"/>
              </w:rPr>
              <w:t>3</w:t>
            </w:r>
          </w:p>
        </w:tc>
        <w:tc>
          <w:tcPr>
            <w:tcW w:w="992" w:type="dxa"/>
            <w:tcBorders>
              <w:top w:val="nil"/>
              <w:left w:val="nil"/>
              <w:bottom w:val="single" w:sz="4" w:space="0" w:color="auto"/>
              <w:right w:val="single" w:sz="4" w:space="0" w:color="auto"/>
            </w:tcBorders>
            <w:noWrap/>
            <w:vAlign w:val="center"/>
            <w:hideMark/>
          </w:tcPr>
          <w:p w:rsidR="000E6A73" w:rsidRDefault="000E6A73" w:rsidP="00262A3F">
            <w:pPr>
              <w:spacing w:after="0" w:line="240" w:lineRule="auto"/>
              <w:jc w:val="center"/>
              <w:rPr>
                <w:sz w:val="20"/>
                <w:szCs w:val="20"/>
              </w:rPr>
            </w:pPr>
            <w:r>
              <w:rPr>
                <w:sz w:val="20"/>
                <w:szCs w:val="20"/>
              </w:rPr>
              <w:t>1 275,82</w:t>
            </w:r>
          </w:p>
        </w:tc>
        <w:tc>
          <w:tcPr>
            <w:tcW w:w="992" w:type="dxa"/>
            <w:tcBorders>
              <w:top w:val="nil"/>
              <w:left w:val="nil"/>
              <w:bottom w:val="single" w:sz="4" w:space="0" w:color="auto"/>
              <w:right w:val="single" w:sz="4" w:space="0" w:color="auto"/>
            </w:tcBorders>
            <w:noWrap/>
            <w:vAlign w:val="center"/>
            <w:hideMark/>
          </w:tcPr>
          <w:p w:rsidR="000E6A73" w:rsidRDefault="000E6A73" w:rsidP="00262A3F">
            <w:pPr>
              <w:spacing w:after="0" w:line="240" w:lineRule="auto"/>
              <w:jc w:val="center"/>
              <w:rPr>
                <w:sz w:val="20"/>
                <w:szCs w:val="20"/>
              </w:rPr>
            </w:pPr>
            <w:r>
              <w:rPr>
                <w:sz w:val="20"/>
                <w:szCs w:val="20"/>
              </w:rPr>
              <w:t>1 217,93</w:t>
            </w:r>
          </w:p>
        </w:tc>
        <w:tc>
          <w:tcPr>
            <w:tcW w:w="992" w:type="dxa"/>
            <w:tcBorders>
              <w:top w:val="nil"/>
              <w:left w:val="nil"/>
              <w:bottom w:val="single" w:sz="4" w:space="0" w:color="auto"/>
              <w:right w:val="single" w:sz="4" w:space="0" w:color="auto"/>
            </w:tcBorders>
            <w:noWrap/>
            <w:vAlign w:val="center"/>
            <w:hideMark/>
          </w:tcPr>
          <w:p w:rsidR="000E6A73" w:rsidRDefault="000E6A73" w:rsidP="00262A3F">
            <w:pPr>
              <w:spacing w:after="0" w:line="240" w:lineRule="auto"/>
              <w:jc w:val="center"/>
              <w:rPr>
                <w:sz w:val="20"/>
                <w:szCs w:val="20"/>
              </w:rPr>
            </w:pPr>
            <w:r>
              <w:rPr>
                <w:sz w:val="20"/>
                <w:szCs w:val="20"/>
              </w:rPr>
              <w:t>1 435,41</w:t>
            </w:r>
          </w:p>
        </w:tc>
        <w:tc>
          <w:tcPr>
            <w:tcW w:w="993" w:type="dxa"/>
            <w:tcBorders>
              <w:top w:val="single" w:sz="4" w:space="0" w:color="auto"/>
              <w:left w:val="nil"/>
              <w:bottom w:val="single" w:sz="4" w:space="0" w:color="auto"/>
              <w:right w:val="single" w:sz="4" w:space="0" w:color="auto"/>
            </w:tcBorders>
            <w:vAlign w:val="center"/>
            <w:hideMark/>
          </w:tcPr>
          <w:p w:rsidR="000E6A73" w:rsidRDefault="000E6A73" w:rsidP="00262A3F">
            <w:pPr>
              <w:spacing w:after="0" w:line="240" w:lineRule="auto"/>
              <w:jc w:val="center"/>
              <w:rPr>
                <w:sz w:val="20"/>
                <w:szCs w:val="20"/>
              </w:rPr>
            </w:pPr>
            <w:r>
              <w:rPr>
                <w:sz w:val="20"/>
                <w:szCs w:val="20"/>
              </w:rPr>
              <w:t>385,64</w:t>
            </w:r>
          </w:p>
        </w:tc>
        <w:tc>
          <w:tcPr>
            <w:tcW w:w="993" w:type="dxa"/>
            <w:tcBorders>
              <w:top w:val="nil"/>
              <w:left w:val="nil"/>
              <w:bottom w:val="single" w:sz="4" w:space="0" w:color="auto"/>
              <w:right w:val="single" w:sz="4" w:space="0" w:color="auto"/>
            </w:tcBorders>
            <w:noWrap/>
            <w:vAlign w:val="center"/>
            <w:hideMark/>
          </w:tcPr>
          <w:p w:rsidR="000E6A73" w:rsidRDefault="000E6A73" w:rsidP="00262A3F">
            <w:pPr>
              <w:spacing w:after="0" w:line="240" w:lineRule="auto"/>
              <w:jc w:val="center"/>
              <w:rPr>
                <w:sz w:val="20"/>
                <w:szCs w:val="20"/>
              </w:rPr>
            </w:pPr>
            <w:r>
              <w:rPr>
                <w:sz w:val="20"/>
                <w:szCs w:val="20"/>
              </w:rPr>
              <w:t>103,40</w:t>
            </w:r>
          </w:p>
        </w:tc>
        <w:tc>
          <w:tcPr>
            <w:tcW w:w="993" w:type="dxa"/>
            <w:tcBorders>
              <w:top w:val="nil"/>
              <w:left w:val="nil"/>
              <w:bottom w:val="single" w:sz="4" w:space="0" w:color="auto"/>
              <w:right w:val="single" w:sz="4" w:space="0" w:color="auto"/>
            </w:tcBorders>
            <w:vAlign w:val="center"/>
            <w:hideMark/>
          </w:tcPr>
          <w:p w:rsidR="000E6A73" w:rsidRDefault="000E6A73" w:rsidP="00262A3F">
            <w:pPr>
              <w:spacing w:after="0" w:line="240" w:lineRule="auto"/>
              <w:jc w:val="center"/>
              <w:rPr>
                <w:sz w:val="20"/>
                <w:szCs w:val="20"/>
              </w:rPr>
            </w:pPr>
            <w:r>
              <w:rPr>
                <w:sz w:val="20"/>
                <w:szCs w:val="20"/>
              </w:rPr>
              <w:t>103,40</w:t>
            </w:r>
          </w:p>
        </w:tc>
      </w:tr>
      <w:tr w:rsidR="000E6A73" w:rsidTr="000E6A73">
        <w:trPr>
          <w:trHeight w:val="300"/>
        </w:trPr>
        <w:tc>
          <w:tcPr>
            <w:tcW w:w="851" w:type="dxa"/>
            <w:tcBorders>
              <w:top w:val="nil"/>
              <w:left w:val="single" w:sz="4" w:space="0" w:color="auto"/>
              <w:bottom w:val="single" w:sz="4" w:space="0" w:color="auto"/>
              <w:right w:val="single" w:sz="4" w:space="0" w:color="auto"/>
            </w:tcBorders>
            <w:noWrap/>
            <w:vAlign w:val="center"/>
            <w:hideMark/>
          </w:tcPr>
          <w:p w:rsidR="000E6A73" w:rsidRDefault="000E6A73" w:rsidP="00262A3F">
            <w:pPr>
              <w:spacing w:after="0" w:line="240" w:lineRule="auto"/>
              <w:jc w:val="center"/>
              <w:rPr>
                <w:b/>
                <w:bCs/>
                <w:sz w:val="20"/>
                <w:szCs w:val="20"/>
              </w:rPr>
            </w:pPr>
            <w:r>
              <w:rPr>
                <w:b/>
                <w:bCs/>
                <w:sz w:val="20"/>
                <w:szCs w:val="20"/>
              </w:rPr>
              <w:t>2</w:t>
            </w:r>
          </w:p>
        </w:tc>
        <w:tc>
          <w:tcPr>
            <w:tcW w:w="2410" w:type="dxa"/>
            <w:tcBorders>
              <w:top w:val="nil"/>
              <w:left w:val="nil"/>
              <w:bottom w:val="single" w:sz="4" w:space="0" w:color="auto"/>
              <w:right w:val="single" w:sz="4" w:space="0" w:color="auto"/>
            </w:tcBorders>
            <w:noWrap/>
            <w:vAlign w:val="center"/>
            <w:hideMark/>
          </w:tcPr>
          <w:p w:rsidR="000E6A73" w:rsidRDefault="000E6A73" w:rsidP="00262A3F">
            <w:pPr>
              <w:spacing w:after="0" w:line="240" w:lineRule="auto"/>
              <w:rPr>
                <w:b/>
                <w:bCs/>
                <w:sz w:val="20"/>
                <w:szCs w:val="20"/>
              </w:rPr>
            </w:pPr>
            <w:r>
              <w:rPr>
                <w:b/>
                <w:bCs/>
                <w:sz w:val="20"/>
                <w:szCs w:val="20"/>
              </w:rPr>
              <w:t>Объем транспортируемых сточных вод</w:t>
            </w:r>
          </w:p>
        </w:tc>
        <w:tc>
          <w:tcPr>
            <w:tcW w:w="1134" w:type="dxa"/>
            <w:tcBorders>
              <w:top w:val="nil"/>
              <w:left w:val="nil"/>
              <w:bottom w:val="single" w:sz="4" w:space="0" w:color="auto"/>
              <w:right w:val="single" w:sz="4" w:space="0" w:color="auto"/>
            </w:tcBorders>
            <w:noWrap/>
            <w:vAlign w:val="center"/>
            <w:hideMark/>
          </w:tcPr>
          <w:p w:rsidR="000E6A73" w:rsidRDefault="000E6A73" w:rsidP="00262A3F">
            <w:pPr>
              <w:spacing w:after="0" w:line="240" w:lineRule="auto"/>
              <w:jc w:val="center"/>
              <w:rPr>
                <w:b/>
                <w:sz w:val="20"/>
                <w:szCs w:val="20"/>
              </w:rPr>
            </w:pPr>
            <w:r>
              <w:rPr>
                <w:b/>
                <w:sz w:val="20"/>
                <w:szCs w:val="20"/>
              </w:rPr>
              <w:t xml:space="preserve">тыс. </w:t>
            </w:r>
            <w:r>
              <w:rPr>
                <w:rFonts w:eastAsia="Calibri"/>
                <w:b/>
                <w:sz w:val="20"/>
                <w:szCs w:val="20"/>
                <w:lang w:eastAsia="en-US"/>
              </w:rPr>
              <w:t>м</w:t>
            </w:r>
            <w:r>
              <w:rPr>
                <w:rFonts w:eastAsia="Calibri"/>
                <w:b/>
                <w:sz w:val="20"/>
                <w:szCs w:val="20"/>
                <w:vertAlign w:val="superscript"/>
                <w:lang w:eastAsia="en-US"/>
              </w:rPr>
              <w:t>3</w:t>
            </w:r>
          </w:p>
        </w:tc>
        <w:tc>
          <w:tcPr>
            <w:tcW w:w="992" w:type="dxa"/>
            <w:tcBorders>
              <w:top w:val="nil"/>
              <w:left w:val="nil"/>
              <w:bottom w:val="single" w:sz="4" w:space="0" w:color="auto"/>
              <w:right w:val="single" w:sz="4" w:space="0" w:color="auto"/>
            </w:tcBorders>
            <w:noWrap/>
            <w:vAlign w:val="center"/>
            <w:hideMark/>
          </w:tcPr>
          <w:p w:rsidR="000E6A73" w:rsidRDefault="000E6A73" w:rsidP="00262A3F">
            <w:pPr>
              <w:spacing w:after="0" w:line="240" w:lineRule="auto"/>
              <w:jc w:val="center"/>
              <w:rPr>
                <w:b/>
                <w:bCs/>
                <w:i/>
                <w:iCs/>
                <w:sz w:val="20"/>
                <w:szCs w:val="20"/>
              </w:rPr>
            </w:pPr>
            <w:r>
              <w:rPr>
                <w:b/>
                <w:bCs/>
                <w:i/>
                <w:iCs/>
                <w:sz w:val="20"/>
                <w:szCs w:val="20"/>
              </w:rPr>
              <w:t>7 797,61</w:t>
            </w:r>
          </w:p>
        </w:tc>
        <w:tc>
          <w:tcPr>
            <w:tcW w:w="992" w:type="dxa"/>
            <w:tcBorders>
              <w:top w:val="nil"/>
              <w:left w:val="nil"/>
              <w:bottom w:val="single" w:sz="4" w:space="0" w:color="auto"/>
              <w:right w:val="single" w:sz="4" w:space="0" w:color="auto"/>
            </w:tcBorders>
            <w:noWrap/>
            <w:vAlign w:val="center"/>
            <w:hideMark/>
          </w:tcPr>
          <w:p w:rsidR="000E6A73" w:rsidRDefault="000E6A73" w:rsidP="00262A3F">
            <w:pPr>
              <w:spacing w:after="0" w:line="240" w:lineRule="auto"/>
              <w:jc w:val="center"/>
              <w:rPr>
                <w:b/>
                <w:bCs/>
                <w:i/>
                <w:iCs/>
                <w:sz w:val="20"/>
                <w:szCs w:val="20"/>
              </w:rPr>
            </w:pPr>
            <w:r>
              <w:rPr>
                <w:b/>
                <w:bCs/>
                <w:i/>
                <w:iCs/>
                <w:sz w:val="20"/>
                <w:szCs w:val="20"/>
              </w:rPr>
              <w:t>7 651,70</w:t>
            </w:r>
          </w:p>
        </w:tc>
        <w:tc>
          <w:tcPr>
            <w:tcW w:w="992" w:type="dxa"/>
            <w:tcBorders>
              <w:top w:val="nil"/>
              <w:left w:val="nil"/>
              <w:bottom w:val="single" w:sz="4" w:space="0" w:color="auto"/>
              <w:right w:val="single" w:sz="4" w:space="0" w:color="auto"/>
            </w:tcBorders>
            <w:noWrap/>
            <w:vAlign w:val="center"/>
            <w:hideMark/>
          </w:tcPr>
          <w:p w:rsidR="000E6A73" w:rsidRDefault="000E6A73" w:rsidP="00262A3F">
            <w:pPr>
              <w:spacing w:after="0" w:line="240" w:lineRule="auto"/>
              <w:jc w:val="center"/>
              <w:rPr>
                <w:b/>
                <w:bCs/>
                <w:i/>
                <w:iCs/>
                <w:sz w:val="20"/>
                <w:szCs w:val="20"/>
              </w:rPr>
            </w:pPr>
            <w:r>
              <w:rPr>
                <w:b/>
                <w:bCs/>
                <w:i/>
                <w:iCs/>
                <w:sz w:val="20"/>
                <w:szCs w:val="20"/>
              </w:rPr>
              <w:t>7 785,85</w:t>
            </w:r>
          </w:p>
        </w:tc>
        <w:tc>
          <w:tcPr>
            <w:tcW w:w="993" w:type="dxa"/>
            <w:tcBorders>
              <w:top w:val="single" w:sz="4" w:space="0" w:color="auto"/>
              <w:left w:val="nil"/>
              <w:bottom w:val="single" w:sz="4" w:space="0" w:color="auto"/>
              <w:right w:val="single" w:sz="4" w:space="0" w:color="auto"/>
            </w:tcBorders>
            <w:vAlign w:val="center"/>
            <w:hideMark/>
          </w:tcPr>
          <w:p w:rsidR="000E6A73" w:rsidRDefault="000E6A73" w:rsidP="00262A3F">
            <w:pPr>
              <w:spacing w:after="0" w:line="240" w:lineRule="auto"/>
              <w:jc w:val="center"/>
              <w:rPr>
                <w:b/>
                <w:bCs/>
                <w:i/>
                <w:iCs/>
                <w:sz w:val="20"/>
                <w:szCs w:val="20"/>
              </w:rPr>
            </w:pPr>
            <w:r>
              <w:rPr>
                <w:b/>
                <w:bCs/>
                <w:i/>
                <w:iCs/>
                <w:sz w:val="20"/>
                <w:szCs w:val="20"/>
              </w:rPr>
              <w:t>6 891,92</w:t>
            </w:r>
          </w:p>
        </w:tc>
        <w:tc>
          <w:tcPr>
            <w:tcW w:w="993" w:type="dxa"/>
            <w:tcBorders>
              <w:top w:val="nil"/>
              <w:left w:val="nil"/>
              <w:bottom w:val="single" w:sz="4" w:space="0" w:color="auto"/>
              <w:right w:val="single" w:sz="4" w:space="0" w:color="auto"/>
            </w:tcBorders>
            <w:noWrap/>
            <w:vAlign w:val="center"/>
            <w:hideMark/>
          </w:tcPr>
          <w:p w:rsidR="000E6A73" w:rsidRDefault="000E6A73" w:rsidP="00262A3F">
            <w:pPr>
              <w:spacing w:after="0" w:line="240" w:lineRule="auto"/>
              <w:jc w:val="center"/>
              <w:rPr>
                <w:b/>
                <w:bCs/>
                <w:i/>
                <w:iCs/>
                <w:sz w:val="20"/>
                <w:szCs w:val="20"/>
              </w:rPr>
            </w:pPr>
            <w:r>
              <w:rPr>
                <w:b/>
                <w:bCs/>
                <w:i/>
                <w:iCs/>
                <w:sz w:val="20"/>
                <w:szCs w:val="20"/>
              </w:rPr>
              <w:t>7 651,60</w:t>
            </w:r>
          </w:p>
        </w:tc>
        <w:tc>
          <w:tcPr>
            <w:tcW w:w="993" w:type="dxa"/>
            <w:tcBorders>
              <w:top w:val="nil"/>
              <w:left w:val="nil"/>
              <w:bottom w:val="single" w:sz="4" w:space="0" w:color="auto"/>
              <w:right w:val="single" w:sz="4" w:space="0" w:color="auto"/>
            </w:tcBorders>
            <w:vAlign w:val="center"/>
            <w:hideMark/>
          </w:tcPr>
          <w:p w:rsidR="000E6A73" w:rsidRDefault="000E6A73" w:rsidP="00262A3F">
            <w:pPr>
              <w:spacing w:after="0" w:line="240" w:lineRule="auto"/>
              <w:jc w:val="center"/>
              <w:rPr>
                <w:b/>
                <w:bCs/>
                <w:i/>
                <w:iCs/>
                <w:sz w:val="20"/>
                <w:szCs w:val="20"/>
              </w:rPr>
            </w:pPr>
            <w:r>
              <w:rPr>
                <w:b/>
                <w:bCs/>
                <w:i/>
                <w:iCs/>
                <w:sz w:val="20"/>
                <w:szCs w:val="20"/>
              </w:rPr>
              <w:t>6 773,65</w:t>
            </w:r>
          </w:p>
        </w:tc>
      </w:tr>
      <w:tr w:rsidR="000E6A73" w:rsidTr="000E6A73">
        <w:trPr>
          <w:trHeight w:val="300"/>
        </w:trPr>
        <w:tc>
          <w:tcPr>
            <w:tcW w:w="851" w:type="dxa"/>
            <w:tcBorders>
              <w:top w:val="nil"/>
              <w:left w:val="single" w:sz="4" w:space="0" w:color="auto"/>
              <w:bottom w:val="single" w:sz="4" w:space="0" w:color="auto"/>
              <w:right w:val="single" w:sz="4" w:space="0" w:color="auto"/>
            </w:tcBorders>
            <w:noWrap/>
            <w:vAlign w:val="center"/>
            <w:hideMark/>
          </w:tcPr>
          <w:p w:rsidR="000E6A73" w:rsidRDefault="000E6A73" w:rsidP="00262A3F">
            <w:pPr>
              <w:spacing w:after="0" w:line="240" w:lineRule="auto"/>
              <w:jc w:val="center"/>
              <w:rPr>
                <w:sz w:val="20"/>
                <w:szCs w:val="20"/>
              </w:rPr>
            </w:pPr>
            <w:r>
              <w:rPr>
                <w:sz w:val="20"/>
                <w:szCs w:val="20"/>
              </w:rPr>
              <w:t>2.1</w:t>
            </w:r>
          </w:p>
        </w:tc>
        <w:tc>
          <w:tcPr>
            <w:tcW w:w="2410" w:type="dxa"/>
            <w:tcBorders>
              <w:top w:val="nil"/>
              <w:left w:val="nil"/>
              <w:bottom w:val="single" w:sz="4" w:space="0" w:color="auto"/>
              <w:right w:val="single" w:sz="4" w:space="0" w:color="auto"/>
            </w:tcBorders>
            <w:noWrap/>
            <w:vAlign w:val="center"/>
            <w:hideMark/>
          </w:tcPr>
          <w:p w:rsidR="000E6A73" w:rsidRDefault="000E6A73" w:rsidP="00262A3F">
            <w:pPr>
              <w:spacing w:after="0" w:line="240" w:lineRule="auto"/>
              <w:rPr>
                <w:sz w:val="20"/>
                <w:szCs w:val="20"/>
              </w:rPr>
            </w:pPr>
            <w:r>
              <w:rPr>
                <w:sz w:val="20"/>
                <w:szCs w:val="20"/>
              </w:rPr>
              <w:t>На собственные очистные сооружения</w:t>
            </w:r>
          </w:p>
        </w:tc>
        <w:tc>
          <w:tcPr>
            <w:tcW w:w="1134" w:type="dxa"/>
            <w:tcBorders>
              <w:top w:val="nil"/>
              <w:left w:val="nil"/>
              <w:bottom w:val="single" w:sz="4" w:space="0" w:color="auto"/>
              <w:right w:val="single" w:sz="4" w:space="0" w:color="auto"/>
            </w:tcBorders>
            <w:noWrap/>
            <w:vAlign w:val="center"/>
            <w:hideMark/>
          </w:tcPr>
          <w:p w:rsidR="000E6A73" w:rsidRDefault="000E6A73" w:rsidP="00262A3F">
            <w:pPr>
              <w:spacing w:after="0" w:line="240" w:lineRule="auto"/>
              <w:jc w:val="center"/>
              <w:rPr>
                <w:sz w:val="20"/>
                <w:szCs w:val="20"/>
              </w:rPr>
            </w:pPr>
            <w:r>
              <w:rPr>
                <w:sz w:val="20"/>
                <w:szCs w:val="20"/>
              </w:rPr>
              <w:t xml:space="preserve">тыс. </w:t>
            </w:r>
            <w:r>
              <w:rPr>
                <w:rFonts w:eastAsia="Calibri"/>
                <w:sz w:val="20"/>
                <w:szCs w:val="20"/>
                <w:lang w:eastAsia="en-US"/>
              </w:rPr>
              <w:t>м</w:t>
            </w:r>
            <w:r>
              <w:rPr>
                <w:rFonts w:eastAsia="Calibri"/>
                <w:sz w:val="20"/>
                <w:szCs w:val="20"/>
                <w:vertAlign w:val="superscript"/>
                <w:lang w:eastAsia="en-US"/>
              </w:rPr>
              <w:t>3</w:t>
            </w:r>
          </w:p>
        </w:tc>
        <w:tc>
          <w:tcPr>
            <w:tcW w:w="992" w:type="dxa"/>
            <w:tcBorders>
              <w:top w:val="nil"/>
              <w:left w:val="nil"/>
              <w:bottom w:val="single" w:sz="4" w:space="0" w:color="auto"/>
              <w:right w:val="single" w:sz="4" w:space="0" w:color="auto"/>
            </w:tcBorders>
            <w:noWrap/>
            <w:vAlign w:val="center"/>
            <w:hideMark/>
          </w:tcPr>
          <w:p w:rsidR="000E6A73" w:rsidRDefault="000E6A73" w:rsidP="00262A3F">
            <w:pPr>
              <w:spacing w:after="0" w:line="240" w:lineRule="auto"/>
              <w:rPr>
                <w:sz w:val="20"/>
                <w:szCs w:val="20"/>
              </w:rPr>
            </w:pPr>
          </w:p>
        </w:tc>
        <w:tc>
          <w:tcPr>
            <w:tcW w:w="992" w:type="dxa"/>
            <w:tcBorders>
              <w:top w:val="nil"/>
              <w:left w:val="nil"/>
              <w:bottom w:val="single" w:sz="4" w:space="0" w:color="auto"/>
              <w:right w:val="single" w:sz="4" w:space="0" w:color="auto"/>
            </w:tcBorders>
            <w:noWrap/>
            <w:vAlign w:val="center"/>
            <w:hideMark/>
          </w:tcPr>
          <w:p w:rsidR="000E6A73" w:rsidRDefault="000E6A73" w:rsidP="00262A3F">
            <w:pPr>
              <w:spacing w:after="0" w:line="240" w:lineRule="auto"/>
              <w:rPr>
                <w:sz w:val="20"/>
                <w:szCs w:val="20"/>
              </w:rPr>
            </w:pPr>
          </w:p>
        </w:tc>
        <w:tc>
          <w:tcPr>
            <w:tcW w:w="992" w:type="dxa"/>
            <w:tcBorders>
              <w:top w:val="nil"/>
              <w:left w:val="nil"/>
              <w:bottom w:val="single" w:sz="4" w:space="0" w:color="auto"/>
              <w:right w:val="single" w:sz="4" w:space="0" w:color="auto"/>
            </w:tcBorders>
            <w:noWrap/>
            <w:vAlign w:val="center"/>
            <w:hideMark/>
          </w:tcPr>
          <w:p w:rsidR="000E6A73" w:rsidRDefault="000E6A73" w:rsidP="00262A3F">
            <w:pPr>
              <w:spacing w:after="0" w:line="240" w:lineRule="auto"/>
              <w:rPr>
                <w:sz w:val="20"/>
                <w:szCs w:val="20"/>
              </w:rPr>
            </w:pPr>
          </w:p>
        </w:tc>
        <w:tc>
          <w:tcPr>
            <w:tcW w:w="993" w:type="dxa"/>
            <w:tcBorders>
              <w:top w:val="single" w:sz="4" w:space="0" w:color="auto"/>
              <w:left w:val="nil"/>
              <w:bottom w:val="single" w:sz="4" w:space="0" w:color="auto"/>
              <w:right w:val="single" w:sz="4" w:space="0" w:color="auto"/>
            </w:tcBorders>
            <w:vAlign w:val="center"/>
          </w:tcPr>
          <w:p w:rsidR="000E6A73" w:rsidRDefault="000E6A73" w:rsidP="00262A3F">
            <w:pPr>
              <w:spacing w:after="0" w:line="240" w:lineRule="auto"/>
              <w:jc w:val="center"/>
              <w:rPr>
                <w:sz w:val="20"/>
                <w:szCs w:val="20"/>
              </w:rPr>
            </w:pPr>
          </w:p>
        </w:tc>
        <w:tc>
          <w:tcPr>
            <w:tcW w:w="993" w:type="dxa"/>
            <w:tcBorders>
              <w:top w:val="nil"/>
              <w:left w:val="nil"/>
              <w:bottom w:val="single" w:sz="4" w:space="0" w:color="auto"/>
              <w:right w:val="single" w:sz="4" w:space="0" w:color="auto"/>
            </w:tcBorders>
            <w:noWrap/>
            <w:vAlign w:val="center"/>
            <w:hideMark/>
          </w:tcPr>
          <w:p w:rsidR="000E6A73" w:rsidRDefault="000E6A73" w:rsidP="00262A3F">
            <w:pPr>
              <w:spacing w:after="0" w:line="240" w:lineRule="auto"/>
              <w:rPr>
                <w:sz w:val="20"/>
                <w:szCs w:val="20"/>
              </w:rPr>
            </w:pPr>
          </w:p>
        </w:tc>
        <w:tc>
          <w:tcPr>
            <w:tcW w:w="993" w:type="dxa"/>
            <w:tcBorders>
              <w:top w:val="nil"/>
              <w:left w:val="nil"/>
              <w:bottom w:val="single" w:sz="4" w:space="0" w:color="auto"/>
              <w:right w:val="single" w:sz="4" w:space="0" w:color="auto"/>
            </w:tcBorders>
            <w:vAlign w:val="center"/>
          </w:tcPr>
          <w:p w:rsidR="000E6A73" w:rsidRDefault="000E6A73" w:rsidP="00262A3F">
            <w:pPr>
              <w:spacing w:after="0" w:line="240" w:lineRule="auto"/>
              <w:jc w:val="center"/>
              <w:rPr>
                <w:sz w:val="20"/>
                <w:szCs w:val="20"/>
              </w:rPr>
            </w:pPr>
          </w:p>
        </w:tc>
      </w:tr>
      <w:tr w:rsidR="000E6A73" w:rsidTr="000E6A73">
        <w:trPr>
          <w:trHeight w:val="600"/>
        </w:trPr>
        <w:tc>
          <w:tcPr>
            <w:tcW w:w="851" w:type="dxa"/>
            <w:tcBorders>
              <w:top w:val="nil"/>
              <w:left w:val="single" w:sz="4" w:space="0" w:color="auto"/>
              <w:bottom w:val="single" w:sz="4" w:space="0" w:color="auto"/>
              <w:right w:val="single" w:sz="4" w:space="0" w:color="auto"/>
            </w:tcBorders>
            <w:noWrap/>
            <w:vAlign w:val="center"/>
            <w:hideMark/>
          </w:tcPr>
          <w:p w:rsidR="000E6A73" w:rsidRDefault="000E6A73" w:rsidP="00262A3F">
            <w:pPr>
              <w:spacing w:after="0" w:line="240" w:lineRule="auto"/>
              <w:jc w:val="center"/>
              <w:rPr>
                <w:sz w:val="20"/>
                <w:szCs w:val="20"/>
              </w:rPr>
            </w:pPr>
            <w:r>
              <w:rPr>
                <w:sz w:val="20"/>
                <w:szCs w:val="20"/>
              </w:rPr>
              <w:t>2.2</w:t>
            </w:r>
          </w:p>
        </w:tc>
        <w:tc>
          <w:tcPr>
            <w:tcW w:w="2410" w:type="dxa"/>
            <w:tcBorders>
              <w:top w:val="nil"/>
              <w:left w:val="nil"/>
              <w:bottom w:val="single" w:sz="4" w:space="0" w:color="auto"/>
              <w:right w:val="single" w:sz="4" w:space="0" w:color="auto"/>
            </w:tcBorders>
            <w:vAlign w:val="center"/>
            <w:hideMark/>
          </w:tcPr>
          <w:p w:rsidR="000E6A73" w:rsidRDefault="000E6A73" w:rsidP="00262A3F">
            <w:pPr>
              <w:spacing w:after="0" w:line="240" w:lineRule="auto"/>
              <w:rPr>
                <w:sz w:val="20"/>
                <w:szCs w:val="20"/>
              </w:rPr>
            </w:pPr>
            <w:r>
              <w:rPr>
                <w:sz w:val="20"/>
                <w:szCs w:val="20"/>
              </w:rPr>
              <w:t>Другим организациям (МУП г. Новосибирска "ГОРВОДОКАНАЛ")</w:t>
            </w:r>
          </w:p>
        </w:tc>
        <w:tc>
          <w:tcPr>
            <w:tcW w:w="1134" w:type="dxa"/>
            <w:tcBorders>
              <w:top w:val="nil"/>
              <w:left w:val="nil"/>
              <w:bottom w:val="single" w:sz="4" w:space="0" w:color="auto"/>
              <w:right w:val="single" w:sz="4" w:space="0" w:color="auto"/>
            </w:tcBorders>
            <w:noWrap/>
            <w:vAlign w:val="center"/>
            <w:hideMark/>
          </w:tcPr>
          <w:p w:rsidR="000E6A73" w:rsidRDefault="000E6A73" w:rsidP="00262A3F">
            <w:pPr>
              <w:spacing w:after="0" w:line="240" w:lineRule="auto"/>
              <w:jc w:val="center"/>
              <w:rPr>
                <w:sz w:val="20"/>
                <w:szCs w:val="20"/>
              </w:rPr>
            </w:pPr>
            <w:r>
              <w:rPr>
                <w:sz w:val="20"/>
                <w:szCs w:val="20"/>
              </w:rPr>
              <w:t xml:space="preserve">тыс. </w:t>
            </w:r>
            <w:r>
              <w:rPr>
                <w:rFonts w:eastAsia="Calibri"/>
                <w:sz w:val="20"/>
                <w:szCs w:val="20"/>
                <w:lang w:eastAsia="en-US"/>
              </w:rPr>
              <w:t>м</w:t>
            </w:r>
            <w:r>
              <w:rPr>
                <w:rFonts w:eastAsia="Calibri"/>
                <w:sz w:val="20"/>
                <w:szCs w:val="20"/>
                <w:vertAlign w:val="superscript"/>
                <w:lang w:eastAsia="en-US"/>
              </w:rPr>
              <w:t>3</w:t>
            </w:r>
          </w:p>
        </w:tc>
        <w:tc>
          <w:tcPr>
            <w:tcW w:w="992" w:type="dxa"/>
            <w:tcBorders>
              <w:top w:val="nil"/>
              <w:left w:val="nil"/>
              <w:bottom w:val="single" w:sz="4" w:space="0" w:color="auto"/>
              <w:right w:val="single" w:sz="4" w:space="0" w:color="auto"/>
            </w:tcBorders>
            <w:noWrap/>
            <w:vAlign w:val="center"/>
            <w:hideMark/>
          </w:tcPr>
          <w:p w:rsidR="000E6A73" w:rsidRDefault="000E6A73" w:rsidP="00262A3F">
            <w:pPr>
              <w:spacing w:after="0" w:line="240" w:lineRule="auto"/>
              <w:jc w:val="center"/>
              <w:rPr>
                <w:sz w:val="20"/>
                <w:szCs w:val="20"/>
              </w:rPr>
            </w:pPr>
            <w:r>
              <w:rPr>
                <w:sz w:val="20"/>
                <w:szCs w:val="20"/>
              </w:rPr>
              <w:t>7 797,61</w:t>
            </w:r>
          </w:p>
        </w:tc>
        <w:tc>
          <w:tcPr>
            <w:tcW w:w="992" w:type="dxa"/>
            <w:tcBorders>
              <w:top w:val="nil"/>
              <w:left w:val="nil"/>
              <w:bottom w:val="single" w:sz="4" w:space="0" w:color="auto"/>
              <w:right w:val="single" w:sz="4" w:space="0" w:color="auto"/>
            </w:tcBorders>
            <w:noWrap/>
            <w:vAlign w:val="center"/>
            <w:hideMark/>
          </w:tcPr>
          <w:p w:rsidR="000E6A73" w:rsidRDefault="000E6A73" w:rsidP="00262A3F">
            <w:pPr>
              <w:spacing w:after="0" w:line="240" w:lineRule="auto"/>
              <w:jc w:val="center"/>
              <w:rPr>
                <w:sz w:val="20"/>
                <w:szCs w:val="20"/>
              </w:rPr>
            </w:pPr>
            <w:r>
              <w:rPr>
                <w:sz w:val="20"/>
                <w:szCs w:val="20"/>
              </w:rPr>
              <w:t>7 651,70</w:t>
            </w:r>
          </w:p>
        </w:tc>
        <w:tc>
          <w:tcPr>
            <w:tcW w:w="992" w:type="dxa"/>
            <w:tcBorders>
              <w:top w:val="nil"/>
              <w:left w:val="nil"/>
              <w:bottom w:val="single" w:sz="4" w:space="0" w:color="auto"/>
              <w:right w:val="single" w:sz="4" w:space="0" w:color="auto"/>
            </w:tcBorders>
            <w:noWrap/>
            <w:vAlign w:val="center"/>
            <w:hideMark/>
          </w:tcPr>
          <w:p w:rsidR="000E6A73" w:rsidRDefault="000E6A73" w:rsidP="00262A3F">
            <w:pPr>
              <w:spacing w:after="0" w:line="240" w:lineRule="auto"/>
              <w:jc w:val="center"/>
              <w:rPr>
                <w:sz w:val="20"/>
                <w:szCs w:val="20"/>
              </w:rPr>
            </w:pPr>
            <w:r>
              <w:rPr>
                <w:sz w:val="20"/>
                <w:szCs w:val="20"/>
              </w:rPr>
              <w:t>7 785,85</w:t>
            </w:r>
          </w:p>
        </w:tc>
        <w:tc>
          <w:tcPr>
            <w:tcW w:w="993" w:type="dxa"/>
            <w:tcBorders>
              <w:top w:val="single" w:sz="4" w:space="0" w:color="auto"/>
              <w:left w:val="nil"/>
              <w:bottom w:val="single" w:sz="4" w:space="0" w:color="auto"/>
              <w:right w:val="single" w:sz="4" w:space="0" w:color="auto"/>
            </w:tcBorders>
            <w:vAlign w:val="center"/>
            <w:hideMark/>
          </w:tcPr>
          <w:p w:rsidR="000E6A73" w:rsidRDefault="000E6A73" w:rsidP="00262A3F">
            <w:pPr>
              <w:spacing w:after="0" w:line="240" w:lineRule="auto"/>
              <w:jc w:val="center"/>
              <w:rPr>
                <w:sz w:val="20"/>
                <w:szCs w:val="20"/>
              </w:rPr>
            </w:pPr>
            <w:r>
              <w:rPr>
                <w:sz w:val="20"/>
                <w:szCs w:val="20"/>
              </w:rPr>
              <w:t>6 891,92</w:t>
            </w:r>
          </w:p>
        </w:tc>
        <w:tc>
          <w:tcPr>
            <w:tcW w:w="993" w:type="dxa"/>
            <w:tcBorders>
              <w:top w:val="nil"/>
              <w:left w:val="nil"/>
              <w:bottom w:val="single" w:sz="4" w:space="0" w:color="auto"/>
              <w:right w:val="single" w:sz="4" w:space="0" w:color="auto"/>
            </w:tcBorders>
            <w:noWrap/>
            <w:vAlign w:val="center"/>
            <w:hideMark/>
          </w:tcPr>
          <w:p w:rsidR="000E6A73" w:rsidRDefault="000E6A73" w:rsidP="00262A3F">
            <w:pPr>
              <w:spacing w:after="0" w:line="240" w:lineRule="auto"/>
              <w:jc w:val="center"/>
              <w:rPr>
                <w:sz w:val="20"/>
                <w:szCs w:val="20"/>
              </w:rPr>
            </w:pPr>
            <w:r>
              <w:rPr>
                <w:sz w:val="20"/>
                <w:szCs w:val="20"/>
              </w:rPr>
              <w:t>7 651,60</w:t>
            </w:r>
          </w:p>
        </w:tc>
        <w:tc>
          <w:tcPr>
            <w:tcW w:w="993" w:type="dxa"/>
            <w:tcBorders>
              <w:top w:val="nil"/>
              <w:left w:val="nil"/>
              <w:bottom w:val="single" w:sz="4" w:space="0" w:color="auto"/>
              <w:right w:val="single" w:sz="4" w:space="0" w:color="auto"/>
            </w:tcBorders>
            <w:vAlign w:val="center"/>
            <w:hideMark/>
          </w:tcPr>
          <w:p w:rsidR="000E6A73" w:rsidRDefault="000E6A73" w:rsidP="00262A3F">
            <w:pPr>
              <w:spacing w:after="0" w:line="240" w:lineRule="auto"/>
              <w:jc w:val="center"/>
              <w:rPr>
                <w:sz w:val="20"/>
                <w:szCs w:val="20"/>
              </w:rPr>
            </w:pPr>
            <w:r>
              <w:rPr>
                <w:sz w:val="20"/>
                <w:szCs w:val="20"/>
              </w:rPr>
              <w:t>6 773,65</w:t>
            </w:r>
          </w:p>
        </w:tc>
      </w:tr>
      <w:tr w:rsidR="000E6A73" w:rsidTr="000E6A73">
        <w:trPr>
          <w:trHeight w:val="600"/>
        </w:trPr>
        <w:tc>
          <w:tcPr>
            <w:tcW w:w="851" w:type="dxa"/>
            <w:tcBorders>
              <w:top w:val="nil"/>
              <w:left w:val="single" w:sz="4" w:space="0" w:color="auto"/>
              <w:bottom w:val="single" w:sz="4" w:space="0" w:color="auto"/>
              <w:right w:val="single" w:sz="4" w:space="0" w:color="auto"/>
            </w:tcBorders>
            <w:noWrap/>
            <w:vAlign w:val="center"/>
            <w:hideMark/>
          </w:tcPr>
          <w:p w:rsidR="000E6A73" w:rsidRDefault="00301AE6" w:rsidP="00262A3F">
            <w:pPr>
              <w:spacing w:after="0" w:line="240" w:lineRule="auto"/>
              <w:jc w:val="center"/>
              <w:rPr>
                <w:b/>
                <w:bCs/>
                <w:sz w:val="20"/>
                <w:szCs w:val="20"/>
              </w:rPr>
            </w:pPr>
            <w:r>
              <w:rPr>
                <w:b/>
                <w:bCs/>
                <w:sz w:val="20"/>
                <w:szCs w:val="20"/>
              </w:rPr>
              <w:t>4</w:t>
            </w:r>
          </w:p>
        </w:tc>
        <w:tc>
          <w:tcPr>
            <w:tcW w:w="2410" w:type="dxa"/>
            <w:tcBorders>
              <w:top w:val="nil"/>
              <w:left w:val="nil"/>
              <w:bottom w:val="single" w:sz="4" w:space="0" w:color="auto"/>
              <w:right w:val="single" w:sz="4" w:space="0" w:color="auto"/>
            </w:tcBorders>
            <w:vAlign w:val="center"/>
            <w:hideMark/>
          </w:tcPr>
          <w:p w:rsidR="000E6A73" w:rsidRDefault="000E6A73" w:rsidP="00262A3F">
            <w:pPr>
              <w:spacing w:after="0" w:line="240" w:lineRule="auto"/>
              <w:rPr>
                <w:b/>
                <w:bCs/>
                <w:sz w:val="20"/>
                <w:szCs w:val="20"/>
              </w:rPr>
            </w:pPr>
            <w:r>
              <w:rPr>
                <w:b/>
                <w:bCs/>
                <w:sz w:val="20"/>
                <w:szCs w:val="20"/>
              </w:rPr>
              <w:t>Темп изменения объема отводимых сточных вод</w:t>
            </w:r>
          </w:p>
        </w:tc>
        <w:tc>
          <w:tcPr>
            <w:tcW w:w="1134" w:type="dxa"/>
            <w:tcBorders>
              <w:top w:val="nil"/>
              <w:left w:val="nil"/>
              <w:bottom w:val="single" w:sz="4" w:space="0" w:color="auto"/>
              <w:right w:val="single" w:sz="4" w:space="0" w:color="auto"/>
            </w:tcBorders>
            <w:noWrap/>
            <w:vAlign w:val="center"/>
            <w:hideMark/>
          </w:tcPr>
          <w:p w:rsidR="000E6A73" w:rsidRDefault="000E6A73" w:rsidP="00262A3F">
            <w:pPr>
              <w:spacing w:after="0" w:line="240" w:lineRule="auto"/>
              <w:jc w:val="center"/>
              <w:rPr>
                <w:b/>
                <w:sz w:val="20"/>
                <w:szCs w:val="20"/>
              </w:rPr>
            </w:pPr>
            <w:r>
              <w:rPr>
                <w:b/>
                <w:sz w:val="20"/>
                <w:szCs w:val="20"/>
              </w:rPr>
              <w:t>%</w:t>
            </w:r>
          </w:p>
        </w:tc>
        <w:tc>
          <w:tcPr>
            <w:tcW w:w="992" w:type="dxa"/>
            <w:tcBorders>
              <w:top w:val="nil"/>
              <w:left w:val="nil"/>
              <w:bottom w:val="single" w:sz="4" w:space="0" w:color="auto"/>
              <w:right w:val="single" w:sz="4" w:space="0" w:color="auto"/>
            </w:tcBorders>
            <w:noWrap/>
            <w:vAlign w:val="center"/>
            <w:hideMark/>
          </w:tcPr>
          <w:p w:rsidR="000E6A73" w:rsidRDefault="000E6A73" w:rsidP="00262A3F">
            <w:pPr>
              <w:spacing w:after="0" w:line="240" w:lineRule="auto"/>
              <w:jc w:val="center"/>
              <w:rPr>
                <w:b/>
                <w:sz w:val="20"/>
                <w:szCs w:val="20"/>
              </w:rPr>
            </w:pPr>
            <w:r>
              <w:rPr>
                <w:b/>
                <w:sz w:val="20"/>
                <w:szCs w:val="20"/>
              </w:rPr>
              <w:t>98,35%</w:t>
            </w:r>
          </w:p>
        </w:tc>
        <w:tc>
          <w:tcPr>
            <w:tcW w:w="992" w:type="dxa"/>
            <w:tcBorders>
              <w:top w:val="nil"/>
              <w:left w:val="nil"/>
              <w:bottom w:val="single" w:sz="4" w:space="0" w:color="auto"/>
              <w:right w:val="single" w:sz="4" w:space="0" w:color="auto"/>
            </w:tcBorders>
            <w:noWrap/>
            <w:vAlign w:val="center"/>
            <w:hideMark/>
          </w:tcPr>
          <w:p w:rsidR="000E6A73" w:rsidRDefault="000E6A73" w:rsidP="00262A3F">
            <w:pPr>
              <w:spacing w:after="0" w:line="240" w:lineRule="auto"/>
              <w:jc w:val="center"/>
              <w:rPr>
                <w:b/>
                <w:sz w:val="20"/>
                <w:szCs w:val="20"/>
              </w:rPr>
            </w:pPr>
            <w:r>
              <w:rPr>
                <w:b/>
                <w:sz w:val="20"/>
                <w:szCs w:val="20"/>
              </w:rPr>
              <w:t>98,27%</w:t>
            </w:r>
          </w:p>
        </w:tc>
        <w:tc>
          <w:tcPr>
            <w:tcW w:w="992" w:type="dxa"/>
            <w:tcBorders>
              <w:top w:val="nil"/>
              <w:left w:val="nil"/>
              <w:bottom w:val="single" w:sz="4" w:space="0" w:color="auto"/>
              <w:right w:val="single" w:sz="4" w:space="0" w:color="auto"/>
            </w:tcBorders>
            <w:noWrap/>
            <w:vAlign w:val="center"/>
            <w:hideMark/>
          </w:tcPr>
          <w:p w:rsidR="000E6A73" w:rsidRDefault="000E6A73" w:rsidP="00262A3F">
            <w:pPr>
              <w:spacing w:after="0" w:line="240" w:lineRule="auto"/>
              <w:jc w:val="center"/>
              <w:rPr>
                <w:b/>
                <w:sz w:val="20"/>
                <w:szCs w:val="20"/>
              </w:rPr>
            </w:pPr>
            <w:r>
              <w:rPr>
                <w:b/>
                <w:sz w:val="20"/>
                <w:szCs w:val="20"/>
              </w:rPr>
              <w:t>98,56%</w:t>
            </w:r>
          </w:p>
        </w:tc>
        <w:tc>
          <w:tcPr>
            <w:tcW w:w="993" w:type="dxa"/>
            <w:tcBorders>
              <w:top w:val="single" w:sz="4" w:space="0" w:color="auto"/>
              <w:left w:val="nil"/>
              <w:bottom w:val="single" w:sz="4" w:space="0" w:color="auto"/>
              <w:right w:val="single" w:sz="4" w:space="0" w:color="auto"/>
            </w:tcBorders>
            <w:vAlign w:val="center"/>
            <w:hideMark/>
          </w:tcPr>
          <w:p w:rsidR="000E6A73" w:rsidRDefault="000E6A73" w:rsidP="00262A3F">
            <w:pPr>
              <w:spacing w:after="0" w:line="240" w:lineRule="auto"/>
              <w:jc w:val="center"/>
              <w:rPr>
                <w:b/>
                <w:sz w:val="20"/>
                <w:szCs w:val="20"/>
              </w:rPr>
            </w:pPr>
            <w:r>
              <w:rPr>
                <w:b/>
                <w:sz w:val="20"/>
                <w:szCs w:val="20"/>
              </w:rPr>
              <w:t>102,56%</w:t>
            </w:r>
          </w:p>
        </w:tc>
        <w:tc>
          <w:tcPr>
            <w:tcW w:w="993" w:type="dxa"/>
            <w:tcBorders>
              <w:top w:val="nil"/>
              <w:left w:val="nil"/>
              <w:bottom w:val="single" w:sz="4" w:space="0" w:color="auto"/>
              <w:right w:val="single" w:sz="4" w:space="0" w:color="auto"/>
            </w:tcBorders>
            <w:noWrap/>
            <w:vAlign w:val="center"/>
            <w:hideMark/>
          </w:tcPr>
          <w:p w:rsidR="000E6A73" w:rsidRDefault="000E6A73" w:rsidP="00262A3F">
            <w:pPr>
              <w:spacing w:after="0" w:line="240" w:lineRule="auto"/>
              <w:jc w:val="center"/>
              <w:rPr>
                <w:b/>
                <w:sz w:val="20"/>
                <w:szCs w:val="20"/>
              </w:rPr>
            </w:pPr>
            <w:r>
              <w:rPr>
                <w:b/>
                <w:sz w:val="20"/>
                <w:szCs w:val="20"/>
              </w:rPr>
              <w:t>117,45%</w:t>
            </w:r>
          </w:p>
        </w:tc>
        <w:tc>
          <w:tcPr>
            <w:tcW w:w="993" w:type="dxa"/>
            <w:tcBorders>
              <w:top w:val="nil"/>
              <w:left w:val="nil"/>
              <w:bottom w:val="single" w:sz="4" w:space="0" w:color="auto"/>
              <w:right w:val="single" w:sz="4" w:space="0" w:color="auto"/>
            </w:tcBorders>
            <w:vAlign w:val="center"/>
            <w:hideMark/>
          </w:tcPr>
          <w:p w:rsidR="000E6A73" w:rsidRDefault="000E6A73" w:rsidP="00262A3F">
            <w:pPr>
              <w:spacing w:after="0" w:line="240" w:lineRule="auto"/>
              <w:jc w:val="center"/>
              <w:rPr>
                <w:b/>
                <w:sz w:val="20"/>
                <w:szCs w:val="20"/>
              </w:rPr>
            </w:pPr>
            <w:r>
              <w:rPr>
                <w:b/>
                <w:sz w:val="20"/>
                <w:szCs w:val="20"/>
              </w:rPr>
              <w:t>89,21%</w:t>
            </w:r>
          </w:p>
        </w:tc>
      </w:tr>
    </w:tbl>
    <w:p w:rsidR="000E6A73" w:rsidRDefault="000E6A73" w:rsidP="000E6A73">
      <w:pPr>
        <w:ind w:firstLine="284"/>
        <w:jc w:val="both"/>
        <w:rPr>
          <w:sz w:val="20"/>
          <w:szCs w:val="20"/>
        </w:rPr>
      </w:pPr>
    </w:p>
    <w:p w:rsidR="000E6A73" w:rsidRDefault="000E6A73" w:rsidP="00262A3F">
      <w:pPr>
        <w:spacing w:after="0" w:line="240" w:lineRule="auto"/>
        <w:ind w:firstLine="567"/>
        <w:jc w:val="both"/>
        <w:rPr>
          <w:rFonts w:eastAsia="Calibri"/>
          <w:sz w:val="28"/>
          <w:szCs w:val="28"/>
          <w:lang w:eastAsia="en-US"/>
        </w:rPr>
      </w:pPr>
      <w:r>
        <w:rPr>
          <w:rFonts w:eastAsia="Calibri"/>
          <w:sz w:val="28"/>
          <w:szCs w:val="28"/>
          <w:lang w:eastAsia="en-US"/>
        </w:rPr>
        <w:t>Фактический объём реализации сточных вод за 2018 год сложился в размере    6 466,41 тыс. м</w:t>
      </w:r>
      <w:r>
        <w:rPr>
          <w:rFonts w:eastAsia="Calibri"/>
          <w:sz w:val="28"/>
          <w:szCs w:val="28"/>
          <w:vertAlign w:val="superscript"/>
          <w:lang w:eastAsia="en-US"/>
        </w:rPr>
        <w:t>3</w:t>
      </w:r>
      <w:r>
        <w:rPr>
          <w:rFonts w:eastAsia="Calibri"/>
          <w:sz w:val="28"/>
          <w:szCs w:val="28"/>
          <w:lang w:eastAsia="en-US"/>
        </w:rPr>
        <w:t>, что на 938,99 тыс. м</w:t>
      </w:r>
      <w:r>
        <w:rPr>
          <w:rFonts w:eastAsia="Calibri"/>
          <w:sz w:val="28"/>
          <w:szCs w:val="28"/>
          <w:vertAlign w:val="superscript"/>
          <w:lang w:eastAsia="en-US"/>
        </w:rPr>
        <w:t>3</w:t>
      </w:r>
      <w:r>
        <w:rPr>
          <w:rFonts w:eastAsia="Calibri"/>
          <w:sz w:val="28"/>
          <w:szCs w:val="28"/>
          <w:lang w:eastAsia="en-US"/>
        </w:rPr>
        <w:t xml:space="preserve"> (</w:t>
      </w:r>
      <w:r w:rsidR="00301AE6">
        <w:rPr>
          <w:rFonts w:eastAsia="Calibri"/>
          <w:sz w:val="28"/>
          <w:szCs w:val="28"/>
          <w:lang w:eastAsia="en-US"/>
        </w:rPr>
        <w:t xml:space="preserve">или на </w:t>
      </w:r>
      <w:r>
        <w:rPr>
          <w:rFonts w:eastAsia="Calibri"/>
          <w:sz w:val="28"/>
          <w:szCs w:val="28"/>
          <w:lang w:eastAsia="en-US"/>
        </w:rPr>
        <w:t>12,7 %) ниже плановой величины, в том числе по категориям потребителей:</w:t>
      </w:r>
    </w:p>
    <w:p w:rsidR="000E6A73" w:rsidRDefault="000E6A73" w:rsidP="00262A3F">
      <w:pPr>
        <w:spacing w:after="0" w:line="240" w:lineRule="auto"/>
        <w:ind w:firstLine="567"/>
        <w:jc w:val="both"/>
        <w:rPr>
          <w:rFonts w:eastAsia="Calibri"/>
          <w:sz w:val="28"/>
          <w:szCs w:val="28"/>
          <w:lang w:eastAsia="en-US"/>
        </w:rPr>
      </w:pPr>
      <w:r>
        <w:rPr>
          <w:rFonts w:eastAsia="Calibri"/>
          <w:sz w:val="28"/>
          <w:szCs w:val="28"/>
          <w:lang w:eastAsia="en-US"/>
        </w:rPr>
        <w:t>- «бюджетные» - снижение на 179,94 тыс. м</w:t>
      </w:r>
      <w:r>
        <w:rPr>
          <w:rFonts w:eastAsia="Calibri"/>
          <w:sz w:val="28"/>
          <w:szCs w:val="28"/>
          <w:vertAlign w:val="superscript"/>
          <w:lang w:eastAsia="en-US"/>
        </w:rPr>
        <w:t>3</w:t>
      </w:r>
      <w:r>
        <w:rPr>
          <w:rFonts w:eastAsia="Calibri"/>
          <w:sz w:val="28"/>
          <w:szCs w:val="28"/>
          <w:lang w:eastAsia="en-US"/>
        </w:rPr>
        <w:t xml:space="preserve"> (33,2 %),</w:t>
      </w:r>
    </w:p>
    <w:p w:rsidR="000E6A73" w:rsidRDefault="000E6A73" w:rsidP="00262A3F">
      <w:pPr>
        <w:spacing w:after="0" w:line="240" w:lineRule="auto"/>
        <w:ind w:firstLine="567"/>
        <w:jc w:val="both"/>
        <w:rPr>
          <w:rFonts w:eastAsia="Calibri"/>
          <w:sz w:val="28"/>
          <w:szCs w:val="28"/>
          <w:lang w:eastAsia="en-US"/>
        </w:rPr>
      </w:pPr>
      <w:r>
        <w:rPr>
          <w:rFonts w:eastAsia="Calibri"/>
          <w:sz w:val="28"/>
          <w:szCs w:val="28"/>
          <w:lang w:eastAsia="en-US"/>
        </w:rPr>
        <w:t>- «население» - снижение на 968,34 тыс. м</w:t>
      </w:r>
      <w:r>
        <w:rPr>
          <w:rFonts w:eastAsia="Calibri"/>
          <w:sz w:val="28"/>
          <w:szCs w:val="28"/>
          <w:vertAlign w:val="superscript"/>
          <w:lang w:eastAsia="en-US"/>
        </w:rPr>
        <w:t>3</w:t>
      </w:r>
      <w:r>
        <w:rPr>
          <w:rFonts w:eastAsia="Calibri"/>
          <w:sz w:val="28"/>
          <w:szCs w:val="28"/>
          <w:lang w:eastAsia="en-US"/>
        </w:rPr>
        <w:t xml:space="preserve"> (17,4 %),</w:t>
      </w:r>
    </w:p>
    <w:p w:rsidR="000E6A73" w:rsidRDefault="000E6A73" w:rsidP="00262A3F">
      <w:pPr>
        <w:spacing w:after="0" w:line="240" w:lineRule="auto"/>
        <w:ind w:firstLine="567"/>
        <w:jc w:val="both"/>
        <w:rPr>
          <w:rFonts w:eastAsia="Calibri"/>
          <w:sz w:val="28"/>
          <w:szCs w:val="28"/>
          <w:lang w:eastAsia="en-US"/>
        </w:rPr>
      </w:pPr>
      <w:r>
        <w:rPr>
          <w:rFonts w:eastAsia="Calibri"/>
          <w:sz w:val="28"/>
          <w:szCs w:val="28"/>
          <w:lang w:eastAsia="en-US"/>
        </w:rPr>
        <w:lastRenderedPageBreak/>
        <w:t>По группе потребителей «прочие» увеличение объёма принятых (реализованных) сточных вод составило 209,29 тыс. м</w:t>
      </w:r>
      <w:r>
        <w:rPr>
          <w:rFonts w:eastAsia="Calibri"/>
          <w:sz w:val="28"/>
          <w:szCs w:val="28"/>
          <w:vertAlign w:val="superscript"/>
          <w:lang w:eastAsia="en-US"/>
        </w:rPr>
        <w:t xml:space="preserve">3 </w:t>
      </w:r>
      <w:r>
        <w:rPr>
          <w:rFonts w:eastAsia="Calibri"/>
          <w:sz w:val="28"/>
          <w:szCs w:val="28"/>
          <w:lang w:eastAsia="en-US"/>
        </w:rPr>
        <w:t>или 16,2%.</w:t>
      </w:r>
    </w:p>
    <w:p w:rsidR="000E6A73" w:rsidRDefault="000E6A73" w:rsidP="00262A3F">
      <w:pPr>
        <w:spacing w:after="0" w:line="240" w:lineRule="auto"/>
        <w:ind w:firstLine="567"/>
        <w:jc w:val="both"/>
        <w:rPr>
          <w:rFonts w:eastAsia="Times New Roman"/>
          <w:bCs/>
          <w:sz w:val="28"/>
          <w:szCs w:val="28"/>
        </w:rPr>
      </w:pPr>
      <w:r>
        <w:rPr>
          <w:bCs/>
          <w:sz w:val="28"/>
          <w:szCs w:val="28"/>
        </w:rPr>
        <w:t xml:space="preserve">Динамика объёмов реализации воды и стоков </w:t>
      </w:r>
      <w:r>
        <w:rPr>
          <w:sz w:val="28"/>
          <w:szCs w:val="28"/>
        </w:rPr>
        <w:t xml:space="preserve">МУП «Комбинат бытовых услуг» </w:t>
      </w:r>
      <w:r>
        <w:rPr>
          <w:bCs/>
          <w:sz w:val="28"/>
          <w:szCs w:val="28"/>
        </w:rPr>
        <w:t xml:space="preserve">за период 2011 – 2020 представлена на графиках (рис. </w:t>
      </w:r>
      <w:r w:rsidR="00301AE6">
        <w:rPr>
          <w:bCs/>
          <w:sz w:val="28"/>
          <w:szCs w:val="28"/>
        </w:rPr>
        <w:t>2.4.3, 2.4.4</w:t>
      </w:r>
      <w:r>
        <w:rPr>
          <w:bCs/>
          <w:sz w:val="28"/>
          <w:szCs w:val="28"/>
        </w:rPr>
        <w:t>).</w:t>
      </w:r>
    </w:p>
    <w:p w:rsidR="000E6A73" w:rsidRDefault="000E6A73" w:rsidP="000E6A73">
      <w:pPr>
        <w:ind w:firstLine="284"/>
        <w:jc w:val="center"/>
        <w:rPr>
          <w:sz w:val="28"/>
          <w:szCs w:val="28"/>
        </w:rPr>
      </w:pPr>
      <w:r>
        <w:rPr>
          <w:rFonts w:eastAsia="Times New Roman"/>
          <w:noProof/>
        </w:rPr>
        <w:drawing>
          <wp:inline distT="0" distB="0" distL="0" distR="0" wp14:anchorId="7E1AFE03" wp14:editId="6C8FB864">
            <wp:extent cx="5164531" cy="3569818"/>
            <wp:effectExtent l="0" t="0" r="0" b="0"/>
            <wp:docPr id="8" name="Диаграмма 8"/>
            <wp:cNvGraphicFramePr>
              <a:graphicFrameLocks xmlns:a="http://schemas.openxmlformats.org/drawingml/2006/main"/>
            </wp:cNvGraphicFramePr>
            <a:graphic xmlns:a="http://schemas.openxmlformats.org/drawingml/2006/main">
              <a:graphicData uri="http://schemas.openxmlformats.org/drawingml/2006/chart">
                <c:chart xmlns:c="http://schemas.openxmlformats.org/drawingml/2006/chart" xmlns:r="http://schemas.openxmlformats.org/officeDocument/2006/relationships" r:id="rId67"/>
              </a:graphicData>
            </a:graphic>
          </wp:inline>
        </w:drawing>
      </w:r>
    </w:p>
    <w:p w:rsidR="000E6A73" w:rsidRPr="00D66F50" w:rsidRDefault="000E6A73" w:rsidP="000E6A73">
      <w:pPr>
        <w:ind w:firstLine="284"/>
        <w:jc w:val="center"/>
      </w:pPr>
      <w:r w:rsidRPr="00D66F50">
        <w:t xml:space="preserve">Рис. </w:t>
      </w:r>
      <w:r w:rsidR="00D66F50" w:rsidRPr="00D66F50">
        <w:t>2.4.9</w:t>
      </w:r>
    </w:p>
    <w:p w:rsidR="000E6A73" w:rsidRDefault="000E6A73" w:rsidP="000E6A73">
      <w:pPr>
        <w:ind w:firstLine="284"/>
        <w:jc w:val="center"/>
      </w:pPr>
      <w:r>
        <w:rPr>
          <w:rFonts w:eastAsia="Times New Roman"/>
          <w:noProof/>
        </w:rPr>
        <w:drawing>
          <wp:inline distT="0" distB="0" distL="0" distR="0" wp14:anchorId="60A1C58B" wp14:editId="39245105">
            <wp:extent cx="5691225" cy="3694176"/>
            <wp:effectExtent l="0" t="0" r="0" b="0"/>
            <wp:docPr id="7" name="Диаграмма 7"/>
            <wp:cNvGraphicFramePr>
              <a:graphicFrameLocks xmlns:a="http://schemas.openxmlformats.org/drawingml/2006/main"/>
            </wp:cNvGraphicFramePr>
            <a:graphic xmlns:a="http://schemas.openxmlformats.org/drawingml/2006/main">
              <a:graphicData uri="http://schemas.openxmlformats.org/drawingml/2006/chart">
                <c:chart xmlns:c="http://schemas.openxmlformats.org/drawingml/2006/chart" xmlns:r="http://schemas.openxmlformats.org/officeDocument/2006/relationships" r:id="rId68"/>
              </a:graphicData>
            </a:graphic>
          </wp:inline>
        </w:drawing>
      </w:r>
    </w:p>
    <w:p w:rsidR="0060767F" w:rsidRDefault="0060767F" w:rsidP="0060767F">
      <w:pPr>
        <w:ind w:firstLine="284"/>
        <w:jc w:val="center"/>
      </w:pPr>
      <w:r w:rsidRPr="00D66F50">
        <w:t>Рис. 2.4.10</w:t>
      </w:r>
    </w:p>
    <w:p w:rsidR="0060767F" w:rsidRDefault="0060767F" w:rsidP="0060767F">
      <w:pPr>
        <w:pStyle w:val="af"/>
        <w:spacing w:before="0" w:after="0"/>
        <w:ind w:firstLine="567"/>
        <w:jc w:val="both"/>
        <w:outlineLvl w:val="0"/>
        <w:rPr>
          <w:rFonts w:ascii="Times New Roman" w:hAnsi="Times New Roman"/>
          <w:sz w:val="28"/>
          <w:szCs w:val="28"/>
        </w:rPr>
      </w:pPr>
    </w:p>
    <w:p w:rsidR="0060767F" w:rsidRDefault="0060767F" w:rsidP="0060767F">
      <w:pPr>
        <w:pStyle w:val="af"/>
        <w:spacing w:before="0" w:after="0"/>
        <w:ind w:firstLine="567"/>
        <w:jc w:val="both"/>
        <w:outlineLvl w:val="0"/>
        <w:rPr>
          <w:rFonts w:ascii="Times New Roman" w:hAnsi="Times New Roman"/>
          <w:sz w:val="28"/>
          <w:szCs w:val="28"/>
        </w:rPr>
      </w:pPr>
    </w:p>
    <w:p w:rsidR="0060767F" w:rsidRDefault="0060767F" w:rsidP="0060767F">
      <w:pPr>
        <w:pStyle w:val="af"/>
        <w:spacing w:before="0" w:after="0"/>
        <w:ind w:firstLine="567"/>
        <w:jc w:val="both"/>
        <w:outlineLvl w:val="0"/>
        <w:rPr>
          <w:rFonts w:ascii="Times New Roman" w:hAnsi="Times New Roman"/>
          <w:sz w:val="28"/>
          <w:szCs w:val="28"/>
        </w:rPr>
      </w:pPr>
    </w:p>
    <w:p w:rsidR="0060767F" w:rsidRDefault="0060767F" w:rsidP="0060767F">
      <w:pPr>
        <w:pStyle w:val="af"/>
        <w:spacing w:before="0" w:after="0"/>
        <w:ind w:firstLine="567"/>
        <w:jc w:val="both"/>
        <w:outlineLvl w:val="0"/>
        <w:rPr>
          <w:rFonts w:ascii="Times New Roman" w:hAnsi="Times New Roman"/>
          <w:sz w:val="28"/>
          <w:szCs w:val="28"/>
        </w:rPr>
      </w:pPr>
    </w:p>
    <w:p w:rsidR="0060767F" w:rsidRDefault="0060767F" w:rsidP="00262A3F">
      <w:pPr>
        <w:pStyle w:val="af"/>
        <w:spacing w:before="0" w:after="0"/>
        <w:ind w:firstLine="567"/>
        <w:jc w:val="both"/>
        <w:outlineLvl w:val="0"/>
        <w:rPr>
          <w:rFonts w:ascii="Times New Roman" w:hAnsi="Times New Roman"/>
          <w:u w:val="single"/>
        </w:rPr>
      </w:pPr>
      <w:r>
        <w:rPr>
          <w:rFonts w:ascii="Times New Roman" w:hAnsi="Times New Roman"/>
          <w:sz w:val="28"/>
          <w:szCs w:val="28"/>
        </w:rPr>
        <w:t>Для МУП «Комбинат бытовых услуг» установлены следующие тарифы (с НДС):</w:t>
      </w:r>
    </w:p>
    <w:tbl>
      <w:tblPr>
        <w:tblW w:w="1020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693"/>
        <w:gridCol w:w="1274"/>
        <w:gridCol w:w="1559"/>
        <w:gridCol w:w="1700"/>
        <w:gridCol w:w="1700"/>
        <w:gridCol w:w="1274"/>
      </w:tblGrid>
      <w:tr w:rsidR="0060767F" w:rsidTr="00DD0B25">
        <w:trPr>
          <w:trHeight w:val="473"/>
        </w:trPr>
        <w:tc>
          <w:tcPr>
            <w:tcW w:w="2694" w:type="dxa"/>
            <w:tcBorders>
              <w:top w:val="single" w:sz="4" w:space="0" w:color="auto"/>
              <w:left w:val="single" w:sz="4" w:space="0" w:color="auto"/>
              <w:bottom w:val="single" w:sz="4" w:space="0" w:color="auto"/>
              <w:right w:val="single" w:sz="4" w:space="0" w:color="auto"/>
            </w:tcBorders>
            <w:vAlign w:val="center"/>
            <w:hideMark/>
          </w:tcPr>
          <w:p w:rsidR="0060767F" w:rsidRPr="00262A3F" w:rsidRDefault="0060767F" w:rsidP="00262A3F">
            <w:pPr>
              <w:spacing w:line="240" w:lineRule="auto"/>
              <w:jc w:val="center"/>
            </w:pPr>
            <w:r w:rsidRPr="00262A3F">
              <w:t>Наименование тарифа</w:t>
            </w:r>
          </w:p>
        </w:tc>
        <w:tc>
          <w:tcPr>
            <w:tcW w:w="1275" w:type="dxa"/>
            <w:tcBorders>
              <w:top w:val="single" w:sz="4" w:space="0" w:color="auto"/>
              <w:left w:val="single" w:sz="4" w:space="0" w:color="auto"/>
              <w:bottom w:val="single" w:sz="4" w:space="0" w:color="auto"/>
              <w:right w:val="single" w:sz="4" w:space="0" w:color="auto"/>
            </w:tcBorders>
            <w:vAlign w:val="center"/>
            <w:hideMark/>
          </w:tcPr>
          <w:p w:rsidR="0060767F" w:rsidRPr="00262A3F" w:rsidRDefault="0060767F" w:rsidP="00262A3F">
            <w:pPr>
              <w:spacing w:line="240" w:lineRule="auto"/>
              <w:jc w:val="center"/>
            </w:pPr>
            <w:r w:rsidRPr="00262A3F">
              <w:t>Ед. изм.</w:t>
            </w:r>
          </w:p>
        </w:tc>
        <w:tc>
          <w:tcPr>
            <w:tcW w:w="1560" w:type="dxa"/>
            <w:tcBorders>
              <w:top w:val="single" w:sz="4" w:space="0" w:color="auto"/>
              <w:left w:val="single" w:sz="4" w:space="0" w:color="auto"/>
              <w:bottom w:val="single" w:sz="4" w:space="0" w:color="auto"/>
              <w:right w:val="single" w:sz="4" w:space="0" w:color="auto"/>
            </w:tcBorders>
            <w:vAlign w:val="center"/>
            <w:hideMark/>
          </w:tcPr>
          <w:p w:rsidR="0060767F" w:rsidRPr="00262A3F" w:rsidRDefault="0060767F" w:rsidP="00262A3F">
            <w:pPr>
              <w:spacing w:line="240" w:lineRule="auto"/>
              <w:jc w:val="center"/>
            </w:pPr>
            <w:r w:rsidRPr="00262A3F">
              <w:t>с 01.07.19</w:t>
            </w:r>
          </w:p>
        </w:tc>
        <w:tc>
          <w:tcPr>
            <w:tcW w:w="1701" w:type="dxa"/>
            <w:tcBorders>
              <w:top w:val="single" w:sz="4" w:space="0" w:color="auto"/>
              <w:left w:val="single" w:sz="4" w:space="0" w:color="auto"/>
              <w:bottom w:val="single" w:sz="4" w:space="0" w:color="auto"/>
              <w:right w:val="single" w:sz="4" w:space="0" w:color="auto"/>
            </w:tcBorders>
            <w:vAlign w:val="center"/>
            <w:hideMark/>
          </w:tcPr>
          <w:p w:rsidR="0060767F" w:rsidRPr="00262A3F" w:rsidRDefault="0060767F" w:rsidP="00262A3F">
            <w:pPr>
              <w:spacing w:line="240" w:lineRule="auto"/>
              <w:jc w:val="center"/>
            </w:pPr>
            <w:r w:rsidRPr="00262A3F">
              <w:t>с 01.01.20</w:t>
            </w:r>
          </w:p>
        </w:tc>
        <w:tc>
          <w:tcPr>
            <w:tcW w:w="1701" w:type="dxa"/>
            <w:tcBorders>
              <w:top w:val="single" w:sz="4" w:space="0" w:color="auto"/>
              <w:left w:val="single" w:sz="4" w:space="0" w:color="auto"/>
              <w:bottom w:val="single" w:sz="4" w:space="0" w:color="auto"/>
              <w:right w:val="single" w:sz="4" w:space="0" w:color="auto"/>
            </w:tcBorders>
            <w:vAlign w:val="center"/>
            <w:hideMark/>
          </w:tcPr>
          <w:p w:rsidR="0060767F" w:rsidRPr="00262A3F" w:rsidRDefault="0060767F" w:rsidP="00262A3F">
            <w:pPr>
              <w:spacing w:line="240" w:lineRule="auto"/>
              <w:jc w:val="center"/>
            </w:pPr>
            <w:r w:rsidRPr="00262A3F">
              <w:t>с 01.07.20</w:t>
            </w:r>
          </w:p>
        </w:tc>
        <w:tc>
          <w:tcPr>
            <w:tcW w:w="1275" w:type="dxa"/>
            <w:tcBorders>
              <w:top w:val="single" w:sz="4" w:space="0" w:color="auto"/>
              <w:left w:val="single" w:sz="4" w:space="0" w:color="auto"/>
              <w:bottom w:val="single" w:sz="4" w:space="0" w:color="auto"/>
              <w:right w:val="single" w:sz="4" w:space="0" w:color="auto"/>
            </w:tcBorders>
            <w:vAlign w:val="center"/>
            <w:hideMark/>
          </w:tcPr>
          <w:p w:rsidR="0060767F" w:rsidRPr="00262A3F" w:rsidRDefault="0060767F" w:rsidP="00262A3F">
            <w:pPr>
              <w:spacing w:line="240" w:lineRule="auto"/>
              <w:jc w:val="center"/>
              <w:rPr>
                <w:i/>
              </w:rPr>
            </w:pPr>
            <w:r w:rsidRPr="00262A3F">
              <w:rPr>
                <w:i/>
              </w:rPr>
              <w:t>% откл.</w:t>
            </w:r>
          </w:p>
        </w:tc>
      </w:tr>
      <w:tr w:rsidR="0060767F" w:rsidTr="00DD0B25">
        <w:trPr>
          <w:trHeight w:val="331"/>
        </w:trPr>
        <w:tc>
          <w:tcPr>
            <w:tcW w:w="2694" w:type="dxa"/>
            <w:tcBorders>
              <w:top w:val="single" w:sz="4" w:space="0" w:color="auto"/>
              <w:left w:val="single" w:sz="4" w:space="0" w:color="auto"/>
              <w:bottom w:val="single" w:sz="4" w:space="0" w:color="auto"/>
              <w:right w:val="single" w:sz="4" w:space="0" w:color="auto"/>
            </w:tcBorders>
            <w:hideMark/>
          </w:tcPr>
          <w:p w:rsidR="0060767F" w:rsidRPr="00262A3F" w:rsidRDefault="0060767F" w:rsidP="00262A3F">
            <w:pPr>
              <w:spacing w:line="240" w:lineRule="auto"/>
            </w:pPr>
            <w:r w:rsidRPr="00262A3F">
              <w:t>холодная вода</w:t>
            </w:r>
          </w:p>
        </w:tc>
        <w:tc>
          <w:tcPr>
            <w:tcW w:w="1275" w:type="dxa"/>
            <w:tcBorders>
              <w:top w:val="single" w:sz="4" w:space="0" w:color="auto"/>
              <w:left w:val="single" w:sz="4" w:space="0" w:color="auto"/>
              <w:bottom w:val="single" w:sz="4" w:space="0" w:color="auto"/>
              <w:right w:val="single" w:sz="4" w:space="0" w:color="auto"/>
            </w:tcBorders>
            <w:vAlign w:val="center"/>
            <w:hideMark/>
          </w:tcPr>
          <w:p w:rsidR="0060767F" w:rsidRPr="00262A3F" w:rsidRDefault="0060767F" w:rsidP="00262A3F">
            <w:pPr>
              <w:spacing w:line="240" w:lineRule="auto"/>
              <w:jc w:val="center"/>
            </w:pPr>
            <w:r w:rsidRPr="00262A3F">
              <w:t>руб./м</w:t>
            </w:r>
            <w:r w:rsidRPr="00262A3F">
              <w:rPr>
                <w:vertAlign w:val="superscript"/>
              </w:rPr>
              <w:t>3</w:t>
            </w:r>
          </w:p>
        </w:tc>
        <w:tc>
          <w:tcPr>
            <w:tcW w:w="1560" w:type="dxa"/>
            <w:tcBorders>
              <w:top w:val="single" w:sz="4" w:space="0" w:color="auto"/>
              <w:left w:val="single" w:sz="4" w:space="0" w:color="auto"/>
              <w:bottom w:val="single" w:sz="4" w:space="0" w:color="auto"/>
              <w:right w:val="single" w:sz="4" w:space="0" w:color="auto"/>
            </w:tcBorders>
            <w:vAlign w:val="center"/>
            <w:hideMark/>
          </w:tcPr>
          <w:p w:rsidR="0060767F" w:rsidRPr="00262A3F" w:rsidRDefault="0060767F" w:rsidP="00262A3F">
            <w:pPr>
              <w:spacing w:line="240" w:lineRule="auto"/>
              <w:jc w:val="center"/>
            </w:pPr>
            <w:r w:rsidRPr="00262A3F">
              <w:t>19,85</w:t>
            </w:r>
          </w:p>
        </w:tc>
        <w:tc>
          <w:tcPr>
            <w:tcW w:w="1701" w:type="dxa"/>
            <w:tcBorders>
              <w:top w:val="single" w:sz="4" w:space="0" w:color="auto"/>
              <w:left w:val="single" w:sz="4" w:space="0" w:color="auto"/>
              <w:bottom w:val="single" w:sz="4" w:space="0" w:color="auto"/>
              <w:right w:val="single" w:sz="4" w:space="0" w:color="auto"/>
            </w:tcBorders>
            <w:vAlign w:val="center"/>
            <w:hideMark/>
          </w:tcPr>
          <w:p w:rsidR="0060767F" w:rsidRPr="00262A3F" w:rsidRDefault="0060767F" w:rsidP="00262A3F">
            <w:pPr>
              <w:spacing w:line="240" w:lineRule="auto"/>
              <w:jc w:val="center"/>
            </w:pPr>
            <w:r w:rsidRPr="00262A3F">
              <w:t>19,85</w:t>
            </w:r>
          </w:p>
        </w:tc>
        <w:tc>
          <w:tcPr>
            <w:tcW w:w="1701" w:type="dxa"/>
            <w:tcBorders>
              <w:top w:val="single" w:sz="4" w:space="0" w:color="auto"/>
              <w:left w:val="single" w:sz="4" w:space="0" w:color="auto"/>
              <w:bottom w:val="single" w:sz="4" w:space="0" w:color="auto"/>
              <w:right w:val="single" w:sz="4" w:space="0" w:color="auto"/>
            </w:tcBorders>
            <w:vAlign w:val="center"/>
            <w:hideMark/>
          </w:tcPr>
          <w:p w:rsidR="0060767F" w:rsidRPr="00262A3F" w:rsidRDefault="0060767F" w:rsidP="00262A3F">
            <w:pPr>
              <w:spacing w:line="240" w:lineRule="auto"/>
              <w:jc w:val="center"/>
            </w:pPr>
            <w:r w:rsidRPr="00262A3F">
              <w:t>20,82</w:t>
            </w:r>
          </w:p>
        </w:tc>
        <w:tc>
          <w:tcPr>
            <w:tcW w:w="1275" w:type="dxa"/>
            <w:tcBorders>
              <w:top w:val="single" w:sz="4" w:space="0" w:color="auto"/>
              <w:left w:val="single" w:sz="4" w:space="0" w:color="auto"/>
              <w:bottom w:val="single" w:sz="4" w:space="0" w:color="auto"/>
              <w:right w:val="single" w:sz="4" w:space="0" w:color="auto"/>
            </w:tcBorders>
            <w:vAlign w:val="center"/>
            <w:hideMark/>
          </w:tcPr>
          <w:p w:rsidR="0060767F" w:rsidRPr="00262A3F" w:rsidRDefault="0060767F" w:rsidP="00262A3F">
            <w:pPr>
              <w:spacing w:line="240" w:lineRule="auto"/>
              <w:jc w:val="center"/>
              <w:rPr>
                <w:i/>
              </w:rPr>
            </w:pPr>
            <w:r w:rsidRPr="00262A3F">
              <w:rPr>
                <w:i/>
              </w:rPr>
              <w:t>104,89</w:t>
            </w:r>
          </w:p>
        </w:tc>
      </w:tr>
      <w:tr w:rsidR="0060767F" w:rsidTr="00DD0B25">
        <w:trPr>
          <w:trHeight w:val="331"/>
        </w:trPr>
        <w:tc>
          <w:tcPr>
            <w:tcW w:w="2694" w:type="dxa"/>
            <w:tcBorders>
              <w:top w:val="single" w:sz="4" w:space="0" w:color="auto"/>
              <w:left w:val="single" w:sz="4" w:space="0" w:color="auto"/>
              <w:bottom w:val="single" w:sz="4" w:space="0" w:color="auto"/>
              <w:right w:val="single" w:sz="4" w:space="0" w:color="auto"/>
            </w:tcBorders>
            <w:hideMark/>
          </w:tcPr>
          <w:p w:rsidR="0060767F" w:rsidRPr="00262A3F" w:rsidRDefault="0060767F" w:rsidP="00262A3F">
            <w:pPr>
              <w:spacing w:line="240" w:lineRule="auto"/>
            </w:pPr>
            <w:r w:rsidRPr="00262A3F">
              <w:t>водоотведение</w:t>
            </w:r>
          </w:p>
        </w:tc>
        <w:tc>
          <w:tcPr>
            <w:tcW w:w="1275" w:type="dxa"/>
            <w:tcBorders>
              <w:top w:val="single" w:sz="4" w:space="0" w:color="auto"/>
              <w:left w:val="single" w:sz="4" w:space="0" w:color="auto"/>
              <w:bottom w:val="single" w:sz="4" w:space="0" w:color="auto"/>
              <w:right w:val="single" w:sz="4" w:space="0" w:color="auto"/>
            </w:tcBorders>
            <w:vAlign w:val="center"/>
            <w:hideMark/>
          </w:tcPr>
          <w:p w:rsidR="0060767F" w:rsidRPr="00262A3F" w:rsidRDefault="0060767F" w:rsidP="00262A3F">
            <w:pPr>
              <w:spacing w:line="240" w:lineRule="auto"/>
              <w:jc w:val="center"/>
            </w:pPr>
            <w:r w:rsidRPr="00262A3F">
              <w:t>руб./м</w:t>
            </w:r>
            <w:r w:rsidRPr="00262A3F">
              <w:rPr>
                <w:vertAlign w:val="superscript"/>
              </w:rPr>
              <w:t>3</w:t>
            </w:r>
          </w:p>
        </w:tc>
        <w:tc>
          <w:tcPr>
            <w:tcW w:w="1560" w:type="dxa"/>
            <w:tcBorders>
              <w:top w:val="single" w:sz="4" w:space="0" w:color="auto"/>
              <w:left w:val="single" w:sz="4" w:space="0" w:color="auto"/>
              <w:bottom w:val="single" w:sz="4" w:space="0" w:color="auto"/>
              <w:right w:val="single" w:sz="4" w:space="0" w:color="auto"/>
            </w:tcBorders>
            <w:vAlign w:val="center"/>
            <w:hideMark/>
          </w:tcPr>
          <w:p w:rsidR="0060767F" w:rsidRPr="00262A3F" w:rsidRDefault="0060767F" w:rsidP="00262A3F">
            <w:pPr>
              <w:spacing w:line="240" w:lineRule="auto"/>
              <w:jc w:val="center"/>
            </w:pPr>
            <w:r w:rsidRPr="00262A3F">
              <w:t>30,50</w:t>
            </w:r>
          </w:p>
        </w:tc>
        <w:tc>
          <w:tcPr>
            <w:tcW w:w="1701" w:type="dxa"/>
            <w:tcBorders>
              <w:top w:val="single" w:sz="4" w:space="0" w:color="auto"/>
              <w:left w:val="single" w:sz="4" w:space="0" w:color="auto"/>
              <w:bottom w:val="single" w:sz="4" w:space="0" w:color="auto"/>
              <w:right w:val="single" w:sz="4" w:space="0" w:color="auto"/>
            </w:tcBorders>
            <w:vAlign w:val="center"/>
            <w:hideMark/>
          </w:tcPr>
          <w:p w:rsidR="0060767F" w:rsidRPr="00262A3F" w:rsidRDefault="0060767F" w:rsidP="00262A3F">
            <w:pPr>
              <w:spacing w:line="240" w:lineRule="auto"/>
              <w:jc w:val="center"/>
            </w:pPr>
            <w:r w:rsidRPr="00262A3F">
              <w:t>30,50</w:t>
            </w:r>
          </w:p>
        </w:tc>
        <w:tc>
          <w:tcPr>
            <w:tcW w:w="1701" w:type="dxa"/>
            <w:tcBorders>
              <w:top w:val="single" w:sz="4" w:space="0" w:color="auto"/>
              <w:left w:val="single" w:sz="4" w:space="0" w:color="auto"/>
              <w:bottom w:val="single" w:sz="4" w:space="0" w:color="auto"/>
              <w:right w:val="single" w:sz="4" w:space="0" w:color="auto"/>
            </w:tcBorders>
            <w:vAlign w:val="center"/>
            <w:hideMark/>
          </w:tcPr>
          <w:p w:rsidR="0060767F" w:rsidRPr="00262A3F" w:rsidRDefault="0060767F" w:rsidP="00262A3F">
            <w:pPr>
              <w:spacing w:line="240" w:lineRule="auto"/>
              <w:jc w:val="center"/>
            </w:pPr>
            <w:r w:rsidRPr="00262A3F">
              <w:t>31,99</w:t>
            </w:r>
          </w:p>
        </w:tc>
        <w:tc>
          <w:tcPr>
            <w:tcW w:w="1275" w:type="dxa"/>
            <w:tcBorders>
              <w:top w:val="single" w:sz="4" w:space="0" w:color="auto"/>
              <w:left w:val="single" w:sz="4" w:space="0" w:color="auto"/>
              <w:bottom w:val="single" w:sz="4" w:space="0" w:color="auto"/>
              <w:right w:val="single" w:sz="4" w:space="0" w:color="auto"/>
            </w:tcBorders>
            <w:vAlign w:val="center"/>
            <w:hideMark/>
          </w:tcPr>
          <w:p w:rsidR="0060767F" w:rsidRPr="00262A3F" w:rsidRDefault="0060767F" w:rsidP="00262A3F">
            <w:pPr>
              <w:spacing w:line="240" w:lineRule="auto"/>
              <w:jc w:val="center"/>
              <w:rPr>
                <w:i/>
              </w:rPr>
            </w:pPr>
            <w:r w:rsidRPr="00262A3F">
              <w:rPr>
                <w:i/>
              </w:rPr>
              <w:t>104,89</w:t>
            </w:r>
          </w:p>
        </w:tc>
      </w:tr>
    </w:tbl>
    <w:p w:rsidR="0060767F" w:rsidRDefault="0060767F" w:rsidP="00262A3F">
      <w:pPr>
        <w:spacing w:line="240" w:lineRule="auto"/>
        <w:ind w:firstLine="284"/>
        <w:jc w:val="both"/>
        <w:rPr>
          <w:sz w:val="28"/>
          <w:szCs w:val="28"/>
        </w:rPr>
      </w:pPr>
      <w:r>
        <w:rPr>
          <w:bCs/>
          <w:sz w:val="28"/>
          <w:szCs w:val="28"/>
        </w:rPr>
        <w:t xml:space="preserve">Динамика тарифов </w:t>
      </w:r>
      <w:r>
        <w:rPr>
          <w:sz w:val="28"/>
          <w:szCs w:val="28"/>
        </w:rPr>
        <w:t xml:space="preserve">МУП «Комбинат бытовых услуг» </w:t>
      </w:r>
      <w:r>
        <w:rPr>
          <w:bCs/>
          <w:sz w:val="28"/>
          <w:szCs w:val="28"/>
        </w:rPr>
        <w:t>за период 2011 – 2020 представлена на графиках (рис. 2.4.11- 2.4.12).</w:t>
      </w:r>
    </w:p>
    <w:p w:rsidR="000E6A73" w:rsidRDefault="000E6A73" w:rsidP="000E6A73">
      <w:pPr>
        <w:ind w:firstLine="284"/>
        <w:jc w:val="both"/>
        <w:rPr>
          <w:sz w:val="28"/>
          <w:szCs w:val="28"/>
        </w:rPr>
      </w:pPr>
      <w:r>
        <w:rPr>
          <w:rFonts w:eastAsia="Times New Roman"/>
          <w:noProof/>
        </w:rPr>
        <w:drawing>
          <wp:inline distT="0" distB="0" distL="0" distR="0" wp14:anchorId="4144F965" wp14:editId="0E206399">
            <wp:extent cx="5749747" cy="3211373"/>
            <wp:effectExtent l="0" t="0" r="0" b="0"/>
            <wp:docPr id="6" name="Диаграмма 6"/>
            <wp:cNvGraphicFramePr>
              <a:graphicFrameLocks xmlns:a="http://schemas.openxmlformats.org/drawingml/2006/main"/>
            </wp:cNvGraphicFramePr>
            <a:graphic xmlns:a="http://schemas.openxmlformats.org/drawingml/2006/main">
              <a:graphicData uri="http://schemas.openxmlformats.org/drawingml/2006/chart">
                <c:chart xmlns:c="http://schemas.openxmlformats.org/drawingml/2006/chart" xmlns:r="http://schemas.openxmlformats.org/officeDocument/2006/relationships" r:id="rId69"/>
              </a:graphicData>
            </a:graphic>
          </wp:inline>
        </w:drawing>
      </w:r>
    </w:p>
    <w:p w:rsidR="000E6A73" w:rsidRPr="0060767F" w:rsidRDefault="000E6A73" w:rsidP="000E6A73">
      <w:pPr>
        <w:ind w:firstLine="284"/>
        <w:jc w:val="center"/>
      </w:pPr>
      <w:r w:rsidRPr="0060767F">
        <w:t xml:space="preserve">Рис. </w:t>
      </w:r>
      <w:r w:rsidR="006A0363" w:rsidRPr="0060767F">
        <w:t>2.4.</w:t>
      </w:r>
      <w:r w:rsidR="0060767F" w:rsidRPr="0060767F">
        <w:t>11</w:t>
      </w:r>
    </w:p>
    <w:p w:rsidR="000E6A73" w:rsidRDefault="000E6A73" w:rsidP="000E6A73">
      <w:pPr>
        <w:ind w:firstLine="284"/>
        <w:jc w:val="both"/>
        <w:rPr>
          <w:sz w:val="28"/>
          <w:szCs w:val="28"/>
        </w:rPr>
      </w:pPr>
    </w:p>
    <w:p w:rsidR="000E6A73" w:rsidRDefault="000E6A73" w:rsidP="000E6A73">
      <w:pPr>
        <w:ind w:firstLine="284"/>
        <w:jc w:val="both"/>
        <w:rPr>
          <w:sz w:val="28"/>
          <w:szCs w:val="28"/>
        </w:rPr>
      </w:pPr>
      <w:r>
        <w:rPr>
          <w:rFonts w:eastAsia="Times New Roman"/>
          <w:noProof/>
        </w:rPr>
        <w:drawing>
          <wp:inline distT="0" distB="0" distL="0" distR="0" wp14:anchorId="0B999823" wp14:editId="1E6E28FE">
            <wp:extent cx="6005779" cy="2509113"/>
            <wp:effectExtent l="0" t="0" r="0" b="5715"/>
            <wp:docPr id="5" name="Диаграмма 5"/>
            <wp:cNvGraphicFramePr>
              <a:graphicFrameLocks xmlns:a="http://schemas.openxmlformats.org/drawingml/2006/main"/>
            </wp:cNvGraphicFramePr>
            <a:graphic xmlns:a="http://schemas.openxmlformats.org/drawingml/2006/main">
              <a:graphicData uri="http://schemas.openxmlformats.org/drawingml/2006/chart">
                <c:chart xmlns:c="http://schemas.openxmlformats.org/drawingml/2006/chart" xmlns:r="http://schemas.openxmlformats.org/officeDocument/2006/relationships" r:id="rId70"/>
              </a:graphicData>
            </a:graphic>
          </wp:inline>
        </w:drawing>
      </w:r>
    </w:p>
    <w:p w:rsidR="000E6A73" w:rsidRPr="0060767F" w:rsidRDefault="000E6A73" w:rsidP="006A0363">
      <w:pPr>
        <w:ind w:firstLine="284"/>
        <w:jc w:val="center"/>
      </w:pPr>
      <w:r w:rsidRPr="0060767F">
        <w:t xml:space="preserve">Рис. </w:t>
      </w:r>
      <w:r w:rsidR="006A0363" w:rsidRPr="0060767F">
        <w:t>2.4.</w:t>
      </w:r>
      <w:r w:rsidR="0060767F" w:rsidRPr="0060767F">
        <w:t>12</w:t>
      </w:r>
    </w:p>
    <w:p w:rsidR="0060767F" w:rsidRDefault="0060767F" w:rsidP="000E6A73">
      <w:pPr>
        <w:ind w:firstLine="284"/>
        <w:jc w:val="both"/>
        <w:rPr>
          <w:sz w:val="28"/>
          <w:szCs w:val="28"/>
        </w:rPr>
      </w:pPr>
    </w:p>
    <w:p w:rsidR="000E6A73" w:rsidRDefault="000E6A73" w:rsidP="000E6A73">
      <w:pPr>
        <w:ind w:firstLine="284"/>
        <w:jc w:val="both"/>
        <w:rPr>
          <w:sz w:val="28"/>
          <w:szCs w:val="28"/>
        </w:rPr>
      </w:pPr>
      <w:r>
        <w:rPr>
          <w:sz w:val="28"/>
          <w:szCs w:val="28"/>
        </w:rPr>
        <w:t xml:space="preserve">Структура тарифов на холодную воду и водоотведение МУП «Комбинат бытовых услуг» г. Бердска на 2015-2020 годы приведена на рис. </w:t>
      </w:r>
      <w:r w:rsidR="00D13C17">
        <w:rPr>
          <w:sz w:val="28"/>
          <w:szCs w:val="28"/>
        </w:rPr>
        <w:t>2.4.</w:t>
      </w:r>
      <w:r w:rsidR="0060767F">
        <w:rPr>
          <w:sz w:val="28"/>
          <w:szCs w:val="28"/>
        </w:rPr>
        <w:t>1</w:t>
      </w:r>
      <w:r w:rsidR="00262A3F">
        <w:rPr>
          <w:sz w:val="28"/>
          <w:szCs w:val="28"/>
        </w:rPr>
        <w:t>2</w:t>
      </w:r>
    </w:p>
    <w:p w:rsidR="000E6A73" w:rsidRDefault="000E6A73" w:rsidP="000E6A73">
      <w:pPr>
        <w:rPr>
          <w:sz w:val="28"/>
          <w:szCs w:val="28"/>
        </w:rPr>
        <w:sectPr w:rsidR="000E6A73">
          <w:pgSz w:w="11906" w:h="16838"/>
          <w:pgMar w:top="851" w:right="707" w:bottom="851" w:left="1134" w:header="709" w:footer="709" w:gutter="0"/>
          <w:cols w:space="720"/>
        </w:sectPr>
      </w:pPr>
    </w:p>
    <w:tbl>
      <w:tblPr>
        <w:tblpPr w:leftFromText="180" w:rightFromText="180" w:vertAnchor="page" w:horzAnchor="margin" w:tblpXSpec="center" w:tblpY="2006"/>
        <w:tblW w:w="16419" w:type="dxa"/>
        <w:tblLook w:val="04A0" w:firstRow="1" w:lastRow="0" w:firstColumn="1" w:lastColumn="0" w:noHBand="0" w:noVBand="1"/>
      </w:tblPr>
      <w:tblGrid>
        <w:gridCol w:w="1176"/>
        <w:gridCol w:w="976"/>
        <w:gridCol w:w="976"/>
        <w:gridCol w:w="976"/>
        <w:gridCol w:w="716"/>
        <w:gridCol w:w="449"/>
        <w:gridCol w:w="1176"/>
        <w:gridCol w:w="893"/>
        <w:gridCol w:w="1059"/>
        <w:gridCol w:w="976"/>
        <w:gridCol w:w="976"/>
        <w:gridCol w:w="283"/>
        <w:gridCol w:w="1355"/>
        <w:gridCol w:w="1124"/>
        <w:gridCol w:w="1124"/>
        <w:gridCol w:w="1124"/>
        <w:gridCol w:w="824"/>
        <w:gridCol w:w="236"/>
      </w:tblGrid>
      <w:tr w:rsidR="000E6A73" w:rsidTr="0060767F">
        <w:trPr>
          <w:trHeight w:val="255"/>
        </w:trPr>
        <w:tc>
          <w:tcPr>
            <w:tcW w:w="1176" w:type="dxa"/>
            <w:noWrap/>
            <w:vAlign w:val="bottom"/>
          </w:tcPr>
          <w:p w:rsidR="000E6A73" w:rsidRDefault="000E6A73" w:rsidP="006A0363">
            <w:pPr>
              <w:rPr>
                <w:rFonts w:ascii="Arial" w:hAnsi="Arial" w:cs="Arial"/>
                <w:sz w:val="20"/>
                <w:szCs w:val="20"/>
              </w:rPr>
            </w:pPr>
          </w:p>
        </w:tc>
        <w:tc>
          <w:tcPr>
            <w:tcW w:w="976" w:type="dxa"/>
            <w:noWrap/>
            <w:vAlign w:val="bottom"/>
          </w:tcPr>
          <w:p w:rsidR="000E6A73" w:rsidRDefault="000E6A73" w:rsidP="006A0363">
            <w:pPr>
              <w:rPr>
                <w:rFonts w:ascii="Arial" w:hAnsi="Arial" w:cs="Arial"/>
                <w:sz w:val="20"/>
                <w:szCs w:val="20"/>
              </w:rPr>
            </w:pPr>
          </w:p>
        </w:tc>
        <w:tc>
          <w:tcPr>
            <w:tcW w:w="976" w:type="dxa"/>
            <w:noWrap/>
            <w:vAlign w:val="bottom"/>
          </w:tcPr>
          <w:p w:rsidR="000E6A73" w:rsidRDefault="000E6A73" w:rsidP="006A0363">
            <w:pPr>
              <w:rPr>
                <w:rFonts w:ascii="Arial" w:hAnsi="Arial" w:cs="Arial"/>
                <w:sz w:val="20"/>
                <w:szCs w:val="20"/>
              </w:rPr>
            </w:pPr>
          </w:p>
        </w:tc>
        <w:tc>
          <w:tcPr>
            <w:tcW w:w="976" w:type="dxa"/>
            <w:noWrap/>
            <w:vAlign w:val="bottom"/>
          </w:tcPr>
          <w:p w:rsidR="000E6A73" w:rsidRDefault="000E6A73" w:rsidP="006A0363">
            <w:pPr>
              <w:rPr>
                <w:rFonts w:ascii="Arial" w:hAnsi="Arial" w:cs="Arial"/>
                <w:sz w:val="20"/>
                <w:szCs w:val="20"/>
              </w:rPr>
            </w:pPr>
          </w:p>
        </w:tc>
        <w:tc>
          <w:tcPr>
            <w:tcW w:w="716" w:type="dxa"/>
            <w:noWrap/>
            <w:vAlign w:val="bottom"/>
          </w:tcPr>
          <w:p w:rsidR="000E6A73" w:rsidRDefault="000E6A73" w:rsidP="006A0363">
            <w:pPr>
              <w:rPr>
                <w:rFonts w:ascii="Arial" w:hAnsi="Arial" w:cs="Arial"/>
                <w:sz w:val="20"/>
                <w:szCs w:val="20"/>
              </w:rPr>
            </w:pPr>
          </w:p>
        </w:tc>
        <w:tc>
          <w:tcPr>
            <w:tcW w:w="449" w:type="dxa"/>
            <w:noWrap/>
            <w:vAlign w:val="bottom"/>
          </w:tcPr>
          <w:p w:rsidR="000E6A73" w:rsidRDefault="000E6A73" w:rsidP="006A0363">
            <w:pPr>
              <w:rPr>
                <w:rFonts w:ascii="Arial" w:hAnsi="Arial" w:cs="Arial"/>
                <w:sz w:val="20"/>
                <w:szCs w:val="20"/>
              </w:rPr>
            </w:pPr>
          </w:p>
        </w:tc>
        <w:tc>
          <w:tcPr>
            <w:tcW w:w="1176" w:type="dxa"/>
            <w:noWrap/>
            <w:vAlign w:val="bottom"/>
            <w:hideMark/>
          </w:tcPr>
          <w:p w:rsidR="000E6A73" w:rsidRDefault="000E6A73" w:rsidP="006A0363">
            <w:pPr>
              <w:rPr>
                <w:sz w:val="20"/>
                <w:szCs w:val="20"/>
              </w:rPr>
            </w:pPr>
          </w:p>
        </w:tc>
        <w:tc>
          <w:tcPr>
            <w:tcW w:w="893" w:type="dxa"/>
            <w:noWrap/>
            <w:vAlign w:val="bottom"/>
            <w:hideMark/>
          </w:tcPr>
          <w:p w:rsidR="000E6A73" w:rsidRDefault="000E6A73" w:rsidP="006A0363">
            <w:pPr>
              <w:rPr>
                <w:sz w:val="20"/>
                <w:szCs w:val="20"/>
              </w:rPr>
            </w:pPr>
          </w:p>
        </w:tc>
        <w:tc>
          <w:tcPr>
            <w:tcW w:w="1059" w:type="dxa"/>
            <w:noWrap/>
            <w:vAlign w:val="bottom"/>
            <w:hideMark/>
          </w:tcPr>
          <w:p w:rsidR="000E6A73" w:rsidRDefault="000E6A73" w:rsidP="006A0363">
            <w:pPr>
              <w:rPr>
                <w:sz w:val="20"/>
                <w:szCs w:val="20"/>
              </w:rPr>
            </w:pPr>
          </w:p>
        </w:tc>
        <w:tc>
          <w:tcPr>
            <w:tcW w:w="976" w:type="dxa"/>
            <w:noWrap/>
            <w:vAlign w:val="bottom"/>
            <w:hideMark/>
          </w:tcPr>
          <w:p w:rsidR="000E6A73" w:rsidRDefault="000E6A73" w:rsidP="006A0363">
            <w:pPr>
              <w:rPr>
                <w:sz w:val="20"/>
                <w:szCs w:val="20"/>
              </w:rPr>
            </w:pPr>
          </w:p>
        </w:tc>
        <w:tc>
          <w:tcPr>
            <w:tcW w:w="976" w:type="dxa"/>
            <w:noWrap/>
            <w:vAlign w:val="bottom"/>
            <w:hideMark/>
          </w:tcPr>
          <w:p w:rsidR="000E6A73" w:rsidRDefault="000E6A73" w:rsidP="006A0363">
            <w:pPr>
              <w:rPr>
                <w:sz w:val="20"/>
                <w:szCs w:val="20"/>
              </w:rPr>
            </w:pPr>
          </w:p>
        </w:tc>
        <w:tc>
          <w:tcPr>
            <w:tcW w:w="283" w:type="dxa"/>
            <w:noWrap/>
            <w:vAlign w:val="bottom"/>
            <w:hideMark/>
          </w:tcPr>
          <w:p w:rsidR="000E6A73" w:rsidRDefault="000E6A73" w:rsidP="006A0363">
            <w:pPr>
              <w:rPr>
                <w:sz w:val="20"/>
                <w:szCs w:val="20"/>
              </w:rPr>
            </w:pPr>
          </w:p>
        </w:tc>
        <w:tc>
          <w:tcPr>
            <w:tcW w:w="1355" w:type="dxa"/>
            <w:noWrap/>
            <w:vAlign w:val="bottom"/>
            <w:hideMark/>
          </w:tcPr>
          <w:p w:rsidR="000E6A73" w:rsidRDefault="000E6A73" w:rsidP="006A0363">
            <w:pPr>
              <w:rPr>
                <w:sz w:val="20"/>
                <w:szCs w:val="20"/>
              </w:rPr>
            </w:pPr>
          </w:p>
        </w:tc>
        <w:tc>
          <w:tcPr>
            <w:tcW w:w="1124" w:type="dxa"/>
            <w:noWrap/>
            <w:vAlign w:val="bottom"/>
            <w:hideMark/>
          </w:tcPr>
          <w:p w:rsidR="000E6A73" w:rsidRDefault="000E6A73" w:rsidP="006A0363">
            <w:pPr>
              <w:rPr>
                <w:sz w:val="20"/>
                <w:szCs w:val="20"/>
              </w:rPr>
            </w:pPr>
          </w:p>
        </w:tc>
        <w:tc>
          <w:tcPr>
            <w:tcW w:w="1124" w:type="dxa"/>
            <w:noWrap/>
            <w:vAlign w:val="bottom"/>
            <w:hideMark/>
          </w:tcPr>
          <w:p w:rsidR="000E6A73" w:rsidRDefault="000E6A73" w:rsidP="006A0363">
            <w:pPr>
              <w:rPr>
                <w:sz w:val="20"/>
                <w:szCs w:val="20"/>
              </w:rPr>
            </w:pPr>
          </w:p>
        </w:tc>
        <w:tc>
          <w:tcPr>
            <w:tcW w:w="1124" w:type="dxa"/>
            <w:noWrap/>
            <w:vAlign w:val="bottom"/>
            <w:hideMark/>
          </w:tcPr>
          <w:p w:rsidR="000E6A73" w:rsidRDefault="000E6A73" w:rsidP="006A0363">
            <w:pPr>
              <w:rPr>
                <w:sz w:val="20"/>
                <w:szCs w:val="20"/>
              </w:rPr>
            </w:pPr>
          </w:p>
        </w:tc>
        <w:tc>
          <w:tcPr>
            <w:tcW w:w="824" w:type="dxa"/>
            <w:noWrap/>
            <w:vAlign w:val="bottom"/>
            <w:hideMark/>
          </w:tcPr>
          <w:p w:rsidR="000E6A73" w:rsidRDefault="000E6A73" w:rsidP="006A0363">
            <w:pPr>
              <w:rPr>
                <w:sz w:val="20"/>
                <w:szCs w:val="20"/>
              </w:rPr>
            </w:pPr>
          </w:p>
        </w:tc>
        <w:tc>
          <w:tcPr>
            <w:tcW w:w="236" w:type="dxa"/>
            <w:noWrap/>
            <w:vAlign w:val="bottom"/>
            <w:hideMark/>
          </w:tcPr>
          <w:p w:rsidR="000E6A73" w:rsidRDefault="000E6A73" w:rsidP="006A0363">
            <w:pPr>
              <w:rPr>
                <w:sz w:val="20"/>
                <w:szCs w:val="20"/>
              </w:rPr>
            </w:pPr>
          </w:p>
        </w:tc>
      </w:tr>
      <w:tr w:rsidR="000E6A73" w:rsidTr="0060767F">
        <w:trPr>
          <w:trHeight w:val="255"/>
        </w:trPr>
        <w:tc>
          <w:tcPr>
            <w:tcW w:w="1176" w:type="dxa"/>
            <w:noWrap/>
            <w:vAlign w:val="bottom"/>
          </w:tcPr>
          <w:p w:rsidR="000E6A73" w:rsidRDefault="000E6A73" w:rsidP="006A0363">
            <w:pPr>
              <w:rPr>
                <w:rFonts w:ascii="Arial" w:hAnsi="Arial" w:cs="Arial"/>
                <w:sz w:val="20"/>
                <w:szCs w:val="20"/>
              </w:rPr>
            </w:pPr>
          </w:p>
        </w:tc>
        <w:tc>
          <w:tcPr>
            <w:tcW w:w="976" w:type="dxa"/>
            <w:noWrap/>
            <w:vAlign w:val="bottom"/>
          </w:tcPr>
          <w:p w:rsidR="000E6A73" w:rsidRDefault="000E6A73" w:rsidP="006A0363">
            <w:pPr>
              <w:rPr>
                <w:rFonts w:ascii="Arial" w:hAnsi="Arial" w:cs="Arial"/>
                <w:sz w:val="20"/>
                <w:szCs w:val="20"/>
              </w:rPr>
            </w:pPr>
          </w:p>
        </w:tc>
        <w:tc>
          <w:tcPr>
            <w:tcW w:w="976" w:type="dxa"/>
            <w:noWrap/>
            <w:vAlign w:val="bottom"/>
          </w:tcPr>
          <w:p w:rsidR="000E6A73" w:rsidRDefault="000E6A73" w:rsidP="006A0363">
            <w:pPr>
              <w:rPr>
                <w:rFonts w:ascii="Arial" w:hAnsi="Arial" w:cs="Arial"/>
                <w:sz w:val="20"/>
                <w:szCs w:val="20"/>
              </w:rPr>
            </w:pPr>
          </w:p>
        </w:tc>
        <w:tc>
          <w:tcPr>
            <w:tcW w:w="976" w:type="dxa"/>
            <w:noWrap/>
            <w:vAlign w:val="bottom"/>
          </w:tcPr>
          <w:p w:rsidR="000E6A73" w:rsidRDefault="000E6A73" w:rsidP="006A0363">
            <w:pPr>
              <w:rPr>
                <w:rFonts w:ascii="Arial" w:hAnsi="Arial" w:cs="Arial"/>
                <w:sz w:val="20"/>
                <w:szCs w:val="20"/>
              </w:rPr>
            </w:pPr>
          </w:p>
        </w:tc>
        <w:tc>
          <w:tcPr>
            <w:tcW w:w="716" w:type="dxa"/>
            <w:noWrap/>
            <w:vAlign w:val="bottom"/>
          </w:tcPr>
          <w:p w:rsidR="000E6A73" w:rsidRDefault="000E6A73" w:rsidP="006A0363">
            <w:pPr>
              <w:rPr>
                <w:rFonts w:ascii="Arial" w:hAnsi="Arial" w:cs="Arial"/>
                <w:sz w:val="20"/>
                <w:szCs w:val="20"/>
              </w:rPr>
            </w:pPr>
          </w:p>
        </w:tc>
        <w:tc>
          <w:tcPr>
            <w:tcW w:w="449" w:type="dxa"/>
            <w:noWrap/>
            <w:vAlign w:val="bottom"/>
          </w:tcPr>
          <w:p w:rsidR="000E6A73" w:rsidRDefault="000E6A73" w:rsidP="006A0363">
            <w:pPr>
              <w:rPr>
                <w:rFonts w:ascii="Arial" w:hAnsi="Arial" w:cs="Arial"/>
                <w:sz w:val="20"/>
                <w:szCs w:val="20"/>
              </w:rPr>
            </w:pPr>
          </w:p>
        </w:tc>
        <w:tc>
          <w:tcPr>
            <w:tcW w:w="1176" w:type="dxa"/>
            <w:noWrap/>
            <w:vAlign w:val="bottom"/>
            <w:hideMark/>
          </w:tcPr>
          <w:p w:rsidR="000E6A73" w:rsidRDefault="000E6A73" w:rsidP="006A0363">
            <w:pPr>
              <w:rPr>
                <w:sz w:val="20"/>
                <w:szCs w:val="20"/>
              </w:rPr>
            </w:pPr>
          </w:p>
        </w:tc>
        <w:tc>
          <w:tcPr>
            <w:tcW w:w="893" w:type="dxa"/>
            <w:noWrap/>
            <w:vAlign w:val="bottom"/>
            <w:hideMark/>
          </w:tcPr>
          <w:p w:rsidR="000E6A73" w:rsidRDefault="000E6A73" w:rsidP="006A0363">
            <w:pPr>
              <w:rPr>
                <w:sz w:val="20"/>
                <w:szCs w:val="20"/>
              </w:rPr>
            </w:pPr>
          </w:p>
        </w:tc>
        <w:tc>
          <w:tcPr>
            <w:tcW w:w="1059" w:type="dxa"/>
            <w:noWrap/>
            <w:vAlign w:val="bottom"/>
            <w:hideMark/>
          </w:tcPr>
          <w:p w:rsidR="000E6A73" w:rsidRDefault="000E6A73" w:rsidP="006A0363">
            <w:pPr>
              <w:rPr>
                <w:sz w:val="20"/>
                <w:szCs w:val="20"/>
              </w:rPr>
            </w:pPr>
          </w:p>
        </w:tc>
        <w:tc>
          <w:tcPr>
            <w:tcW w:w="976" w:type="dxa"/>
            <w:noWrap/>
            <w:vAlign w:val="bottom"/>
            <w:hideMark/>
          </w:tcPr>
          <w:p w:rsidR="000E6A73" w:rsidRDefault="000E6A73" w:rsidP="006A0363">
            <w:pPr>
              <w:rPr>
                <w:sz w:val="20"/>
                <w:szCs w:val="20"/>
              </w:rPr>
            </w:pPr>
          </w:p>
        </w:tc>
        <w:tc>
          <w:tcPr>
            <w:tcW w:w="976" w:type="dxa"/>
            <w:noWrap/>
            <w:vAlign w:val="bottom"/>
            <w:hideMark/>
          </w:tcPr>
          <w:p w:rsidR="000E6A73" w:rsidRDefault="000E6A73" w:rsidP="006A0363">
            <w:pPr>
              <w:rPr>
                <w:sz w:val="20"/>
                <w:szCs w:val="20"/>
              </w:rPr>
            </w:pPr>
          </w:p>
        </w:tc>
        <w:tc>
          <w:tcPr>
            <w:tcW w:w="283" w:type="dxa"/>
            <w:noWrap/>
            <w:vAlign w:val="bottom"/>
            <w:hideMark/>
          </w:tcPr>
          <w:p w:rsidR="000E6A73" w:rsidRDefault="000E6A73" w:rsidP="006A0363">
            <w:pPr>
              <w:rPr>
                <w:sz w:val="20"/>
                <w:szCs w:val="20"/>
              </w:rPr>
            </w:pPr>
          </w:p>
        </w:tc>
        <w:tc>
          <w:tcPr>
            <w:tcW w:w="1355" w:type="dxa"/>
            <w:noWrap/>
            <w:vAlign w:val="bottom"/>
            <w:hideMark/>
          </w:tcPr>
          <w:p w:rsidR="000E6A73" w:rsidRDefault="000E6A73" w:rsidP="006A0363">
            <w:pPr>
              <w:rPr>
                <w:sz w:val="20"/>
                <w:szCs w:val="20"/>
              </w:rPr>
            </w:pPr>
          </w:p>
        </w:tc>
        <w:tc>
          <w:tcPr>
            <w:tcW w:w="1124" w:type="dxa"/>
            <w:noWrap/>
            <w:vAlign w:val="bottom"/>
            <w:hideMark/>
          </w:tcPr>
          <w:p w:rsidR="000E6A73" w:rsidRDefault="000E6A73" w:rsidP="006A0363">
            <w:pPr>
              <w:rPr>
                <w:sz w:val="20"/>
                <w:szCs w:val="20"/>
              </w:rPr>
            </w:pPr>
          </w:p>
        </w:tc>
        <w:tc>
          <w:tcPr>
            <w:tcW w:w="1124" w:type="dxa"/>
            <w:noWrap/>
            <w:vAlign w:val="bottom"/>
            <w:hideMark/>
          </w:tcPr>
          <w:p w:rsidR="000E6A73" w:rsidRDefault="000E6A73" w:rsidP="006A0363">
            <w:pPr>
              <w:rPr>
                <w:sz w:val="20"/>
                <w:szCs w:val="20"/>
              </w:rPr>
            </w:pPr>
          </w:p>
        </w:tc>
        <w:tc>
          <w:tcPr>
            <w:tcW w:w="1124" w:type="dxa"/>
            <w:noWrap/>
            <w:vAlign w:val="bottom"/>
            <w:hideMark/>
          </w:tcPr>
          <w:p w:rsidR="000E6A73" w:rsidRDefault="000E6A73" w:rsidP="006A0363">
            <w:pPr>
              <w:rPr>
                <w:sz w:val="20"/>
                <w:szCs w:val="20"/>
              </w:rPr>
            </w:pPr>
          </w:p>
        </w:tc>
        <w:tc>
          <w:tcPr>
            <w:tcW w:w="824" w:type="dxa"/>
            <w:noWrap/>
            <w:vAlign w:val="bottom"/>
            <w:hideMark/>
          </w:tcPr>
          <w:p w:rsidR="000E6A73" w:rsidRDefault="000E6A73" w:rsidP="006A0363">
            <w:pPr>
              <w:rPr>
                <w:sz w:val="20"/>
                <w:szCs w:val="20"/>
              </w:rPr>
            </w:pPr>
          </w:p>
        </w:tc>
        <w:tc>
          <w:tcPr>
            <w:tcW w:w="236" w:type="dxa"/>
            <w:noWrap/>
            <w:vAlign w:val="bottom"/>
            <w:hideMark/>
          </w:tcPr>
          <w:p w:rsidR="000E6A73" w:rsidRDefault="000E6A73" w:rsidP="006A0363">
            <w:pPr>
              <w:rPr>
                <w:sz w:val="20"/>
                <w:szCs w:val="20"/>
              </w:rPr>
            </w:pPr>
          </w:p>
        </w:tc>
      </w:tr>
      <w:tr w:rsidR="000E6A73" w:rsidTr="0060767F">
        <w:trPr>
          <w:trHeight w:val="255"/>
        </w:trPr>
        <w:tc>
          <w:tcPr>
            <w:tcW w:w="1176" w:type="dxa"/>
            <w:noWrap/>
            <w:vAlign w:val="bottom"/>
          </w:tcPr>
          <w:p w:rsidR="000E6A73" w:rsidRDefault="000E6A73" w:rsidP="006A0363">
            <w:pPr>
              <w:rPr>
                <w:rFonts w:ascii="Arial" w:hAnsi="Arial" w:cs="Arial"/>
                <w:sz w:val="20"/>
                <w:szCs w:val="20"/>
              </w:rPr>
            </w:pPr>
          </w:p>
        </w:tc>
        <w:tc>
          <w:tcPr>
            <w:tcW w:w="976" w:type="dxa"/>
            <w:noWrap/>
            <w:vAlign w:val="bottom"/>
          </w:tcPr>
          <w:p w:rsidR="000E6A73" w:rsidRDefault="000E6A73" w:rsidP="006A0363">
            <w:pPr>
              <w:rPr>
                <w:rFonts w:ascii="Arial" w:hAnsi="Arial" w:cs="Arial"/>
                <w:sz w:val="20"/>
                <w:szCs w:val="20"/>
              </w:rPr>
            </w:pPr>
          </w:p>
        </w:tc>
        <w:tc>
          <w:tcPr>
            <w:tcW w:w="976" w:type="dxa"/>
            <w:noWrap/>
            <w:vAlign w:val="bottom"/>
          </w:tcPr>
          <w:p w:rsidR="000E6A73" w:rsidRDefault="000E6A73" w:rsidP="006A0363">
            <w:pPr>
              <w:rPr>
                <w:rFonts w:ascii="Arial" w:hAnsi="Arial" w:cs="Arial"/>
                <w:sz w:val="20"/>
                <w:szCs w:val="20"/>
              </w:rPr>
            </w:pPr>
          </w:p>
        </w:tc>
        <w:tc>
          <w:tcPr>
            <w:tcW w:w="976" w:type="dxa"/>
            <w:noWrap/>
            <w:vAlign w:val="bottom"/>
          </w:tcPr>
          <w:p w:rsidR="000E6A73" w:rsidRDefault="000E6A73" w:rsidP="006A0363">
            <w:pPr>
              <w:rPr>
                <w:rFonts w:ascii="Arial" w:hAnsi="Arial" w:cs="Arial"/>
                <w:sz w:val="20"/>
                <w:szCs w:val="20"/>
              </w:rPr>
            </w:pPr>
          </w:p>
        </w:tc>
        <w:tc>
          <w:tcPr>
            <w:tcW w:w="716" w:type="dxa"/>
            <w:noWrap/>
            <w:vAlign w:val="bottom"/>
          </w:tcPr>
          <w:p w:rsidR="000E6A73" w:rsidRDefault="000E6A73" w:rsidP="006A0363">
            <w:pPr>
              <w:rPr>
                <w:rFonts w:ascii="Arial" w:hAnsi="Arial" w:cs="Arial"/>
                <w:sz w:val="20"/>
                <w:szCs w:val="20"/>
              </w:rPr>
            </w:pPr>
          </w:p>
        </w:tc>
        <w:tc>
          <w:tcPr>
            <w:tcW w:w="449" w:type="dxa"/>
            <w:noWrap/>
            <w:vAlign w:val="bottom"/>
          </w:tcPr>
          <w:p w:rsidR="000E6A73" w:rsidRDefault="000E6A73" w:rsidP="006A0363">
            <w:pPr>
              <w:rPr>
                <w:rFonts w:ascii="Arial" w:hAnsi="Arial" w:cs="Arial"/>
                <w:sz w:val="20"/>
                <w:szCs w:val="20"/>
              </w:rPr>
            </w:pPr>
          </w:p>
        </w:tc>
        <w:tc>
          <w:tcPr>
            <w:tcW w:w="1176" w:type="dxa"/>
            <w:noWrap/>
            <w:vAlign w:val="bottom"/>
            <w:hideMark/>
          </w:tcPr>
          <w:p w:rsidR="000E6A73" w:rsidRDefault="000E6A73" w:rsidP="006A0363">
            <w:pPr>
              <w:rPr>
                <w:sz w:val="20"/>
                <w:szCs w:val="20"/>
              </w:rPr>
            </w:pPr>
          </w:p>
        </w:tc>
        <w:tc>
          <w:tcPr>
            <w:tcW w:w="893" w:type="dxa"/>
            <w:noWrap/>
            <w:vAlign w:val="bottom"/>
            <w:hideMark/>
          </w:tcPr>
          <w:p w:rsidR="000E6A73" w:rsidRDefault="000E6A73" w:rsidP="006A0363">
            <w:pPr>
              <w:rPr>
                <w:sz w:val="20"/>
                <w:szCs w:val="20"/>
              </w:rPr>
            </w:pPr>
          </w:p>
        </w:tc>
        <w:tc>
          <w:tcPr>
            <w:tcW w:w="1059" w:type="dxa"/>
            <w:noWrap/>
            <w:vAlign w:val="bottom"/>
            <w:hideMark/>
          </w:tcPr>
          <w:p w:rsidR="000E6A73" w:rsidRDefault="000E6A73" w:rsidP="006A0363">
            <w:pPr>
              <w:rPr>
                <w:sz w:val="20"/>
                <w:szCs w:val="20"/>
              </w:rPr>
            </w:pPr>
          </w:p>
        </w:tc>
        <w:tc>
          <w:tcPr>
            <w:tcW w:w="976" w:type="dxa"/>
            <w:noWrap/>
            <w:vAlign w:val="bottom"/>
            <w:hideMark/>
          </w:tcPr>
          <w:p w:rsidR="000E6A73" w:rsidRDefault="000E6A73" w:rsidP="006A0363">
            <w:pPr>
              <w:rPr>
                <w:sz w:val="20"/>
                <w:szCs w:val="20"/>
              </w:rPr>
            </w:pPr>
          </w:p>
        </w:tc>
        <w:tc>
          <w:tcPr>
            <w:tcW w:w="976" w:type="dxa"/>
            <w:noWrap/>
            <w:vAlign w:val="bottom"/>
            <w:hideMark/>
          </w:tcPr>
          <w:p w:rsidR="000E6A73" w:rsidRDefault="000E6A73" w:rsidP="006A0363">
            <w:pPr>
              <w:rPr>
                <w:sz w:val="20"/>
                <w:szCs w:val="20"/>
              </w:rPr>
            </w:pPr>
          </w:p>
        </w:tc>
        <w:tc>
          <w:tcPr>
            <w:tcW w:w="283" w:type="dxa"/>
            <w:noWrap/>
            <w:vAlign w:val="bottom"/>
            <w:hideMark/>
          </w:tcPr>
          <w:p w:rsidR="000E6A73" w:rsidRDefault="000E6A73" w:rsidP="006A0363">
            <w:pPr>
              <w:rPr>
                <w:sz w:val="20"/>
                <w:szCs w:val="20"/>
              </w:rPr>
            </w:pPr>
          </w:p>
        </w:tc>
        <w:tc>
          <w:tcPr>
            <w:tcW w:w="1355" w:type="dxa"/>
            <w:noWrap/>
            <w:vAlign w:val="bottom"/>
            <w:hideMark/>
          </w:tcPr>
          <w:p w:rsidR="000E6A73" w:rsidRDefault="000E6A73" w:rsidP="006A0363">
            <w:pPr>
              <w:rPr>
                <w:sz w:val="20"/>
                <w:szCs w:val="20"/>
              </w:rPr>
            </w:pPr>
          </w:p>
        </w:tc>
        <w:tc>
          <w:tcPr>
            <w:tcW w:w="1124" w:type="dxa"/>
            <w:noWrap/>
            <w:vAlign w:val="bottom"/>
            <w:hideMark/>
          </w:tcPr>
          <w:p w:rsidR="000E6A73" w:rsidRDefault="000E6A73" w:rsidP="006A0363">
            <w:pPr>
              <w:rPr>
                <w:sz w:val="20"/>
                <w:szCs w:val="20"/>
              </w:rPr>
            </w:pPr>
          </w:p>
        </w:tc>
        <w:tc>
          <w:tcPr>
            <w:tcW w:w="1124" w:type="dxa"/>
            <w:noWrap/>
            <w:vAlign w:val="bottom"/>
            <w:hideMark/>
          </w:tcPr>
          <w:p w:rsidR="000E6A73" w:rsidRDefault="000E6A73" w:rsidP="006A0363">
            <w:pPr>
              <w:rPr>
                <w:sz w:val="20"/>
                <w:szCs w:val="20"/>
              </w:rPr>
            </w:pPr>
          </w:p>
        </w:tc>
        <w:tc>
          <w:tcPr>
            <w:tcW w:w="1124" w:type="dxa"/>
            <w:noWrap/>
            <w:vAlign w:val="bottom"/>
            <w:hideMark/>
          </w:tcPr>
          <w:p w:rsidR="000E6A73" w:rsidRDefault="000E6A73" w:rsidP="006A0363">
            <w:pPr>
              <w:rPr>
                <w:sz w:val="20"/>
                <w:szCs w:val="20"/>
              </w:rPr>
            </w:pPr>
          </w:p>
        </w:tc>
        <w:tc>
          <w:tcPr>
            <w:tcW w:w="824" w:type="dxa"/>
            <w:noWrap/>
            <w:vAlign w:val="bottom"/>
            <w:hideMark/>
          </w:tcPr>
          <w:p w:rsidR="000E6A73" w:rsidRDefault="000E6A73" w:rsidP="006A0363">
            <w:pPr>
              <w:rPr>
                <w:sz w:val="20"/>
                <w:szCs w:val="20"/>
              </w:rPr>
            </w:pPr>
          </w:p>
        </w:tc>
        <w:tc>
          <w:tcPr>
            <w:tcW w:w="236" w:type="dxa"/>
            <w:noWrap/>
            <w:vAlign w:val="bottom"/>
            <w:hideMark/>
          </w:tcPr>
          <w:p w:rsidR="000E6A73" w:rsidRDefault="000E6A73" w:rsidP="006A0363">
            <w:pPr>
              <w:rPr>
                <w:sz w:val="20"/>
                <w:szCs w:val="20"/>
              </w:rPr>
            </w:pPr>
          </w:p>
        </w:tc>
      </w:tr>
      <w:tr w:rsidR="000E6A73" w:rsidTr="0060767F">
        <w:trPr>
          <w:trHeight w:val="255"/>
        </w:trPr>
        <w:tc>
          <w:tcPr>
            <w:tcW w:w="1176" w:type="dxa"/>
            <w:noWrap/>
            <w:vAlign w:val="bottom"/>
          </w:tcPr>
          <w:p w:rsidR="000E6A73" w:rsidRDefault="000E6A73" w:rsidP="006A0363">
            <w:pPr>
              <w:rPr>
                <w:rFonts w:ascii="Arial" w:hAnsi="Arial" w:cs="Arial"/>
                <w:sz w:val="20"/>
                <w:szCs w:val="20"/>
              </w:rPr>
            </w:pPr>
          </w:p>
        </w:tc>
        <w:tc>
          <w:tcPr>
            <w:tcW w:w="976" w:type="dxa"/>
            <w:noWrap/>
            <w:vAlign w:val="bottom"/>
          </w:tcPr>
          <w:p w:rsidR="000E6A73" w:rsidRDefault="000E6A73" w:rsidP="006A0363">
            <w:pPr>
              <w:rPr>
                <w:rFonts w:ascii="Arial" w:hAnsi="Arial" w:cs="Arial"/>
                <w:sz w:val="20"/>
                <w:szCs w:val="20"/>
              </w:rPr>
            </w:pPr>
          </w:p>
        </w:tc>
        <w:tc>
          <w:tcPr>
            <w:tcW w:w="976" w:type="dxa"/>
            <w:noWrap/>
            <w:vAlign w:val="bottom"/>
          </w:tcPr>
          <w:p w:rsidR="000E6A73" w:rsidRDefault="000E6A73" w:rsidP="006A0363">
            <w:pPr>
              <w:rPr>
                <w:rFonts w:ascii="Arial" w:hAnsi="Arial" w:cs="Arial"/>
                <w:sz w:val="20"/>
                <w:szCs w:val="20"/>
              </w:rPr>
            </w:pPr>
          </w:p>
        </w:tc>
        <w:tc>
          <w:tcPr>
            <w:tcW w:w="976" w:type="dxa"/>
            <w:noWrap/>
            <w:vAlign w:val="bottom"/>
          </w:tcPr>
          <w:p w:rsidR="000E6A73" w:rsidRDefault="000E6A73" w:rsidP="006A0363">
            <w:pPr>
              <w:rPr>
                <w:rFonts w:ascii="Arial" w:hAnsi="Arial" w:cs="Arial"/>
                <w:sz w:val="20"/>
                <w:szCs w:val="20"/>
              </w:rPr>
            </w:pPr>
          </w:p>
        </w:tc>
        <w:tc>
          <w:tcPr>
            <w:tcW w:w="716" w:type="dxa"/>
            <w:noWrap/>
            <w:vAlign w:val="bottom"/>
          </w:tcPr>
          <w:p w:rsidR="000E6A73" w:rsidRDefault="000E6A73" w:rsidP="006A0363">
            <w:pPr>
              <w:rPr>
                <w:rFonts w:ascii="Arial" w:hAnsi="Arial" w:cs="Arial"/>
                <w:sz w:val="20"/>
                <w:szCs w:val="20"/>
              </w:rPr>
            </w:pPr>
          </w:p>
        </w:tc>
        <w:tc>
          <w:tcPr>
            <w:tcW w:w="449" w:type="dxa"/>
            <w:noWrap/>
            <w:vAlign w:val="bottom"/>
          </w:tcPr>
          <w:p w:rsidR="000E6A73" w:rsidRDefault="000E6A73" w:rsidP="006A0363">
            <w:pPr>
              <w:rPr>
                <w:rFonts w:ascii="Arial" w:hAnsi="Arial" w:cs="Arial"/>
                <w:sz w:val="20"/>
                <w:szCs w:val="20"/>
              </w:rPr>
            </w:pPr>
          </w:p>
        </w:tc>
        <w:tc>
          <w:tcPr>
            <w:tcW w:w="1176" w:type="dxa"/>
            <w:noWrap/>
            <w:vAlign w:val="bottom"/>
            <w:hideMark/>
          </w:tcPr>
          <w:p w:rsidR="000E6A73" w:rsidRDefault="000E6A73" w:rsidP="006A0363">
            <w:pPr>
              <w:rPr>
                <w:sz w:val="20"/>
                <w:szCs w:val="20"/>
              </w:rPr>
            </w:pPr>
          </w:p>
        </w:tc>
        <w:tc>
          <w:tcPr>
            <w:tcW w:w="893" w:type="dxa"/>
            <w:noWrap/>
            <w:vAlign w:val="bottom"/>
            <w:hideMark/>
          </w:tcPr>
          <w:p w:rsidR="000E6A73" w:rsidRDefault="000E6A73" w:rsidP="006A0363">
            <w:pPr>
              <w:rPr>
                <w:sz w:val="20"/>
                <w:szCs w:val="20"/>
              </w:rPr>
            </w:pPr>
          </w:p>
        </w:tc>
        <w:tc>
          <w:tcPr>
            <w:tcW w:w="1059" w:type="dxa"/>
            <w:noWrap/>
            <w:vAlign w:val="bottom"/>
            <w:hideMark/>
          </w:tcPr>
          <w:p w:rsidR="000E6A73" w:rsidRDefault="000E6A73" w:rsidP="006A0363">
            <w:pPr>
              <w:rPr>
                <w:sz w:val="20"/>
                <w:szCs w:val="20"/>
              </w:rPr>
            </w:pPr>
          </w:p>
        </w:tc>
        <w:tc>
          <w:tcPr>
            <w:tcW w:w="976" w:type="dxa"/>
            <w:noWrap/>
            <w:vAlign w:val="bottom"/>
            <w:hideMark/>
          </w:tcPr>
          <w:p w:rsidR="000E6A73" w:rsidRDefault="000E6A73" w:rsidP="006A0363">
            <w:pPr>
              <w:rPr>
                <w:sz w:val="20"/>
                <w:szCs w:val="20"/>
              </w:rPr>
            </w:pPr>
          </w:p>
        </w:tc>
        <w:tc>
          <w:tcPr>
            <w:tcW w:w="976" w:type="dxa"/>
            <w:noWrap/>
            <w:vAlign w:val="bottom"/>
            <w:hideMark/>
          </w:tcPr>
          <w:p w:rsidR="000E6A73" w:rsidRDefault="000E6A73" w:rsidP="006A0363">
            <w:pPr>
              <w:rPr>
                <w:sz w:val="20"/>
                <w:szCs w:val="20"/>
              </w:rPr>
            </w:pPr>
          </w:p>
        </w:tc>
        <w:tc>
          <w:tcPr>
            <w:tcW w:w="283" w:type="dxa"/>
            <w:noWrap/>
            <w:vAlign w:val="bottom"/>
            <w:hideMark/>
          </w:tcPr>
          <w:p w:rsidR="000E6A73" w:rsidRDefault="000E6A73" w:rsidP="006A0363">
            <w:pPr>
              <w:rPr>
                <w:sz w:val="20"/>
                <w:szCs w:val="20"/>
              </w:rPr>
            </w:pPr>
          </w:p>
        </w:tc>
        <w:tc>
          <w:tcPr>
            <w:tcW w:w="1355" w:type="dxa"/>
            <w:noWrap/>
            <w:vAlign w:val="bottom"/>
            <w:hideMark/>
          </w:tcPr>
          <w:p w:rsidR="000E6A73" w:rsidRDefault="000E6A73" w:rsidP="006A0363">
            <w:pPr>
              <w:rPr>
                <w:sz w:val="20"/>
                <w:szCs w:val="20"/>
              </w:rPr>
            </w:pPr>
          </w:p>
        </w:tc>
        <w:tc>
          <w:tcPr>
            <w:tcW w:w="1124" w:type="dxa"/>
            <w:noWrap/>
            <w:vAlign w:val="bottom"/>
            <w:hideMark/>
          </w:tcPr>
          <w:p w:rsidR="000E6A73" w:rsidRDefault="000E6A73" w:rsidP="006A0363">
            <w:pPr>
              <w:rPr>
                <w:sz w:val="20"/>
                <w:szCs w:val="20"/>
              </w:rPr>
            </w:pPr>
          </w:p>
        </w:tc>
        <w:tc>
          <w:tcPr>
            <w:tcW w:w="1124" w:type="dxa"/>
            <w:noWrap/>
            <w:vAlign w:val="bottom"/>
            <w:hideMark/>
          </w:tcPr>
          <w:p w:rsidR="000E6A73" w:rsidRDefault="000E6A73" w:rsidP="006A0363">
            <w:pPr>
              <w:rPr>
                <w:sz w:val="20"/>
                <w:szCs w:val="20"/>
              </w:rPr>
            </w:pPr>
          </w:p>
        </w:tc>
        <w:tc>
          <w:tcPr>
            <w:tcW w:w="1124" w:type="dxa"/>
            <w:noWrap/>
            <w:vAlign w:val="bottom"/>
            <w:hideMark/>
          </w:tcPr>
          <w:p w:rsidR="000E6A73" w:rsidRDefault="000E6A73" w:rsidP="006A0363">
            <w:pPr>
              <w:rPr>
                <w:sz w:val="20"/>
                <w:szCs w:val="20"/>
              </w:rPr>
            </w:pPr>
          </w:p>
        </w:tc>
        <w:tc>
          <w:tcPr>
            <w:tcW w:w="824" w:type="dxa"/>
            <w:noWrap/>
            <w:vAlign w:val="bottom"/>
            <w:hideMark/>
          </w:tcPr>
          <w:p w:rsidR="000E6A73" w:rsidRDefault="000E6A73" w:rsidP="006A0363">
            <w:pPr>
              <w:rPr>
                <w:sz w:val="20"/>
                <w:szCs w:val="20"/>
              </w:rPr>
            </w:pPr>
          </w:p>
        </w:tc>
        <w:tc>
          <w:tcPr>
            <w:tcW w:w="236" w:type="dxa"/>
            <w:noWrap/>
            <w:vAlign w:val="bottom"/>
            <w:hideMark/>
          </w:tcPr>
          <w:p w:rsidR="000E6A73" w:rsidRDefault="000E6A73" w:rsidP="006A0363">
            <w:pPr>
              <w:rPr>
                <w:sz w:val="20"/>
                <w:szCs w:val="20"/>
              </w:rPr>
            </w:pPr>
          </w:p>
        </w:tc>
      </w:tr>
      <w:tr w:rsidR="000E6A73" w:rsidTr="0060767F">
        <w:trPr>
          <w:trHeight w:val="255"/>
        </w:trPr>
        <w:tc>
          <w:tcPr>
            <w:tcW w:w="1176" w:type="dxa"/>
            <w:noWrap/>
            <w:vAlign w:val="bottom"/>
          </w:tcPr>
          <w:p w:rsidR="000E6A73" w:rsidRDefault="000E6A73" w:rsidP="006A0363">
            <w:pPr>
              <w:rPr>
                <w:rFonts w:ascii="Arial" w:hAnsi="Arial" w:cs="Arial"/>
                <w:sz w:val="20"/>
                <w:szCs w:val="20"/>
              </w:rPr>
            </w:pPr>
          </w:p>
        </w:tc>
        <w:tc>
          <w:tcPr>
            <w:tcW w:w="976" w:type="dxa"/>
            <w:noWrap/>
            <w:vAlign w:val="bottom"/>
          </w:tcPr>
          <w:p w:rsidR="000E6A73" w:rsidRDefault="000E6A73" w:rsidP="006A0363">
            <w:pPr>
              <w:rPr>
                <w:rFonts w:ascii="Arial" w:hAnsi="Arial" w:cs="Arial"/>
                <w:sz w:val="20"/>
                <w:szCs w:val="20"/>
              </w:rPr>
            </w:pPr>
          </w:p>
        </w:tc>
        <w:tc>
          <w:tcPr>
            <w:tcW w:w="976" w:type="dxa"/>
            <w:noWrap/>
            <w:vAlign w:val="bottom"/>
          </w:tcPr>
          <w:p w:rsidR="000E6A73" w:rsidRDefault="000E6A73" w:rsidP="006A0363">
            <w:pPr>
              <w:rPr>
                <w:rFonts w:ascii="Arial" w:hAnsi="Arial" w:cs="Arial"/>
                <w:sz w:val="20"/>
                <w:szCs w:val="20"/>
              </w:rPr>
            </w:pPr>
          </w:p>
        </w:tc>
        <w:tc>
          <w:tcPr>
            <w:tcW w:w="976" w:type="dxa"/>
            <w:noWrap/>
            <w:vAlign w:val="bottom"/>
          </w:tcPr>
          <w:p w:rsidR="000E6A73" w:rsidRDefault="000E6A73" w:rsidP="006A0363">
            <w:pPr>
              <w:rPr>
                <w:rFonts w:ascii="Arial" w:hAnsi="Arial" w:cs="Arial"/>
                <w:sz w:val="20"/>
                <w:szCs w:val="20"/>
              </w:rPr>
            </w:pPr>
          </w:p>
        </w:tc>
        <w:tc>
          <w:tcPr>
            <w:tcW w:w="716" w:type="dxa"/>
            <w:noWrap/>
            <w:vAlign w:val="bottom"/>
          </w:tcPr>
          <w:p w:rsidR="000E6A73" w:rsidRDefault="000E6A73" w:rsidP="006A0363">
            <w:pPr>
              <w:rPr>
                <w:rFonts w:ascii="Arial" w:hAnsi="Arial" w:cs="Arial"/>
                <w:sz w:val="20"/>
                <w:szCs w:val="20"/>
              </w:rPr>
            </w:pPr>
          </w:p>
        </w:tc>
        <w:tc>
          <w:tcPr>
            <w:tcW w:w="449" w:type="dxa"/>
            <w:noWrap/>
            <w:vAlign w:val="bottom"/>
          </w:tcPr>
          <w:p w:rsidR="000E6A73" w:rsidRDefault="000E6A73" w:rsidP="006A0363">
            <w:pPr>
              <w:rPr>
                <w:rFonts w:ascii="Arial" w:hAnsi="Arial" w:cs="Arial"/>
                <w:sz w:val="20"/>
                <w:szCs w:val="20"/>
              </w:rPr>
            </w:pPr>
          </w:p>
        </w:tc>
        <w:tc>
          <w:tcPr>
            <w:tcW w:w="1176" w:type="dxa"/>
            <w:noWrap/>
            <w:vAlign w:val="bottom"/>
            <w:hideMark/>
          </w:tcPr>
          <w:p w:rsidR="000E6A73" w:rsidRDefault="000E6A73" w:rsidP="006A0363">
            <w:pPr>
              <w:rPr>
                <w:sz w:val="20"/>
                <w:szCs w:val="20"/>
              </w:rPr>
            </w:pPr>
          </w:p>
        </w:tc>
        <w:tc>
          <w:tcPr>
            <w:tcW w:w="893" w:type="dxa"/>
            <w:noWrap/>
            <w:vAlign w:val="bottom"/>
            <w:hideMark/>
          </w:tcPr>
          <w:p w:rsidR="000E6A73" w:rsidRDefault="000E6A73" w:rsidP="006A0363">
            <w:pPr>
              <w:rPr>
                <w:sz w:val="20"/>
                <w:szCs w:val="20"/>
              </w:rPr>
            </w:pPr>
          </w:p>
        </w:tc>
        <w:tc>
          <w:tcPr>
            <w:tcW w:w="1059" w:type="dxa"/>
            <w:noWrap/>
            <w:vAlign w:val="bottom"/>
            <w:hideMark/>
          </w:tcPr>
          <w:p w:rsidR="000E6A73" w:rsidRDefault="000E6A73" w:rsidP="006A0363">
            <w:pPr>
              <w:rPr>
                <w:sz w:val="20"/>
                <w:szCs w:val="20"/>
              </w:rPr>
            </w:pPr>
          </w:p>
        </w:tc>
        <w:tc>
          <w:tcPr>
            <w:tcW w:w="976" w:type="dxa"/>
            <w:noWrap/>
            <w:vAlign w:val="bottom"/>
            <w:hideMark/>
          </w:tcPr>
          <w:p w:rsidR="000E6A73" w:rsidRDefault="000E6A73" w:rsidP="006A0363">
            <w:pPr>
              <w:rPr>
                <w:sz w:val="20"/>
                <w:szCs w:val="20"/>
              </w:rPr>
            </w:pPr>
          </w:p>
        </w:tc>
        <w:tc>
          <w:tcPr>
            <w:tcW w:w="976" w:type="dxa"/>
            <w:noWrap/>
            <w:vAlign w:val="bottom"/>
            <w:hideMark/>
          </w:tcPr>
          <w:p w:rsidR="000E6A73" w:rsidRDefault="000E6A73" w:rsidP="006A0363">
            <w:pPr>
              <w:rPr>
                <w:sz w:val="20"/>
                <w:szCs w:val="20"/>
              </w:rPr>
            </w:pPr>
          </w:p>
        </w:tc>
        <w:tc>
          <w:tcPr>
            <w:tcW w:w="283" w:type="dxa"/>
            <w:noWrap/>
            <w:vAlign w:val="bottom"/>
            <w:hideMark/>
          </w:tcPr>
          <w:p w:rsidR="000E6A73" w:rsidRDefault="000E6A73" w:rsidP="006A0363">
            <w:pPr>
              <w:rPr>
                <w:sz w:val="20"/>
                <w:szCs w:val="20"/>
              </w:rPr>
            </w:pPr>
          </w:p>
        </w:tc>
        <w:tc>
          <w:tcPr>
            <w:tcW w:w="1355" w:type="dxa"/>
            <w:noWrap/>
            <w:vAlign w:val="bottom"/>
            <w:hideMark/>
          </w:tcPr>
          <w:p w:rsidR="000E6A73" w:rsidRDefault="000E6A73" w:rsidP="006A0363">
            <w:pPr>
              <w:rPr>
                <w:sz w:val="20"/>
                <w:szCs w:val="20"/>
              </w:rPr>
            </w:pPr>
          </w:p>
        </w:tc>
        <w:tc>
          <w:tcPr>
            <w:tcW w:w="1124" w:type="dxa"/>
            <w:noWrap/>
            <w:vAlign w:val="bottom"/>
            <w:hideMark/>
          </w:tcPr>
          <w:p w:rsidR="000E6A73" w:rsidRDefault="000E6A73" w:rsidP="006A0363">
            <w:pPr>
              <w:rPr>
                <w:sz w:val="20"/>
                <w:szCs w:val="20"/>
              </w:rPr>
            </w:pPr>
          </w:p>
        </w:tc>
        <w:tc>
          <w:tcPr>
            <w:tcW w:w="1124" w:type="dxa"/>
            <w:noWrap/>
            <w:vAlign w:val="bottom"/>
            <w:hideMark/>
          </w:tcPr>
          <w:p w:rsidR="000E6A73" w:rsidRDefault="000E6A73" w:rsidP="006A0363">
            <w:pPr>
              <w:rPr>
                <w:sz w:val="20"/>
                <w:szCs w:val="20"/>
              </w:rPr>
            </w:pPr>
          </w:p>
        </w:tc>
        <w:tc>
          <w:tcPr>
            <w:tcW w:w="1124" w:type="dxa"/>
            <w:noWrap/>
            <w:vAlign w:val="bottom"/>
            <w:hideMark/>
          </w:tcPr>
          <w:p w:rsidR="000E6A73" w:rsidRDefault="000E6A73" w:rsidP="006A0363">
            <w:pPr>
              <w:rPr>
                <w:sz w:val="20"/>
                <w:szCs w:val="20"/>
              </w:rPr>
            </w:pPr>
          </w:p>
        </w:tc>
        <w:tc>
          <w:tcPr>
            <w:tcW w:w="824" w:type="dxa"/>
            <w:noWrap/>
            <w:vAlign w:val="bottom"/>
            <w:hideMark/>
          </w:tcPr>
          <w:p w:rsidR="000E6A73" w:rsidRDefault="000E6A73" w:rsidP="006A0363">
            <w:pPr>
              <w:rPr>
                <w:sz w:val="20"/>
                <w:szCs w:val="20"/>
              </w:rPr>
            </w:pPr>
          </w:p>
        </w:tc>
        <w:tc>
          <w:tcPr>
            <w:tcW w:w="236" w:type="dxa"/>
            <w:noWrap/>
            <w:vAlign w:val="bottom"/>
            <w:hideMark/>
          </w:tcPr>
          <w:p w:rsidR="000E6A73" w:rsidRDefault="000E6A73" w:rsidP="006A0363">
            <w:pPr>
              <w:rPr>
                <w:sz w:val="20"/>
                <w:szCs w:val="20"/>
              </w:rPr>
            </w:pPr>
          </w:p>
        </w:tc>
      </w:tr>
      <w:tr w:rsidR="000E6A73" w:rsidTr="0060767F">
        <w:trPr>
          <w:trHeight w:val="255"/>
        </w:trPr>
        <w:tc>
          <w:tcPr>
            <w:tcW w:w="1176" w:type="dxa"/>
            <w:noWrap/>
            <w:vAlign w:val="bottom"/>
          </w:tcPr>
          <w:p w:rsidR="000E6A73" w:rsidRDefault="000E6A73" w:rsidP="006A0363">
            <w:pPr>
              <w:rPr>
                <w:rFonts w:ascii="Arial" w:hAnsi="Arial" w:cs="Arial"/>
                <w:sz w:val="20"/>
                <w:szCs w:val="20"/>
              </w:rPr>
            </w:pPr>
          </w:p>
        </w:tc>
        <w:tc>
          <w:tcPr>
            <w:tcW w:w="976" w:type="dxa"/>
            <w:noWrap/>
            <w:vAlign w:val="bottom"/>
          </w:tcPr>
          <w:p w:rsidR="000E6A73" w:rsidRDefault="000E6A73" w:rsidP="006A0363">
            <w:pPr>
              <w:rPr>
                <w:rFonts w:ascii="Arial" w:hAnsi="Arial" w:cs="Arial"/>
                <w:sz w:val="20"/>
                <w:szCs w:val="20"/>
              </w:rPr>
            </w:pPr>
          </w:p>
        </w:tc>
        <w:tc>
          <w:tcPr>
            <w:tcW w:w="976" w:type="dxa"/>
            <w:noWrap/>
            <w:vAlign w:val="bottom"/>
          </w:tcPr>
          <w:p w:rsidR="000E6A73" w:rsidRDefault="000E6A73" w:rsidP="006A0363">
            <w:pPr>
              <w:rPr>
                <w:rFonts w:ascii="Arial" w:hAnsi="Arial" w:cs="Arial"/>
                <w:sz w:val="20"/>
                <w:szCs w:val="20"/>
              </w:rPr>
            </w:pPr>
          </w:p>
        </w:tc>
        <w:tc>
          <w:tcPr>
            <w:tcW w:w="976" w:type="dxa"/>
            <w:noWrap/>
            <w:vAlign w:val="bottom"/>
          </w:tcPr>
          <w:p w:rsidR="000E6A73" w:rsidRDefault="000E6A73" w:rsidP="006A0363">
            <w:pPr>
              <w:rPr>
                <w:rFonts w:ascii="Arial" w:hAnsi="Arial" w:cs="Arial"/>
                <w:sz w:val="20"/>
                <w:szCs w:val="20"/>
              </w:rPr>
            </w:pPr>
          </w:p>
        </w:tc>
        <w:tc>
          <w:tcPr>
            <w:tcW w:w="716" w:type="dxa"/>
            <w:noWrap/>
            <w:vAlign w:val="bottom"/>
          </w:tcPr>
          <w:p w:rsidR="000E6A73" w:rsidRDefault="000E6A73" w:rsidP="006A0363">
            <w:pPr>
              <w:rPr>
                <w:rFonts w:ascii="Arial" w:hAnsi="Arial" w:cs="Arial"/>
                <w:sz w:val="20"/>
                <w:szCs w:val="20"/>
              </w:rPr>
            </w:pPr>
          </w:p>
        </w:tc>
        <w:tc>
          <w:tcPr>
            <w:tcW w:w="449" w:type="dxa"/>
            <w:noWrap/>
            <w:vAlign w:val="bottom"/>
          </w:tcPr>
          <w:p w:rsidR="000E6A73" w:rsidRDefault="000E6A73" w:rsidP="006A0363">
            <w:pPr>
              <w:rPr>
                <w:rFonts w:ascii="Arial" w:hAnsi="Arial" w:cs="Arial"/>
                <w:sz w:val="20"/>
                <w:szCs w:val="20"/>
              </w:rPr>
            </w:pPr>
          </w:p>
        </w:tc>
        <w:tc>
          <w:tcPr>
            <w:tcW w:w="1176" w:type="dxa"/>
            <w:noWrap/>
            <w:vAlign w:val="bottom"/>
            <w:hideMark/>
          </w:tcPr>
          <w:p w:rsidR="000E6A73" w:rsidRDefault="000E6A73" w:rsidP="006A0363">
            <w:pPr>
              <w:rPr>
                <w:sz w:val="20"/>
                <w:szCs w:val="20"/>
              </w:rPr>
            </w:pPr>
          </w:p>
        </w:tc>
        <w:tc>
          <w:tcPr>
            <w:tcW w:w="893" w:type="dxa"/>
            <w:noWrap/>
            <w:vAlign w:val="bottom"/>
            <w:hideMark/>
          </w:tcPr>
          <w:p w:rsidR="000E6A73" w:rsidRDefault="000E6A73" w:rsidP="006A0363">
            <w:pPr>
              <w:rPr>
                <w:sz w:val="20"/>
                <w:szCs w:val="20"/>
              </w:rPr>
            </w:pPr>
          </w:p>
        </w:tc>
        <w:tc>
          <w:tcPr>
            <w:tcW w:w="1059" w:type="dxa"/>
            <w:noWrap/>
            <w:vAlign w:val="bottom"/>
            <w:hideMark/>
          </w:tcPr>
          <w:p w:rsidR="000E6A73" w:rsidRDefault="000E6A73" w:rsidP="006A0363">
            <w:pPr>
              <w:rPr>
                <w:sz w:val="20"/>
                <w:szCs w:val="20"/>
              </w:rPr>
            </w:pPr>
          </w:p>
        </w:tc>
        <w:tc>
          <w:tcPr>
            <w:tcW w:w="976" w:type="dxa"/>
            <w:noWrap/>
            <w:vAlign w:val="bottom"/>
            <w:hideMark/>
          </w:tcPr>
          <w:p w:rsidR="000E6A73" w:rsidRDefault="000E6A73" w:rsidP="006A0363">
            <w:pPr>
              <w:rPr>
                <w:sz w:val="20"/>
                <w:szCs w:val="20"/>
              </w:rPr>
            </w:pPr>
          </w:p>
        </w:tc>
        <w:tc>
          <w:tcPr>
            <w:tcW w:w="976" w:type="dxa"/>
            <w:noWrap/>
            <w:vAlign w:val="bottom"/>
            <w:hideMark/>
          </w:tcPr>
          <w:p w:rsidR="000E6A73" w:rsidRDefault="000E6A73" w:rsidP="006A0363">
            <w:pPr>
              <w:rPr>
                <w:sz w:val="20"/>
                <w:szCs w:val="20"/>
              </w:rPr>
            </w:pPr>
          </w:p>
        </w:tc>
        <w:tc>
          <w:tcPr>
            <w:tcW w:w="283" w:type="dxa"/>
            <w:noWrap/>
            <w:vAlign w:val="bottom"/>
            <w:hideMark/>
          </w:tcPr>
          <w:p w:rsidR="000E6A73" w:rsidRDefault="000E6A73" w:rsidP="006A0363">
            <w:pPr>
              <w:rPr>
                <w:sz w:val="20"/>
                <w:szCs w:val="20"/>
              </w:rPr>
            </w:pPr>
          </w:p>
        </w:tc>
        <w:tc>
          <w:tcPr>
            <w:tcW w:w="1355" w:type="dxa"/>
            <w:noWrap/>
            <w:vAlign w:val="bottom"/>
            <w:hideMark/>
          </w:tcPr>
          <w:p w:rsidR="000E6A73" w:rsidRDefault="000E6A73" w:rsidP="006A0363">
            <w:pPr>
              <w:rPr>
                <w:sz w:val="20"/>
                <w:szCs w:val="20"/>
              </w:rPr>
            </w:pPr>
          </w:p>
        </w:tc>
        <w:tc>
          <w:tcPr>
            <w:tcW w:w="1124" w:type="dxa"/>
            <w:noWrap/>
            <w:vAlign w:val="bottom"/>
            <w:hideMark/>
          </w:tcPr>
          <w:p w:rsidR="000E6A73" w:rsidRDefault="000E6A73" w:rsidP="006A0363">
            <w:pPr>
              <w:rPr>
                <w:sz w:val="20"/>
                <w:szCs w:val="20"/>
              </w:rPr>
            </w:pPr>
          </w:p>
        </w:tc>
        <w:tc>
          <w:tcPr>
            <w:tcW w:w="1124" w:type="dxa"/>
            <w:noWrap/>
            <w:vAlign w:val="bottom"/>
            <w:hideMark/>
          </w:tcPr>
          <w:p w:rsidR="000E6A73" w:rsidRDefault="000E6A73" w:rsidP="006A0363">
            <w:pPr>
              <w:rPr>
                <w:sz w:val="20"/>
                <w:szCs w:val="20"/>
              </w:rPr>
            </w:pPr>
          </w:p>
        </w:tc>
        <w:tc>
          <w:tcPr>
            <w:tcW w:w="1124" w:type="dxa"/>
            <w:noWrap/>
            <w:vAlign w:val="bottom"/>
            <w:hideMark/>
          </w:tcPr>
          <w:p w:rsidR="000E6A73" w:rsidRDefault="000E6A73" w:rsidP="006A0363">
            <w:pPr>
              <w:rPr>
                <w:sz w:val="20"/>
                <w:szCs w:val="20"/>
              </w:rPr>
            </w:pPr>
          </w:p>
        </w:tc>
        <w:tc>
          <w:tcPr>
            <w:tcW w:w="824" w:type="dxa"/>
            <w:noWrap/>
            <w:vAlign w:val="bottom"/>
            <w:hideMark/>
          </w:tcPr>
          <w:p w:rsidR="000E6A73" w:rsidRDefault="000E6A73" w:rsidP="006A0363">
            <w:pPr>
              <w:rPr>
                <w:sz w:val="20"/>
                <w:szCs w:val="20"/>
              </w:rPr>
            </w:pPr>
          </w:p>
        </w:tc>
        <w:tc>
          <w:tcPr>
            <w:tcW w:w="236" w:type="dxa"/>
            <w:noWrap/>
            <w:vAlign w:val="bottom"/>
            <w:hideMark/>
          </w:tcPr>
          <w:p w:rsidR="000E6A73" w:rsidRDefault="000E6A73" w:rsidP="006A0363">
            <w:pPr>
              <w:rPr>
                <w:sz w:val="20"/>
                <w:szCs w:val="20"/>
              </w:rPr>
            </w:pPr>
          </w:p>
        </w:tc>
      </w:tr>
      <w:tr w:rsidR="000E6A73" w:rsidTr="0060767F">
        <w:trPr>
          <w:trHeight w:val="255"/>
        </w:trPr>
        <w:tc>
          <w:tcPr>
            <w:tcW w:w="1176" w:type="dxa"/>
            <w:noWrap/>
            <w:vAlign w:val="bottom"/>
          </w:tcPr>
          <w:p w:rsidR="000E6A73" w:rsidRDefault="000E6A73" w:rsidP="006A0363">
            <w:pPr>
              <w:rPr>
                <w:rFonts w:ascii="Arial" w:hAnsi="Arial" w:cs="Arial"/>
                <w:sz w:val="20"/>
                <w:szCs w:val="20"/>
              </w:rPr>
            </w:pPr>
          </w:p>
        </w:tc>
        <w:tc>
          <w:tcPr>
            <w:tcW w:w="976" w:type="dxa"/>
            <w:noWrap/>
            <w:vAlign w:val="bottom"/>
          </w:tcPr>
          <w:p w:rsidR="000E6A73" w:rsidRDefault="000E6A73" w:rsidP="006A0363">
            <w:pPr>
              <w:rPr>
                <w:rFonts w:ascii="Arial" w:hAnsi="Arial" w:cs="Arial"/>
                <w:sz w:val="20"/>
                <w:szCs w:val="20"/>
              </w:rPr>
            </w:pPr>
          </w:p>
        </w:tc>
        <w:tc>
          <w:tcPr>
            <w:tcW w:w="976" w:type="dxa"/>
            <w:noWrap/>
            <w:vAlign w:val="bottom"/>
          </w:tcPr>
          <w:p w:rsidR="000E6A73" w:rsidRDefault="000E6A73" w:rsidP="006A0363">
            <w:pPr>
              <w:rPr>
                <w:rFonts w:ascii="Arial" w:hAnsi="Arial" w:cs="Arial"/>
                <w:sz w:val="20"/>
                <w:szCs w:val="20"/>
              </w:rPr>
            </w:pPr>
          </w:p>
        </w:tc>
        <w:tc>
          <w:tcPr>
            <w:tcW w:w="976" w:type="dxa"/>
            <w:noWrap/>
            <w:vAlign w:val="bottom"/>
          </w:tcPr>
          <w:p w:rsidR="000E6A73" w:rsidRDefault="000E6A73" w:rsidP="006A0363">
            <w:pPr>
              <w:rPr>
                <w:rFonts w:ascii="Arial" w:hAnsi="Arial" w:cs="Arial"/>
                <w:sz w:val="20"/>
                <w:szCs w:val="20"/>
              </w:rPr>
            </w:pPr>
          </w:p>
        </w:tc>
        <w:tc>
          <w:tcPr>
            <w:tcW w:w="716" w:type="dxa"/>
            <w:noWrap/>
            <w:vAlign w:val="bottom"/>
          </w:tcPr>
          <w:p w:rsidR="000E6A73" w:rsidRDefault="000E6A73" w:rsidP="006A0363">
            <w:pPr>
              <w:rPr>
                <w:rFonts w:ascii="Arial" w:hAnsi="Arial" w:cs="Arial"/>
                <w:sz w:val="20"/>
                <w:szCs w:val="20"/>
              </w:rPr>
            </w:pPr>
          </w:p>
        </w:tc>
        <w:tc>
          <w:tcPr>
            <w:tcW w:w="449" w:type="dxa"/>
            <w:noWrap/>
            <w:vAlign w:val="bottom"/>
          </w:tcPr>
          <w:p w:rsidR="000E6A73" w:rsidRDefault="000E6A73" w:rsidP="006A0363">
            <w:pPr>
              <w:rPr>
                <w:rFonts w:ascii="Arial" w:hAnsi="Arial" w:cs="Arial"/>
                <w:sz w:val="20"/>
                <w:szCs w:val="20"/>
              </w:rPr>
            </w:pPr>
          </w:p>
        </w:tc>
        <w:tc>
          <w:tcPr>
            <w:tcW w:w="1176" w:type="dxa"/>
            <w:noWrap/>
            <w:vAlign w:val="bottom"/>
            <w:hideMark/>
          </w:tcPr>
          <w:p w:rsidR="000E6A73" w:rsidRDefault="000E6A73" w:rsidP="006A0363">
            <w:pPr>
              <w:rPr>
                <w:sz w:val="20"/>
                <w:szCs w:val="20"/>
              </w:rPr>
            </w:pPr>
          </w:p>
        </w:tc>
        <w:tc>
          <w:tcPr>
            <w:tcW w:w="893" w:type="dxa"/>
            <w:noWrap/>
            <w:vAlign w:val="bottom"/>
            <w:hideMark/>
          </w:tcPr>
          <w:p w:rsidR="000E6A73" w:rsidRDefault="000E6A73" w:rsidP="006A0363">
            <w:pPr>
              <w:rPr>
                <w:sz w:val="20"/>
                <w:szCs w:val="20"/>
              </w:rPr>
            </w:pPr>
          </w:p>
        </w:tc>
        <w:tc>
          <w:tcPr>
            <w:tcW w:w="1059" w:type="dxa"/>
            <w:noWrap/>
            <w:vAlign w:val="bottom"/>
            <w:hideMark/>
          </w:tcPr>
          <w:p w:rsidR="000E6A73" w:rsidRDefault="000E6A73" w:rsidP="006A0363">
            <w:pPr>
              <w:rPr>
                <w:sz w:val="20"/>
                <w:szCs w:val="20"/>
              </w:rPr>
            </w:pPr>
          </w:p>
        </w:tc>
        <w:tc>
          <w:tcPr>
            <w:tcW w:w="976" w:type="dxa"/>
            <w:noWrap/>
            <w:vAlign w:val="bottom"/>
            <w:hideMark/>
          </w:tcPr>
          <w:p w:rsidR="000E6A73" w:rsidRDefault="000E6A73" w:rsidP="006A0363">
            <w:pPr>
              <w:rPr>
                <w:sz w:val="20"/>
                <w:szCs w:val="20"/>
              </w:rPr>
            </w:pPr>
          </w:p>
        </w:tc>
        <w:tc>
          <w:tcPr>
            <w:tcW w:w="976" w:type="dxa"/>
            <w:noWrap/>
            <w:vAlign w:val="bottom"/>
            <w:hideMark/>
          </w:tcPr>
          <w:p w:rsidR="000E6A73" w:rsidRDefault="000E6A73" w:rsidP="006A0363">
            <w:pPr>
              <w:rPr>
                <w:sz w:val="20"/>
                <w:szCs w:val="20"/>
              </w:rPr>
            </w:pPr>
          </w:p>
        </w:tc>
        <w:tc>
          <w:tcPr>
            <w:tcW w:w="283" w:type="dxa"/>
            <w:noWrap/>
            <w:vAlign w:val="bottom"/>
            <w:hideMark/>
          </w:tcPr>
          <w:p w:rsidR="000E6A73" w:rsidRDefault="000E6A73" w:rsidP="006A0363">
            <w:pPr>
              <w:rPr>
                <w:sz w:val="20"/>
                <w:szCs w:val="20"/>
              </w:rPr>
            </w:pPr>
          </w:p>
        </w:tc>
        <w:tc>
          <w:tcPr>
            <w:tcW w:w="1355" w:type="dxa"/>
            <w:noWrap/>
            <w:vAlign w:val="bottom"/>
            <w:hideMark/>
          </w:tcPr>
          <w:p w:rsidR="000E6A73" w:rsidRDefault="000E6A73" w:rsidP="006A0363">
            <w:pPr>
              <w:rPr>
                <w:sz w:val="20"/>
                <w:szCs w:val="20"/>
              </w:rPr>
            </w:pPr>
          </w:p>
        </w:tc>
        <w:tc>
          <w:tcPr>
            <w:tcW w:w="1124" w:type="dxa"/>
            <w:noWrap/>
            <w:vAlign w:val="bottom"/>
            <w:hideMark/>
          </w:tcPr>
          <w:p w:rsidR="000E6A73" w:rsidRDefault="000E6A73" w:rsidP="006A0363">
            <w:pPr>
              <w:rPr>
                <w:sz w:val="20"/>
                <w:szCs w:val="20"/>
              </w:rPr>
            </w:pPr>
          </w:p>
        </w:tc>
        <w:tc>
          <w:tcPr>
            <w:tcW w:w="1124" w:type="dxa"/>
            <w:noWrap/>
            <w:vAlign w:val="bottom"/>
            <w:hideMark/>
          </w:tcPr>
          <w:p w:rsidR="000E6A73" w:rsidRDefault="000E6A73" w:rsidP="006A0363">
            <w:pPr>
              <w:rPr>
                <w:sz w:val="20"/>
                <w:szCs w:val="20"/>
              </w:rPr>
            </w:pPr>
          </w:p>
        </w:tc>
        <w:tc>
          <w:tcPr>
            <w:tcW w:w="1124" w:type="dxa"/>
            <w:noWrap/>
            <w:vAlign w:val="bottom"/>
            <w:hideMark/>
          </w:tcPr>
          <w:p w:rsidR="000E6A73" w:rsidRDefault="000E6A73" w:rsidP="006A0363">
            <w:pPr>
              <w:rPr>
                <w:sz w:val="20"/>
                <w:szCs w:val="20"/>
              </w:rPr>
            </w:pPr>
          </w:p>
        </w:tc>
        <w:tc>
          <w:tcPr>
            <w:tcW w:w="824" w:type="dxa"/>
            <w:noWrap/>
            <w:vAlign w:val="bottom"/>
            <w:hideMark/>
          </w:tcPr>
          <w:p w:rsidR="000E6A73" w:rsidRDefault="000E6A73" w:rsidP="006A0363">
            <w:pPr>
              <w:rPr>
                <w:sz w:val="20"/>
                <w:szCs w:val="20"/>
              </w:rPr>
            </w:pPr>
          </w:p>
        </w:tc>
        <w:tc>
          <w:tcPr>
            <w:tcW w:w="236" w:type="dxa"/>
            <w:noWrap/>
            <w:vAlign w:val="bottom"/>
            <w:hideMark/>
          </w:tcPr>
          <w:p w:rsidR="000E6A73" w:rsidRDefault="000E6A73" w:rsidP="006A0363">
            <w:pPr>
              <w:rPr>
                <w:sz w:val="20"/>
                <w:szCs w:val="20"/>
              </w:rPr>
            </w:pPr>
          </w:p>
        </w:tc>
      </w:tr>
      <w:tr w:rsidR="000E6A73" w:rsidTr="0060767F">
        <w:trPr>
          <w:trHeight w:val="255"/>
        </w:trPr>
        <w:tc>
          <w:tcPr>
            <w:tcW w:w="1176" w:type="dxa"/>
            <w:noWrap/>
            <w:vAlign w:val="bottom"/>
          </w:tcPr>
          <w:p w:rsidR="000E6A73" w:rsidRDefault="000E6A73" w:rsidP="006A0363">
            <w:pPr>
              <w:rPr>
                <w:rFonts w:ascii="Arial" w:hAnsi="Arial" w:cs="Arial"/>
                <w:sz w:val="20"/>
                <w:szCs w:val="20"/>
              </w:rPr>
            </w:pPr>
          </w:p>
        </w:tc>
        <w:tc>
          <w:tcPr>
            <w:tcW w:w="976" w:type="dxa"/>
            <w:noWrap/>
            <w:vAlign w:val="bottom"/>
          </w:tcPr>
          <w:p w:rsidR="000E6A73" w:rsidRDefault="000E6A73" w:rsidP="006A0363">
            <w:pPr>
              <w:rPr>
                <w:rFonts w:ascii="Arial" w:hAnsi="Arial" w:cs="Arial"/>
                <w:sz w:val="20"/>
                <w:szCs w:val="20"/>
              </w:rPr>
            </w:pPr>
          </w:p>
        </w:tc>
        <w:tc>
          <w:tcPr>
            <w:tcW w:w="976" w:type="dxa"/>
            <w:noWrap/>
            <w:vAlign w:val="bottom"/>
          </w:tcPr>
          <w:p w:rsidR="000E6A73" w:rsidRDefault="000E6A73" w:rsidP="006A0363">
            <w:pPr>
              <w:rPr>
                <w:rFonts w:ascii="Arial" w:hAnsi="Arial" w:cs="Arial"/>
                <w:sz w:val="20"/>
                <w:szCs w:val="20"/>
              </w:rPr>
            </w:pPr>
          </w:p>
        </w:tc>
        <w:tc>
          <w:tcPr>
            <w:tcW w:w="976" w:type="dxa"/>
            <w:noWrap/>
            <w:vAlign w:val="bottom"/>
          </w:tcPr>
          <w:p w:rsidR="000E6A73" w:rsidRDefault="000E6A73" w:rsidP="006A0363">
            <w:pPr>
              <w:rPr>
                <w:rFonts w:ascii="Arial" w:hAnsi="Arial" w:cs="Arial"/>
                <w:sz w:val="20"/>
                <w:szCs w:val="20"/>
              </w:rPr>
            </w:pPr>
          </w:p>
        </w:tc>
        <w:tc>
          <w:tcPr>
            <w:tcW w:w="716" w:type="dxa"/>
            <w:noWrap/>
            <w:vAlign w:val="bottom"/>
          </w:tcPr>
          <w:p w:rsidR="000E6A73" w:rsidRDefault="000E6A73" w:rsidP="006A0363">
            <w:pPr>
              <w:rPr>
                <w:rFonts w:ascii="Arial" w:hAnsi="Arial" w:cs="Arial"/>
                <w:sz w:val="20"/>
                <w:szCs w:val="20"/>
              </w:rPr>
            </w:pPr>
          </w:p>
        </w:tc>
        <w:tc>
          <w:tcPr>
            <w:tcW w:w="449" w:type="dxa"/>
            <w:noWrap/>
            <w:vAlign w:val="bottom"/>
          </w:tcPr>
          <w:p w:rsidR="000E6A73" w:rsidRDefault="000E6A73" w:rsidP="006A0363">
            <w:pPr>
              <w:rPr>
                <w:rFonts w:ascii="Arial" w:hAnsi="Arial" w:cs="Arial"/>
                <w:sz w:val="20"/>
                <w:szCs w:val="20"/>
              </w:rPr>
            </w:pPr>
          </w:p>
        </w:tc>
        <w:tc>
          <w:tcPr>
            <w:tcW w:w="1176" w:type="dxa"/>
            <w:noWrap/>
            <w:vAlign w:val="bottom"/>
            <w:hideMark/>
          </w:tcPr>
          <w:p w:rsidR="000E6A73" w:rsidRDefault="000E6A73" w:rsidP="006A0363">
            <w:pPr>
              <w:rPr>
                <w:sz w:val="20"/>
                <w:szCs w:val="20"/>
              </w:rPr>
            </w:pPr>
          </w:p>
        </w:tc>
        <w:tc>
          <w:tcPr>
            <w:tcW w:w="893" w:type="dxa"/>
            <w:noWrap/>
            <w:vAlign w:val="bottom"/>
            <w:hideMark/>
          </w:tcPr>
          <w:p w:rsidR="000E6A73" w:rsidRDefault="000E6A73" w:rsidP="006A0363">
            <w:pPr>
              <w:rPr>
                <w:sz w:val="20"/>
                <w:szCs w:val="20"/>
              </w:rPr>
            </w:pPr>
          </w:p>
        </w:tc>
        <w:tc>
          <w:tcPr>
            <w:tcW w:w="1059" w:type="dxa"/>
            <w:noWrap/>
            <w:vAlign w:val="bottom"/>
            <w:hideMark/>
          </w:tcPr>
          <w:p w:rsidR="000E6A73" w:rsidRDefault="000E6A73" w:rsidP="006A0363">
            <w:pPr>
              <w:rPr>
                <w:sz w:val="20"/>
                <w:szCs w:val="20"/>
              </w:rPr>
            </w:pPr>
          </w:p>
        </w:tc>
        <w:tc>
          <w:tcPr>
            <w:tcW w:w="976" w:type="dxa"/>
            <w:noWrap/>
            <w:vAlign w:val="bottom"/>
            <w:hideMark/>
          </w:tcPr>
          <w:p w:rsidR="000E6A73" w:rsidRDefault="000E6A73" w:rsidP="006A0363">
            <w:pPr>
              <w:rPr>
                <w:sz w:val="20"/>
                <w:szCs w:val="20"/>
              </w:rPr>
            </w:pPr>
          </w:p>
        </w:tc>
        <w:tc>
          <w:tcPr>
            <w:tcW w:w="976" w:type="dxa"/>
            <w:noWrap/>
            <w:vAlign w:val="bottom"/>
            <w:hideMark/>
          </w:tcPr>
          <w:p w:rsidR="000E6A73" w:rsidRDefault="000E6A73" w:rsidP="006A0363">
            <w:pPr>
              <w:rPr>
                <w:sz w:val="20"/>
                <w:szCs w:val="20"/>
              </w:rPr>
            </w:pPr>
          </w:p>
        </w:tc>
        <w:tc>
          <w:tcPr>
            <w:tcW w:w="283" w:type="dxa"/>
            <w:noWrap/>
            <w:vAlign w:val="bottom"/>
            <w:hideMark/>
          </w:tcPr>
          <w:p w:rsidR="000E6A73" w:rsidRDefault="000E6A73" w:rsidP="006A0363">
            <w:pPr>
              <w:rPr>
                <w:sz w:val="20"/>
                <w:szCs w:val="20"/>
              </w:rPr>
            </w:pPr>
          </w:p>
        </w:tc>
        <w:tc>
          <w:tcPr>
            <w:tcW w:w="1355" w:type="dxa"/>
            <w:noWrap/>
            <w:vAlign w:val="bottom"/>
            <w:hideMark/>
          </w:tcPr>
          <w:p w:rsidR="000E6A73" w:rsidRDefault="000E6A73" w:rsidP="006A0363">
            <w:pPr>
              <w:rPr>
                <w:sz w:val="20"/>
                <w:szCs w:val="20"/>
              </w:rPr>
            </w:pPr>
          </w:p>
        </w:tc>
        <w:tc>
          <w:tcPr>
            <w:tcW w:w="1124" w:type="dxa"/>
            <w:noWrap/>
            <w:vAlign w:val="bottom"/>
            <w:hideMark/>
          </w:tcPr>
          <w:p w:rsidR="000E6A73" w:rsidRDefault="000E6A73" w:rsidP="006A0363">
            <w:pPr>
              <w:rPr>
                <w:sz w:val="20"/>
                <w:szCs w:val="20"/>
              </w:rPr>
            </w:pPr>
          </w:p>
        </w:tc>
        <w:tc>
          <w:tcPr>
            <w:tcW w:w="1124" w:type="dxa"/>
            <w:noWrap/>
            <w:vAlign w:val="bottom"/>
            <w:hideMark/>
          </w:tcPr>
          <w:p w:rsidR="000E6A73" w:rsidRDefault="000E6A73" w:rsidP="006A0363">
            <w:pPr>
              <w:rPr>
                <w:sz w:val="20"/>
                <w:szCs w:val="20"/>
              </w:rPr>
            </w:pPr>
          </w:p>
        </w:tc>
        <w:tc>
          <w:tcPr>
            <w:tcW w:w="1124" w:type="dxa"/>
            <w:noWrap/>
            <w:vAlign w:val="bottom"/>
            <w:hideMark/>
          </w:tcPr>
          <w:p w:rsidR="000E6A73" w:rsidRDefault="000E6A73" w:rsidP="006A0363">
            <w:pPr>
              <w:rPr>
                <w:sz w:val="20"/>
                <w:szCs w:val="20"/>
              </w:rPr>
            </w:pPr>
          </w:p>
        </w:tc>
        <w:tc>
          <w:tcPr>
            <w:tcW w:w="824" w:type="dxa"/>
            <w:noWrap/>
            <w:vAlign w:val="bottom"/>
            <w:hideMark/>
          </w:tcPr>
          <w:p w:rsidR="000E6A73" w:rsidRDefault="000E6A73" w:rsidP="006A0363">
            <w:pPr>
              <w:rPr>
                <w:sz w:val="20"/>
                <w:szCs w:val="20"/>
              </w:rPr>
            </w:pPr>
          </w:p>
        </w:tc>
        <w:tc>
          <w:tcPr>
            <w:tcW w:w="236" w:type="dxa"/>
            <w:noWrap/>
            <w:vAlign w:val="bottom"/>
            <w:hideMark/>
          </w:tcPr>
          <w:p w:rsidR="000E6A73" w:rsidRDefault="000E6A73" w:rsidP="006A0363">
            <w:pPr>
              <w:rPr>
                <w:sz w:val="20"/>
                <w:szCs w:val="20"/>
              </w:rPr>
            </w:pPr>
          </w:p>
        </w:tc>
      </w:tr>
      <w:tr w:rsidR="000E6A73" w:rsidTr="0060767F">
        <w:trPr>
          <w:trHeight w:val="255"/>
        </w:trPr>
        <w:tc>
          <w:tcPr>
            <w:tcW w:w="1176" w:type="dxa"/>
            <w:noWrap/>
            <w:vAlign w:val="bottom"/>
          </w:tcPr>
          <w:p w:rsidR="000E6A73" w:rsidRDefault="000E6A73" w:rsidP="006A0363">
            <w:pPr>
              <w:rPr>
                <w:rFonts w:ascii="Arial" w:hAnsi="Arial" w:cs="Arial"/>
                <w:sz w:val="20"/>
                <w:szCs w:val="20"/>
              </w:rPr>
            </w:pPr>
          </w:p>
        </w:tc>
        <w:tc>
          <w:tcPr>
            <w:tcW w:w="976" w:type="dxa"/>
            <w:noWrap/>
            <w:vAlign w:val="bottom"/>
          </w:tcPr>
          <w:p w:rsidR="000E6A73" w:rsidRDefault="000E6A73" w:rsidP="006A0363">
            <w:pPr>
              <w:rPr>
                <w:rFonts w:ascii="Arial" w:hAnsi="Arial" w:cs="Arial"/>
                <w:sz w:val="20"/>
                <w:szCs w:val="20"/>
              </w:rPr>
            </w:pPr>
          </w:p>
        </w:tc>
        <w:tc>
          <w:tcPr>
            <w:tcW w:w="976" w:type="dxa"/>
            <w:noWrap/>
            <w:vAlign w:val="bottom"/>
          </w:tcPr>
          <w:p w:rsidR="000E6A73" w:rsidRDefault="000E6A73" w:rsidP="006A0363">
            <w:pPr>
              <w:rPr>
                <w:rFonts w:ascii="Arial" w:hAnsi="Arial" w:cs="Arial"/>
                <w:sz w:val="20"/>
                <w:szCs w:val="20"/>
              </w:rPr>
            </w:pPr>
          </w:p>
        </w:tc>
        <w:tc>
          <w:tcPr>
            <w:tcW w:w="976" w:type="dxa"/>
            <w:noWrap/>
            <w:vAlign w:val="bottom"/>
          </w:tcPr>
          <w:p w:rsidR="000E6A73" w:rsidRDefault="000E6A73" w:rsidP="006A0363">
            <w:pPr>
              <w:rPr>
                <w:rFonts w:ascii="Arial" w:hAnsi="Arial" w:cs="Arial"/>
                <w:sz w:val="20"/>
                <w:szCs w:val="20"/>
              </w:rPr>
            </w:pPr>
          </w:p>
        </w:tc>
        <w:tc>
          <w:tcPr>
            <w:tcW w:w="716" w:type="dxa"/>
            <w:noWrap/>
            <w:vAlign w:val="bottom"/>
          </w:tcPr>
          <w:p w:rsidR="000E6A73" w:rsidRDefault="000E6A73" w:rsidP="006A0363">
            <w:pPr>
              <w:rPr>
                <w:rFonts w:ascii="Arial" w:hAnsi="Arial" w:cs="Arial"/>
                <w:sz w:val="20"/>
                <w:szCs w:val="20"/>
              </w:rPr>
            </w:pPr>
          </w:p>
        </w:tc>
        <w:tc>
          <w:tcPr>
            <w:tcW w:w="449" w:type="dxa"/>
            <w:noWrap/>
            <w:vAlign w:val="bottom"/>
          </w:tcPr>
          <w:p w:rsidR="000E6A73" w:rsidRDefault="000E6A73" w:rsidP="006A0363">
            <w:pPr>
              <w:rPr>
                <w:rFonts w:ascii="Arial" w:hAnsi="Arial" w:cs="Arial"/>
                <w:sz w:val="20"/>
                <w:szCs w:val="20"/>
              </w:rPr>
            </w:pPr>
          </w:p>
        </w:tc>
        <w:tc>
          <w:tcPr>
            <w:tcW w:w="1176" w:type="dxa"/>
            <w:noWrap/>
            <w:vAlign w:val="bottom"/>
            <w:hideMark/>
          </w:tcPr>
          <w:p w:rsidR="000E6A73" w:rsidRDefault="000E6A73" w:rsidP="006A0363">
            <w:pPr>
              <w:rPr>
                <w:sz w:val="20"/>
                <w:szCs w:val="20"/>
              </w:rPr>
            </w:pPr>
          </w:p>
        </w:tc>
        <w:tc>
          <w:tcPr>
            <w:tcW w:w="893" w:type="dxa"/>
            <w:noWrap/>
            <w:vAlign w:val="bottom"/>
            <w:hideMark/>
          </w:tcPr>
          <w:p w:rsidR="000E6A73" w:rsidRDefault="000E6A73" w:rsidP="006A0363">
            <w:pPr>
              <w:rPr>
                <w:sz w:val="20"/>
                <w:szCs w:val="20"/>
              </w:rPr>
            </w:pPr>
          </w:p>
        </w:tc>
        <w:tc>
          <w:tcPr>
            <w:tcW w:w="1059" w:type="dxa"/>
            <w:noWrap/>
            <w:vAlign w:val="bottom"/>
            <w:hideMark/>
          </w:tcPr>
          <w:p w:rsidR="000E6A73" w:rsidRDefault="000E6A73" w:rsidP="006A0363">
            <w:pPr>
              <w:rPr>
                <w:sz w:val="20"/>
                <w:szCs w:val="20"/>
              </w:rPr>
            </w:pPr>
          </w:p>
        </w:tc>
        <w:tc>
          <w:tcPr>
            <w:tcW w:w="976" w:type="dxa"/>
            <w:noWrap/>
            <w:vAlign w:val="bottom"/>
            <w:hideMark/>
          </w:tcPr>
          <w:p w:rsidR="000E6A73" w:rsidRDefault="000E6A73" w:rsidP="006A0363">
            <w:pPr>
              <w:rPr>
                <w:sz w:val="20"/>
                <w:szCs w:val="20"/>
              </w:rPr>
            </w:pPr>
          </w:p>
        </w:tc>
        <w:tc>
          <w:tcPr>
            <w:tcW w:w="976" w:type="dxa"/>
            <w:noWrap/>
            <w:vAlign w:val="bottom"/>
            <w:hideMark/>
          </w:tcPr>
          <w:p w:rsidR="000E6A73" w:rsidRDefault="000E6A73" w:rsidP="006A0363">
            <w:pPr>
              <w:rPr>
                <w:sz w:val="20"/>
                <w:szCs w:val="20"/>
              </w:rPr>
            </w:pPr>
          </w:p>
        </w:tc>
        <w:tc>
          <w:tcPr>
            <w:tcW w:w="283" w:type="dxa"/>
            <w:noWrap/>
            <w:vAlign w:val="bottom"/>
            <w:hideMark/>
          </w:tcPr>
          <w:p w:rsidR="000E6A73" w:rsidRDefault="000E6A73" w:rsidP="006A0363">
            <w:pPr>
              <w:rPr>
                <w:sz w:val="20"/>
                <w:szCs w:val="20"/>
              </w:rPr>
            </w:pPr>
          </w:p>
        </w:tc>
        <w:tc>
          <w:tcPr>
            <w:tcW w:w="1355" w:type="dxa"/>
            <w:noWrap/>
            <w:vAlign w:val="bottom"/>
            <w:hideMark/>
          </w:tcPr>
          <w:p w:rsidR="000E6A73" w:rsidRDefault="000E6A73" w:rsidP="006A0363">
            <w:pPr>
              <w:rPr>
                <w:sz w:val="20"/>
                <w:szCs w:val="20"/>
              </w:rPr>
            </w:pPr>
          </w:p>
        </w:tc>
        <w:tc>
          <w:tcPr>
            <w:tcW w:w="1124" w:type="dxa"/>
            <w:noWrap/>
            <w:vAlign w:val="bottom"/>
            <w:hideMark/>
          </w:tcPr>
          <w:p w:rsidR="000E6A73" w:rsidRDefault="000E6A73" w:rsidP="006A0363">
            <w:pPr>
              <w:rPr>
                <w:sz w:val="20"/>
                <w:szCs w:val="20"/>
              </w:rPr>
            </w:pPr>
          </w:p>
        </w:tc>
        <w:tc>
          <w:tcPr>
            <w:tcW w:w="1124" w:type="dxa"/>
            <w:noWrap/>
            <w:vAlign w:val="bottom"/>
            <w:hideMark/>
          </w:tcPr>
          <w:p w:rsidR="000E6A73" w:rsidRDefault="000E6A73" w:rsidP="006A0363">
            <w:pPr>
              <w:rPr>
                <w:sz w:val="20"/>
                <w:szCs w:val="20"/>
              </w:rPr>
            </w:pPr>
          </w:p>
        </w:tc>
        <w:tc>
          <w:tcPr>
            <w:tcW w:w="1124" w:type="dxa"/>
            <w:noWrap/>
            <w:vAlign w:val="bottom"/>
            <w:hideMark/>
          </w:tcPr>
          <w:p w:rsidR="000E6A73" w:rsidRDefault="000E6A73" w:rsidP="006A0363">
            <w:pPr>
              <w:rPr>
                <w:sz w:val="20"/>
                <w:szCs w:val="20"/>
              </w:rPr>
            </w:pPr>
          </w:p>
        </w:tc>
        <w:tc>
          <w:tcPr>
            <w:tcW w:w="824" w:type="dxa"/>
            <w:noWrap/>
            <w:vAlign w:val="bottom"/>
            <w:hideMark/>
          </w:tcPr>
          <w:p w:rsidR="000E6A73" w:rsidRDefault="000E6A73" w:rsidP="006A0363">
            <w:pPr>
              <w:rPr>
                <w:sz w:val="20"/>
                <w:szCs w:val="20"/>
              </w:rPr>
            </w:pPr>
          </w:p>
        </w:tc>
        <w:tc>
          <w:tcPr>
            <w:tcW w:w="236" w:type="dxa"/>
            <w:noWrap/>
            <w:vAlign w:val="bottom"/>
            <w:hideMark/>
          </w:tcPr>
          <w:p w:rsidR="000E6A73" w:rsidRDefault="000E6A73" w:rsidP="006A0363">
            <w:pPr>
              <w:rPr>
                <w:sz w:val="20"/>
                <w:szCs w:val="20"/>
              </w:rPr>
            </w:pPr>
          </w:p>
        </w:tc>
      </w:tr>
      <w:tr w:rsidR="000E6A73" w:rsidTr="0060767F">
        <w:trPr>
          <w:trHeight w:val="255"/>
        </w:trPr>
        <w:tc>
          <w:tcPr>
            <w:tcW w:w="1176" w:type="dxa"/>
            <w:noWrap/>
            <w:vAlign w:val="bottom"/>
          </w:tcPr>
          <w:p w:rsidR="000E6A73" w:rsidRDefault="000E6A73" w:rsidP="006A0363">
            <w:pPr>
              <w:rPr>
                <w:rFonts w:ascii="Arial" w:hAnsi="Arial" w:cs="Arial"/>
                <w:sz w:val="20"/>
                <w:szCs w:val="20"/>
              </w:rPr>
            </w:pPr>
          </w:p>
        </w:tc>
        <w:tc>
          <w:tcPr>
            <w:tcW w:w="976" w:type="dxa"/>
            <w:noWrap/>
            <w:vAlign w:val="bottom"/>
          </w:tcPr>
          <w:p w:rsidR="000E6A73" w:rsidRDefault="000E6A73" w:rsidP="006A0363">
            <w:pPr>
              <w:rPr>
                <w:rFonts w:ascii="Arial" w:hAnsi="Arial" w:cs="Arial"/>
                <w:sz w:val="20"/>
                <w:szCs w:val="20"/>
              </w:rPr>
            </w:pPr>
          </w:p>
        </w:tc>
        <w:tc>
          <w:tcPr>
            <w:tcW w:w="976" w:type="dxa"/>
            <w:noWrap/>
            <w:vAlign w:val="bottom"/>
          </w:tcPr>
          <w:p w:rsidR="000E6A73" w:rsidRDefault="000E6A73" w:rsidP="006A0363">
            <w:pPr>
              <w:rPr>
                <w:rFonts w:ascii="Arial" w:hAnsi="Arial" w:cs="Arial"/>
                <w:sz w:val="20"/>
                <w:szCs w:val="20"/>
              </w:rPr>
            </w:pPr>
          </w:p>
        </w:tc>
        <w:tc>
          <w:tcPr>
            <w:tcW w:w="976" w:type="dxa"/>
            <w:noWrap/>
            <w:vAlign w:val="bottom"/>
          </w:tcPr>
          <w:p w:rsidR="000E6A73" w:rsidRDefault="000E6A73" w:rsidP="006A0363">
            <w:pPr>
              <w:rPr>
                <w:rFonts w:ascii="Arial" w:hAnsi="Arial" w:cs="Arial"/>
                <w:sz w:val="20"/>
                <w:szCs w:val="20"/>
              </w:rPr>
            </w:pPr>
          </w:p>
        </w:tc>
        <w:tc>
          <w:tcPr>
            <w:tcW w:w="716" w:type="dxa"/>
            <w:noWrap/>
            <w:vAlign w:val="bottom"/>
          </w:tcPr>
          <w:p w:rsidR="000E6A73" w:rsidRDefault="000E6A73" w:rsidP="006A0363">
            <w:pPr>
              <w:rPr>
                <w:rFonts w:ascii="Arial" w:hAnsi="Arial" w:cs="Arial"/>
                <w:sz w:val="20"/>
                <w:szCs w:val="20"/>
              </w:rPr>
            </w:pPr>
          </w:p>
        </w:tc>
        <w:tc>
          <w:tcPr>
            <w:tcW w:w="449" w:type="dxa"/>
            <w:noWrap/>
            <w:vAlign w:val="bottom"/>
          </w:tcPr>
          <w:p w:rsidR="000E6A73" w:rsidRDefault="000E6A73" w:rsidP="006A0363">
            <w:pPr>
              <w:rPr>
                <w:rFonts w:ascii="Arial" w:hAnsi="Arial" w:cs="Arial"/>
                <w:sz w:val="20"/>
                <w:szCs w:val="20"/>
              </w:rPr>
            </w:pPr>
          </w:p>
        </w:tc>
        <w:tc>
          <w:tcPr>
            <w:tcW w:w="1176" w:type="dxa"/>
            <w:noWrap/>
            <w:vAlign w:val="bottom"/>
            <w:hideMark/>
          </w:tcPr>
          <w:p w:rsidR="000E6A73" w:rsidRDefault="000E6A73" w:rsidP="006A0363">
            <w:pPr>
              <w:rPr>
                <w:sz w:val="20"/>
                <w:szCs w:val="20"/>
              </w:rPr>
            </w:pPr>
          </w:p>
        </w:tc>
        <w:tc>
          <w:tcPr>
            <w:tcW w:w="893" w:type="dxa"/>
            <w:noWrap/>
            <w:vAlign w:val="bottom"/>
            <w:hideMark/>
          </w:tcPr>
          <w:p w:rsidR="000E6A73" w:rsidRDefault="000E6A73" w:rsidP="006A0363">
            <w:pPr>
              <w:rPr>
                <w:sz w:val="20"/>
                <w:szCs w:val="20"/>
              </w:rPr>
            </w:pPr>
          </w:p>
        </w:tc>
        <w:tc>
          <w:tcPr>
            <w:tcW w:w="1059" w:type="dxa"/>
            <w:noWrap/>
            <w:vAlign w:val="bottom"/>
            <w:hideMark/>
          </w:tcPr>
          <w:p w:rsidR="000E6A73" w:rsidRDefault="000E6A73" w:rsidP="006A0363">
            <w:pPr>
              <w:rPr>
                <w:sz w:val="20"/>
                <w:szCs w:val="20"/>
              </w:rPr>
            </w:pPr>
          </w:p>
        </w:tc>
        <w:tc>
          <w:tcPr>
            <w:tcW w:w="976" w:type="dxa"/>
            <w:noWrap/>
            <w:vAlign w:val="bottom"/>
            <w:hideMark/>
          </w:tcPr>
          <w:p w:rsidR="000E6A73" w:rsidRDefault="000E6A73" w:rsidP="006A0363">
            <w:pPr>
              <w:rPr>
                <w:sz w:val="20"/>
                <w:szCs w:val="20"/>
              </w:rPr>
            </w:pPr>
          </w:p>
        </w:tc>
        <w:tc>
          <w:tcPr>
            <w:tcW w:w="976" w:type="dxa"/>
            <w:noWrap/>
            <w:vAlign w:val="bottom"/>
            <w:hideMark/>
          </w:tcPr>
          <w:p w:rsidR="000E6A73" w:rsidRDefault="000E6A73" w:rsidP="006A0363">
            <w:pPr>
              <w:rPr>
                <w:sz w:val="20"/>
                <w:szCs w:val="20"/>
              </w:rPr>
            </w:pPr>
          </w:p>
        </w:tc>
        <w:tc>
          <w:tcPr>
            <w:tcW w:w="283" w:type="dxa"/>
            <w:noWrap/>
            <w:vAlign w:val="bottom"/>
            <w:hideMark/>
          </w:tcPr>
          <w:p w:rsidR="000E6A73" w:rsidRDefault="000E6A73" w:rsidP="006A0363">
            <w:pPr>
              <w:rPr>
                <w:sz w:val="20"/>
                <w:szCs w:val="20"/>
              </w:rPr>
            </w:pPr>
          </w:p>
        </w:tc>
        <w:tc>
          <w:tcPr>
            <w:tcW w:w="1355" w:type="dxa"/>
            <w:noWrap/>
            <w:vAlign w:val="bottom"/>
            <w:hideMark/>
          </w:tcPr>
          <w:p w:rsidR="000E6A73" w:rsidRDefault="000E6A73" w:rsidP="006A0363">
            <w:pPr>
              <w:rPr>
                <w:sz w:val="20"/>
                <w:szCs w:val="20"/>
              </w:rPr>
            </w:pPr>
          </w:p>
        </w:tc>
        <w:tc>
          <w:tcPr>
            <w:tcW w:w="1124" w:type="dxa"/>
            <w:noWrap/>
            <w:vAlign w:val="bottom"/>
            <w:hideMark/>
          </w:tcPr>
          <w:p w:rsidR="000E6A73" w:rsidRDefault="000E6A73" w:rsidP="006A0363">
            <w:pPr>
              <w:rPr>
                <w:sz w:val="20"/>
                <w:szCs w:val="20"/>
              </w:rPr>
            </w:pPr>
          </w:p>
        </w:tc>
        <w:tc>
          <w:tcPr>
            <w:tcW w:w="1124" w:type="dxa"/>
            <w:noWrap/>
            <w:vAlign w:val="bottom"/>
            <w:hideMark/>
          </w:tcPr>
          <w:p w:rsidR="000E6A73" w:rsidRDefault="000E6A73" w:rsidP="006A0363">
            <w:pPr>
              <w:rPr>
                <w:sz w:val="20"/>
                <w:szCs w:val="20"/>
              </w:rPr>
            </w:pPr>
          </w:p>
        </w:tc>
        <w:tc>
          <w:tcPr>
            <w:tcW w:w="1124" w:type="dxa"/>
            <w:noWrap/>
            <w:vAlign w:val="bottom"/>
            <w:hideMark/>
          </w:tcPr>
          <w:p w:rsidR="000E6A73" w:rsidRDefault="000E6A73" w:rsidP="006A0363">
            <w:pPr>
              <w:rPr>
                <w:sz w:val="20"/>
                <w:szCs w:val="20"/>
              </w:rPr>
            </w:pPr>
          </w:p>
        </w:tc>
        <w:tc>
          <w:tcPr>
            <w:tcW w:w="824" w:type="dxa"/>
            <w:noWrap/>
            <w:vAlign w:val="bottom"/>
            <w:hideMark/>
          </w:tcPr>
          <w:p w:rsidR="000E6A73" w:rsidRDefault="000E6A73" w:rsidP="006A0363">
            <w:pPr>
              <w:rPr>
                <w:sz w:val="20"/>
                <w:szCs w:val="20"/>
              </w:rPr>
            </w:pPr>
          </w:p>
        </w:tc>
        <w:tc>
          <w:tcPr>
            <w:tcW w:w="236" w:type="dxa"/>
            <w:noWrap/>
            <w:vAlign w:val="bottom"/>
            <w:hideMark/>
          </w:tcPr>
          <w:p w:rsidR="000E6A73" w:rsidRDefault="000E6A73" w:rsidP="006A0363">
            <w:pPr>
              <w:rPr>
                <w:sz w:val="20"/>
                <w:szCs w:val="20"/>
              </w:rPr>
            </w:pPr>
          </w:p>
        </w:tc>
      </w:tr>
    </w:tbl>
    <w:p w:rsidR="00D13C17" w:rsidRDefault="00B25BEA" w:rsidP="00D13C17">
      <w:pPr>
        <w:rPr>
          <w:sz w:val="28"/>
          <w:szCs w:val="28"/>
        </w:rPr>
      </w:pPr>
      <w:r w:rsidRPr="0060767F">
        <w:rPr>
          <w:b/>
          <w:noProof/>
        </w:rPr>
        <w:drawing>
          <wp:anchor distT="0" distB="0" distL="114300" distR="114300" simplePos="0" relativeHeight="251656704" behindDoc="0" locked="0" layoutInCell="1" allowOverlap="1" wp14:anchorId="03276D8C" wp14:editId="1AA23C19">
            <wp:simplePos x="0" y="0"/>
            <wp:positionH relativeFrom="column">
              <wp:posOffset>6604000</wp:posOffset>
            </wp:positionH>
            <wp:positionV relativeFrom="paragraph">
              <wp:posOffset>312344</wp:posOffset>
            </wp:positionV>
            <wp:extent cx="3366135" cy="2580640"/>
            <wp:effectExtent l="0" t="0" r="5715" b="0"/>
            <wp:wrapNone/>
            <wp:docPr id="32" name="Диаграмма 32"/>
            <wp:cNvGraphicFramePr>
              <a:graphicFrameLocks xmlns:a="http://schemas.openxmlformats.org/drawingml/2006/main"/>
            </wp:cNvGraphicFramePr>
            <a:graphic xmlns:a="http://schemas.openxmlformats.org/drawingml/2006/main">
              <a:graphicData uri="http://schemas.openxmlformats.org/drawingml/2006/chart">
                <c:chart xmlns:c="http://schemas.openxmlformats.org/drawingml/2006/chart" xmlns:r="http://schemas.openxmlformats.org/officeDocument/2006/relationships" r:id="rId71"/>
              </a:graphicData>
            </a:graphic>
          </wp:anchor>
        </w:drawing>
      </w:r>
      <w:r w:rsidR="0060767F" w:rsidRPr="0060767F">
        <w:rPr>
          <w:b/>
          <w:noProof/>
        </w:rPr>
        <w:drawing>
          <wp:anchor distT="0" distB="0" distL="114300" distR="114300" simplePos="0" relativeHeight="251654656" behindDoc="0" locked="0" layoutInCell="1" allowOverlap="1" wp14:anchorId="5CE85350" wp14:editId="57D118CD">
            <wp:simplePos x="0" y="0"/>
            <wp:positionH relativeFrom="column">
              <wp:posOffset>-306070</wp:posOffset>
            </wp:positionH>
            <wp:positionV relativeFrom="paragraph">
              <wp:posOffset>306070</wp:posOffset>
            </wp:positionV>
            <wp:extent cx="3366135" cy="2581275"/>
            <wp:effectExtent l="0" t="0" r="0" b="0"/>
            <wp:wrapNone/>
            <wp:docPr id="33" name="Рисунок 33"/>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9"/>
                    <pic:cNvPicPr>
                      <a:picLocks noChangeArrowheads="1"/>
                    </pic:cNvPicPr>
                  </pic:nvPicPr>
                  <pic:blipFill>
                    <a:blip r:embed="rId72" cstate="print">
                      <a:extLst>
                        <a:ext uri="{28A0092B-C50C-407E-A947-70E740481C1C}">
                          <a14:useLocalDpi xmlns:a14="http://schemas.microsoft.com/office/drawing/2010/main" val="0"/>
                        </a:ext>
                      </a:extLst>
                    </a:blip>
                    <a:srcRect/>
                    <a:stretch>
                      <a:fillRect/>
                    </a:stretch>
                  </pic:blipFill>
                  <pic:spPr bwMode="auto">
                    <a:xfrm>
                      <a:off x="0" y="0"/>
                      <a:ext cx="3366135" cy="2581275"/>
                    </a:xfrm>
                    <a:prstGeom prst="rect">
                      <a:avLst/>
                    </a:prstGeom>
                    <a:noFill/>
                  </pic:spPr>
                </pic:pic>
              </a:graphicData>
            </a:graphic>
          </wp:anchor>
        </w:drawing>
      </w:r>
      <w:r w:rsidR="0060767F" w:rsidRPr="0060767F">
        <w:rPr>
          <w:b/>
          <w:noProof/>
        </w:rPr>
        <w:drawing>
          <wp:anchor distT="0" distB="0" distL="114300" distR="114300" simplePos="0" relativeHeight="251655680" behindDoc="0" locked="0" layoutInCell="1" allowOverlap="1" wp14:anchorId="0BB14A2A" wp14:editId="2B76F0FF">
            <wp:simplePos x="0" y="0"/>
            <wp:positionH relativeFrom="column">
              <wp:posOffset>3137535</wp:posOffset>
            </wp:positionH>
            <wp:positionV relativeFrom="paragraph">
              <wp:posOffset>304800</wp:posOffset>
            </wp:positionV>
            <wp:extent cx="3386455" cy="2589530"/>
            <wp:effectExtent l="0" t="0" r="4445" b="1270"/>
            <wp:wrapNone/>
            <wp:docPr id="31" name="Диаграмма 31"/>
            <wp:cNvGraphicFramePr>
              <a:graphicFrameLocks xmlns:a="http://schemas.openxmlformats.org/drawingml/2006/main"/>
            </wp:cNvGraphicFramePr>
            <a:graphic xmlns:a="http://schemas.openxmlformats.org/drawingml/2006/main">
              <a:graphicData uri="http://schemas.openxmlformats.org/drawingml/2006/chart">
                <c:chart xmlns:c="http://schemas.openxmlformats.org/drawingml/2006/chart" xmlns:r="http://schemas.openxmlformats.org/officeDocument/2006/relationships" r:id="rId73"/>
              </a:graphicData>
            </a:graphic>
          </wp:anchor>
        </w:drawing>
      </w:r>
      <w:r w:rsidR="00D13C17" w:rsidRPr="0060767F">
        <w:rPr>
          <w:b/>
        </w:rPr>
        <w:t>Структура тарифов на холодную воду и водоотведение МУП «Комбинат бытовых услуг» г. Бердска на 2018-2020 год</w:t>
      </w:r>
      <w:r w:rsidR="00D13C17" w:rsidRPr="0060767F">
        <w:t>ы</w:t>
      </w:r>
      <w:r w:rsidR="00D13C17">
        <w:rPr>
          <w:sz w:val="28"/>
          <w:szCs w:val="28"/>
        </w:rPr>
        <w:t xml:space="preserve"> </w:t>
      </w:r>
    </w:p>
    <w:p w:rsidR="000E6A73" w:rsidRDefault="00262A3F" w:rsidP="0060767F">
      <w:pPr>
        <w:jc w:val="center"/>
        <w:rPr>
          <w:sz w:val="28"/>
          <w:szCs w:val="28"/>
        </w:rPr>
      </w:pPr>
      <w:r w:rsidRPr="0060767F">
        <w:rPr>
          <w:noProof/>
        </w:rPr>
        <w:drawing>
          <wp:anchor distT="0" distB="0" distL="114300" distR="114300" simplePos="0" relativeHeight="251659776" behindDoc="0" locked="0" layoutInCell="1" allowOverlap="1" wp14:anchorId="0D0821E9" wp14:editId="0C098EC3">
            <wp:simplePos x="0" y="0"/>
            <wp:positionH relativeFrom="column">
              <wp:posOffset>6569075</wp:posOffset>
            </wp:positionH>
            <wp:positionV relativeFrom="paragraph">
              <wp:posOffset>2918104</wp:posOffset>
            </wp:positionV>
            <wp:extent cx="3366135" cy="2581275"/>
            <wp:effectExtent l="0" t="0" r="0" b="0"/>
            <wp:wrapNone/>
            <wp:docPr id="25" name="Рисунок 25"/>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Диаграмма 1"/>
                    <pic:cNvPicPr>
                      <a:picLocks noChangeArrowheads="1"/>
                    </pic:cNvPicPr>
                  </pic:nvPicPr>
                  <pic:blipFill>
                    <a:blip r:embed="rId74" cstate="print">
                      <a:extLst>
                        <a:ext uri="{28A0092B-C50C-407E-A947-70E740481C1C}">
                          <a14:useLocalDpi xmlns:a14="http://schemas.microsoft.com/office/drawing/2010/main" val="0"/>
                        </a:ext>
                      </a:extLst>
                    </a:blip>
                    <a:srcRect/>
                    <a:stretch>
                      <a:fillRect/>
                    </a:stretch>
                  </pic:blipFill>
                  <pic:spPr bwMode="auto">
                    <a:xfrm>
                      <a:off x="0" y="0"/>
                      <a:ext cx="3366135" cy="2581275"/>
                    </a:xfrm>
                    <a:prstGeom prst="rect">
                      <a:avLst/>
                    </a:prstGeom>
                    <a:noFill/>
                  </pic:spPr>
                </pic:pic>
              </a:graphicData>
            </a:graphic>
          </wp:anchor>
        </w:drawing>
      </w:r>
      <w:r w:rsidRPr="0060767F">
        <w:rPr>
          <w:noProof/>
        </w:rPr>
        <w:drawing>
          <wp:anchor distT="0" distB="0" distL="114300" distR="114300" simplePos="0" relativeHeight="251657728" behindDoc="0" locked="0" layoutInCell="1" allowOverlap="1" wp14:anchorId="65B67B45" wp14:editId="24A3FB42">
            <wp:simplePos x="0" y="0"/>
            <wp:positionH relativeFrom="column">
              <wp:posOffset>-309245</wp:posOffset>
            </wp:positionH>
            <wp:positionV relativeFrom="paragraph">
              <wp:posOffset>2914650</wp:posOffset>
            </wp:positionV>
            <wp:extent cx="3366135" cy="2581275"/>
            <wp:effectExtent l="0" t="0" r="0" b="0"/>
            <wp:wrapNone/>
            <wp:docPr id="27" name="Рисунок 27"/>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6"/>
                    <pic:cNvPicPr>
                      <a:picLocks noChangeArrowheads="1"/>
                    </pic:cNvPicPr>
                  </pic:nvPicPr>
                  <pic:blipFill>
                    <a:blip r:embed="rId75" cstate="print">
                      <a:extLst>
                        <a:ext uri="{28A0092B-C50C-407E-A947-70E740481C1C}">
                          <a14:useLocalDpi xmlns:a14="http://schemas.microsoft.com/office/drawing/2010/main" val="0"/>
                        </a:ext>
                      </a:extLst>
                    </a:blip>
                    <a:srcRect/>
                    <a:stretch>
                      <a:fillRect/>
                    </a:stretch>
                  </pic:blipFill>
                  <pic:spPr bwMode="auto">
                    <a:xfrm>
                      <a:off x="0" y="0"/>
                      <a:ext cx="3366135" cy="2581275"/>
                    </a:xfrm>
                    <a:prstGeom prst="rect">
                      <a:avLst/>
                    </a:prstGeom>
                    <a:noFill/>
                  </pic:spPr>
                </pic:pic>
              </a:graphicData>
            </a:graphic>
          </wp:anchor>
        </w:drawing>
      </w:r>
      <w:r w:rsidRPr="0060767F">
        <w:rPr>
          <w:noProof/>
        </w:rPr>
        <w:drawing>
          <wp:anchor distT="0" distB="0" distL="114300" distR="114300" simplePos="0" relativeHeight="251658752" behindDoc="0" locked="0" layoutInCell="1" allowOverlap="1" wp14:anchorId="41EAC9C0" wp14:editId="674A9C1F">
            <wp:simplePos x="0" y="0"/>
            <wp:positionH relativeFrom="column">
              <wp:posOffset>3136900</wp:posOffset>
            </wp:positionH>
            <wp:positionV relativeFrom="paragraph">
              <wp:posOffset>2918460</wp:posOffset>
            </wp:positionV>
            <wp:extent cx="3366135" cy="2581275"/>
            <wp:effectExtent l="0" t="0" r="0" b="0"/>
            <wp:wrapNone/>
            <wp:docPr id="26" name="Рисунок 26"/>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7"/>
                    <pic:cNvPicPr>
                      <a:picLocks noChangeArrowheads="1"/>
                    </pic:cNvPicPr>
                  </pic:nvPicPr>
                  <pic:blipFill>
                    <a:blip r:embed="rId76" cstate="print">
                      <a:extLst>
                        <a:ext uri="{28A0092B-C50C-407E-A947-70E740481C1C}">
                          <a14:useLocalDpi xmlns:a14="http://schemas.microsoft.com/office/drawing/2010/main" val="0"/>
                        </a:ext>
                      </a:extLst>
                    </a:blip>
                    <a:srcRect/>
                    <a:stretch>
                      <a:fillRect/>
                    </a:stretch>
                  </pic:blipFill>
                  <pic:spPr bwMode="auto">
                    <a:xfrm>
                      <a:off x="0" y="0"/>
                      <a:ext cx="3366135" cy="2581275"/>
                    </a:xfrm>
                    <a:prstGeom prst="rect">
                      <a:avLst/>
                    </a:prstGeom>
                    <a:noFill/>
                  </pic:spPr>
                </pic:pic>
              </a:graphicData>
            </a:graphic>
          </wp:anchor>
        </w:drawing>
      </w:r>
      <w:r w:rsidR="0060767F" w:rsidRPr="0060767F">
        <w:t>Рис.2.4.1</w:t>
      </w:r>
      <w:r w:rsidR="0060767F">
        <w:t>2</w:t>
      </w:r>
    </w:p>
    <w:p w:rsidR="0060767F" w:rsidRDefault="0060767F" w:rsidP="000E6A73">
      <w:pPr>
        <w:rPr>
          <w:sz w:val="28"/>
          <w:szCs w:val="28"/>
        </w:rPr>
      </w:pPr>
    </w:p>
    <w:p w:rsidR="000E6A73" w:rsidRDefault="000E6A73" w:rsidP="000E6A73">
      <w:pPr>
        <w:rPr>
          <w:sz w:val="28"/>
          <w:szCs w:val="28"/>
        </w:rPr>
      </w:pPr>
    </w:p>
    <w:p w:rsidR="000E6A73" w:rsidRDefault="000E6A73" w:rsidP="000E6A73">
      <w:pPr>
        <w:rPr>
          <w:sz w:val="28"/>
          <w:szCs w:val="28"/>
        </w:rPr>
      </w:pPr>
    </w:p>
    <w:p w:rsidR="000E6A73" w:rsidRDefault="000E6A73" w:rsidP="000E6A73">
      <w:pPr>
        <w:rPr>
          <w:sz w:val="28"/>
          <w:szCs w:val="28"/>
        </w:rPr>
      </w:pPr>
    </w:p>
    <w:p w:rsidR="000E6A73" w:rsidRDefault="000E6A73" w:rsidP="000E6A73">
      <w:pPr>
        <w:rPr>
          <w:sz w:val="28"/>
          <w:szCs w:val="28"/>
        </w:rPr>
      </w:pPr>
    </w:p>
    <w:p w:rsidR="000E6A73" w:rsidRDefault="000E6A73" w:rsidP="000E6A73">
      <w:pPr>
        <w:rPr>
          <w:sz w:val="28"/>
          <w:szCs w:val="28"/>
        </w:rPr>
      </w:pPr>
    </w:p>
    <w:p w:rsidR="000E6A73" w:rsidRDefault="000E6A73" w:rsidP="000E6A73">
      <w:pPr>
        <w:rPr>
          <w:sz w:val="28"/>
          <w:szCs w:val="28"/>
        </w:rPr>
      </w:pPr>
    </w:p>
    <w:p w:rsidR="000E6A73" w:rsidRDefault="000E6A73" w:rsidP="000E6A73">
      <w:pPr>
        <w:rPr>
          <w:sz w:val="28"/>
          <w:szCs w:val="28"/>
        </w:rPr>
        <w:sectPr w:rsidR="000E6A73">
          <w:pgSz w:w="16838" w:h="11906" w:orient="landscape"/>
          <w:pgMar w:top="1134" w:right="851" w:bottom="567" w:left="851" w:header="709" w:footer="709" w:gutter="0"/>
          <w:cols w:space="720"/>
        </w:sectPr>
      </w:pPr>
    </w:p>
    <w:p w:rsidR="006A0363" w:rsidRDefault="006A0363" w:rsidP="00EC08D8">
      <w:pPr>
        <w:autoSpaceDE w:val="0"/>
        <w:autoSpaceDN w:val="0"/>
        <w:adjustRightInd w:val="0"/>
        <w:ind w:firstLine="540"/>
        <w:jc w:val="both"/>
        <w:outlineLvl w:val="1"/>
        <w:rPr>
          <w:b/>
          <w:sz w:val="28"/>
          <w:szCs w:val="28"/>
        </w:rPr>
      </w:pPr>
      <w:r w:rsidRPr="00D13C17">
        <w:rPr>
          <w:b/>
          <w:sz w:val="28"/>
          <w:szCs w:val="28"/>
        </w:rPr>
        <w:lastRenderedPageBreak/>
        <w:t>2</w:t>
      </w:r>
      <w:r w:rsidR="00EC08D8" w:rsidRPr="00D13C17">
        <w:rPr>
          <w:b/>
          <w:sz w:val="28"/>
          <w:szCs w:val="28"/>
        </w:rPr>
        <w:t>.</w:t>
      </w:r>
      <w:r w:rsidR="00D13C17" w:rsidRPr="00D13C17">
        <w:rPr>
          <w:b/>
          <w:sz w:val="28"/>
          <w:szCs w:val="28"/>
        </w:rPr>
        <w:t xml:space="preserve">4.4 </w:t>
      </w:r>
      <w:r w:rsidR="0060767F">
        <w:rPr>
          <w:b/>
          <w:sz w:val="28"/>
          <w:szCs w:val="28"/>
        </w:rPr>
        <w:t>Мониторинг</w:t>
      </w:r>
      <w:r w:rsidR="00B25BEA">
        <w:rPr>
          <w:b/>
          <w:sz w:val="28"/>
          <w:szCs w:val="28"/>
        </w:rPr>
        <w:t xml:space="preserve"> применения установленных цен (тарифов) и</w:t>
      </w:r>
      <w:r w:rsidR="0060767F">
        <w:rPr>
          <w:b/>
          <w:sz w:val="28"/>
          <w:szCs w:val="28"/>
        </w:rPr>
        <w:t xml:space="preserve"> </w:t>
      </w:r>
      <w:r w:rsidR="00B25BEA">
        <w:rPr>
          <w:b/>
          <w:sz w:val="28"/>
          <w:szCs w:val="28"/>
        </w:rPr>
        <w:t>к</w:t>
      </w:r>
      <w:r w:rsidR="00D13C17" w:rsidRPr="00D13C17">
        <w:rPr>
          <w:b/>
          <w:sz w:val="28"/>
          <w:szCs w:val="28"/>
        </w:rPr>
        <w:t xml:space="preserve">онтрольные (надзорные) </w:t>
      </w:r>
      <w:r w:rsidR="00B25BEA">
        <w:rPr>
          <w:b/>
          <w:sz w:val="28"/>
          <w:szCs w:val="28"/>
        </w:rPr>
        <w:t xml:space="preserve">мероприятия </w:t>
      </w:r>
      <w:r w:rsidR="00D13C17" w:rsidRPr="00D13C17">
        <w:rPr>
          <w:b/>
          <w:sz w:val="28"/>
          <w:szCs w:val="28"/>
        </w:rPr>
        <w:t>в сфе</w:t>
      </w:r>
      <w:r w:rsidR="00B25BEA">
        <w:rPr>
          <w:b/>
          <w:sz w:val="28"/>
          <w:szCs w:val="28"/>
        </w:rPr>
        <w:t>ре водоснабжения  водоотведения</w:t>
      </w:r>
    </w:p>
    <w:p w:rsidR="0010319A" w:rsidRDefault="0010319A" w:rsidP="0010319A">
      <w:pPr>
        <w:autoSpaceDE w:val="0"/>
        <w:autoSpaceDN w:val="0"/>
        <w:adjustRightInd w:val="0"/>
        <w:spacing w:after="0" w:line="240" w:lineRule="auto"/>
        <w:ind w:firstLine="540"/>
        <w:jc w:val="both"/>
        <w:outlineLvl w:val="1"/>
        <w:rPr>
          <w:sz w:val="28"/>
          <w:szCs w:val="28"/>
        </w:rPr>
      </w:pPr>
      <w:r>
        <w:rPr>
          <w:sz w:val="28"/>
          <w:szCs w:val="28"/>
        </w:rPr>
        <w:t>В соответствии со статьёй 5 Федерального закона от 07.12.2011 № 416-ФЗ «О водоснабжении и водоотведении»</w:t>
      </w:r>
      <w:r>
        <w:rPr>
          <w:bCs/>
          <w:iCs/>
          <w:sz w:val="28"/>
          <w:szCs w:val="28"/>
        </w:rPr>
        <w:t xml:space="preserve"> Департаментом осуществляется </w:t>
      </w:r>
      <w:r>
        <w:rPr>
          <w:sz w:val="28"/>
          <w:szCs w:val="28"/>
        </w:rPr>
        <w:t xml:space="preserve"> </w:t>
      </w:r>
      <w:r w:rsidRPr="0010319A">
        <w:rPr>
          <w:sz w:val="28"/>
          <w:szCs w:val="28"/>
          <w:u w:val="single"/>
        </w:rPr>
        <w:t>мониторинг выполнения производственных программ и применение установленных тарифов в сфере водоснабжения и водоотведения</w:t>
      </w:r>
      <w:r>
        <w:rPr>
          <w:sz w:val="28"/>
          <w:szCs w:val="28"/>
        </w:rPr>
        <w:t>, (в формате шаблонов  ФАС России), в том числе:</w:t>
      </w:r>
    </w:p>
    <w:p w:rsidR="0010319A" w:rsidRDefault="0010319A" w:rsidP="0010319A">
      <w:pPr>
        <w:autoSpaceDE w:val="0"/>
        <w:autoSpaceDN w:val="0"/>
        <w:spacing w:after="0" w:line="240" w:lineRule="auto"/>
        <w:ind w:firstLine="567"/>
        <w:jc w:val="both"/>
        <w:rPr>
          <w:sz w:val="28"/>
          <w:szCs w:val="28"/>
        </w:rPr>
      </w:pPr>
      <w:r>
        <w:rPr>
          <w:sz w:val="28"/>
          <w:szCs w:val="28"/>
          <w:lang w:val="en-US"/>
        </w:rPr>
        <w:t>REESTR</w:t>
      </w:r>
      <w:r>
        <w:rPr>
          <w:sz w:val="28"/>
          <w:szCs w:val="28"/>
        </w:rPr>
        <w:t>.</w:t>
      </w:r>
      <w:r>
        <w:rPr>
          <w:sz w:val="28"/>
          <w:szCs w:val="28"/>
          <w:lang w:val="en-US"/>
        </w:rPr>
        <w:t>VSNA</w:t>
      </w:r>
      <w:r>
        <w:rPr>
          <w:sz w:val="28"/>
          <w:szCs w:val="28"/>
        </w:rPr>
        <w:t>.</w:t>
      </w:r>
      <w:r>
        <w:rPr>
          <w:sz w:val="28"/>
          <w:szCs w:val="28"/>
          <w:lang w:val="en-US"/>
        </w:rPr>
        <w:t>SOURCE</w:t>
      </w:r>
      <w:r>
        <w:rPr>
          <w:sz w:val="28"/>
          <w:szCs w:val="28"/>
        </w:rPr>
        <w:t>.2019 (реестр по имуществу организаций в сфере водоснабжения);</w:t>
      </w:r>
    </w:p>
    <w:p w:rsidR="0010319A" w:rsidRDefault="0010319A" w:rsidP="0010319A">
      <w:pPr>
        <w:autoSpaceDE w:val="0"/>
        <w:autoSpaceDN w:val="0"/>
        <w:spacing w:after="0" w:line="240" w:lineRule="auto"/>
        <w:ind w:firstLine="567"/>
        <w:jc w:val="both"/>
        <w:rPr>
          <w:sz w:val="28"/>
          <w:szCs w:val="28"/>
        </w:rPr>
      </w:pPr>
      <w:r>
        <w:rPr>
          <w:sz w:val="28"/>
          <w:szCs w:val="28"/>
          <w:lang w:val="en-US"/>
        </w:rPr>
        <w:t>REESTR</w:t>
      </w:r>
      <w:r>
        <w:rPr>
          <w:sz w:val="28"/>
          <w:szCs w:val="28"/>
        </w:rPr>
        <w:t>.</w:t>
      </w:r>
      <w:r>
        <w:rPr>
          <w:sz w:val="28"/>
          <w:szCs w:val="28"/>
          <w:lang w:val="en-US"/>
        </w:rPr>
        <w:t>VOTV</w:t>
      </w:r>
      <w:r>
        <w:rPr>
          <w:sz w:val="28"/>
          <w:szCs w:val="28"/>
        </w:rPr>
        <w:t>.</w:t>
      </w:r>
      <w:r>
        <w:rPr>
          <w:sz w:val="28"/>
          <w:szCs w:val="28"/>
          <w:lang w:val="en-US"/>
        </w:rPr>
        <w:t>SOURCE</w:t>
      </w:r>
      <w:r>
        <w:rPr>
          <w:sz w:val="28"/>
          <w:szCs w:val="28"/>
        </w:rPr>
        <w:t>.2019 (реестр по имуществу организаций в сфере водоотведения);</w:t>
      </w:r>
    </w:p>
    <w:p w:rsidR="0010319A" w:rsidRDefault="0010319A" w:rsidP="0010319A">
      <w:pPr>
        <w:autoSpaceDE w:val="0"/>
        <w:autoSpaceDN w:val="0"/>
        <w:spacing w:after="0" w:line="240" w:lineRule="auto"/>
        <w:ind w:firstLine="567"/>
        <w:jc w:val="both"/>
        <w:rPr>
          <w:sz w:val="28"/>
          <w:szCs w:val="28"/>
        </w:rPr>
      </w:pPr>
      <w:r>
        <w:rPr>
          <w:sz w:val="28"/>
          <w:szCs w:val="28"/>
          <w:lang w:val="en-US"/>
        </w:rPr>
        <w:t>SUMMARY</w:t>
      </w:r>
      <w:r>
        <w:rPr>
          <w:sz w:val="28"/>
          <w:szCs w:val="28"/>
        </w:rPr>
        <w:t>.</w:t>
      </w:r>
      <w:r>
        <w:rPr>
          <w:sz w:val="28"/>
          <w:szCs w:val="28"/>
          <w:lang w:val="en-US"/>
        </w:rPr>
        <w:t>BALANCE</w:t>
      </w:r>
      <w:r>
        <w:rPr>
          <w:sz w:val="28"/>
          <w:szCs w:val="28"/>
        </w:rPr>
        <w:t>.</w:t>
      </w:r>
      <w:r>
        <w:rPr>
          <w:sz w:val="28"/>
          <w:szCs w:val="28"/>
          <w:lang w:val="en-US"/>
        </w:rPr>
        <w:t>CALC</w:t>
      </w:r>
      <w:r>
        <w:rPr>
          <w:sz w:val="28"/>
          <w:szCs w:val="28"/>
        </w:rPr>
        <w:t>.</w:t>
      </w:r>
      <w:r>
        <w:rPr>
          <w:sz w:val="28"/>
          <w:szCs w:val="28"/>
          <w:lang w:val="en-US"/>
        </w:rPr>
        <w:t>TARIFF</w:t>
      </w:r>
      <w:r>
        <w:rPr>
          <w:sz w:val="28"/>
          <w:szCs w:val="28"/>
        </w:rPr>
        <w:t>.</w:t>
      </w:r>
      <w:r>
        <w:rPr>
          <w:sz w:val="28"/>
          <w:szCs w:val="28"/>
          <w:lang w:val="en-US"/>
        </w:rPr>
        <w:t>VSNA</w:t>
      </w:r>
      <w:r>
        <w:rPr>
          <w:sz w:val="28"/>
          <w:szCs w:val="28"/>
        </w:rPr>
        <w:t>.2019</w:t>
      </w:r>
      <w:r>
        <w:rPr>
          <w:sz w:val="28"/>
          <w:szCs w:val="28"/>
          <w:lang w:val="en-US"/>
        </w:rPr>
        <w:t>YEAR</w:t>
      </w:r>
      <w:r>
        <w:rPr>
          <w:sz w:val="28"/>
          <w:szCs w:val="28"/>
        </w:rPr>
        <w:t xml:space="preserve"> (плановые показатели тарифных решений организаций в сфере холодного водоснабжения на 2019 год);</w:t>
      </w:r>
    </w:p>
    <w:p w:rsidR="0010319A" w:rsidRDefault="0010319A" w:rsidP="0010319A">
      <w:pPr>
        <w:autoSpaceDE w:val="0"/>
        <w:autoSpaceDN w:val="0"/>
        <w:spacing w:after="0" w:line="240" w:lineRule="auto"/>
        <w:ind w:firstLine="567"/>
        <w:jc w:val="both"/>
        <w:rPr>
          <w:sz w:val="28"/>
          <w:szCs w:val="28"/>
        </w:rPr>
      </w:pPr>
      <w:r>
        <w:rPr>
          <w:sz w:val="28"/>
          <w:szCs w:val="28"/>
          <w:lang w:val="en-US"/>
        </w:rPr>
        <w:t>SUMMARY</w:t>
      </w:r>
      <w:r>
        <w:rPr>
          <w:sz w:val="28"/>
          <w:szCs w:val="28"/>
        </w:rPr>
        <w:t>.</w:t>
      </w:r>
      <w:r>
        <w:rPr>
          <w:sz w:val="28"/>
          <w:szCs w:val="28"/>
          <w:lang w:val="en-US"/>
        </w:rPr>
        <w:t>BALANCE</w:t>
      </w:r>
      <w:r>
        <w:rPr>
          <w:sz w:val="28"/>
          <w:szCs w:val="28"/>
        </w:rPr>
        <w:t>.</w:t>
      </w:r>
      <w:r>
        <w:rPr>
          <w:sz w:val="28"/>
          <w:szCs w:val="28"/>
          <w:lang w:val="en-US"/>
        </w:rPr>
        <w:t>CALC</w:t>
      </w:r>
      <w:r>
        <w:rPr>
          <w:sz w:val="28"/>
          <w:szCs w:val="28"/>
        </w:rPr>
        <w:t>.</w:t>
      </w:r>
      <w:r>
        <w:rPr>
          <w:sz w:val="28"/>
          <w:szCs w:val="28"/>
          <w:lang w:val="en-US"/>
        </w:rPr>
        <w:t>TARIFF</w:t>
      </w:r>
      <w:r>
        <w:rPr>
          <w:sz w:val="28"/>
          <w:szCs w:val="28"/>
        </w:rPr>
        <w:t>.</w:t>
      </w:r>
      <w:r>
        <w:rPr>
          <w:sz w:val="28"/>
          <w:szCs w:val="28"/>
          <w:lang w:val="en-US"/>
        </w:rPr>
        <w:t>VOTV</w:t>
      </w:r>
      <w:r>
        <w:rPr>
          <w:sz w:val="28"/>
          <w:szCs w:val="28"/>
        </w:rPr>
        <w:t>.2019</w:t>
      </w:r>
      <w:r>
        <w:rPr>
          <w:sz w:val="28"/>
          <w:szCs w:val="28"/>
          <w:lang w:val="en-US"/>
        </w:rPr>
        <w:t>YEAR</w:t>
      </w:r>
      <w:r>
        <w:rPr>
          <w:sz w:val="28"/>
          <w:szCs w:val="28"/>
        </w:rPr>
        <w:t xml:space="preserve"> (плановые показатели тарифных решений организаций в сфере водоотведения на 2019 год);</w:t>
      </w:r>
    </w:p>
    <w:p w:rsidR="0010319A" w:rsidRDefault="0010319A" w:rsidP="0010319A">
      <w:pPr>
        <w:autoSpaceDE w:val="0"/>
        <w:autoSpaceDN w:val="0"/>
        <w:spacing w:after="0" w:line="240" w:lineRule="auto"/>
        <w:ind w:firstLine="567"/>
        <w:jc w:val="both"/>
        <w:rPr>
          <w:sz w:val="28"/>
          <w:szCs w:val="28"/>
        </w:rPr>
      </w:pPr>
      <w:r>
        <w:rPr>
          <w:sz w:val="28"/>
          <w:szCs w:val="28"/>
          <w:lang w:val="en-US"/>
        </w:rPr>
        <w:t>SUMMARY</w:t>
      </w:r>
      <w:r>
        <w:rPr>
          <w:sz w:val="28"/>
          <w:szCs w:val="28"/>
        </w:rPr>
        <w:t>.</w:t>
      </w:r>
      <w:r>
        <w:rPr>
          <w:sz w:val="28"/>
          <w:szCs w:val="28"/>
          <w:lang w:val="en-US"/>
        </w:rPr>
        <w:t>BALANCE</w:t>
      </w:r>
      <w:r>
        <w:rPr>
          <w:sz w:val="28"/>
          <w:szCs w:val="28"/>
        </w:rPr>
        <w:t>.</w:t>
      </w:r>
      <w:r>
        <w:rPr>
          <w:sz w:val="28"/>
          <w:szCs w:val="28"/>
          <w:lang w:val="en-US"/>
        </w:rPr>
        <w:t>CALC</w:t>
      </w:r>
      <w:r>
        <w:rPr>
          <w:sz w:val="28"/>
          <w:szCs w:val="28"/>
        </w:rPr>
        <w:t>.</w:t>
      </w:r>
      <w:r>
        <w:rPr>
          <w:sz w:val="28"/>
          <w:szCs w:val="28"/>
          <w:lang w:val="en-US"/>
        </w:rPr>
        <w:t>TARIFF</w:t>
      </w:r>
      <w:r>
        <w:rPr>
          <w:sz w:val="28"/>
          <w:szCs w:val="28"/>
        </w:rPr>
        <w:t>.</w:t>
      </w:r>
      <w:r>
        <w:rPr>
          <w:sz w:val="28"/>
          <w:szCs w:val="28"/>
          <w:lang w:val="en-US"/>
        </w:rPr>
        <w:t>HOTVSNA</w:t>
      </w:r>
      <w:r>
        <w:rPr>
          <w:sz w:val="28"/>
          <w:szCs w:val="28"/>
        </w:rPr>
        <w:t>.2019</w:t>
      </w:r>
      <w:r>
        <w:rPr>
          <w:sz w:val="28"/>
          <w:szCs w:val="28"/>
          <w:lang w:val="en-US"/>
        </w:rPr>
        <w:t>YEAR</w:t>
      </w:r>
      <w:r>
        <w:rPr>
          <w:sz w:val="28"/>
          <w:szCs w:val="28"/>
        </w:rPr>
        <w:t xml:space="preserve"> (плановые показатели тарифных решений организаций в сфере горячего водоснабжения на 2019 год);</w:t>
      </w:r>
    </w:p>
    <w:p w:rsidR="0010319A" w:rsidRDefault="0010319A" w:rsidP="0010319A">
      <w:pPr>
        <w:autoSpaceDE w:val="0"/>
        <w:autoSpaceDN w:val="0"/>
        <w:spacing w:after="0" w:line="240" w:lineRule="auto"/>
        <w:ind w:firstLine="567"/>
        <w:jc w:val="both"/>
        <w:rPr>
          <w:sz w:val="28"/>
          <w:szCs w:val="28"/>
        </w:rPr>
      </w:pPr>
      <w:r>
        <w:rPr>
          <w:sz w:val="28"/>
          <w:szCs w:val="28"/>
          <w:lang w:val="en-US"/>
        </w:rPr>
        <w:t>SUMMARY</w:t>
      </w:r>
      <w:r>
        <w:rPr>
          <w:sz w:val="28"/>
          <w:szCs w:val="28"/>
        </w:rPr>
        <w:t>.</w:t>
      </w:r>
      <w:r>
        <w:rPr>
          <w:sz w:val="28"/>
          <w:szCs w:val="28"/>
          <w:lang w:val="en-US"/>
        </w:rPr>
        <w:t>BALANCE</w:t>
      </w:r>
      <w:r>
        <w:rPr>
          <w:sz w:val="28"/>
          <w:szCs w:val="28"/>
        </w:rPr>
        <w:t>.</w:t>
      </w:r>
      <w:r>
        <w:rPr>
          <w:sz w:val="28"/>
          <w:szCs w:val="28"/>
          <w:lang w:val="en-US"/>
        </w:rPr>
        <w:t>CALC</w:t>
      </w:r>
      <w:r>
        <w:rPr>
          <w:sz w:val="28"/>
          <w:szCs w:val="28"/>
        </w:rPr>
        <w:t>.</w:t>
      </w:r>
      <w:r>
        <w:rPr>
          <w:sz w:val="28"/>
          <w:szCs w:val="28"/>
          <w:lang w:val="en-US"/>
        </w:rPr>
        <w:t>TARIFF</w:t>
      </w:r>
      <w:r>
        <w:rPr>
          <w:sz w:val="28"/>
          <w:szCs w:val="28"/>
        </w:rPr>
        <w:t>.</w:t>
      </w:r>
      <w:r>
        <w:rPr>
          <w:sz w:val="28"/>
          <w:szCs w:val="28"/>
          <w:lang w:val="en-US"/>
        </w:rPr>
        <w:t>VSNA</w:t>
      </w:r>
      <w:r>
        <w:rPr>
          <w:sz w:val="28"/>
          <w:szCs w:val="28"/>
        </w:rPr>
        <w:t>.2018.</w:t>
      </w:r>
      <w:r>
        <w:rPr>
          <w:sz w:val="28"/>
          <w:szCs w:val="28"/>
          <w:lang w:val="en-US"/>
        </w:rPr>
        <w:t>FACT</w:t>
      </w:r>
      <w:r>
        <w:rPr>
          <w:sz w:val="28"/>
          <w:szCs w:val="28"/>
        </w:rPr>
        <w:t xml:space="preserve"> (фактические показатели организаций в сфере холодного водоснабжения за 2018 год);</w:t>
      </w:r>
    </w:p>
    <w:p w:rsidR="0010319A" w:rsidRDefault="0010319A" w:rsidP="0010319A">
      <w:pPr>
        <w:autoSpaceDE w:val="0"/>
        <w:autoSpaceDN w:val="0"/>
        <w:spacing w:after="0" w:line="240" w:lineRule="auto"/>
        <w:ind w:firstLine="567"/>
        <w:jc w:val="both"/>
        <w:rPr>
          <w:sz w:val="28"/>
          <w:szCs w:val="28"/>
        </w:rPr>
      </w:pPr>
      <w:r>
        <w:rPr>
          <w:sz w:val="28"/>
          <w:szCs w:val="28"/>
          <w:lang w:val="en-US"/>
        </w:rPr>
        <w:t>SUMMARY</w:t>
      </w:r>
      <w:r>
        <w:rPr>
          <w:sz w:val="28"/>
          <w:szCs w:val="28"/>
        </w:rPr>
        <w:t>.</w:t>
      </w:r>
      <w:r>
        <w:rPr>
          <w:sz w:val="28"/>
          <w:szCs w:val="28"/>
          <w:lang w:val="en-US"/>
        </w:rPr>
        <w:t>BALANCE</w:t>
      </w:r>
      <w:r>
        <w:rPr>
          <w:sz w:val="28"/>
          <w:szCs w:val="28"/>
        </w:rPr>
        <w:t>.</w:t>
      </w:r>
      <w:r>
        <w:rPr>
          <w:sz w:val="28"/>
          <w:szCs w:val="28"/>
          <w:lang w:val="en-US"/>
        </w:rPr>
        <w:t>CALC</w:t>
      </w:r>
      <w:r>
        <w:rPr>
          <w:sz w:val="28"/>
          <w:szCs w:val="28"/>
        </w:rPr>
        <w:t>.</w:t>
      </w:r>
      <w:r>
        <w:rPr>
          <w:sz w:val="28"/>
          <w:szCs w:val="28"/>
          <w:lang w:val="en-US"/>
        </w:rPr>
        <w:t>TARIFF</w:t>
      </w:r>
      <w:r>
        <w:rPr>
          <w:sz w:val="28"/>
          <w:szCs w:val="28"/>
        </w:rPr>
        <w:t>.</w:t>
      </w:r>
      <w:r>
        <w:rPr>
          <w:sz w:val="28"/>
          <w:szCs w:val="28"/>
          <w:lang w:val="en-US"/>
        </w:rPr>
        <w:t>VOTV</w:t>
      </w:r>
      <w:r>
        <w:rPr>
          <w:sz w:val="28"/>
          <w:szCs w:val="28"/>
        </w:rPr>
        <w:t>.2018.</w:t>
      </w:r>
      <w:r>
        <w:rPr>
          <w:sz w:val="28"/>
          <w:szCs w:val="28"/>
          <w:lang w:val="en-US"/>
        </w:rPr>
        <w:t>FACT</w:t>
      </w:r>
      <w:r>
        <w:rPr>
          <w:sz w:val="28"/>
          <w:szCs w:val="28"/>
        </w:rPr>
        <w:t xml:space="preserve"> (фактические показатели организаций в сфере водоотведения за 2018 год);</w:t>
      </w:r>
    </w:p>
    <w:p w:rsidR="0010319A" w:rsidRDefault="0010319A" w:rsidP="0010319A">
      <w:pPr>
        <w:autoSpaceDE w:val="0"/>
        <w:autoSpaceDN w:val="0"/>
        <w:spacing w:after="0" w:line="240" w:lineRule="auto"/>
        <w:ind w:firstLine="567"/>
        <w:jc w:val="both"/>
        <w:rPr>
          <w:sz w:val="28"/>
          <w:szCs w:val="28"/>
        </w:rPr>
      </w:pPr>
      <w:r>
        <w:rPr>
          <w:sz w:val="28"/>
          <w:szCs w:val="28"/>
        </w:rPr>
        <w:t>SUMMARY.INV.VSNA.2019YEAR (плановые показатели инвестиционных программ регулируемых организаций, в сфере холодного водоснабжения на 2019 год);</w:t>
      </w:r>
    </w:p>
    <w:p w:rsidR="0010319A" w:rsidRDefault="0010319A" w:rsidP="0010319A">
      <w:pPr>
        <w:autoSpaceDE w:val="0"/>
        <w:autoSpaceDN w:val="0"/>
        <w:spacing w:after="0" w:line="240" w:lineRule="auto"/>
        <w:ind w:firstLine="567"/>
        <w:jc w:val="both"/>
        <w:rPr>
          <w:sz w:val="28"/>
          <w:szCs w:val="28"/>
        </w:rPr>
      </w:pPr>
      <w:r>
        <w:rPr>
          <w:sz w:val="28"/>
          <w:szCs w:val="28"/>
        </w:rPr>
        <w:t>SUMMARY.INV.VOTV.2019YEAR (плановые показатели инвестиционных программ регулируемых организаций, в сфере водоотведения на 2019 год);</w:t>
      </w:r>
    </w:p>
    <w:p w:rsidR="0010319A" w:rsidRDefault="0010319A" w:rsidP="0010319A">
      <w:pPr>
        <w:autoSpaceDE w:val="0"/>
        <w:autoSpaceDN w:val="0"/>
        <w:spacing w:after="0" w:line="240" w:lineRule="auto"/>
        <w:ind w:firstLine="567"/>
        <w:jc w:val="both"/>
        <w:rPr>
          <w:sz w:val="28"/>
          <w:szCs w:val="28"/>
        </w:rPr>
      </w:pPr>
      <w:r>
        <w:rPr>
          <w:sz w:val="28"/>
          <w:szCs w:val="28"/>
        </w:rPr>
        <w:t>SUMMARY.INV.VSNA.Q4.2018 (реализация инвестиционных программ регулируемых организаций, в сфере холодного водоснабжения за 2018 год);</w:t>
      </w:r>
    </w:p>
    <w:p w:rsidR="0010319A" w:rsidRDefault="0010319A" w:rsidP="0010319A">
      <w:pPr>
        <w:autoSpaceDE w:val="0"/>
        <w:autoSpaceDN w:val="0"/>
        <w:spacing w:after="0" w:line="240" w:lineRule="auto"/>
        <w:ind w:firstLine="567"/>
        <w:jc w:val="both"/>
        <w:rPr>
          <w:sz w:val="28"/>
          <w:szCs w:val="28"/>
        </w:rPr>
      </w:pPr>
      <w:r>
        <w:rPr>
          <w:sz w:val="28"/>
          <w:szCs w:val="28"/>
        </w:rPr>
        <w:t>SUMMARY.INV.VOTV.Q4.2018 (реализация инвестиционных программ регулируемых организаций, в сфере водоотведения за 2018 год);</w:t>
      </w:r>
    </w:p>
    <w:p w:rsidR="0010319A" w:rsidRDefault="0010319A" w:rsidP="0010319A">
      <w:pPr>
        <w:autoSpaceDE w:val="0"/>
        <w:autoSpaceDN w:val="0"/>
        <w:spacing w:after="0" w:line="240" w:lineRule="auto"/>
        <w:ind w:firstLine="567"/>
        <w:jc w:val="both"/>
        <w:rPr>
          <w:sz w:val="28"/>
          <w:szCs w:val="28"/>
        </w:rPr>
      </w:pPr>
      <w:r>
        <w:rPr>
          <w:sz w:val="28"/>
          <w:szCs w:val="28"/>
        </w:rPr>
        <w:t>SUMMARY.INV.VSNA.Q2.2019 (реализация инвестиционных программ регулируемых организаций, в сфере холодного водоснабжения за 1 полугодие 2019 года);</w:t>
      </w:r>
    </w:p>
    <w:p w:rsidR="0010319A" w:rsidRDefault="0010319A" w:rsidP="0010319A">
      <w:pPr>
        <w:autoSpaceDE w:val="0"/>
        <w:autoSpaceDN w:val="0"/>
        <w:spacing w:after="0" w:line="240" w:lineRule="auto"/>
        <w:ind w:firstLine="567"/>
        <w:jc w:val="both"/>
        <w:rPr>
          <w:sz w:val="28"/>
          <w:szCs w:val="28"/>
        </w:rPr>
      </w:pPr>
      <w:r>
        <w:rPr>
          <w:sz w:val="28"/>
          <w:szCs w:val="28"/>
        </w:rPr>
        <w:t xml:space="preserve">SUMMARY.INV.VOTV.Q2.2019 (реализация инвестиционных программ регулируемых организаций, в сфере водоотведения за 1 полугодие 2019 года). </w:t>
      </w:r>
    </w:p>
    <w:p w:rsidR="00EC08D8" w:rsidRDefault="00EC08D8" w:rsidP="00B25BEA">
      <w:pPr>
        <w:autoSpaceDE w:val="0"/>
        <w:autoSpaceDN w:val="0"/>
        <w:spacing w:after="0" w:line="240" w:lineRule="auto"/>
        <w:ind w:firstLine="567"/>
        <w:jc w:val="both"/>
        <w:rPr>
          <w:sz w:val="28"/>
          <w:szCs w:val="28"/>
        </w:rPr>
      </w:pPr>
      <w:r>
        <w:rPr>
          <w:sz w:val="28"/>
          <w:szCs w:val="28"/>
        </w:rPr>
        <w:t xml:space="preserve">В рамках осуществления полномочий в области регулирования тарифов на товары и услуги организаций в сфере водоснабжения и водоотведения в соответствии со статьёй 5 Федерального закона от 07.12.2011 № 416-ФЗ «О </w:t>
      </w:r>
      <w:r>
        <w:rPr>
          <w:sz w:val="28"/>
          <w:szCs w:val="28"/>
        </w:rPr>
        <w:lastRenderedPageBreak/>
        <w:t xml:space="preserve">водоснабжении и водоотведении» и приказом руководителя департамента от 30.10.2018 № 18 (в редакции приказа от 24.12.2018 № 23) Планом проведения департаментом плановых проверок юридических лиц и индивидуальных предпринимателей на 2019 </w:t>
      </w:r>
      <w:r w:rsidR="0010319A">
        <w:rPr>
          <w:sz w:val="28"/>
          <w:szCs w:val="28"/>
        </w:rPr>
        <w:t xml:space="preserve">год специалистами департамента </w:t>
      </w:r>
      <w:r>
        <w:rPr>
          <w:sz w:val="28"/>
          <w:szCs w:val="28"/>
        </w:rPr>
        <w:t xml:space="preserve">были </w:t>
      </w:r>
      <w:r>
        <w:rPr>
          <w:bCs/>
          <w:iCs/>
          <w:sz w:val="28"/>
          <w:szCs w:val="28"/>
        </w:rPr>
        <w:t xml:space="preserve"> </w:t>
      </w:r>
      <w:r w:rsidRPr="0010319A">
        <w:rPr>
          <w:sz w:val="28"/>
          <w:szCs w:val="28"/>
          <w:u w:val="single"/>
        </w:rPr>
        <w:t>проведены проверки</w:t>
      </w:r>
      <w:r>
        <w:rPr>
          <w:sz w:val="28"/>
          <w:szCs w:val="28"/>
        </w:rPr>
        <w:t xml:space="preserve"> обоснованности установления, применения и изменения тарифов, регулируемых в соответствии с настоящим Федеральным законом по 10 организациям в сфере водоснабжения и водоотведения, в т. ч.</w:t>
      </w:r>
    </w:p>
    <w:p w:rsidR="00EC08D8" w:rsidRDefault="00EC08D8" w:rsidP="00B25BEA">
      <w:pPr>
        <w:autoSpaceDE w:val="0"/>
        <w:autoSpaceDN w:val="0"/>
        <w:spacing w:after="0" w:line="240" w:lineRule="auto"/>
        <w:ind w:firstLine="567"/>
        <w:jc w:val="both"/>
        <w:rPr>
          <w:i/>
          <w:iCs/>
          <w:sz w:val="28"/>
          <w:szCs w:val="28"/>
        </w:rPr>
      </w:pPr>
      <w:r>
        <w:rPr>
          <w:i/>
          <w:sz w:val="28"/>
          <w:szCs w:val="28"/>
          <w:u w:val="single"/>
        </w:rPr>
        <w:t>плановые</w:t>
      </w:r>
      <w:r>
        <w:rPr>
          <w:i/>
          <w:sz w:val="28"/>
          <w:szCs w:val="28"/>
        </w:rPr>
        <w:t>:</w:t>
      </w:r>
    </w:p>
    <w:p w:rsidR="00EC08D8" w:rsidRDefault="00EC08D8" w:rsidP="00B25BEA">
      <w:pPr>
        <w:spacing w:after="0" w:line="240" w:lineRule="auto"/>
        <w:ind w:firstLine="567"/>
        <w:jc w:val="both"/>
        <w:rPr>
          <w:sz w:val="28"/>
          <w:szCs w:val="28"/>
        </w:rPr>
      </w:pPr>
      <w:r>
        <w:rPr>
          <w:color w:val="000000"/>
          <w:sz w:val="28"/>
          <w:szCs w:val="28"/>
        </w:rPr>
        <w:t>1)  МУП ЖКХ «Сарыбалыкское»,</w:t>
      </w:r>
    </w:p>
    <w:p w:rsidR="00EC08D8" w:rsidRDefault="00EC08D8" w:rsidP="00B25BEA">
      <w:pPr>
        <w:spacing w:after="0" w:line="240" w:lineRule="auto"/>
        <w:ind w:firstLine="567"/>
        <w:jc w:val="both"/>
        <w:rPr>
          <w:color w:val="000000"/>
          <w:sz w:val="28"/>
          <w:szCs w:val="28"/>
        </w:rPr>
      </w:pPr>
      <w:r>
        <w:rPr>
          <w:color w:val="000000"/>
          <w:sz w:val="28"/>
          <w:szCs w:val="28"/>
        </w:rPr>
        <w:t>2)  МУП «ЖКХ Коченёво»,</w:t>
      </w:r>
    </w:p>
    <w:p w:rsidR="00EC08D8" w:rsidRDefault="00EC08D8" w:rsidP="00B25BEA">
      <w:pPr>
        <w:spacing w:after="0" w:line="240" w:lineRule="auto"/>
        <w:ind w:firstLine="567"/>
        <w:jc w:val="both"/>
        <w:rPr>
          <w:color w:val="000000"/>
          <w:sz w:val="28"/>
          <w:szCs w:val="28"/>
        </w:rPr>
      </w:pPr>
      <w:r>
        <w:rPr>
          <w:color w:val="000000"/>
          <w:sz w:val="28"/>
          <w:szCs w:val="28"/>
        </w:rPr>
        <w:t>3)  МУП «Геострой»,</w:t>
      </w:r>
    </w:p>
    <w:p w:rsidR="00EC08D8" w:rsidRDefault="00EC08D8" w:rsidP="00B25BEA">
      <w:pPr>
        <w:spacing w:after="0" w:line="240" w:lineRule="auto"/>
        <w:ind w:firstLine="567"/>
        <w:jc w:val="both"/>
        <w:rPr>
          <w:color w:val="000000"/>
          <w:sz w:val="28"/>
          <w:szCs w:val="28"/>
        </w:rPr>
      </w:pPr>
      <w:r>
        <w:rPr>
          <w:color w:val="000000"/>
          <w:sz w:val="28"/>
          <w:szCs w:val="28"/>
        </w:rPr>
        <w:t>4)  МУП «РКЦ р.п. Линево»,</w:t>
      </w:r>
    </w:p>
    <w:p w:rsidR="00EC08D8" w:rsidRDefault="00EC08D8" w:rsidP="00B25BEA">
      <w:pPr>
        <w:spacing w:after="0" w:line="240" w:lineRule="auto"/>
        <w:ind w:firstLine="567"/>
        <w:jc w:val="both"/>
        <w:rPr>
          <w:i/>
          <w:sz w:val="28"/>
          <w:szCs w:val="28"/>
        </w:rPr>
      </w:pPr>
      <w:r>
        <w:rPr>
          <w:i/>
          <w:sz w:val="28"/>
          <w:szCs w:val="28"/>
          <w:u w:val="single"/>
        </w:rPr>
        <w:t>внеплановая</w:t>
      </w:r>
      <w:r>
        <w:rPr>
          <w:i/>
          <w:sz w:val="28"/>
          <w:szCs w:val="28"/>
        </w:rPr>
        <w:t>:</w:t>
      </w:r>
    </w:p>
    <w:p w:rsidR="00EC08D8" w:rsidRDefault="0010319A" w:rsidP="00B25BEA">
      <w:pPr>
        <w:spacing w:after="0" w:line="240" w:lineRule="auto"/>
        <w:ind w:firstLine="567"/>
        <w:jc w:val="both"/>
        <w:rPr>
          <w:sz w:val="28"/>
          <w:szCs w:val="28"/>
        </w:rPr>
      </w:pPr>
      <w:r>
        <w:rPr>
          <w:sz w:val="28"/>
          <w:szCs w:val="28"/>
        </w:rPr>
        <w:t>5</w:t>
      </w:r>
      <w:r w:rsidR="00EC08D8">
        <w:rPr>
          <w:sz w:val="28"/>
          <w:szCs w:val="28"/>
        </w:rPr>
        <w:t>) МХ ООО «Теплосервис»</w:t>
      </w:r>
    </w:p>
    <w:p w:rsidR="0010319A" w:rsidRDefault="0010319A" w:rsidP="00B25BEA">
      <w:pPr>
        <w:spacing w:after="0" w:line="240" w:lineRule="auto"/>
        <w:ind w:firstLine="567"/>
        <w:jc w:val="both"/>
        <w:rPr>
          <w:i/>
          <w:sz w:val="28"/>
          <w:szCs w:val="28"/>
        </w:rPr>
      </w:pPr>
      <w:r>
        <w:rPr>
          <w:i/>
          <w:sz w:val="28"/>
          <w:szCs w:val="28"/>
          <w:u w:val="single"/>
        </w:rPr>
        <w:t>внеплановые, совместно с прокуратурой Новосибирской области</w:t>
      </w:r>
      <w:r>
        <w:rPr>
          <w:i/>
          <w:sz w:val="28"/>
          <w:szCs w:val="28"/>
        </w:rPr>
        <w:t>:</w:t>
      </w:r>
    </w:p>
    <w:p w:rsidR="0010319A" w:rsidRDefault="0010319A" w:rsidP="00B25BEA">
      <w:pPr>
        <w:spacing w:after="0" w:line="240" w:lineRule="auto"/>
        <w:ind w:firstLine="567"/>
        <w:jc w:val="both"/>
        <w:rPr>
          <w:sz w:val="28"/>
          <w:szCs w:val="28"/>
        </w:rPr>
      </w:pPr>
      <w:r>
        <w:rPr>
          <w:sz w:val="28"/>
          <w:szCs w:val="28"/>
        </w:rPr>
        <w:t>6) МУП «Комбинат бытовых услуг»,</w:t>
      </w:r>
    </w:p>
    <w:p w:rsidR="0010319A" w:rsidRDefault="0010319A" w:rsidP="00B25BEA">
      <w:pPr>
        <w:spacing w:after="0" w:line="240" w:lineRule="auto"/>
        <w:ind w:firstLine="567"/>
        <w:jc w:val="both"/>
        <w:rPr>
          <w:sz w:val="28"/>
          <w:szCs w:val="28"/>
        </w:rPr>
      </w:pPr>
      <w:r>
        <w:rPr>
          <w:sz w:val="28"/>
          <w:szCs w:val="28"/>
        </w:rPr>
        <w:t>7) ООО «Теплотехник»,</w:t>
      </w:r>
    </w:p>
    <w:p w:rsidR="0010319A" w:rsidRDefault="0010319A" w:rsidP="00B25BEA">
      <w:pPr>
        <w:spacing w:after="0" w:line="240" w:lineRule="auto"/>
        <w:ind w:firstLine="567"/>
        <w:jc w:val="both"/>
        <w:rPr>
          <w:sz w:val="28"/>
          <w:szCs w:val="28"/>
        </w:rPr>
      </w:pPr>
      <w:r>
        <w:rPr>
          <w:sz w:val="28"/>
          <w:szCs w:val="28"/>
        </w:rPr>
        <w:t>8) ООО «Новый дом»,</w:t>
      </w:r>
    </w:p>
    <w:p w:rsidR="00EC08D8" w:rsidRDefault="00EC08D8" w:rsidP="00B25BEA">
      <w:pPr>
        <w:spacing w:after="0" w:line="240" w:lineRule="auto"/>
        <w:ind w:firstLine="567"/>
        <w:jc w:val="both"/>
        <w:rPr>
          <w:i/>
          <w:sz w:val="28"/>
          <w:szCs w:val="28"/>
        </w:rPr>
      </w:pPr>
      <w:r>
        <w:rPr>
          <w:i/>
          <w:sz w:val="28"/>
          <w:szCs w:val="28"/>
          <w:u w:val="single"/>
        </w:rPr>
        <w:t xml:space="preserve"> по предписанию ФАС России</w:t>
      </w:r>
      <w:r>
        <w:rPr>
          <w:i/>
          <w:sz w:val="28"/>
          <w:szCs w:val="28"/>
        </w:rPr>
        <w:t>:</w:t>
      </w:r>
    </w:p>
    <w:p w:rsidR="00EC08D8" w:rsidRDefault="00EC08D8" w:rsidP="00B25BEA">
      <w:pPr>
        <w:spacing w:after="0" w:line="240" w:lineRule="auto"/>
        <w:ind w:firstLine="567"/>
        <w:jc w:val="both"/>
        <w:rPr>
          <w:sz w:val="28"/>
          <w:szCs w:val="28"/>
        </w:rPr>
      </w:pPr>
      <w:r>
        <w:rPr>
          <w:sz w:val="28"/>
          <w:szCs w:val="28"/>
        </w:rPr>
        <w:t>9) МУП г. Новосибирска «ГОРВОДОКАНАЛ»,</w:t>
      </w:r>
    </w:p>
    <w:p w:rsidR="00EC08D8" w:rsidRDefault="00EC08D8" w:rsidP="00B25BEA">
      <w:pPr>
        <w:spacing w:after="0" w:line="240" w:lineRule="auto"/>
        <w:ind w:firstLine="567"/>
        <w:jc w:val="both"/>
        <w:rPr>
          <w:sz w:val="28"/>
          <w:szCs w:val="28"/>
        </w:rPr>
      </w:pPr>
      <w:r>
        <w:rPr>
          <w:sz w:val="28"/>
          <w:szCs w:val="28"/>
        </w:rPr>
        <w:t>10) ФГУП «Управление энергетики и водоснабжения».</w:t>
      </w:r>
    </w:p>
    <w:p w:rsidR="0010319A" w:rsidRDefault="0010319A" w:rsidP="00B25BEA">
      <w:pPr>
        <w:spacing w:after="0" w:line="240" w:lineRule="auto"/>
        <w:ind w:firstLine="567"/>
        <w:jc w:val="both"/>
        <w:rPr>
          <w:sz w:val="28"/>
          <w:szCs w:val="28"/>
        </w:rPr>
      </w:pPr>
      <w:r>
        <w:rPr>
          <w:sz w:val="28"/>
          <w:szCs w:val="28"/>
        </w:rPr>
        <w:t xml:space="preserve">Департаментом </w:t>
      </w:r>
      <w:r w:rsidRPr="0010319A">
        <w:rPr>
          <w:sz w:val="28"/>
          <w:szCs w:val="28"/>
          <w:u w:val="single"/>
        </w:rPr>
        <w:t>осуществлялся контроль над фактическим исполнением установленных  требований к программам в области энергосбережения и повышения энергетической эффективности</w:t>
      </w:r>
      <w:r>
        <w:rPr>
          <w:sz w:val="28"/>
          <w:szCs w:val="28"/>
        </w:rPr>
        <w:t>.  Отчет о фактическом исполнении установленных требований к программам в области энергосбережения и повышения энергетической эффективности за 2018 год представило  308 организаций.</w:t>
      </w:r>
    </w:p>
    <w:p w:rsidR="00550C92" w:rsidRDefault="00550C92" w:rsidP="00B25BEA">
      <w:pPr>
        <w:spacing w:after="0" w:line="240" w:lineRule="auto"/>
        <w:ind w:firstLine="567"/>
        <w:jc w:val="both"/>
        <w:rPr>
          <w:b/>
          <w:iCs/>
          <w:sz w:val="28"/>
          <w:szCs w:val="28"/>
        </w:rPr>
      </w:pPr>
    </w:p>
    <w:p w:rsidR="00EC08D8" w:rsidRPr="0010319A" w:rsidRDefault="0010319A" w:rsidP="00B25BEA">
      <w:pPr>
        <w:spacing w:after="0" w:line="240" w:lineRule="auto"/>
        <w:ind w:firstLine="567"/>
        <w:jc w:val="both"/>
        <w:rPr>
          <w:b/>
          <w:sz w:val="28"/>
          <w:szCs w:val="28"/>
        </w:rPr>
      </w:pPr>
      <w:r w:rsidRPr="0010319A">
        <w:rPr>
          <w:b/>
          <w:iCs/>
          <w:sz w:val="28"/>
          <w:szCs w:val="28"/>
        </w:rPr>
        <w:t>2.</w:t>
      </w:r>
      <w:r w:rsidR="00EC08D8" w:rsidRPr="0010319A">
        <w:rPr>
          <w:b/>
          <w:iCs/>
          <w:sz w:val="28"/>
          <w:szCs w:val="28"/>
        </w:rPr>
        <w:t>4.</w:t>
      </w:r>
      <w:r w:rsidRPr="0010319A">
        <w:rPr>
          <w:b/>
          <w:iCs/>
          <w:sz w:val="28"/>
          <w:szCs w:val="28"/>
        </w:rPr>
        <w:t>5.</w:t>
      </w:r>
      <w:r w:rsidR="00EC08D8" w:rsidRPr="0010319A">
        <w:rPr>
          <w:b/>
          <w:iCs/>
          <w:sz w:val="28"/>
          <w:szCs w:val="28"/>
        </w:rPr>
        <w:t xml:space="preserve"> </w:t>
      </w:r>
      <w:r w:rsidR="00EC08D8" w:rsidRPr="0010319A">
        <w:rPr>
          <w:b/>
          <w:sz w:val="28"/>
          <w:szCs w:val="28"/>
        </w:rPr>
        <w:t>Согласование долгосрочных параметров для концессионных соглашений</w:t>
      </w:r>
    </w:p>
    <w:p w:rsidR="00EC08D8" w:rsidRDefault="00EC08D8" w:rsidP="00DB2105">
      <w:pPr>
        <w:spacing w:after="0" w:line="240" w:lineRule="auto"/>
        <w:ind w:firstLine="567"/>
        <w:jc w:val="both"/>
        <w:rPr>
          <w:sz w:val="28"/>
          <w:szCs w:val="28"/>
        </w:rPr>
      </w:pPr>
      <w:r>
        <w:rPr>
          <w:sz w:val="28"/>
          <w:szCs w:val="28"/>
        </w:rPr>
        <w:t xml:space="preserve">В соответствии с Главой </w:t>
      </w:r>
      <w:r>
        <w:rPr>
          <w:sz w:val="28"/>
          <w:szCs w:val="28"/>
          <w:lang w:val="en-US"/>
        </w:rPr>
        <w:t>VII</w:t>
      </w:r>
      <w:r w:rsidRPr="00EC08D8">
        <w:rPr>
          <w:color w:val="FF0000"/>
          <w:sz w:val="28"/>
          <w:szCs w:val="28"/>
        </w:rPr>
        <w:t xml:space="preserve"> </w:t>
      </w:r>
      <w:r>
        <w:rPr>
          <w:sz w:val="28"/>
          <w:szCs w:val="28"/>
        </w:rPr>
        <w:t xml:space="preserve">Правил регулирования тарифов в сфере водоснабжения и водоотведения», утверждённых постановлением Правительства Российской Федерации от 13.05.2013 № 406 </w:t>
      </w:r>
      <w:r w:rsidR="00262A3F">
        <w:rPr>
          <w:sz w:val="28"/>
          <w:szCs w:val="28"/>
        </w:rPr>
        <w:t>Д</w:t>
      </w:r>
      <w:r>
        <w:rPr>
          <w:sz w:val="28"/>
          <w:szCs w:val="28"/>
        </w:rPr>
        <w:t xml:space="preserve">епартаментом согласованы долгосрочные параметры регулирования и направлены сведения о ценах, значениях и параметрах, подлежащих представлению органом регулирования организатору конкурса, для </w:t>
      </w:r>
      <w:r w:rsidR="00DB2105">
        <w:rPr>
          <w:sz w:val="28"/>
          <w:szCs w:val="28"/>
        </w:rPr>
        <w:t xml:space="preserve">30 </w:t>
      </w:r>
      <w:r>
        <w:rPr>
          <w:sz w:val="28"/>
          <w:szCs w:val="28"/>
        </w:rPr>
        <w:t>муниципальных образований</w:t>
      </w:r>
      <w:r w:rsidR="00DB2105">
        <w:rPr>
          <w:sz w:val="28"/>
          <w:szCs w:val="28"/>
        </w:rPr>
        <w:t xml:space="preserve"> Куйбышевского и  Коченевского районов </w:t>
      </w:r>
      <w:r>
        <w:rPr>
          <w:sz w:val="28"/>
          <w:szCs w:val="28"/>
        </w:rPr>
        <w:t xml:space="preserve"> Новосибирской области</w:t>
      </w:r>
      <w:r w:rsidR="00DB2105">
        <w:rPr>
          <w:sz w:val="28"/>
          <w:szCs w:val="28"/>
        </w:rPr>
        <w:t xml:space="preserve">. По итогам проведенных конкурсных процедур на заключение концессионных соглашений заключение договоров не состоялось </w:t>
      </w:r>
    </w:p>
    <w:p w:rsidR="00EC08D8" w:rsidRDefault="00EC08D8" w:rsidP="00550C92">
      <w:pPr>
        <w:spacing w:line="240" w:lineRule="auto"/>
        <w:jc w:val="both"/>
        <w:rPr>
          <w:sz w:val="28"/>
          <w:szCs w:val="28"/>
        </w:rPr>
      </w:pPr>
    </w:p>
    <w:p w:rsidR="00EC08D8" w:rsidRPr="006323CF" w:rsidRDefault="00550C92" w:rsidP="00262A3F">
      <w:pPr>
        <w:spacing w:after="0" w:line="240" w:lineRule="auto"/>
        <w:ind w:firstLine="567"/>
        <w:jc w:val="both"/>
        <w:rPr>
          <w:b/>
          <w:sz w:val="28"/>
          <w:szCs w:val="28"/>
        </w:rPr>
      </w:pPr>
      <w:r w:rsidRPr="006323CF">
        <w:rPr>
          <w:b/>
          <w:iCs/>
          <w:sz w:val="28"/>
          <w:szCs w:val="28"/>
        </w:rPr>
        <w:t>2.4.6.</w:t>
      </w:r>
      <w:r w:rsidR="00EC08D8" w:rsidRPr="006323CF">
        <w:rPr>
          <w:b/>
          <w:iCs/>
          <w:sz w:val="28"/>
          <w:szCs w:val="28"/>
        </w:rPr>
        <w:t xml:space="preserve"> </w:t>
      </w:r>
      <w:r w:rsidR="00EC08D8" w:rsidRPr="006323CF">
        <w:rPr>
          <w:b/>
          <w:sz w:val="28"/>
          <w:szCs w:val="28"/>
        </w:rPr>
        <w:t>Утверждение и корректировка инвестиционных программ в сфере водоснабжения и водоотведения.</w:t>
      </w:r>
    </w:p>
    <w:p w:rsidR="00EC08D8" w:rsidRDefault="00EC08D8" w:rsidP="00262A3F">
      <w:pPr>
        <w:spacing w:after="0" w:line="240" w:lineRule="auto"/>
        <w:ind w:firstLine="567"/>
        <w:jc w:val="both"/>
        <w:rPr>
          <w:sz w:val="28"/>
          <w:szCs w:val="28"/>
          <w:lang w:eastAsia="en-US"/>
        </w:rPr>
      </w:pPr>
      <w:r>
        <w:rPr>
          <w:sz w:val="28"/>
          <w:szCs w:val="28"/>
          <w:lang w:eastAsia="en-US"/>
        </w:rPr>
        <w:t xml:space="preserve">В 2019 году в департамент для утверждения и корректировки инвестиционных программ были направлены 4 проекта в сфере </w:t>
      </w:r>
      <w:r>
        <w:rPr>
          <w:sz w:val="28"/>
          <w:szCs w:val="28"/>
          <w:lang w:eastAsia="en-US"/>
        </w:rPr>
        <w:lastRenderedPageBreak/>
        <w:t>водоснабжения на 2019-2024 гг. и 2 проекта в сфере водоотведения на 2019-2024 гг.</w:t>
      </w:r>
    </w:p>
    <w:p w:rsidR="00EC08D8" w:rsidRDefault="00EC08D8" w:rsidP="00262A3F">
      <w:pPr>
        <w:spacing w:after="0" w:line="240" w:lineRule="auto"/>
        <w:ind w:firstLine="567"/>
        <w:jc w:val="both"/>
        <w:rPr>
          <w:sz w:val="28"/>
          <w:szCs w:val="28"/>
          <w:lang w:eastAsia="en-US"/>
        </w:rPr>
      </w:pPr>
      <w:r>
        <w:rPr>
          <w:sz w:val="28"/>
          <w:szCs w:val="28"/>
          <w:lang w:eastAsia="en-US"/>
        </w:rPr>
        <w:t xml:space="preserve">Из них утверждены 2 инвестиционные программы: </w:t>
      </w:r>
    </w:p>
    <w:p w:rsidR="00EC08D8" w:rsidRDefault="00EC08D8" w:rsidP="00262A3F">
      <w:pPr>
        <w:spacing w:after="0" w:line="240" w:lineRule="auto"/>
        <w:ind w:firstLine="567"/>
        <w:jc w:val="both"/>
        <w:rPr>
          <w:sz w:val="28"/>
          <w:szCs w:val="28"/>
          <w:lang w:eastAsia="en-US"/>
        </w:rPr>
      </w:pPr>
      <w:r>
        <w:rPr>
          <w:sz w:val="28"/>
          <w:szCs w:val="28"/>
          <w:lang w:eastAsia="en-US"/>
        </w:rPr>
        <w:t>- МУП г. Новосибирска "ГОРВОДОКАНАЛ", программа «Развитие систем водоснабжения и водоотведения» на 2020 – 2024 годы;</w:t>
      </w:r>
    </w:p>
    <w:p w:rsidR="00EC08D8" w:rsidRDefault="00EC08D8" w:rsidP="00262A3F">
      <w:pPr>
        <w:spacing w:after="0" w:line="240" w:lineRule="auto"/>
        <w:ind w:firstLine="567"/>
        <w:jc w:val="both"/>
        <w:rPr>
          <w:sz w:val="28"/>
          <w:szCs w:val="28"/>
          <w:lang w:eastAsia="en-US"/>
        </w:rPr>
      </w:pPr>
      <w:r>
        <w:rPr>
          <w:sz w:val="28"/>
          <w:szCs w:val="28"/>
          <w:lang w:eastAsia="en-US"/>
        </w:rPr>
        <w:t>- МУП "КБУ", программа «Развитие централизованной системы холодного водоснабжения города Бердска на 2020-2022 годы».</w:t>
      </w:r>
    </w:p>
    <w:p w:rsidR="00EC08D8" w:rsidRDefault="00EC08D8" w:rsidP="00262A3F">
      <w:pPr>
        <w:spacing w:after="0" w:line="240" w:lineRule="auto"/>
        <w:ind w:firstLine="567"/>
        <w:jc w:val="both"/>
        <w:rPr>
          <w:sz w:val="28"/>
          <w:szCs w:val="28"/>
        </w:rPr>
      </w:pPr>
      <w:r>
        <w:rPr>
          <w:sz w:val="28"/>
          <w:szCs w:val="28"/>
          <w:lang w:eastAsia="en-US"/>
        </w:rPr>
        <w:t>Скорректирована 1 инвестиционная программа: МУП «КБУ», программа «Развитие централизованной системы водоотведения города Бердска</w:t>
      </w:r>
      <w:r w:rsidR="00B25BEA">
        <w:rPr>
          <w:sz w:val="28"/>
          <w:szCs w:val="28"/>
          <w:lang w:eastAsia="en-US"/>
        </w:rPr>
        <w:t xml:space="preserve"> </w:t>
      </w:r>
      <w:r>
        <w:rPr>
          <w:sz w:val="28"/>
          <w:szCs w:val="28"/>
          <w:lang w:eastAsia="en-US"/>
        </w:rPr>
        <w:t xml:space="preserve"> Новосибирской области на 2018-2020 годы».</w:t>
      </w:r>
    </w:p>
    <w:p w:rsidR="000E6A73" w:rsidRPr="00185C71" w:rsidRDefault="000E6A73" w:rsidP="00262A3F">
      <w:pPr>
        <w:spacing w:after="0" w:line="240" w:lineRule="auto"/>
        <w:ind w:firstLine="284"/>
        <w:jc w:val="both"/>
        <w:rPr>
          <w:sz w:val="32"/>
          <w:szCs w:val="32"/>
        </w:rPr>
      </w:pPr>
    </w:p>
    <w:p w:rsidR="005727C2" w:rsidRDefault="00185C71" w:rsidP="0061749D">
      <w:pPr>
        <w:pStyle w:val="a3"/>
      </w:pPr>
      <w:r w:rsidRPr="00185C71">
        <w:t>2.5.</w:t>
      </w:r>
      <w:r>
        <w:t xml:space="preserve"> </w:t>
      </w:r>
      <w:r w:rsidR="005727C2" w:rsidRPr="00185C71">
        <w:t>Обращение с твердыми коммунальными отходами</w:t>
      </w:r>
    </w:p>
    <w:p w:rsidR="00185C71" w:rsidRPr="00185C71" w:rsidRDefault="00185C71" w:rsidP="0061749D">
      <w:pPr>
        <w:pStyle w:val="a3"/>
      </w:pPr>
    </w:p>
    <w:p w:rsidR="006323CF" w:rsidRPr="006323CF" w:rsidRDefault="006323CF" w:rsidP="006323CF">
      <w:pPr>
        <w:spacing w:line="240" w:lineRule="auto"/>
        <w:ind w:firstLine="284"/>
        <w:jc w:val="both"/>
        <w:rPr>
          <w:b/>
          <w:iCs/>
          <w:sz w:val="28"/>
          <w:szCs w:val="28"/>
        </w:rPr>
      </w:pPr>
      <w:r w:rsidRPr="006323CF">
        <w:rPr>
          <w:b/>
          <w:iCs/>
          <w:sz w:val="28"/>
          <w:szCs w:val="28"/>
        </w:rPr>
        <w:t>2.</w:t>
      </w:r>
      <w:r>
        <w:rPr>
          <w:b/>
          <w:iCs/>
          <w:sz w:val="28"/>
          <w:szCs w:val="28"/>
        </w:rPr>
        <w:t xml:space="preserve">5.1. </w:t>
      </w:r>
      <w:r w:rsidRPr="006323CF">
        <w:rPr>
          <w:b/>
          <w:iCs/>
          <w:sz w:val="28"/>
          <w:szCs w:val="28"/>
        </w:rPr>
        <w:t>Изменени</w:t>
      </w:r>
      <w:r>
        <w:rPr>
          <w:b/>
          <w:iCs/>
          <w:sz w:val="28"/>
          <w:szCs w:val="28"/>
        </w:rPr>
        <w:t>я в</w:t>
      </w:r>
      <w:r w:rsidRPr="006323CF">
        <w:rPr>
          <w:b/>
          <w:iCs/>
          <w:sz w:val="28"/>
          <w:szCs w:val="28"/>
        </w:rPr>
        <w:t xml:space="preserve"> законодательств</w:t>
      </w:r>
      <w:r>
        <w:rPr>
          <w:b/>
          <w:iCs/>
          <w:sz w:val="28"/>
          <w:szCs w:val="28"/>
        </w:rPr>
        <w:t>е</w:t>
      </w:r>
      <w:r w:rsidRPr="006323CF">
        <w:rPr>
          <w:b/>
          <w:iCs/>
          <w:sz w:val="28"/>
          <w:szCs w:val="28"/>
        </w:rPr>
        <w:t xml:space="preserve"> Российской Федерации в сфере обращения твердых ко</w:t>
      </w:r>
      <w:r w:rsidR="00262A3F">
        <w:rPr>
          <w:b/>
          <w:iCs/>
          <w:sz w:val="28"/>
          <w:szCs w:val="28"/>
        </w:rPr>
        <w:t>м</w:t>
      </w:r>
      <w:r w:rsidRPr="006323CF">
        <w:rPr>
          <w:b/>
          <w:iCs/>
          <w:sz w:val="28"/>
          <w:szCs w:val="28"/>
        </w:rPr>
        <w:t xml:space="preserve">мунальных отходов </w:t>
      </w:r>
    </w:p>
    <w:p w:rsidR="005727C2" w:rsidRDefault="005727C2" w:rsidP="00876367">
      <w:pPr>
        <w:autoSpaceDE w:val="0"/>
        <w:autoSpaceDN w:val="0"/>
        <w:adjustRightInd w:val="0"/>
        <w:spacing w:after="0" w:line="240" w:lineRule="auto"/>
        <w:ind w:firstLine="540"/>
        <w:jc w:val="both"/>
        <w:rPr>
          <w:sz w:val="28"/>
          <w:szCs w:val="28"/>
        </w:rPr>
      </w:pPr>
      <w:r>
        <w:rPr>
          <w:sz w:val="28"/>
          <w:szCs w:val="28"/>
        </w:rPr>
        <w:t xml:space="preserve">С 1 января 2019 года сфера </w:t>
      </w:r>
      <w:r w:rsidR="00550C92">
        <w:rPr>
          <w:sz w:val="28"/>
          <w:szCs w:val="28"/>
        </w:rPr>
        <w:t xml:space="preserve">деятельности </w:t>
      </w:r>
      <w:r>
        <w:rPr>
          <w:sz w:val="28"/>
          <w:szCs w:val="28"/>
        </w:rPr>
        <w:t>обращения с отходами по всей стране начала жить по абсолютно новым правилам. Отправным стартом новых правил обращения с твердыми коммунальными отходами (далее – ТКО) является комплексная Стратегия обращения с твёрдыми коммунальными (бытовыми) отходами в Российской Федерации до 2030 г., утвержденная приказом Минприроды России от 14 августа 2013 г. № 298.</w:t>
      </w:r>
    </w:p>
    <w:p w:rsidR="005727C2" w:rsidRDefault="005727C2" w:rsidP="00876367">
      <w:pPr>
        <w:autoSpaceDE w:val="0"/>
        <w:autoSpaceDN w:val="0"/>
        <w:adjustRightInd w:val="0"/>
        <w:spacing w:after="0" w:line="240" w:lineRule="auto"/>
        <w:ind w:firstLine="540"/>
        <w:jc w:val="both"/>
        <w:rPr>
          <w:sz w:val="28"/>
          <w:szCs w:val="28"/>
        </w:rPr>
      </w:pPr>
      <w:r>
        <w:rPr>
          <w:sz w:val="28"/>
          <w:szCs w:val="28"/>
        </w:rPr>
        <w:t xml:space="preserve"> Предметом данной комплексной стратегии являются отходы, которые образуются в многоквартирных и индивидуальных жилых домах в результате потребления товаров (продукции) физическими лицами и включают также товары (продукцию), использованные физическими лицами в целях удовлетворения личных потребностей и утратившие свои потребительские свойства.</w:t>
      </w:r>
    </w:p>
    <w:p w:rsidR="005727C2" w:rsidRDefault="005727C2" w:rsidP="00876367">
      <w:pPr>
        <w:autoSpaceDE w:val="0"/>
        <w:autoSpaceDN w:val="0"/>
        <w:adjustRightInd w:val="0"/>
        <w:spacing w:after="0" w:line="240" w:lineRule="auto"/>
        <w:ind w:firstLine="540"/>
        <w:jc w:val="both"/>
        <w:rPr>
          <w:sz w:val="28"/>
          <w:szCs w:val="28"/>
        </w:rPr>
      </w:pPr>
      <w:r>
        <w:rPr>
          <w:sz w:val="28"/>
          <w:szCs w:val="28"/>
        </w:rPr>
        <w:t>Реализация направлений действий, предусмотренных комплексной стратегией, должна обеспечить:</w:t>
      </w:r>
    </w:p>
    <w:p w:rsidR="00876367" w:rsidRPr="00876367" w:rsidRDefault="005727C2" w:rsidP="00763A8B">
      <w:pPr>
        <w:pStyle w:val="a6"/>
        <w:numPr>
          <w:ilvl w:val="0"/>
          <w:numId w:val="11"/>
        </w:numPr>
        <w:autoSpaceDE w:val="0"/>
        <w:autoSpaceDN w:val="0"/>
        <w:adjustRightInd w:val="0"/>
        <w:spacing w:after="0" w:line="240" w:lineRule="auto"/>
        <w:ind w:left="567" w:firstLine="0"/>
        <w:jc w:val="both"/>
        <w:rPr>
          <w:rFonts w:ascii="Times New Roman" w:eastAsia="MS Mincho" w:hAnsi="Times New Roman"/>
          <w:sz w:val="28"/>
          <w:szCs w:val="28"/>
          <w:lang w:eastAsia="ru-RU"/>
        </w:rPr>
      </w:pPr>
      <w:r w:rsidRPr="00876367">
        <w:rPr>
          <w:rFonts w:ascii="Times New Roman" w:eastAsia="MS Mincho" w:hAnsi="Times New Roman"/>
          <w:sz w:val="28"/>
          <w:szCs w:val="28"/>
          <w:lang w:eastAsia="ru-RU"/>
        </w:rPr>
        <w:t>сокращение образования ТКО;</w:t>
      </w:r>
    </w:p>
    <w:p w:rsidR="00876367" w:rsidRPr="00876367" w:rsidRDefault="005727C2" w:rsidP="00763A8B">
      <w:pPr>
        <w:pStyle w:val="a6"/>
        <w:numPr>
          <w:ilvl w:val="0"/>
          <w:numId w:val="11"/>
        </w:numPr>
        <w:autoSpaceDE w:val="0"/>
        <w:autoSpaceDN w:val="0"/>
        <w:adjustRightInd w:val="0"/>
        <w:spacing w:after="0" w:line="240" w:lineRule="auto"/>
        <w:ind w:left="567" w:firstLine="0"/>
        <w:jc w:val="both"/>
        <w:rPr>
          <w:rFonts w:ascii="Times New Roman" w:eastAsia="MS Mincho" w:hAnsi="Times New Roman"/>
          <w:sz w:val="28"/>
          <w:szCs w:val="28"/>
          <w:lang w:eastAsia="ru-RU"/>
        </w:rPr>
      </w:pPr>
      <w:r w:rsidRPr="00876367">
        <w:rPr>
          <w:rFonts w:ascii="Times New Roman" w:eastAsia="MS Mincho" w:hAnsi="Times New Roman"/>
          <w:sz w:val="28"/>
          <w:szCs w:val="28"/>
          <w:lang w:eastAsia="ru-RU"/>
        </w:rPr>
        <w:t>кратное увеличение объемов ТКО, вовлекаемых в хозяйственный оборот в качестве дополнительных материальных и энергетических ресурсов;</w:t>
      </w:r>
    </w:p>
    <w:p w:rsidR="00876367" w:rsidRPr="00876367" w:rsidRDefault="005727C2" w:rsidP="00763A8B">
      <w:pPr>
        <w:pStyle w:val="a6"/>
        <w:numPr>
          <w:ilvl w:val="0"/>
          <w:numId w:val="11"/>
        </w:numPr>
        <w:autoSpaceDE w:val="0"/>
        <w:autoSpaceDN w:val="0"/>
        <w:adjustRightInd w:val="0"/>
        <w:spacing w:after="0" w:line="240" w:lineRule="auto"/>
        <w:ind w:left="567" w:firstLine="0"/>
        <w:jc w:val="both"/>
        <w:rPr>
          <w:rFonts w:ascii="Times New Roman" w:eastAsia="MS Mincho" w:hAnsi="Times New Roman"/>
          <w:sz w:val="28"/>
          <w:szCs w:val="28"/>
          <w:lang w:eastAsia="ru-RU"/>
        </w:rPr>
      </w:pPr>
      <w:r w:rsidRPr="00876367">
        <w:rPr>
          <w:rFonts w:ascii="Times New Roman" w:eastAsia="MS Mincho" w:hAnsi="Times New Roman"/>
          <w:sz w:val="28"/>
          <w:szCs w:val="28"/>
          <w:lang w:eastAsia="ru-RU"/>
        </w:rPr>
        <w:t>сокращение объемов ТКО, направляемых на захоронение;</w:t>
      </w:r>
    </w:p>
    <w:p w:rsidR="005727C2" w:rsidRPr="00876367" w:rsidRDefault="005727C2" w:rsidP="00763A8B">
      <w:pPr>
        <w:pStyle w:val="a6"/>
        <w:numPr>
          <w:ilvl w:val="0"/>
          <w:numId w:val="11"/>
        </w:numPr>
        <w:autoSpaceDE w:val="0"/>
        <w:autoSpaceDN w:val="0"/>
        <w:adjustRightInd w:val="0"/>
        <w:spacing w:after="0" w:line="240" w:lineRule="auto"/>
        <w:ind w:left="567" w:firstLine="0"/>
        <w:jc w:val="both"/>
        <w:rPr>
          <w:rFonts w:ascii="Times New Roman" w:eastAsia="MS Mincho" w:hAnsi="Times New Roman"/>
          <w:sz w:val="28"/>
          <w:szCs w:val="28"/>
          <w:lang w:eastAsia="ru-RU"/>
        </w:rPr>
      </w:pPr>
      <w:r w:rsidRPr="00876367">
        <w:rPr>
          <w:rFonts w:ascii="Times New Roman" w:eastAsia="MS Mincho" w:hAnsi="Times New Roman"/>
          <w:sz w:val="28"/>
          <w:szCs w:val="28"/>
          <w:lang w:eastAsia="ru-RU"/>
        </w:rPr>
        <w:t>уменьшение негативного воздействия отходов на окружающую среду и здоровье населения.</w:t>
      </w:r>
    </w:p>
    <w:p w:rsidR="005727C2" w:rsidRDefault="005727C2" w:rsidP="00876367">
      <w:pPr>
        <w:autoSpaceDE w:val="0"/>
        <w:autoSpaceDN w:val="0"/>
        <w:adjustRightInd w:val="0"/>
        <w:spacing w:after="0" w:line="240" w:lineRule="auto"/>
        <w:ind w:firstLine="540"/>
        <w:jc w:val="both"/>
        <w:rPr>
          <w:sz w:val="28"/>
          <w:szCs w:val="28"/>
        </w:rPr>
      </w:pPr>
      <w:r>
        <w:rPr>
          <w:sz w:val="28"/>
          <w:szCs w:val="28"/>
        </w:rPr>
        <w:t>Главное нововведение реформы в России заключается в том, что:</w:t>
      </w:r>
    </w:p>
    <w:p w:rsidR="005727C2" w:rsidRDefault="005727C2" w:rsidP="00876367">
      <w:pPr>
        <w:autoSpaceDE w:val="0"/>
        <w:autoSpaceDN w:val="0"/>
        <w:adjustRightInd w:val="0"/>
        <w:spacing w:after="0" w:line="240" w:lineRule="auto"/>
        <w:ind w:firstLine="540"/>
        <w:jc w:val="both"/>
        <w:rPr>
          <w:sz w:val="28"/>
          <w:szCs w:val="28"/>
        </w:rPr>
      </w:pPr>
      <w:r>
        <w:rPr>
          <w:sz w:val="28"/>
          <w:szCs w:val="28"/>
        </w:rPr>
        <w:t xml:space="preserve">- услуга по вывозу ТКО стала коммунальной, закрепив свои позиции законодательно, с внесением изменений в Жилищный Кодекс Российской Федерации и другие законодательные акты; </w:t>
      </w:r>
    </w:p>
    <w:p w:rsidR="005727C2" w:rsidRDefault="005727C2" w:rsidP="00876367">
      <w:pPr>
        <w:autoSpaceDE w:val="0"/>
        <w:autoSpaceDN w:val="0"/>
        <w:adjustRightInd w:val="0"/>
        <w:spacing w:after="0" w:line="240" w:lineRule="auto"/>
        <w:ind w:firstLine="540"/>
        <w:jc w:val="both"/>
        <w:rPr>
          <w:sz w:val="28"/>
          <w:szCs w:val="28"/>
        </w:rPr>
      </w:pPr>
      <w:r>
        <w:rPr>
          <w:sz w:val="28"/>
          <w:szCs w:val="28"/>
        </w:rPr>
        <w:t xml:space="preserve">- в регионах Российской Федерации появился единый региональный оператор по обращению с отходами — юридическое лицо, ответственное за вывоз мусора с момента погрузки и до размещения на полигоне. </w:t>
      </w:r>
    </w:p>
    <w:p w:rsidR="005727C2" w:rsidRDefault="005727C2" w:rsidP="00876367">
      <w:pPr>
        <w:autoSpaceDE w:val="0"/>
        <w:autoSpaceDN w:val="0"/>
        <w:adjustRightInd w:val="0"/>
        <w:spacing w:after="0" w:line="240" w:lineRule="auto"/>
        <w:ind w:firstLine="540"/>
        <w:jc w:val="both"/>
        <w:rPr>
          <w:sz w:val="28"/>
          <w:szCs w:val="28"/>
        </w:rPr>
      </w:pPr>
      <w:r>
        <w:rPr>
          <w:sz w:val="28"/>
          <w:szCs w:val="28"/>
        </w:rPr>
        <w:lastRenderedPageBreak/>
        <w:t xml:space="preserve"> Региональные операторы по обращению с </w:t>
      </w:r>
      <w:r w:rsidR="00876367">
        <w:rPr>
          <w:sz w:val="28"/>
          <w:szCs w:val="28"/>
        </w:rPr>
        <w:t>ТКО</w:t>
      </w:r>
      <w:r>
        <w:rPr>
          <w:sz w:val="28"/>
          <w:szCs w:val="28"/>
        </w:rPr>
        <w:t xml:space="preserve"> отвечают за весь комплекс операций, связанных с безопасным использованием образовавшихся ТКО вплоть до размещения отходов на полигонах.</w:t>
      </w:r>
    </w:p>
    <w:p w:rsidR="005727C2" w:rsidRDefault="005727C2" w:rsidP="00876367">
      <w:pPr>
        <w:autoSpaceDE w:val="0"/>
        <w:autoSpaceDN w:val="0"/>
        <w:adjustRightInd w:val="0"/>
        <w:spacing w:after="0" w:line="240" w:lineRule="auto"/>
        <w:ind w:firstLine="540"/>
        <w:jc w:val="both"/>
        <w:rPr>
          <w:sz w:val="28"/>
          <w:szCs w:val="28"/>
        </w:rPr>
      </w:pPr>
      <w:r>
        <w:rPr>
          <w:sz w:val="28"/>
          <w:szCs w:val="28"/>
        </w:rPr>
        <w:t xml:space="preserve">В Основах государственной политики в области экологического развития Российской Федерации на период до 2030 года в части обращения с отходами предполагается раздельный сбор отходов, жёсткие санкции за ненадлежащую утилизацию, поэтапное введение запрета на захоронение отходов, пригодных к вторичной переработке. </w:t>
      </w:r>
    </w:p>
    <w:p w:rsidR="005727C2" w:rsidRDefault="005727C2" w:rsidP="00876367">
      <w:pPr>
        <w:autoSpaceDE w:val="0"/>
        <w:autoSpaceDN w:val="0"/>
        <w:adjustRightInd w:val="0"/>
        <w:spacing w:after="0" w:line="240" w:lineRule="auto"/>
        <w:ind w:firstLine="540"/>
        <w:jc w:val="both"/>
        <w:rPr>
          <w:sz w:val="28"/>
          <w:szCs w:val="28"/>
        </w:rPr>
      </w:pPr>
      <w:r>
        <w:rPr>
          <w:sz w:val="28"/>
          <w:szCs w:val="28"/>
        </w:rPr>
        <w:t>Новосибирская область приступила к внедрению новой модели регулирования сферы обращения с ТКО в соответствии с территориальной схемой обращения с отходами, в том числе с ТКО, Новосибирской области, утвержденной постановлением Правительства Новосибирской области от 26.09.2016 № 292-п.</w:t>
      </w:r>
    </w:p>
    <w:p w:rsidR="005727C2" w:rsidRDefault="005727C2" w:rsidP="00876367">
      <w:pPr>
        <w:autoSpaceDE w:val="0"/>
        <w:autoSpaceDN w:val="0"/>
        <w:adjustRightInd w:val="0"/>
        <w:spacing w:after="0" w:line="240" w:lineRule="auto"/>
        <w:ind w:firstLine="540"/>
        <w:jc w:val="both"/>
        <w:rPr>
          <w:sz w:val="28"/>
          <w:szCs w:val="28"/>
        </w:rPr>
      </w:pPr>
      <w:r>
        <w:rPr>
          <w:sz w:val="28"/>
          <w:szCs w:val="28"/>
        </w:rPr>
        <w:t xml:space="preserve">По результатам конкурсного отбора (протокол рассмотрения заявок на участие в конкурсном отборе регионального оператора по обращению с твердыми коммунальными отходами на территории Новосибирской области от 12.07.2018) Общество с ограниченной ответственностью «Экология-Новосибирск» </w:t>
      </w:r>
      <w:r w:rsidR="00B25BEA">
        <w:rPr>
          <w:sz w:val="28"/>
          <w:szCs w:val="28"/>
        </w:rPr>
        <w:t xml:space="preserve">(далее - </w:t>
      </w:r>
      <w:r w:rsidR="00B25BEA" w:rsidRPr="00876367">
        <w:rPr>
          <w:sz w:val="28"/>
          <w:szCs w:val="28"/>
        </w:rPr>
        <w:t>ООО «Экология-Новосибирск»</w:t>
      </w:r>
      <w:r w:rsidR="00B25BEA">
        <w:rPr>
          <w:sz w:val="28"/>
          <w:szCs w:val="28"/>
        </w:rPr>
        <w:t xml:space="preserve">) </w:t>
      </w:r>
      <w:r>
        <w:rPr>
          <w:sz w:val="28"/>
          <w:szCs w:val="28"/>
        </w:rPr>
        <w:t>определено региональным оператором по обращению с ТКО на территории Новосибирской области.</w:t>
      </w:r>
    </w:p>
    <w:p w:rsidR="005727C2" w:rsidRPr="00876367" w:rsidRDefault="005727C2" w:rsidP="00876367">
      <w:pPr>
        <w:autoSpaceDE w:val="0"/>
        <w:autoSpaceDN w:val="0"/>
        <w:adjustRightInd w:val="0"/>
        <w:spacing w:line="240" w:lineRule="auto"/>
        <w:ind w:firstLine="540"/>
        <w:jc w:val="both"/>
        <w:rPr>
          <w:sz w:val="28"/>
          <w:szCs w:val="28"/>
        </w:rPr>
      </w:pPr>
      <w:r w:rsidRPr="00876367">
        <w:rPr>
          <w:sz w:val="28"/>
          <w:szCs w:val="28"/>
        </w:rPr>
        <w:t>Между Министерством жилищно-коммунального хозяйства и энергетики Новосибирской области и ООО «Экология-Новосибирск» 25.07.2018г. заключено соглашение об организации деятельности по обращению с ТКО на территории Новосибирской области (далее - Соглашение).</w:t>
      </w:r>
    </w:p>
    <w:p w:rsidR="005727C2" w:rsidRPr="00876367" w:rsidRDefault="005727C2" w:rsidP="00876367">
      <w:pPr>
        <w:autoSpaceDE w:val="0"/>
        <w:autoSpaceDN w:val="0"/>
        <w:adjustRightInd w:val="0"/>
        <w:spacing w:line="240" w:lineRule="auto"/>
        <w:ind w:firstLine="540"/>
        <w:jc w:val="both"/>
        <w:rPr>
          <w:sz w:val="28"/>
          <w:szCs w:val="28"/>
        </w:rPr>
      </w:pPr>
      <w:r w:rsidRPr="00876367">
        <w:rPr>
          <w:sz w:val="28"/>
          <w:szCs w:val="28"/>
        </w:rPr>
        <w:t>Предметом Соглашения является обеспечение региональным оператором деятельности по обращению с ТКО на территории Новосибирской области, включающей в себя сбор, в том числе раздельный сбор, транспортирование, обработку, утилизацию, обезвреживание, захоронение ТКО самостоятельно или с привлечением операторов по обращению с ТКО.</w:t>
      </w:r>
    </w:p>
    <w:p w:rsidR="005727C2" w:rsidRPr="00876367" w:rsidRDefault="005727C2" w:rsidP="00876367">
      <w:pPr>
        <w:autoSpaceDE w:val="0"/>
        <w:autoSpaceDN w:val="0"/>
        <w:adjustRightInd w:val="0"/>
        <w:spacing w:line="240" w:lineRule="auto"/>
        <w:ind w:firstLine="540"/>
        <w:jc w:val="both"/>
        <w:rPr>
          <w:sz w:val="28"/>
          <w:szCs w:val="28"/>
        </w:rPr>
      </w:pPr>
      <w:r w:rsidRPr="00876367">
        <w:rPr>
          <w:sz w:val="28"/>
          <w:szCs w:val="28"/>
        </w:rPr>
        <w:t>Деятельность ООО «Экология-Новосибирск» по обращению с ТКО, определенная Соглашением, начата на территории Новосибирской области 1 января 2019г.</w:t>
      </w:r>
    </w:p>
    <w:p w:rsidR="005727C2" w:rsidRPr="00876367" w:rsidRDefault="005727C2" w:rsidP="00B25BEA">
      <w:pPr>
        <w:autoSpaceDE w:val="0"/>
        <w:autoSpaceDN w:val="0"/>
        <w:adjustRightInd w:val="0"/>
        <w:spacing w:after="0" w:line="240" w:lineRule="auto"/>
        <w:ind w:firstLine="540"/>
        <w:jc w:val="both"/>
        <w:rPr>
          <w:sz w:val="28"/>
          <w:szCs w:val="28"/>
        </w:rPr>
      </w:pPr>
      <w:r w:rsidRPr="00876367">
        <w:rPr>
          <w:sz w:val="28"/>
          <w:szCs w:val="28"/>
        </w:rPr>
        <w:t xml:space="preserve">С 1 января 2019 года изменилась и структура платы за жилое помещение и коммунальные услуги. Так, услуга по обращению с ТКО, которая ранее оплачивалась в составе платы за содержание и ремонт жилого помещения и рассчитывалась исходя из общей площади жилого помещения, теперь исключена из платы за жилищную услугу и включена в состав платы за коммунальные услуги. Для владельцев индивидуальных домов с 01.01.2019 появляется платеж за услугу по обращению с ТКО. </w:t>
      </w:r>
    </w:p>
    <w:p w:rsidR="005727C2" w:rsidRPr="00876367" w:rsidRDefault="005727C2" w:rsidP="00B25BEA">
      <w:pPr>
        <w:autoSpaceDE w:val="0"/>
        <w:autoSpaceDN w:val="0"/>
        <w:adjustRightInd w:val="0"/>
        <w:spacing w:after="0" w:line="240" w:lineRule="auto"/>
        <w:ind w:firstLine="540"/>
        <w:jc w:val="both"/>
        <w:rPr>
          <w:sz w:val="28"/>
          <w:szCs w:val="28"/>
        </w:rPr>
      </w:pPr>
      <w:r w:rsidRPr="00876367">
        <w:rPr>
          <w:sz w:val="28"/>
          <w:szCs w:val="28"/>
        </w:rPr>
        <w:t xml:space="preserve">Таким образом, услугу по обращению с ТКО оплачивают все и везде: собственники и наниматели в многоквартирных домах, владельцы индивидуальных домов, члены садоводческих и дачных некоммерческих </w:t>
      </w:r>
      <w:r w:rsidRPr="00876367">
        <w:rPr>
          <w:sz w:val="28"/>
          <w:szCs w:val="28"/>
        </w:rPr>
        <w:lastRenderedPageBreak/>
        <w:t>товариществ, юридические лица. Отказаться от оплаты за</w:t>
      </w:r>
      <w:r w:rsidR="00CE22B2">
        <w:rPr>
          <w:sz w:val="28"/>
          <w:szCs w:val="28"/>
        </w:rPr>
        <w:t xml:space="preserve"> оказанную</w:t>
      </w:r>
      <w:r w:rsidRPr="00876367">
        <w:rPr>
          <w:sz w:val="28"/>
          <w:szCs w:val="28"/>
        </w:rPr>
        <w:t xml:space="preserve"> услугу невозможно: договор, содержащий положения о предоставлении коммунальной услуги по обращению с ТКО, заключается с исполнителем такой услуги, как в письменной форме, так и путем совершения конклюдентных действий. Указанный договор содержит, в том числе условия оказания услуги и порядок оплаты за оказанную услугу. </w:t>
      </w:r>
    </w:p>
    <w:p w:rsidR="005727C2" w:rsidRPr="00876367" w:rsidRDefault="005727C2" w:rsidP="00B25BEA">
      <w:pPr>
        <w:autoSpaceDE w:val="0"/>
        <w:autoSpaceDN w:val="0"/>
        <w:adjustRightInd w:val="0"/>
        <w:spacing w:after="0" w:line="240" w:lineRule="auto"/>
        <w:ind w:firstLine="540"/>
        <w:jc w:val="both"/>
        <w:rPr>
          <w:sz w:val="28"/>
          <w:szCs w:val="28"/>
        </w:rPr>
      </w:pPr>
      <w:r w:rsidRPr="00876367">
        <w:rPr>
          <w:sz w:val="28"/>
          <w:szCs w:val="28"/>
        </w:rPr>
        <w:t>В соответствии с нормами действующего законодательства тарифы и нормативы на услугу по обращению с ТКО устанавливаются органами государственной власти субъектов Российской Федерации в порядке, установленном федеральным законом. На территории Новосибирской области таким уполномоченным органом является департамент по тарифам Новосибирской области (далее – Департамент), эти полномочия закреплены за ним Положением о департаменте по тарифам Новосибирской области, утвержденным постановлением Правительства Новосибирской области от 25.02.2013 № 74-п.</w:t>
      </w:r>
    </w:p>
    <w:p w:rsidR="005727C2" w:rsidRPr="00876367" w:rsidRDefault="005727C2" w:rsidP="00876367">
      <w:pPr>
        <w:autoSpaceDE w:val="0"/>
        <w:autoSpaceDN w:val="0"/>
        <w:adjustRightInd w:val="0"/>
        <w:spacing w:line="240" w:lineRule="auto"/>
        <w:ind w:firstLine="540"/>
        <w:jc w:val="both"/>
        <w:rPr>
          <w:sz w:val="28"/>
          <w:szCs w:val="28"/>
        </w:rPr>
      </w:pPr>
      <w:r w:rsidRPr="00876367">
        <w:rPr>
          <w:sz w:val="28"/>
          <w:szCs w:val="28"/>
        </w:rPr>
        <w:t>Приказом Департамента от 20.10.2017 № 342-ЖКХ «Об утверждении нормативов накопления твердых коммунальных отходов на территории Новосибирской области» утверждены нормативы накопления ТКО в отношении домовладений и объектов общественного значения на территории Новосибирской области.</w:t>
      </w:r>
    </w:p>
    <w:p w:rsidR="005727C2" w:rsidRPr="00B25BEA" w:rsidRDefault="00B25BEA" w:rsidP="006323CF">
      <w:pPr>
        <w:autoSpaceDE w:val="0"/>
        <w:autoSpaceDN w:val="0"/>
        <w:adjustRightInd w:val="0"/>
        <w:spacing w:after="0" w:line="240" w:lineRule="auto"/>
        <w:rPr>
          <w:b/>
          <w:sz w:val="28"/>
          <w:szCs w:val="28"/>
        </w:rPr>
      </w:pPr>
      <w:r w:rsidRPr="00B25BEA">
        <w:rPr>
          <w:b/>
          <w:sz w:val="28"/>
          <w:szCs w:val="28"/>
        </w:rPr>
        <w:t>2.5.</w:t>
      </w:r>
      <w:r w:rsidR="006323CF">
        <w:rPr>
          <w:b/>
          <w:sz w:val="28"/>
          <w:szCs w:val="28"/>
        </w:rPr>
        <w:t>2</w:t>
      </w:r>
      <w:r w:rsidRPr="00B25BEA">
        <w:rPr>
          <w:b/>
          <w:sz w:val="28"/>
          <w:szCs w:val="28"/>
        </w:rPr>
        <w:t xml:space="preserve">. </w:t>
      </w:r>
      <w:r w:rsidR="005727C2" w:rsidRPr="00B25BEA">
        <w:rPr>
          <w:b/>
          <w:sz w:val="28"/>
          <w:szCs w:val="28"/>
        </w:rPr>
        <w:t>Структура предельного единого тарифа на услугу регионального оператора по обращению с ТКО</w:t>
      </w:r>
    </w:p>
    <w:p w:rsidR="005727C2" w:rsidRPr="00876367" w:rsidRDefault="005727C2" w:rsidP="006323CF">
      <w:pPr>
        <w:autoSpaceDE w:val="0"/>
        <w:autoSpaceDN w:val="0"/>
        <w:adjustRightInd w:val="0"/>
        <w:spacing w:after="0" w:line="240" w:lineRule="auto"/>
        <w:ind w:firstLine="709"/>
        <w:jc w:val="both"/>
        <w:rPr>
          <w:sz w:val="28"/>
          <w:szCs w:val="28"/>
        </w:rPr>
      </w:pPr>
      <w:r>
        <w:rPr>
          <w:sz w:val="28"/>
          <w:szCs w:val="28"/>
        </w:rPr>
        <w:t xml:space="preserve">Предельный единый тариф на услугу регионального оператора по обращению с ТКО </w:t>
      </w:r>
      <w:r w:rsidR="006323CF">
        <w:rPr>
          <w:sz w:val="28"/>
          <w:szCs w:val="28"/>
        </w:rPr>
        <w:t xml:space="preserve">- </w:t>
      </w:r>
      <w:r w:rsidR="006323CF" w:rsidRPr="00876367">
        <w:rPr>
          <w:sz w:val="28"/>
          <w:szCs w:val="28"/>
        </w:rPr>
        <w:t xml:space="preserve">ООО «Экология-Новосибирск» </w:t>
      </w:r>
      <w:r w:rsidR="006323CF">
        <w:rPr>
          <w:sz w:val="28"/>
          <w:szCs w:val="28"/>
        </w:rPr>
        <w:t xml:space="preserve"> </w:t>
      </w:r>
      <w:r>
        <w:rPr>
          <w:sz w:val="28"/>
          <w:szCs w:val="28"/>
        </w:rPr>
        <w:t xml:space="preserve">на 2020 год установлен департаментом </w:t>
      </w:r>
      <w:r w:rsidRPr="00876367">
        <w:rPr>
          <w:sz w:val="28"/>
          <w:szCs w:val="28"/>
        </w:rPr>
        <w:t xml:space="preserve">с соблюдением </w:t>
      </w:r>
      <w:r>
        <w:rPr>
          <w:sz w:val="28"/>
          <w:szCs w:val="28"/>
        </w:rPr>
        <w:t xml:space="preserve">требований следующих </w:t>
      </w:r>
      <w:r w:rsidRPr="00876367">
        <w:rPr>
          <w:sz w:val="28"/>
          <w:szCs w:val="28"/>
        </w:rPr>
        <w:t>нормативных правовых актов Российской Федерации</w:t>
      </w:r>
      <w:r>
        <w:rPr>
          <w:sz w:val="28"/>
          <w:szCs w:val="28"/>
        </w:rPr>
        <w:t xml:space="preserve">, </w:t>
      </w:r>
      <w:r w:rsidRPr="00876367">
        <w:rPr>
          <w:sz w:val="28"/>
          <w:szCs w:val="28"/>
        </w:rPr>
        <w:t>регламентирующих порядок государственного регулирования</w:t>
      </w:r>
      <w:r w:rsidR="006323CF">
        <w:rPr>
          <w:sz w:val="28"/>
          <w:szCs w:val="28"/>
        </w:rPr>
        <w:t xml:space="preserve"> цен (</w:t>
      </w:r>
      <w:r w:rsidRPr="00876367">
        <w:rPr>
          <w:sz w:val="28"/>
          <w:szCs w:val="28"/>
        </w:rPr>
        <w:t>тарифов</w:t>
      </w:r>
      <w:r w:rsidR="006323CF">
        <w:rPr>
          <w:sz w:val="28"/>
          <w:szCs w:val="28"/>
        </w:rPr>
        <w:t>)</w:t>
      </w:r>
      <w:r w:rsidRPr="00876367">
        <w:rPr>
          <w:sz w:val="28"/>
          <w:szCs w:val="28"/>
        </w:rPr>
        <w:t xml:space="preserve"> в области обращения с ТКО:</w:t>
      </w:r>
    </w:p>
    <w:p w:rsidR="005727C2" w:rsidRDefault="005727C2" w:rsidP="006323CF">
      <w:pPr>
        <w:autoSpaceDE w:val="0"/>
        <w:autoSpaceDN w:val="0"/>
        <w:adjustRightInd w:val="0"/>
        <w:spacing w:after="0" w:line="240" w:lineRule="auto"/>
        <w:ind w:firstLine="720"/>
        <w:jc w:val="both"/>
        <w:rPr>
          <w:sz w:val="28"/>
          <w:szCs w:val="28"/>
        </w:rPr>
      </w:pPr>
      <w:r>
        <w:rPr>
          <w:sz w:val="28"/>
          <w:szCs w:val="28"/>
        </w:rPr>
        <w:t>-Федерального закона от 24.06.1998 № 89-ФЗ «Об отходах производства и потребления» (глава V.1);</w:t>
      </w:r>
    </w:p>
    <w:p w:rsidR="005727C2" w:rsidRPr="00876367" w:rsidRDefault="005727C2" w:rsidP="006323CF">
      <w:pPr>
        <w:autoSpaceDE w:val="0"/>
        <w:autoSpaceDN w:val="0"/>
        <w:adjustRightInd w:val="0"/>
        <w:spacing w:after="0" w:line="240" w:lineRule="auto"/>
        <w:ind w:firstLine="720"/>
        <w:jc w:val="both"/>
        <w:rPr>
          <w:sz w:val="28"/>
          <w:szCs w:val="28"/>
        </w:rPr>
      </w:pPr>
      <w:r>
        <w:rPr>
          <w:sz w:val="28"/>
          <w:szCs w:val="28"/>
        </w:rPr>
        <w:t xml:space="preserve">-постановления Правительства Российской Федерации от 30.05.2016 № 484 «О ценообразовании в области обращения с твердыми коммунальными отходами», которым утверждены Основы ценообразования в области обращения с твердыми коммунальными отходами и </w:t>
      </w:r>
      <w:hyperlink r:id="rId77" w:history="1">
        <w:r w:rsidRPr="00876367">
          <w:rPr>
            <w:sz w:val="28"/>
            <w:szCs w:val="28"/>
          </w:rPr>
          <w:t>Правил</w:t>
        </w:r>
      </w:hyperlink>
      <w:r>
        <w:rPr>
          <w:sz w:val="28"/>
          <w:szCs w:val="28"/>
        </w:rPr>
        <w:t>а регулирования тарифов в сфере обращения с твердыми коммунальными отходами (</w:t>
      </w:r>
      <w:r w:rsidRPr="00876367">
        <w:rPr>
          <w:sz w:val="28"/>
          <w:szCs w:val="28"/>
        </w:rPr>
        <w:t>далее – Основы № 484 и Правила № 484</w:t>
      </w:r>
      <w:r>
        <w:rPr>
          <w:sz w:val="28"/>
          <w:szCs w:val="28"/>
        </w:rPr>
        <w:t>);</w:t>
      </w:r>
      <w:r w:rsidRPr="00876367">
        <w:rPr>
          <w:sz w:val="28"/>
          <w:szCs w:val="28"/>
        </w:rPr>
        <w:t xml:space="preserve"> </w:t>
      </w:r>
    </w:p>
    <w:p w:rsidR="005727C2" w:rsidRDefault="005727C2" w:rsidP="006323CF">
      <w:pPr>
        <w:autoSpaceDE w:val="0"/>
        <w:autoSpaceDN w:val="0"/>
        <w:adjustRightInd w:val="0"/>
        <w:spacing w:after="0" w:line="240" w:lineRule="auto"/>
        <w:ind w:firstLine="720"/>
        <w:jc w:val="both"/>
        <w:rPr>
          <w:sz w:val="28"/>
          <w:szCs w:val="28"/>
        </w:rPr>
      </w:pPr>
      <w:r w:rsidRPr="00876367">
        <w:rPr>
          <w:sz w:val="28"/>
          <w:szCs w:val="28"/>
        </w:rPr>
        <w:t>-</w:t>
      </w:r>
      <w:r>
        <w:rPr>
          <w:sz w:val="28"/>
          <w:szCs w:val="28"/>
        </w:rPr>
        <w:t>приказом Федеральной антимонопольной службы от 21.11.2016 № 1638/16, которым утверждены Методические указания по расчету регулируемых тарифов в области обращения с твердыми коммунальными отходами (</w:t>
      </w:r>
      <w:r w:rsidRPr="00876367">
        <w:rPr>
          <w:sz w:val="28"/>
          <w:szCs w:val="28"/>
        </w:rPr>
        <w:t>далее – Методические указания № 1638/16</w:t>
      </w:r>
      <w:r>
        <w:rPr>
          <w:sz w:val="28"/>
          <w:szCs w:val="28"/>
        </w:rPr>
        <w:t>).</w:t>
      </w:r>
    </w:p>
    <w:p w:rsidR="005727C2" w:rsidRPr="00876367" w:rsidRDefault="005727C2" w:rsidP="006323CF">
      <w:pPr>
        <w:autoSpaceDE w:val="0"/>
        <w:autoSpaceDN w:val="0"/>
        <w:adjustRightInd w:val="0"/>
        <w:spacing w:after="0" w:line="240" w:lineRule="auto"/>
        <w:ind w:firstLine="709"/>
        <w:jc w:val="both"/>
        <w:rPr>
          <w:sz w:val="28"/>
          <w:szCs w:val="28"/>
        </w:rPr>
      </w:pPr>
      <w:r w:rsidRPr="00876367">
        <w:rPr>
          <w:sz w:val="28"/>
          <w:szCs w:val="28"/>
        </w:rPr>
        <w:t xml:space="preserve">Особенности </w:t>
      </w:r>
      <w:r>
        <w:rPr>
          <w:sz w:val="28"/>
          <w:szCs w:val="28"/>
        </w:rPr>
        <w:t xml:space="preserve">расчета необходимой валовой выручки регионального оператора по обращению с ТКО и </w:t>
      </w:r>
      <w:r w:rsidRPr="00876367">
        <w:rPr>
          <w:sz w:val="28"/>
          <w:szCs w:val="28"/>
        </w:rPr>
        <w:t xml:space="preserve">формирования единого тарифа на услугу регионального оператора по обращению с твердыми коммунальными отходами, </w:t>
      </w:r>
      <w:r>
        <w:rPr>
          <w:sz w:val="28"/>
          <w:szCs w:val="28"/>
        </w:rPr>
        <w:t>установлены</w:t>
      </w:r>
      <w:r w:rsidRPr="00876367">
        <w:rPr>
          <w:sz w:val="28"/>
          <w:szCs w:val="28"/>
        </w:rPr>
        <w:t xml:space="preserve">: разделом XI Основ ценообразования № 484; разделом VI (пункты 83-95) Методических указаний </w:t>
      </w:r>
      <w:r>
        <w:rPr>
          <w:sz w:val="28"/>
          <w:szCs w:val="28"/>
        </w:rPr>
        <w:t>№ 1638/16</w:t>
      </w:r>
      <w:r w:rsidRPr="00876367">
        <w:rPr>
          <w:sz w:val="28"/>
          <w:szCs w:val="28"/>
        </w:rPr>
        <w:t>.</w:t>
      </w:r>
    </w:p>
    <w:p w:rsidR="005727C2" w:rsidRPr="00876367" w:rsidRDefault="005727C2" w:rsidP="006323CF">
      <w:pPr>
        <w:autoSpaceDE w:val="0"/>
        <w:autoSpaceDN w:val="0"/>
        <w:adjustRightInd w:val="0"/>
        <w:spacing w:after="0" w:line="240" w:lineRule="auto"/>
        <w:ind w:firstLine="709"/>
        <w:jc w:val="both"/>
        <w:rPr>
          <w:sz w:val="28"/>
          <w:szCs w:val="28"/>
        </w:rPr>
      </w:pPr>
      <w:r w:rsidRPr="00876367">
        <w:rPr>
          <w:sz w:val="28"/>
          <w:szCs w:val="28"/>
        </w:rPr>
        <w:lastRenderedPageBreak/>
        <w:t xml:space="preserve">При установлении </w:t>
      </w:r>
      <w:r w:rsidR="006323CF" w:rsidRPr="006323CF">
        <w:rPr>
          <w:sz w:val="28"/>
          <w:szCs w:val="28"/>
          <w:u w:val="single"/>
        </w:rPr>
        <w:t>п</w:t>
      </w:r>
      <w:r w:rsidRPr="006323CF">
        <w:rPr>
          <w:sz w:val="28"/>
          <w:szCs w:val="28"/>
          <w:u w:val="single"/>
        </w:rPr>
        <w:t>редельного тарифа</w:t>
      </w:r>
      <w:r w:rsidRPr="00876367">
        <w:rPr>
          <w:sz w:val="28"/>
          <w:szCs w:val="28"/>
        </w:rPr>
        <w:t xml:space="preserve"> на 2020 год департаментом учтены вышеназванные требования, в том числе требования пункта 95 Методических указаний </w:t>
      </w:r>
      <w:r>
        <w:rPr>
          <w:sz w:val="28"/>
          <w:szCs w:val="28"/>
        </w:rPr>
        <w:t xml:space="preserve">№ 1638/16, предусматривающего </w:t>
      </w:r>
      <w:r w:rsidRPr="00876367">
        <w:rPr>
          <w:sz w:val="28"/>
          <w:szCs w:val="28"/>
        </w:rPr>
        <w:t xml:space="preserve">индексацию собственных расходов регионального оператора (с применением </w:t>
      </w:r>
      <w:r>
        <w:rPr>
          <w:sz w:val="28"/>
          <w:szCs w:val="28"/>
        </w:rPr>
        <w:t xml:space="preserve">индекса потребительских цен, </w:t>
      </w:r>
      <w:r w:rsidR="006323CF">
        <w:rPr>
          <w:sz w:val="28"/>
          <w:szCs w:val="28"/>
        </w:rPr>
        <w:t>определенного П</w:t>
      </w:r>
      <w:r>
        <w:rPr>
          <w:sz w:val="28"/>
          <w:szCs w:val="28"/>
        </w:rPr>
        <w:t>рогноз</w:t>
      </w:r>
      <w:r w:rsidR="006323CF">
        <w:rPr>
          <w:sz w:val="28"/>
          <w:szCs w:val="28"/>
        </w:rPr>
        <w:t>ом СЭР РФ</w:t>
      </w:r>
      <w:r>
        <w:rPr>
          <w:sz w:val="28"/>
          <w:szCs w:val="28"/>
        </w:rPr>
        <w:t xml:space="preserve"> при расчете вышеуказанного тарифа на второй и последующие годы действия соглашения об организации деятельности по обращению с твердыми коммунальными отходами, если иное не предусмотрено таким соглашением.</w:t>
      </w:r>
    </w:p>
    <w:p w:rsidR="005727C2" w:rsidRPr="00876367" w:rsidRDefault="005727C2" w:rsidP="006323CF">
      <w:pPr>
        <w:autoSpaceDE w:val="0"/>
        <w:autoSpaceDN w:val="0"/>
        <w:adjustRightInd w:val="0"/>
        <w:spacing w:after="0" w:line="240" w:lineRule="auto"/>
        <w:ind w:firstLine="709"/>
        <w:jc w:val="both"/>
        <w:rPr>
          <w:sz w:val="28"/>
          <w:szCs w:val="28"/>
        </w:rPr>
      </w:pPr>
      <w:r w:rsidRPr="00876367">
        <w:rPr>
          <w:sz w:val="28"/>
          <w:szCs w:val="28"/>
        </w:rPr>
        <w:t xml:space="preserve">Согласно подпункту 6 пункта 9 Соглашения </w:t>
      </w:r>
      <w:r w:rsidR="006323CF">
        <w:rPr>
          <w:sz w:val="28"/>
          <w:szCs w:val="28"/>
        </w:rPr>
        <w:t>р</w:t>
      </w:r>
      <w:r w:rsidRPr="00876367">
        <w:rPr>
          <w:sz w:val="28"/>
          <w:szCs w:val="28"/>
        </w:rPr>
        <w:t xml:space="preserve">егиональный оператор обязуется заключать договоры на оказание услуг по сбору и транспортированию </w:t>
      </w:r>
      <w:r>
        <w:rPr>
          <w:sz w:val="28"/>
          <w:szCs w:val="28"/>
        </w:rPr>
        <w:t>ТКО</w:t>
      </w:r>
      <w:r w:rsidRPr="00876367">
        <w:rPr>
          <w:sz w:val="28"/>
          <w:szCs w:val="28"/>
        </w:rPr>
        <w:t xml:space="preserve"> с операторами по обращению с ТКО, осуществляющими деятельность по сбору и транспортированию ТКО, по результатам торгов, проведенных в установленном законодательством Российской Федерации порядке.</w:t>
      </w:r>
    </w:p>
    <w:p w:rsidR="005727C2" w:rsidRPr="00876367" w:rsidRDefault="006323CF" w:rsidP="006323CF">
      <w:pPr>
        <w:autoSpaceDE w:val="0"/>
        <w:autoSpaceDN w:val="0"/>
        <w:adjustRightInd w:val="0"/>
        <w:spacing w:after="0" w:line="240" w:lineRule="auto"/>
        <w:ind w:firstLine="709"/>
        <w:jc w:val="both"/>
        <w:rPr>
          <w:sz w:val="28"/>
          <w:szCs w:val="28"/>
        </w:rPr>
      </w:pPr>
      <w:r>
        <w:rPr>
          <w:sz w:val="28"/>
          <w:szCs w:val="28"/>
        </w:rPr>
        <w:t>Согласно располагаемой Д</w:t>
      </w:r>
      <w:r w:rsidR="005727C2" w:rsidRPr="00876367">
        <w:rPr>
          <w:sz w:val="28"/>
          <w:szCs w:val="28"/>
        </w:rPr>
        <w:t xml:space="preserve">епартаментом информации в соответствии с требованиями Правил проведения торгов, по результатам которых формируются цены на услуги по транспортированию ТКО для регионального оператора, утвержденных постановлением Правительства Российской Федерации от 03.11.2016 № 1133, ООО «Экология-Новосибирск» проведены торги </w:t>
      </w:r>
      <w:r w:rsidR="005727C2">
        <w:rPr>
          <w:sz w:val="28"/>
          <w:szCs w:val="28"/>
        </w:rPr>
        <w:t xml:space="preserve">на осуществление транспортирования ТКО </w:t>
      </w:r>
      <w:r w:rsidR="005727C2" w:rsidRPr="00876367">
        <w:rPr>
          <w:sz w:val="28"/>
          <w:szCs w:val="28"/>
        </w:rPr>
        <w:t xml:space="preserve">в форме аукциона в электронной форме в порядке, установленном Федеральным законом </w:t>
      </w:r>
      <w:r w:rsidR="005727C2">
        <w:rPr>
          <w:sz w:val="28"/>
          <w:szCs w:val="28"/>
        </w:rPr>
        <w:t xml:space="preserve">от 05.04.2013 № 44-ФЗ </w:t>
      </w:r>
      <w:r w:rsidR="005727C2" w:rsidRPr="00876367">
        <w:rPr>
          <w:sz w:val="28"/>
          <w:szCs w:val="28"/>
        </w:rPr>
        <w:t xml:space="preserve">«О контрактной системе в сфере закупок товаров, работ, услуг для обеспечения государственных и муниципальных нужд» (далее – Федеральный закон № 44-ФЗ), на срок оказания услуг по транспортированию ТКО с 01.01.2020 по 31.12.2020. </w:t>
      </w:r>
    </w:p>
    <w:p w:rsidR="005727C2" w:rsidRPr="00876367" w:rsidRDefault="005727C2" w:rsidP="006323CF">
      <w:pPr>
        <w:autoSpaceDE w:val="0"/>
        <w:autoSpaceDN w:val="0"/>
        <w:adjustRightInd w:val="0"/>
        <w:spacing w:after="0" w:line="240" w:lineRule="auto"/>
        <w:ind w:firstLine="709"/>
        <w:jc w:val="both"/>
        <w:rPr>
          <w:sz w:val="28"/>
          <w:szCs w:val="28"/>
        </w:rPr>
      </w:pPr>
      <w:r w:rsidRPr="00876367">
        <w:rPr>
          <w:sz w:val="28"/>
          <w:szCs w:val="28"/>
        </w:rPr>
        <w:t>В рамках проведения вышеуказанных торгов ООО «Экология-Новосибирск» размещены на электронной площадке ООО «РТС-Тендер» (htpp://www.rts-tender.ru/auctionsearch) заявки на проведение электронных аукционов и результаты их проведения, согласно которым:</w:t>
      </w:r>
    </w:p>
    <w:p w:rsidR="005727C2" w:rsidRPr="00876367" w:rsidRDefault="005727C2" w:rsidP="006323CF">
      <w:pPr>
        <w:autoSpaceDE w:val="0"/>
        <w:autoSpaceDN w:val="0"/>
        <w:adjustRightInd w:val="0"/>
        <w:spacing w:after="0" w:line="240" w:lineRule="auto"/>
        <w:ind w:firstLine="709"/>
        <w:jc w:val="both"/>
        <w:rPr>
          <w:sz w:val="28"/>
          <w:szCs w:val="28"/>
        </w:rPr>
      </w:pPr>
      <w:r w:rsidRPr="00876367">
        <w:rPr>
          <w:sz w:val="28"/>
          <w:szCs w:val="28"/>
        </w:rPr>
        <w:t>1) по протоколу № 2 подведения итогов электронного аукциона «Оказание услуг по транспортированию ТКО на территории Новосибирской области» (№ извещения 0400700004119000001) от 21.11.2019 (10-00):</w:t>
      </w:r>
    </w:p>
    <w:p w:rsidR="005727C2" w:rsidRPr="00876367" w:rsidRDefault="005727C2" w:rsidP="006323CF">
      <w:pPr>
        <w:autoSpaceDE w:val="0"/>
        <w:autoSpaceDN w:val="0"/>
        <w:adjustRightInd w:val="0"/>
        <w:spacing w:after="0" w:line="240" w:lineRule="auto"/>
        <w:ind w:firstLine="709"/>
        <w:jc w:val="both"/>
        <w:rPr>
          <w:sz w:val="28"/>
          <w:szCs w:val="28"/>
        </w:rPr>
      </w:pPr>
      <w:r w:rsidRPr="00876367">
        <w:rPr>
          <w:sz w:val="28"/>
          <w:szCs w:val="28"/>
        </w:rPr>
        <w:t xml:space="preserve">-начальная (максимальная) цена договора на оказание услуг по транспортированию ТКО на территории Новосибирской области составляла 151 715 997, 78 тыс. руб.; </w:t>
      </w:r>
    </w:p>
    <w:p w:rsidR="005727C2" w:rsidRPr="00876367" w:rsidRDefault="005727C2" w:rsidP="006323CF">
      <w:pPr>
        <w:autoSpaceDE w:val="0"/>
        <w:autoSpaceDN w:val="0"/>
        <w:adjustRightInd w:val="0"/>
        <w:spacing w:after="0" w:line="240" w:lineRule="auto"/>
        <w:ind w:firstLine="709"/>
        <w:jc w:val="both"/>
        <w:rPr>
          <w:sz w:val="28"/>
          <w:szCs w:val="28"/>
        </w:rPr>
      </w:pPr>
      <w:r w:rsidRPr="00876367">
        <w:rPr>
          <w:sz w:val="28"/>
          <w:szCs w:val="28"/>
        </w:rPr>
        <w:t>-победителем аукциона (МУП г. Новосибирска «Спецавтохозяйство») предложена цена договора 138 061 557,96 тыс. руб. на объем транспортирования ТКО 275 451,25 куб. м.;</w:t>
      </w:r>
    </w:p>
    <w:p w:rsidR="005727C2" w:rsidRPr="00876367" w:rsidRDefault="005727C2" w:rsidP="006323CF">
      <w:pPr>
        <w:autoSpaceDE w:val="0"/>
        <w:autoSpaceDN w:val="0"/>
        <w:adjustRightInd w:val="0"/>
        <w:spacing w:after="0" w:line="240" w:lineRule="auto"/>
        <w:ind w:firstLine="709"/>
        <w:jc w:val="both"/>
        <w:rPr>
          <w:sz w:val="28"/>
          <w:szCs w:val="28"/>
        </w:rPr>
      </w:pPr>
      <w:r w:rsidRPr="00876367">
        <w:rPr>
          <w:sz w:val="28"/>
          <w:szCs w:val="28"/>
        </w:rPr>
        <w:t>2) по протоколу № 2 подведения итогов электронного аукциона «Оказание услуг по транспортированию ТКО на территории Новосибирской области» (№ извещения 0400700004119000002) от 29.11.2019 (10-00):</w:t>
      </w:r>
    </w:p>
    <w:p w:rsidR="005727C2" w:rsidRPr="00876367" w:rsidRDefault="005727C2" w:rsidP="006323CF">
      <w:pPr>
        <w:autoSpaceDE w:val="0"/>
        <w:autoSpaceDN w:val="0"/>
        <w:adjustRightInd w:val="0"/>
        <w:spacing w:after="0" w:line="240" w:lineRule="auto"/>
        <w:ind w:firstLine="709"/>
        <w:jc w:val="both"/>
        <w:rPr>
          <w:sz w:val="28"/>
          <w:szCs w:val="28"/>
        </w:rPr>
      </w:pPr>
      <w:r w:rsidRPr="00876367">
        <w:rPr>
          <w:sz w:val="28"/>
          <w:szCs w:val="28"/>
        </w:rPr>
        <w:t xml:space="preserve">-начальная (максимальная) цена договора на оказание услуг по транспортированию ТКО на территории Новосибирской области составляла 1 309 755 770,04 тыс. руб.; </w:t>
      </w:r>
    </w:p>
    <w:p w:rsidR="005727C2" w:rsidRPr="00876367" w:rsidRDefault="005727C2" w:rsidP="006323CF">
      <w:pPr>
        <w:autoSpaceDE w:val="0"/>
        <w:autoSpaceDN w:val="0"/>
        <w:adjustRightInd w:val="0"/>
        <w:spacing w:after="0" w:line="240" w:lineRule="auto"/>
        <w:ind w:firstLine="709"/>
        <w:jc w:val="both"/>
        <w:rPr>
          <w:sz w:val="28"/>
          <w:szCs w:val="28"/>
        </w:rPr>
      </w:pPr>
      <w:r w:rsidRPr="00876367">
        <w:rPr>
          <w:sz w:val="28"/>
          <w:szCs w:val="28"/>
        </w:rPr>
        <w:lastRenderedPageBreak/>
        <w:t>-победителем аукциона (ООО «Айсберг») предложена цена договора 982 447 803,11 тыс. руб. на объем транспортирования ТКО 4 413 176,7 куб. м.;</w:t>
      </w:r>
    </w:p>
    <w:p w:rsidR="005727C2" w:rsidRPr="00876367" w:rsidRDefault="005727C2" w:rsidP="006323CF">
      <w:pPr>
        <w:autoSpaceDE w:val="0"/>
        <w:autoSpaceDN w:val="0"/>
        <w:adjustRightInd w:val="0"/>
        <w:spacing w:after="0" w:line="240" w:lineRule="auto"/>
        <w:ind w:firstLine="709"/>
        <w:jc w:val="both"/>
        <w:rPr>
          <w:sz w:val="28"/>
          <w:szCs w:val="28"/>
        </w:rPr>
      </w:pPr>
      <w:r w:rsidRPr="00876367">
        <w:rPr>
          <w:sz w:val="28"/>
          <w:szCs w:val="28"/>
        </w:rPr>
        <w:t>3) по протоколу № 2 подведения итогов электронного аукциона «Оказание услуг по транспортированию ТКО на территории Новосибирской области» (№ извещения 0400700004119000006) от 25.11.2019 (10-00):</w:t>
      </w:r>
    </w:p>
    <w:p w:rsidR="005727C2" w:rsidRPr="00876367" w:rsidRDefault="005727C2" w:rsidP="00876367">
      <w:pPr>
        <w:autoSpaceDE w:val="0"/>
        <w:autoSpaceDN w:val="0"/>
        <w:adjustRightInd w:val="0"/>
        <w:spacing w:line="240" w:lineRule="auto"/>
        <w:ind w:firstLine="709"/>
        <w:jc w:val="both"/>
        <w:rPr>
          <w:sz w:val="28"/>
          <w:szCs w:val="28"/>
        </w:rPr>
      </w:pPr>
      <w:r w:rsidRPr="00876367">
        <w:rPr>
          <w:sz w:val="28"/>
          <w:szCs w:val="28"/>
        </w:rPr>
        <w:t xml:space="preserve">-начальная (максимальная) цена договора на оказание услуг по транспортированию ТКО на территории Новосибирской области составляла 15 592 494,75 тыс. руб.; </w:t>
      </w:r>
    </w:p>
    <w:p w:rsidR="005727C2" w:rsidRPr="00876367" w:rsidRDefault="005727C2" w:rsidP="00876367">
      <w:pPr>
        <w:autoSpaceDE w:val="0"/>
        <w:autoSpaceDN w:val="0"/>
        <w:adjustRightInd w:val="0"/>
        <w:spacing w:line="240" w:lineRule="auto"/>
        <w:ind w:firstLine="709"/>
        <w:jc w:val="both"/>
        <w:rPr>
          <w:sz w:val="28"/>
          <w:szCs w:val="28"/>
        </w:rPr>
      </w:pPr>
      <w:r w:rsidRPr="00876367">
        <w:rPr>
          <w:sz w:val="28"/>
          <w:szCs w:val="28"/>
        </w:rPr>
        <w:t>-победителем аукциона (ООО «АГРОЛЕСОМЕЛИОРАЦИЯ») предложена цена договора 7 796 247,36 тыс. руб. на объем транспортирования ТКО 23695,0 куб. м.;</w:t>
      </w:r>
    </w:p>
    <w:p w:rsidR="005727C2" w:rsidRPr="00876367" w:rsidRDefault="005727C2" w:rsidP="00876367">
      <w:pPr>
        <w:autoSpaceDE w:val="0"/>
        <w:autoSpaceDN w:val="0"/>
        <w:adjustRightInd w:val="0"/>
        <w:spacing w:line="240" w:lineRule="auto"/>
        <w:ind w:firstLine="709"/>
        <w:jc w:val="both"/>
        <w:rPr>
          <w:sz w:val="28"/>
          <w:szCs w:val="28"/>
        </w:rPr>
      </w:pPr>
      <w:r w:rsidRPr="00876367">
        <w:rPr>
          <w:sz w:val="28"/>
          <w:szCs w:val="28"/>
        </w:rPr>
        <w:t>4) по протоколу № 2 подведения итогов электронного аукциона «Оказание услуг по транспортированию ТКО на территории Новосибирской области» (№ извещения 0400700004119000007) от 04.12.2019 (10-00):</w:t>
      </w:r>
    </w:p>
    <w:p w:rsidR="005727C2" w:rsidRPr="00876367" w:rsidRDefault="005727C2" w:rsidP="00876367">
      <w:pPr>
        <w:autoSpaceDE w:val="0"/>
        <w:autoSpaceDN w:val="0"/>
        <w:adjustRightInd w:val="0"/>
        <w:spacing w:line="240" w:lineRule="auto"/>
        <w:ind w:firstLine="709"/>
        <w:jc w:val="both"/>
        <w:rPr>
          <w:sz w:val="28"/>
          <w:szCs w:val="28"/>
        </w:rPr>
      </w:pPr>
      <w:r w:rsidRPr="00876367">
        <w:rPr>
          <w:sz w:val="28"/>
          <w:szCs w:val="28"/>
        </w:rPr>
        <w:t xml:space="preserve">-начальная (максимальная) цена договора на оказание услуг по транспортированию ТКО на территории Новосибирской области составляла 15 943 088,75 тыс. руб.; </w:t>
      </w:r>
    </w:p>
    <w:p w:rsidR="005727C2" w:rsidRPr="00876367" w:rsidRDefault="005727C2" w:rsidP="00876367">
      <w:pPr>
        <w:autoSpaceDE w:val="0"/>
        <w:autoSpaceDN w:val="0"/>
        <w:adjustRightInd w:val="0"/>
        <w:spacing w:line="240" w:lineRule="auto"/>
        <w:ind w:firstLine="709"/>
        <w:jc w:val="both"/>
        <w:rPr>
          <w:sz w:val="28"/>
          <w:szCs w:val="28"/>
        </w:rPr>
      </w:pPr>
      <w:r w:rsidRPr="00876367">
        <w:rPr>
          <w:sz w:val="28"/>
          <w:szCs w:val="28"/>
        </w:rPr>
        <w:t>-победителем аукциона (ООО «Айсберг») предложена цена договора 15 703 942,4 тыс. руб. на объем транспортирования ТКО 32289,8 куб. м.;</w:t>
      </w:r>
    </w:p>
    <w:p w:rsidR="005727C2" w:rsidRPr="00876367" w:rsidRDefault="005727C2" w:rsidP="00876367">
      <w:pPr>
        <w:autoSpaceDE w:val="0"/>
        <w:autoSpaceDN w:val="0"/>
        <w:adjustRightInd w:val="0"/>
        <w:spacing w:line="240" w:lineRule="auto"/>
        <w:ind w:firstLine="709"/>
        <w:jc w:val="both"/>
        <w:rPr>
          <w:sz w:val="28"/>
          <w:szCs w:val="28"/>
        </w:rPr>
      </w:pPr>
      <w:r w:rsidRPr="00876367">
        <w:rPr>
          <w:sz w:val="28"/>
          <w:szCs w:val="28"/>
        </w:rPr>
        <w:t xml:space="preserve">5) по протоколу № 1 подведения итогов электронного аукциона «Оказание услуг по транспортированию ТКО на территории Новосибирской области» (№ извещения 0400700004119000010) от 02.12.2019 (10-00): </w:t>
      </w:r>
    </w:p>
    <w:p w:rsidR="005727C2" w:rsidRPr="00876367" w:rsidRDefault="005727C2" w:rsidP="00876367">
      <w:pPr>
        <w:autoSpaceDE w:val="0"/>
        <w:autoSpaceDN w:val="0"/>
        <w:adjustRightInd w:val="0"/>
        <w:spacing w:line="240" w:lineRule="auto"/>
        <w:ind w:firstLine="709"/>
        <w:jc w:val="both"/>
        <w:rPr>
          <w:sz w:val="28"/>
          <w:szCs w:val="28"/>
        </w:rPr>
      </w:pPr>
      <w:r w:rsidRPr="00876367">
        <w:rPr>
          <w:sz w:val="28"/>
          <w:szCs w:val="28"/>
        </w:rPr>
        <w:t xml:space="preserve">-начальная (максимальная) цена договора на оказание услуг по транспортированию ТКО на территории Новосибирской области составляла 80 369 341,55 тыс. руб.; </w:t>
      </w:r>
    </w:p>
    <w:p w:rsidR="005727C2" w:rsidRPr="00876367" w:rsidRDefault="005727C2" w:rsidP="00876367">
      <w:pPr>
        <w:autoSpaceDE w:val="0"/>
        <w:autoSpaceDN w:val="0"/>
        <w:adjustRightInd w:val="0"/>
        <w:spacing w:line="240" w:lineRule="auto"/>
        <w:ind w:firstLine="709"/>
        <w:jc w:val="both"/>
        <w:rPr>
          <w:sz w:val="28"/>
          <w:szCs w:val="28"/>
        </w:rPr>
      </w:pPr>
      <w:r w:rsidRPr="00876367">
        <w:rPr>
          <w:sz w:val="28"/>
          <w:szCs w:val="28"/>
        </w:rPr>
        <w:t>-аукцион признан несостоявшимся согласно части 16 статьи 66 Федерального закона 44-ФЗ и аукционной комиссией принято решение заключить договор в порядке, установленном ст. 71 Федерального закона № 44-ФЗ с единственным поставщиком ООО «Айсберг» (в связи с признанием данного участника и поданной им заявки соответствующей требованиям вышеуказанного закона и документации об электронном аукционе) на объем транспортирования ТКО 349142,6 куб. м.;</w:t>
      </w:r>
    </w:p>
    <w:p w:rsidR="005727C2" w:rsidRPr="00876367" w:rsidRDefault="005727C2" w:rsidP="00876367">
      <w:pPr>
        <w:autoSpaceDE w:val="0"/>
        <w:autoSpaceDN w:val="0"/>
        <w:adjustRightInd w:val="0"/>
        <w:spacing w:line="240" w:lineRule="auto"/>
        <w:ind w:firstLine="709"/>
        <w:jc w:val="both"/>
        <w:rPr>
          <w:sz w:val="28"/>
          <w:szCs w:val="28"/>
        </w:rPr>
      </w:pPr>
      <w:r w:rsidRPr="00876367">
        <w:rPr>
          <w:sz w:val="28"/>
          <w:szCs w:val="28"/>
        </w:rPr>
        <w:t>6) по протоколу № 1 подведения итогов электронного аукциона «Оказание услуг по транспортированию ТКО на территории Новосибирской области» (№ извещения 0400700004119000009) от 02.12.2019 (10-00):</w:t>
      </w:r>
    </w:p>
    <w:p w:rsidR="005727C2" w:rsidRPr="00876367" w:rsidRDefault="005727C2" w:rsidP="00876367">
      <w:pPr>
        <w:autoSpaceDE w:val="0"/>
        <w:autoSpaceDN w:val="0"/>
        <w:adjustRightInd w:val="0"/>
        <w:spacing w:line="240" w:lineRule="auto"/>
        <w:ind w:firstLine="709"/>
        <w:jc w:val="both"/>
        <w:rPr>
          <w:sz w:val="28"/>
          <w:szCs w:val="28"/>
        </w:rPr>
      </w:pPr>
      <w:r w:rsidRPr="00876367">
        <w:rPr>
          <w:sz w:val="28"/>
          <w:szCs w:val="28"/>
        </w:rPr>
        <w:t>-начальная (максимальная) цена договора на оказание услуг по транспортированию ТКО на территории Новосибирской области составляла 55 494 774,32 тыс. руб.;</w:t>
      </w:r>
    </w:p>
    <w:p w:rsidR="005727C2" w:rsidRPr="00876367" w:rsidRDefault="005727C2" w:rsidP="00185C71">
      <w:pPr>
        <w:autoSpaceDE w:val="0"/>
        <w:autoSpaceDN w:val="0"/>
        <w:adjustRightInd w:val="0"/>
        <w:spacing w:after="0" w:line="240" w:lineRule="auto"/>
        <w:ind w:firstLine="709"/>
        <w:jc w:val="both"/>
        <w:rPr>
          <w:sz w:val="28"/>
          <w:szCs w:val="28"/>
        </w:rPr>
      </w:pPr>
      <w:r w:rsidRPr="00876367">
        <w:rPr>
          <w:sz w:val="28"/>
          <w:szCs w:val="28"/>
        </w:rPr>
        <w:t xml:space="preserve">-аукцион признан несостоявшимся согласно части 16 статьи 66 Федерального закона № 44-ФЗ и аукционной комиссией принято решение </w:t>
      </w:r>
      <w:r w:rsidRPr="00876367">
        <w:rPr>
          <w:sz w:val="28"/>
          <w:szCs w:val="28"/>
        </w:rPr>
        <w:lastRenderedPageBreak/>
        <w:t>заключить договор в порядке, установленном ст. 71 Федерального закона 44-ФЗ с единственным поставщиком ООО «Айсберг» (в связи с признанием данного участника и поданной им заявки соответствующей требованиям вышеуказанного закона и документации об электронном аукционе) на объем транспортирования ТКО 115530,8 куб. м.</w:t>
      </w:r>
    </w:p>
    <w:p w:rsidR="005727C2" w:rsidRDefault="005727C2" w:rsidP="00185C71">
      <w:pPr>
        <w:autoSpaceDE w:val="0"/>
        <w:autoSpaceDN w:val="0"/>
        <w:adjustRightInd w:val="0"/>
        <w:spacing w:after="0" w:line="240" w:lineRule="auto"/>
        <w:ind w:firstLine="709"/>
        <w:jc w:val="both"/>
        <w:rPr>
          <w:sz w:val="28"/>
          <w:szCs w:val="28"/>
        </w:rPr>
      </w:pPr>
      <w:r>
        <w:rPr>
          <w:sz w:val="28"/>
          <w:szCs w:val="28"/>
        </w:rPr>
        <w:t xml:space="preserve">Согласно Приложению № 1 к распоряжению Правительства Российской Федерации от 12.07.2018 № 1447-р Общество с ограниченной ответственностью «РТС – тендер» включено в перечень операторов электронных площадок, предусмотренный </w:t>
      </w:r>
      <w:hyperlink r:id="rId78" w:history="1">
        <w:r w:rsidRPr="00876367">
          <w:rPr>
            <w:sz w:val="28"/>
            <w:szCs w:val="28"/>
          </w:rPr>
          <w:t>частью 3 статьи 24.1</w:t>
        </w:r>
      </w:hyperlink>
      <w:r>
        <w:rPr>
          <w:sz w:val="28"/>
          <w:szCs w:val="28"/>
        </w:rPr>
        <w:t xml:space="preserve"> Федерального закона № 44-ФЗ и </w:t>
      </w:r>
      <w:hyperlink r:id="rId79" w:history="1">
        <w:r w:rsidRPr="00876367">
          <w:rPr>
            <w:sz w:val="28"/>
            <w:szCs w:val="28"/>
          </w:rPr>
          <w:t>частью 11 статьи 3.4</w:t>
        </w:r>
      </w:hyperlink>
      <w:r>
        <w:rPr>
          <w:sz w:val="28"/>
          <w:szCs w:val="28"/>
        </w:rPr>
        <w:t xml:space="preserve"> Федерального закона «О закупках товаров, работ, услуг отдельными видами юридических лиц».</w:t>
      </w:r>
    </w:p>
    <w:p w:rsidR="005727C2" w:rsidRDefault="005727C2" w:rsidP="00185C71">
      <w:pPr>
        <w:autoSpaceDE w:val="0"/>
        <w:autoSpaceDN w:val="0"/>
        <w:adjustRightInd w:val="0"/>
        <w:spacing w:after="0" w:line="240" w:lineRule="auto"/>
        <w:ind w:firstLine="709"/>
        <w:jc w:val="both"/>
        <w:rPr>
          <w:sz w:val="28"/>
          <w:szCs w:val="28"/>
        </w:rPr>
      </w:pPr>
      <w:r>
        <w:rPr>
          <w:sz w:val="28"/>
          <w:szCs w:val="28"/>
        </w:rPr>
        <w:t xml:space="preserve">По результатам рассмотрения </w:t>
      </w:r>
      <w:r w:rsidR="00262A3F">
        <w:rPr>
          <w:sz w:val="28"/>
          <w:szCs w:val="28"/>
        </w:rPr>
        <w:t>Д</w:t>
      </w:r>
      <w:r>
        <w:rPr>
          <w:sz w:val="28"/>
          <w:szCs w:val="28"/>
        </w:rPr>
        <w:t>епартаментом вышеуказанной информации о проведении торгов, размещенной на электронной площадке оператора ООО «РТС-Тендер»:</w:t>
      </w:r>
    </w:p>
    <w:p w:rsidR="005727C2" w:rsidRPr="00876367" w:rsidRDefault="005727C2" w:rsidP="00185C71">
      <w:pPr>
        <w:autoSpaceDE w:val="0"/>
        <w:autoSpaceDN w:val="0"/>
        <w:adjustRightInd w:val="0"/>
        <w:spacing w:after="0" w:line="240" w:lineRule="auto"/>
        <w:ind w:firstLine="709"/>
        <w:jc w:val="both"/>
        <w:rPr>
          <w:sz w:val="28"/>
          <w:szCs w:val="28"/>
        </w:rPr>
      </w:pPr>
      <w:r>
        <w:rPr>
          <w:sz w:val="28"/>
          <w:szCs w:val="28"/>
        </w:rPr>
        <w:t>-</w:t>
      </w:r>
      <w:r w:rsidRPr="00876367">
        <w:rPr>
          <w:sz w:val="28"/>
          <w:szCs w:val="28"/>
        </w:rPr>
        <w:t>цена договоров</w:t>
      </w:r>
      <w:r>
        <w:rPr>
          <w:sz w:val="28"/>
          <w:szCs w:val="28"/>
        </w:rPr>
        <w:t xml:space="preserve"> на оказание Региональному оператору услуг по транспортированию ТКО на территории Новосибирской области, решение о заключении которых принято по результатам проведенных им торгов, составила </w:t>
      </w:r>
      <w:r w:rsidRPr="00876367">
        <w:rPr>
          <w:sz w:val="28"/>
          <w:szCs w:val="28"/>
        </w:rPr>
        <w:t>1 279 873,67 тыс. руб. на объем услуг по транспортированию ТКО 5209,29 тыс. куб. м.;</w:t>
      </w:r>
    </w:p>
    <w:p w:rsidR="005727C2" w:rsidRPr="00876367" w:rsidRDefault="005727C2" w:rsidP="00185C71">
      <w:pPr>
        <w:autoSpaceDE w:val="0"/>
        <w:autoSpaceDN w:val="0"/>
        <w:adjustRightInd w:val="0"/>
        <w:spacing w:after="0" w:line="240" w:lineRule="auto"/>
        <w:ind w:firstLine="709"/>
        <w:jc w:val="both"/>
        <w:rPr>
          <w:sz w:val="28"/>
          <w:szCs w:val="28"/>
        </w:rPr>
      </w:pPr>
      <w:r w:rsidRPr="00876367">
        <w:rPr>
          <w:sz w:val="28"/>
          <w:szCs w:val="28"/>
        </w:rPr>
        <w:t xml:space="preserve">-удельные расходы на оказание вышеуказанных услуг по транспортированию ТКО составили 245,69 руб./куб. м. (= 1 279 873,67 / 5209,29). </w:t>
      </w:r>
    </w:p>
    <w:p w:rsidR="005727C2" w:rsidRDefault="005727C2" w:rsidP="00185C71">
      <w:pPr>
        <w:spacing w:after="0" w:line="240" w:lineRule="auto"/>
        <w:ind w:firstLine="709"/>
        <w:jc w:val="both"/>
        <w:rPr>
          <w:sz w:val="28"/>
          <w:szCs w:val="28"/>
        </w:rPr>
      </w:pPr>
      <w:r w:rsidRPr="00876367">
        <w:rPr>
          <w:sz w:val="28"/>
          <w:szCs w:val="28"/>
        </w:rPr>
        <w:t>Согласно пунктам 16, 88 Методических указаний № </w:t>
      </w:r>
      <w:r>
        <w:rPr>
          <w:sz w:val="28"/>
          <w:szCs w:val="28"/>
        </w:rPr>
        <w:t>1638/16:</w:t>
      </w:r>
    </w:p>
    <w:p w:rsidR="005727C2" w:rsidRPr="00876367" w:rsidRDefault="005727C2" w:rsidP="00185C71">
      <w:pPr>
        <w:spacing w:after="0" w:line="240" w:lineRule="auto"/>
        <w:ind w:firstLine="709"/>
        <w:jc w:val="both"/>
        <w:rPr>
          <w:sz w:val="28"/>
          <w:szCs w:val="28"/>
        </w:rPr>
      </w:pPr>
      <w:r>
        <w:rPr>
          <w:sz w:val="28"/>
          <w:szCs w:val="28"/>
        </w:rPr>
        <w:t>-</w:t>
      </w:r>
      <w:r w:rsidRPr="00876367">
        <w:rPr>
          <w:sz w:val="28"/>
          <w:szCs w:val="28"/>
        </w:rPr>
        <w:t xml:space="preserve">расходы на транспортирование ТКО формируются исходя из расходов на оплату выполняемых сторонними организациями или индивидуальными предпринимателями работ и (или) услуг, связанных с осуществлением деятельности по сбору и транспортированию ТКО в соответствии с договорами, заключаемыми региональным оператором с операторами, осуществляющими транспортирование ТКО, и (или) собственных расходов регионального оператора на транспортирование ТКО, осуществляемых региональным оператором, с учетом положений </w:t>
      </w:r>
      <w:hyperlink r:id="rId80" w:history="1">
        <w:r w:rsidRPr="00876367">
          <w:rPr>
            <w:sz w:val="28"/>
            <w:szCs w:val="28"/>
          </w:rPr>
          <w:t>пунктов 12</w:t>
        </w:r>
      </w:hyperlink>
      <w:r w:rsidRPr="00876367">
        <w:rPr>
          <w:sz w:val="28"/>
          <w:szCs w:val="28"/>
        </w:rPr>
        <w:t xml:space="preserve">, </w:t>
      </w:r>
      <w:hyperlink r:id="rId81" w:history="1">
        <w:r w:rsidRPr="00876367">
          <w:rPr>
            <w:sz w:val="28"/>
            <w:szCs w:val="28"/>
          </w:rPr>
          <w:t>14</w:t>
        </w:r>
      </w:hyperlink>
      <w:r w:rsidRPr="00876367">
        <w:rPr>
          <w:sz w:val="28"/>
          <w:szCs w:val="28"/>
        </w:rPr>
        <w:t xml:space="preserve"> Основ ценообразования № 484;</w:t>
      </w:r>
    </w:p>
    <w:p w:rsidR="005727C2" w:rsidRDefault="005727C2" w:rsidP="00185C71">
      <w:pPr>
        <w:autoSpaceDE w:val="0"/>
        <w:autoSpaceDN w:val="0"/>
        <w:adjustRightInd w:val="0"/>
        <w:spacing w:after="0" w:line="240" w:lineRule="auto"/>
        <w:ind w:firstLine="709"/>
        <w:jc w:val="both"/>
        <w:rPr>
          <w:sz w:val="28"/>
          <w:szCs w:val="28"/>
        </w:rPr>
      </w:pPr>
      <w:r w:rsidRPr="00876367">
        <w:rPr>
          <w:sz w:val="28"/>
          <w:szCs w:val="28"/>
        </w:rPr>
        <w:t>-</w:t>
      </w:r>
      <w:r>
        <w:rPr>
          <w:sz w:val="28"/>
          <w:szCs w:val="28"/>
        </w:rPr>
        <w:t xml:space="preserve">при определении расчетных значений расходов, учитываемых при установлении предельных тарифов на осуществление регулируемых видов деятельности в области обращения с твердыми коммунальными отходами, орган регулирования тарифов использует экономически (технологически, технически) обоснованные объемы потребления сырья, материалов, выполненных работ (услуг) и цены (тарифы) на них, с учетом особенностей, предусмотренных </w:t>
      </w:r>
      <w:hyperlink r:id="rId82" w:history="1">
        <w:r w:rsidRPr="00876367">
          <w:rPr>
            <w:sz w:val="28"/>
            <w:szCs w:val="28"/>
          </w:rPr>
          <w:t>пунктом 14</w:t>
        </w:r>
      </w:hyperlink>
      <w:r>
        <w:rPr>
          <w:sz w:val="28"/>
          <w:szCs w:val="28"/>
        </w:rPr>
        <w:t xml:space="preserve"> Основ ценообразования </w:t>
      </w:r>
      <w:r w:rsidRPr="00876367">
        <w:rPr>
          <w:sz w:val="28"/>
          <w:szCs w:val="28"/>
        </w:rPr>
        <w:t>№ 484</w:t>
      </w:r>
      <w:r>
        <w:rPr>
          <w:sz w:val="28"/>
          <w:szCs w:val="28"/>
        </w:rPr>
        <w:t xml:space="preserve">. </w:t>
      </w:r>
    </w:p>
    <w:p w:rsidR="005727C2" w:rsidRDefault="005727C2" w:rsidP="00262A3F">
      <w:pPr>
        <w:autoSpaceDE w:val="0"/>
        <w:autoSpaceDN w:val="0"/>
        <w:adjustRightInd w:val="0"/>
        <w:spacing w:after="0" w:line="240" w:lineRule="auto"/>
        <w:ind w:firstLine="709"/>
        <w:jc w:val="both"/>
        <w:rPr>
          <w:sz w:val="28"/>
          <w:szCs w:val="28"/>
        </w:rPr>
      </w:pPr>
      <w:r>
        <w:rPr>
          <w:sz w:val="28"/>
          <w:szCs w:val="28"/>
        </w:rPr>
        <w:t xml:space="preserve">Пунктом 14 Основ ценообразования № 484 предусмотрен перечень данных, учитываемых органом регулирования тарифов (в приоритетном порядке) при определении экономически обоснованных объемов потребления сырья, материалов, выполненных работ (услуг) и цен (тарифов) на них, подлежащих учету при определении расчетных значений расходов, учитываемых при установлении тарифов. </w:t>
      </w:r>
    </w:p>
    <w:p w:rsidR="005727C2" w:rsidRPr="00876367" w:rsidRDefault="005727C2" w:rsidP="00262A3F">
      <w:pPr>
        <w:spacing w:after="0" w:line="240" w:lineRule="auto"/>
        <w:ind w:firstLine="709"/>
        <w:jc w:val="both"/>
        <w:rPr>
          <w:sz w:val="28"/>
          <w:szCs w:val="28"/>
        </w:rPr>
      </w:pPr>
      <w:r w:rsidRPr="00876367">
        <w:rPr>
          <w:sz w:val="28"/>
          <w:szCs w:val="28"/>
        </w:rPr>
        <w:lastRenderedPageBreak/>
        <w:t xml:space="preserve">На момент подготовки </w:t>
      </w:r>
      <w:r w:rsidR="00262A3F">
        <w:rPr>
          <w:sz w:val="28"/>
          <w:szCs w:val="28"/>
        </w:rPr>
        <w:t>Д</w:t>
      </w:r>
      <w:r w:rsidRPr="00876367">
        <w:rPr>
          <w:sz w:val="28"/>
          <w:szCs w:val="28"/>
        </w:rPr>
        <w:t xml:space="preserve">епартаментом экспертного заключения по результатам рассмотрения предложения ООО «Экология-Новосибирск» об установлении Предельного тарифа на 2020 год, информация о договорах на транспортирование ТКО, заключенных по результатам проведения торгов с организациями, осуществляющими деятельность по транспортированию ТКО, а также экономическое обоснование собственных расходов ООО «Экология-Новосибирск» на транспортирование ТКО не были представлены </w:t>
      </w:r>
      <w:r w:rsidR="003904E3">
        <w:rPr>
          <w:sz w:val="28"/>
          <w:szCs w:val="28"/>
        </w:rPr>
        <w:t>р</w:t>
      </w:r>
      <w:r w:rsidRPr="00876367">
        <w:rPr>
          <w:sz w:val="28"/>
          <w:szCs w:val="28"/>
        </w:rPr>
        <w:t xml:space="preserve">егиональным оператором в департамент. В связи с этим, оценка обоснованности подлежащих учету при установлении Предельных тарифов на 2020 год затрат на транспортирование ТКО проведена департаментом с учетом требований пункта 14 Основ № 484 на основании сведений, заявленных Региональным оператором при проведении им вышеуказанных </w:t>
      </w:r>
      <w:r>
        <w:rPr>
          <w:sz w:val="28"/>
          <w:szCs w:val="28"/>
        </w:rPr>
        <w:t>электронных аукционов.</w:t>
      </w:r>
    </w:p>
    <w:p w:rsidR="005727C2" w:rsidRPr="00876367" w:rsidRDefault="005727C2" w:rsidP="003904E3">
      <w:pPr>
        <w:spacing w:after="0" w:line="240" w:lineRule="auto"/>
        <w:ind w:firstLine="709"/>
        <w:jc w:val="both"/>
        <w:rPr>
          <w:sz w:val="28"/>
          <w:szCs w:val="28"/>
        </w:rPr>
      </w:pPr>
      <w:r w:rsidRPr="00876367">
        <w:rPr>
          <w:sz w:val="28"/>
          <w:szCs w:val="28"/>
        </w:rPr>
        <w:t xml:space="preserve">В целях определения размера вышеуказанных затрат департаментом также проведен расчет стоимости транспортирования 1 куб. м ТКО для машин, наиболее часто используемых для осуществления транспортирования ТКО на территории Новосибирской области, на базе ГАЗ, КамАЗ, с учетом фактических данных, представленных операторами по транспортированию ТКО за 2019 год (средней величины пробега за один рейс и среднего перевозимого объема ТКО за один рейс). </w:t>
      </w:r>
    </w:p>
    <w:p w:rsidR="005727C2" w:rsidRDefault="005727C2" w:rsidP="003904E3">
      <w:pPr>
        <w:spacing w:after="0" w:line="240" w:lineRule="auto"/>
        <w:ind w:firstLine="709"/>
        <w:jc w:val="both"/>
        <w:rPr>
          <w:sz w:val="28"/>
          <w:szCs w:val="28"/>
        </w:rPr>
      </w:pPr>
      <w:r w:rsidRPr="00876367">
        <w:rPr>
          <w:sz w:val="28"/>
          <w:szCs w:val="28"/>
        </w:rPr>
        <w:t>По результатам проведенного расчета стоимость транспортирования 1 куб. м ТКО составила 198,07 руб. без учета НДС или 237,68 руб. с учетом НДС, что на 3,4% ниже стоимости транспортирования 1 куб.м ТКО по результатам проведенных Региональным оператором торгов.</w:t>
      </w:r>
    </w:p>
    <w:p w:rsidR="005727C2" w:rsidRPr="00876367" w:rsidRDefault="005727C2" w:rsidP="003904E3">
      <w:pPr>
        <w:spacing w:after="0" w:line="240" w:lineRule="auto"/>
        <w:ind w:firstLine="709"/>
        <w:jc w:val="both"/>
        <w:rPr>
          <w:sz w:val="28"/>
          <w:szCs w:val="28"/>
        </w:rPr>
      </w:pPr>
      <w:r w:rsidRPr="00876367">
        <w:rPr>
          <w:sz w:val="28"/>
          <w:szCs w:val="28"/>
        </w:rPr>
        <w:t xml:space="preserve">В связи с отсутствием в материалах дела об установлении </w:t>
      </w:r>
      <w:r w:rsidR="003904E3">
        <w:rPr>
          <w:sz w:val="28"/>
          <w:szCs w:val="28"/>
        </w:rPr>
        <w:t>п</w:t>
      </w:r>
      <w:r w:rsidRPr="00876367">
        <w:rPr>
          <w:sz w:val="28"/>
          <w:szCs w:val="28"/>
        </w:rPr>
        <w:t xml:space="preserve">редельного тарифа на 2020 год представленного </w:t>
      </w:r>
      <w:r w:rsidR="003904E3">
        <w:rPr>
          <w:sz w:val="28"/>
          <w:szCs w:val="28"/>
        </w:rPr>
        <w:t>р</w:t>
      </w:r>
      <w:r w:rsidRPr="00876367">
        <w:rPr>
          <w:sz w:val="28"/>
          <w:szCs w:val="28"/>
        </w:rPr>
        <w:t xml:space="preserve">егиональным оператором экономического обоснования собственных расходов на транспортирование ТКО, указанные расходы сформированы </w:t>
      </w:r>
      <w:r w:rsidR="003904E3">
        <w:rPr>
          <w:sz w:val="28"/>
          <w:szCs w:val="28"/>
        </w:rPr>
        <w:t>Д</w:t>
      </w:r>
      <w:r w:rsidRPr="00876367">
        <w:rPr>
          <w:sz w:val="28"/>
          <w:szCs w:val="28"/>
        </w:rPr>
        <w:t>епартаментом исходя из вышеуказанной расчетной стоимости транспортирования 1 куб.м ТКО в размере 237,68 руб.</w:t>
      </w:r>
    </w:p>
    <w:p w:rsidR="005727C2" w:rsidRPr="00876367" w:rsidRDefault="005727C2" w:rsidP="003904E3">
      <w:pPr>
        <w:spacing w:after="0" w:line="240" w:lineRule="auto"/>
        <w:ind w:firstLine="709"/>
        <w:jc w:val="both"/>
        <w:rPr>
          <w:sz w:val="28"/>
          <w:szCs w:val="28"/>
        </w:rPr>
      </w:pPr>
      <w:r w:rsidRPr="00876367">
        <w:rPr>
          <w:sz w:val="28"/>
          <w:szCs w:val="28"/>
        </w:rPr>
        <w:t xml:space="preserve">Учитывая изложенное, учтенные </w:t>
      </w:r>
      <w:r w:rsidR="00262A3F">
        <w:rPr>
          <w:sz w:val="28"/>
          <w:szCs w:val="28"/>
        </w:rPr>
        <w:t>Д</w:t>
      </w:r>
      <w:r w:rsidRPr="00876367">
        <w:rPr>
          <w:sz w:val="28"/>
          <w:szCs w:val="28"/>
        </w:rPr>
        <w:t xml:space="preserve">епартаментом расходы </w:t>
      </w:r>
      <w:r w:rsidR="003904E3">
        <w:rPr>
          <w:sz w:val="28"/>
          <w:szCs w:val="28"/>
        </w:rPr>
        <w:t>р</w:t>
      </w:r>
      <w:r w:rsidRPr="00876367">
        <w:rPr>
          <w:sz w:val="28"/>
          <w:szCs w:val="28"/>
        </w:rPr>
        <w:t>егионального оператора на транспортирование ТКО составили 2 358 743,59 тыс. руб. (</w:t>
      </w:r>
      <w:r w:rsidR="00B60834">
        <w:rPr>
          <w:sz w:val="28"/>
          <w:szCs w:val="28"/>
        </w:rPr>
        <w:t xml:space="preserve">в том числе </w:t>
      </w:r>
      <w:r w:rsidRPr="00876367">
        <w:rPr>
          <w:sz w:val="28"/>
          <w:szCs w:val="28"/>
        </w:rPr>
        <w:t>собственными силами).</w:t>
      </w:r>
    </w:p>
    <w:p w:rsidR="005727C2" w:rsidRPr="00876367" w:rsidRDefault="005727C2" w:rsidP="003904E3">
      <w:pPr>
        <w:spacing w:after="0" w:line="240" w:lineRule="auto"/>
        <w:ind w:firstLine="709"/>
        <w:jc w:val="both"/>
        <w:rPr>
          <w:sz w:val="28"/>
          <w:szCs w:val="28"/>
        </w:rPr>
      </w:pPr>
      <w:r w:rsidRPr="00876367">
        <w:rPr>
          <w:sz w:val="28"/>
          <w:szCs w:val="28"/>
        </w:rPr>
        <w:t xml:space="preserve">Согласно актам сдачи-приема оказанных услуг по транспортированию ТКО за январь-май 2019 года, представленным ООО «Экология-Новосибирск» в департамент в материалах дела об установлении </w:t>
      </w:r>
      <w:r w:rsidR="003904E3">
        <w:rPr>
          <w:sz w:val="28"/>
          <w:szCs w:val="28"/>
        </w:rPr>
        <w:t>п</w:t>
      </w:r>
      <w:r w:rsidRPr="00876367">
        <w:rPr>
          <w:sz w:val="28"/>
          <w:szCs w:val="28"/>
        </w:rPr>
        <w:t>редельного тарифа на 2020 год, средняя стоимость транспортирования ТКО составила 240,42 руб./куб.м.</w:t>
      </w:r>
    </w:p>
    <w:p w:rsidR="005727C2" w:rsidRDefault="005727C2" w:rsidP="003904E3">
      <w:pPr>
        <w:spacing w:after="0" w:line="240" w:lineRule="auto"/>
        <w:ind w:firstLine="709"/>
        <w:jc w:val="both"/>
        <w:rPr>
          <w:sz w:val="28"/>
          <w:szCs w:val="28"/>
        </w:rPr>
      </w:pPr>
      <w:r w:rsidRPr="00876367">
        <w:rPr>
          <w:sz w:val="28"/>
          <w:szCs w:val="28"/>
        </w:rPr>
        <w:t>Следует отметить невозможность и</w:t>
      </w:r>
      <w:r>
        <w:rPr>
          <w:sz w:val="28"/>
          <w:szCs w:val="28"/>
        </w:rPr>
        <w:t xml:space="preserve">ндексации собственных расходов </w:t>
      </w:r>
      <w:r w:rsidR="003904E3">
        <w:rPr>
          <w:sz w:val="28"/>
          <w:szCs w:val="28"/>
        </w:rPr>
        <w:t>р</w:t>
      </w:r>
      <w:r>
        <w:rPr>
          <w:sz w:val="28"/>
          <w:szCs w:val="28"/>
        </w:rPr>
        <w:t xml:space="preserve">егионального оператора в части расходов на транспортирование ТКО на 2020 год в связи с тем, что согласно размещенным на электронной площадке ООО «РТС-Тендер» в 2018 году сведениям об электронных аукционах на оказание услуг по транспортированию ТКО на территории Новосибирской области на 2019 год (извещения № 0400700004118000001, </w:t>
      </w:r>
      <w:r>
        <w:rPr>
          <w:sz w:val="28"/>
          <w:szCs w:val="28"/>
        </w:rPr>
        <w:lastRenderedPageBreak/>
        <w:t>0400700004118000002, 0400700004118000003, 0400700004118000004, 0400700004118000005, 0400700004118000006):</w:t>
      </w:r>
    </w:p>
    <w:p w:rsidR="005727C2" w:rsidRDefault="005727C2" w:rsidP="003904E3">
      <w:pPr>
        <w:spacing w:after="0" w:line="240" w:lineRule="auto"/>
        <w:ind w:firstLine="709"/>
        <w:jc w:val="both"/>
        <w:rPr>
          <w:sz w:val="28"/>
          <w:szCs w:val="28"/>
        </w:rPr>
      </w:pPr>
      <w:r>
        <w:rPr>
          <w:sz w:val="28"/>
          <w:szCs w:val="28"/>
        </w:rPr>
        <w:t>-период оказания таких услуг был ограниченным (с 01.01.2019 по 31.12.2019 включительно);</w:t>
      </w:r>
    </w:p>
    <w:p w:rsidR="005727C2" w:rsidRDefault="005727C2" w:rsidP="003904E3">
      <w:pPr>
        <w:spacing w:after="0" w:line="240" w:lineRule="auto"/>
        <w:ind w:firstLine="709"/>
        <w:jc w:val="both"/>
        <w:rPr>
          <w:sz w:val="28"/>
          <w:szCs w:val="28"/>
        </w:rPr>
      </w:pPr>
      <w:r>
        <w:rPr>
          <w:sz w:val="28"/>
          <w:szCs w:val="28"/>
        </w:rPr>
        <w:t>-перечень мест оказания услуг, заявленных при проведении соответствующих торгов в 2020 году, не совпадает с местами оказания услуг в 2019 году по результатам торгов 2018 года;</w:t>
      </w:r>
    </w:p>
    <w:p w:rsidR="005727C2" w:rsidRDefault="005727C2" w:rsidP="003904E3">
      <w:pPr>
        <w:spacing w:after="0" w:line="240" w:lineRule="auto"/>
        <w:ind w:firstLine="709"/>
        <w:jc w:val="both"/>
        <w:rPr>
          <w:sz w:val="28"/>
          <w:szCs w:val="28"/>
        </w:rPr>
      </w:pPr>
      <w:r>
        <w:rPr>
          <w:sz w:val="28"/>
          <w:szCs w:val="28"/>
        </w:rPr>
        <w:t>-победителями проведенных в 2018 и 2019 годах электронных аукционов также являются разные операторы по транспортированию ТКО.</w:t>
      </w:r>
    </w:p>
    <w:p w:rsidR="005727C2" w:rsidRPr="00876367" w:rsidRDefault="005727C2" w:rsidP="00876367">
      <w:pPr>
        <w:spacing w:line="240" w:lineRule="auto"/>
        <w:ind w:firstLine="709"/>
        <w:jc w:val="both"/>
        <w:rPr>
          <w:sz w:val="28"/>
          <w:szCs w:val="28"/>
        </w:rPr>
      </w:pPr>
      <w:r>
        <w:rPr>
          <w:sz w:val="28"/>
          <w:szCs w:val="28"/>
        </w:rPr>
        <w:t xml:space="preserve">Таким образом, условия оказания </w:t>
      </w:r>
      <w:r w:rsidR="003904E3">
        <w:rPr>
          <w:sz w:val="28"/>
          <w:szCs w:val="28"/>
        </w:rPr>
        <w:t>р</w:t>
      </w:r>
      <w:r>
        <w:rPr>
          <w:sz w:val="28"/>
          <w:szCs w:val="28"/>
        </w:rPr>
        <w:t>егиональному оператору услуг по транспортированию ТКО</w:t>
      </w:r>
      <w:r w:rsidR="003904E3">
        <w:rPr>
          <w:sz w:val="28"/>
          <w:szCs w:val="28"/>
        </w:rPr>
        <w:t xml:space="preserve"> не являются аналогичными</w:t>
      </w:r>
      <w:r>
        <w:rPr>
          <w:sz w:val="28"/>
          <w:szCs w:val="28"/>
        </w:rPr>
        <w:t>.</w:t>
      </w:r>
    </w:p>
    <w:p w:rsidR="005727C2" w:rsidRPr="00876367" w:rsidRDefault="005727C2" w:rsidP="003904E3">
      <w:pPr>
        <w:spacing w:after="0" w:line="240" w:lineRule="auto"/>
        <w:ind w:firstLine="709"/>
        <w:jc w:val="both"/>
        <w:rPr>
          <w:sz w:val="28"/>
          <w:szCs w:val="28"/>
        </w:rPr>
      </w:pPr>
      <w:r w:rsidRPr="00876367">
        <w:rPr>
          <w:sz w:val="28"/>
          <w:szCs w:val="28"/>
        </w:rPr>
        <w:t xml:space="preserve">Прочие расходы </w:t>
      </w:r>
      <w:r w:rsidR="003904E3">
        <w:rPr>
          <w:sz w:val="28"/>
          <w:szCs w:val="28"/>
        </w:rPr>
        <w:t>р</w:t>
      </w:r>
      <w:r w:rsidRPr="00876367">
        <w:rPr>
          <w:sz w:val="28"/>
          <w:szCs w:val="28"/>
        </w:rPr>
        <w:t xml:space="preserve">егионального оператора (на заключение и обслуживание договоров с собственниками ТКО и операторами по обращению с ТКО), предусмотренные пунктом 87 Методических указаний </w:t>
      </w:r>
      <w:r>
        <w:rPr>
          <w:sz w:val="28"/>
          <w:szCs w:val="28"/>
        </w:rPr>
        <w:t>№ 1638/16,</w:t>
      </w:r>
      <w:r w:rsidRPr="00876367">
        <w:rPr>
          <w:sz w:val="28"/>
          <w:szCs w:val="28"/>
        </w:rPr>
        <w:t xml:space="preserve"> проиндексированы департаментом на прогнозный индекс потребительских цен на 2020 год и составили 101 092,74 тыс. руб. (прочие расходы, учтенные на 2019 год (98 148,30 тыс. руб. с НДС)*103%).</w:t>
      </w:r>
    </w:p>
    <w:p w:rsidR="005727C2" w:rsidRPr="00876367" w:rsidRDefault="005727C2" w:rsidP="003904E3">
      <w:pPr>
        <w:spacing w:after="0" w:line="240" w:lineRule="auto"/>
        <w:ind w:firstLine="709"/>
        <w:jc w:val="both"/>
        <w:rPr>
          <w:sz w:val="28"/>
          <w:szCs w:val="28"/>
        </w:rPr>
      </w:pPr>
      <w:r w:rsidRPr="00876367">
        <w:rPr>
          <w:sz w:val="28"/>
          <w:szCs w:val="28"/>
        </w:rPr>
        <w:t xml:space="preserve">Экономическая обоснованность расходов ООО «Экология-Новосибирск» по сомнительным долгам (сбытовые расходы) не подтверждена, так как </w:t>
      </w:r>
      <w:r w:rsidR="003904E3">
        <w:rPr>
          <w:sz w:val="28"/>
          <w:szCs w:val="28"/>
        </w:rPr>
        <w:t>р</w:t>
      </w:r>
      <w:r w:rsidRPr="00876367">
        <w:rPr>
          <w:sz w:val="28"/>
          <w:szCs w:val="28"/>
        </w:rPr>
        <w:t xml:space="preserve">егиональным оператором в </w:t>
      </w:r>
      <w:r w:rsidR="003904E3">
        <w:rPr>
          <w:sz w:val="28"/>
          <w:szCs w:val="28"/>
        </w:rPr>
        <w:t>Д</w:t>
      </w:r>
      <w:r w:rsidRPr="00876367">
        <w:rPr>
          <w:sz w:val="28"/>
          <w:szCs w:val="28"/>
        </w:rPr>
        <w:t>епартамент не представлены документы, свидетельствующие о принятии им исчерпывающих мер для взыскания задолженности – копии судебных актов, определений суда о признании банкротом должника, постановлений об окончании исполнительного производства и возвращении взыскателю исполнительного документа.</w:t>
      </w:r>
    </w:p>
    <w:p w:rsidR="005727C2" w:rsidRDefault="005727C2" w:rsidP="003904E3">
      <w:pPr>
        <w:spacing w:after="0" w:line="240" w:lineRule="auto"/>
        <w:ind w:firstLine="709"/>
        <w:jc w:val="both"/>
        <w:rPr>
          <w:sz w:val="28"/>
          <w:szCs w:val="28"/>
        </w:rPr>
      </w:pPr>
      <w:r>
        <w:rPr>
          <w:sz w:val="28"/>
          <w:szCs w:val="28"/>
        </w:rPr>
        <w:t xml:space="preserve">Исходя из формулы 52, предусмотренной пунктом 92 Методических указаний № 1638/16, корректировка необходимой валовой выручки регионального оператора возможна не ранее, чем на третий год регулирования. </w:t>
      </w:r>
    </w:p>
    <w:p w:rsidR="005727C2" w:rsidRDefault="005727C2" w:rsidP="00B60834">
      <w:pPr>
        <w:autoSpaceDE w:val="0"/>
        <w:autoSpaceDN w:val="0"/>
        <w:adjustRightInd w:val="0"/>
        <w:spacing w:after="0" w:line="240" w:lineRule="auto"/>
        <w:ind w:firstLine="540"/>
        <w:jc w:val="both"/>
        <w:rPr>
          <w:sz w:val="28"/>
          <w:szCs w:val="28"/>
        </w:rPr>
      </w:pPr>
      <w:r>
        <w:rPr>
          <w:sz w:val="28"/>
          <w:szCs w:val="28"/>
        </w:rPr>
        <w:t xml:space="preserve">В связи с тем, что 2020 год является вторым годом регулирования деятельности ООО «Экология-Новосибирск» в сфере обращения с ТКО, корректировка необходимой валовой выручки при установлении </w:t>
      </w:r>
      <w:r w:rsidR="00B60834">
        <w:rPr>
          <w:sz w:val="28"/>
          <w:szCs w:val="28"/>
        </w:rPr>
        <w:t>предельного тарифа на 2020 год Д</w:t>
      </w:r>
      <w:r>
        <w:rPr>
          <w:sz w:val="28"/>
          <w:szCs w:val="28"/>
        </w:rPr>
        <w:t>епартаментом не производилась.</w:t>
      </w:r>
    </w:p>
    <w:p w:rsidR="005727C2" w:rsidRDefault="005727C2" w:rsidP="00B60834">
      <w:pPr>
        <w:autoSpaceDE w:val="0"/>
        <w:autoSpaceDN w:val="0"/>
        <w:adjustRightInd w:val="0"/>
        <w:spacing w:after="0" w:line="240" w:lineRule="auto"/>
        <w:ind w:firstLine="540"/>
        <w:jc w:val="both"/>
        <w:rPr>
          <w:sz w:val="28"/>
          <w:szCs w:val="28"/>
        </w:rPr>
      </w:pPr>
      <w:r>
        <w:rPr>
          <w:sz w:val="28"/>
          <w:szCs w:val="28"/>
        </w:rPr>
        <w:t xml:space="preserve">Расчетный объем ТКО, учтенный при формировании тарифа для ООО «Экология-Новосибирск», определен исходя из данных территориальной схемы, утвержденной </w:t>
      </w:r>
      <w:r w:rsidR="00B60834">
        <w:rPr>
          <w:sz w:val="28"/>
          <w:szCs w:val="28"/>
        </w:rPr>
        <w:t>п</w:t>
      </w:r>
      <w:r>
        <w:rPr>
          <w:sz w:val="28"/>
          <w:szCs w:val="28"/>
        </w:rPr>
        <w:t xml:space="preserve">остановлением Правительства Новосибирской области от 26.09.2016 № 292-п </w:t>
      </w:r>
      <w:r w:rsidRPr="00876367">
        <w:rPr>
          <w:sz w:val="28"/>
          <w:szCs w:val="28"/>
        </w:rPr>
        <w:t>«Об утверждении территориальной схемы обращения с отходами, в том числе с твердыми коммунальными отходами, Новосибирской области»</w:t>
      </w:r>
      <w:r>
        <w:rPr>
          <w:sz w:val="28"/>
          <w:szCs w:val="28"/>
        </w:rPr>
        <w:t>, в размере 9748,46 тыс.куб.м.</w:t>
      </w:r>
    </w:p>
    <w:p w:rsidR="005727C2" w:rsidRDefault="00B60834" w:rsidP="00B60834">
      <w:pPr>
        <w:autoSpaceDE w:val="0"/>
        <w:autoSpaceDN w:val="0"/>
        <w:adjustRightInd w:val="0"/>
        <w:spacing w:after="0" w:line="240" w:lineRule="auto"/>
        <w:ind w:firstLine="540"/>
        <w:jc w:val="both"/>
        <w:rPr>
          <w:sz w:val="28"/>
          <w:szCs w:val="28"/>
        </w:rPr>
      </w:pPr>
      <w:r>
        <w:rPr>
          <w:sz w:val="28"/>
          <w:szCs w:val="28"/>
        </w:rPr>
        <w:t xml:space="preserve">Величина </w:t>
      </w:r>
      <w:r w:rsidR="005727C2">
        <w:rPr>
          <w:sz w:val="28"/>
          <w:szCs w:val="28"/>
        </w:rPr>
        <w:t>НВВ ООО «Экология-Новосибирск», признанн</w:t>
      </w:r>
      <w:r>
        <w:rPr>
          <w:sz w:val="28"/>
          <w:szCs w:val="28"/>
        </w:rPr>
        <w:t>ая</w:t>
      </w:r>
      <w:r w:rsidR="005727C2">
        <w:rPr>
          <w:sz w:val="28"/>
          <w:szCs w:val="28"/>
        </w:rPr>
        <w:t xml:space="preserve"> </w:t>
      </w:r>
      <w:r>
        <w:rPr>
          <w:sz w:val="28"/>
          <w:szCs w:val="28"/>
        </w:rPr>
        <w:t>Д</w:t>
      </w:r>
      <w:r w:rsidR="005727C2">
        <w:rPr>
          <w:sz w:val="28"/>
          <w:szCs w:val="28"/>
        </w:rPr>
        <w:t>епартаментом в качестве экономически обоснованной для расчета тарифа, составил 2 943 225,06 тыс. руб. (с НДС); из них:</w:t>
      </w:r>
    </w:p>
    <w:p w:rsidR="005727C2" w:rsidRDefault="005727C2" w:rsidP="00B60834">
      <w:pPr>
        <w:autoSpaceDE w:val="0"/>
        <w:autoSpaceDN w:val="0"/>
        <w:adjustRightInd w:val="0"/>
        <w:spacing w:after="0" w:line="240" w:lineRule="auto"/>
        <w:ind w:firstLine="540"/>
        <w:jc w:val="both"/>
        <w:rPr>
          <w:sz w:val="28"/>
          <w:szCs w:val="28"/>
        </w:rPr>
      </w:pPr>
      <w:r>
        <w:rPr>
          <w:sz w:val="28"/>
          <w:szCs w:val="28"/>
        </w:rPr>
        <w:t xml:space="preserve">- 446 588,31  тыс. руб. (15,2% от НВВ ООО «Экология-Новосибирск», составляющая в тарифе – 45,81 руб./куб.м (с НДС)) - это расходы </w:t>
      </w:r>
      <w:r>
        <w:rPr>
          <w:sz w:val="28"/>
          <w:szCs w:val="28"/>
        </w:rPr>
        <w:lastRenderedPageBreak/>
        <w:t xml:space="preserve">регионального оператора на услуги, оказываемые операторами по обращению с ТКО по обезвреживанию, захоронению, включая обработку ТКО на объектах, используемых для обращения с ТКО на всей территории Новосибирской области (данные расходы сформированы </w:t>
      </w:r>
      <w:r w:rsidR="00B60834">
        <w:rPr>
          <w:sz w:val="28"/>
          <w:szCs w:val="28"/>
        </w:rPr>
        <w:t>Д</w:t>
      </w:r>
      <w:r>
        <w:rPr>
          <w:sz w:val="28"/>
          <w:szCs w:val="28"/>
        </w:rPr>
        <w:t xml:space="preserve">епартаментом исходя из тарифов операторов по обращению с ТКО, утвержденных </w:t>
      </w:r>
      <w:r w:rsidR="00B60834">
        <w:rPr>
          <w:sz w:val="28"/>
          <w:szCs w:val="28"/>
        </w:rPr>
        <w:t>Д</w:t>
      </w:r>
      <w:r>
        <w:rPr>
          <w:sz w:val="28"/>
          <w:szCs w:val="28"/>
        </w:rPr>
        <w:t>епартаментом на 2020 год и объемов (массы) отходов, направляемых на объекты операторов по обращению с ТКО, и учитывают, в том числе плату за негативное воздействие на окружающую среду, сформированную исходя из ставок платы, утвержденных постановлениями Правительства Российской Федерации от 29.06.2018 № 758, от 13.09.2016 № 913);</w:t>
      </w:r>
    </w:p>
    <w:p w:rsidR="005727C2" w:rsidRDefault="005727C2" w:rsidP="00B60834">
      <w:pPr>
        <w:adjustRightInd w:val="0"/>
        <w:spacing w:after="0" w:line="240" w:lineRule="auto"/>
        <w:ind w:firstLine="709"/>
        <w:jc w:val="both"/>
        <w:rPr>
          <w:sz w:val="28"/>
          <w:szCs w:val="28"/>
        </w:rPr>
      </w:pPr>
      <w:r>
        <w:rPr>
          <w:sz w:val="28"/>
          <w:szCs w:val="28"/>
        </w:rPr>
        <w:t xml:space="preserve">- </w:t>
      </w:r>
      <w:r w:rsidRPr="00876367">
        <w:rPr>
          <w:sz w:val="28"/>
          <w:szCs w:val="28"/>
        </w:rPr>
        <w:t>2 358 743,59</w:t>
      </w:r>
      <w:r>
        <w:rPr>
          <w:sz w:val="28"/>
          <w:szCs w:val="28"/>
        </w:rPr>
        <w:t xml:space="preserve"> тыс. руб. (80,1% от НВВ «Экология-Новосибирск», составляющая в тарифе 241,96 руб./куб.м (с НДС)) - это расходы регионального оператора на транспортирование ТКО (учитывают как собственные расходы ООО «Экология-Новосибирск» на транспортирование (</w:t>
      </w:r>
      <w:r w:rsidRPr="00876367">
        <w:rPr>
          <w:sz w:val="28"/>
          <w:szCs w:val="28"/>
        </w:rPr>
        <w:t xml:space="preserve">1 078 869,92 тыс. руб. с учетом НДС), </w:t>
      </w:r>
      <w:r>
        <w:rPr>
          <w:sz w:val="28"/>
          <w:szCs w:val="28"/>
        </w:rPr>
        <w:t>так и расходы ООО «Экология-Новосибирск» по оплате услуг по транспортированию ТКО, оказываемых сторонними организациями по результатам проведенных ООО «Экология-Новосибирск» в соответствии с Правилами проведения торгов, по результатам которых формируются цены на услуги по транспортированию ТКО для регионального оператора, утвержденных постановлением правительства Российской Федерации от 03.11.2016 № 1133, торгов в форме аукциона в электронной форме (</w:t>
      </w:r>
      <w:r w:rsidRPr="00876367">
        <w:rPr>
          <w:sz w:val="28"/>
          <w:szCs w:val="28"/>
        </w:rPr>
        <w:t>1 279 873,67 тыс. руб. с учетом НДС).</w:t>
      </w:r>
      <w:r>
        <w:rPr>
          <w:sz w:val="28"/>
          <w:szCs w:val="28"/>
        </w:rPr>
        <w:t xml:space="preserve"> Указанная составляющая учитывает транспортирование принимаемых региональным оператором со всей территории Новосибирской области ТКО на объекты по размещению ТКО, количество которых по состоянию на 31.12.2019 составляло 20 единиц (соответственно, с территорий Новосибирской области, на которых отсутствуют объекты размещения отходов, транспортирование ТКО осуществляется на действующие объекты размещения ТКО, тем самым увеличивается среднее расстояние транспортирования ТКО, что влечет за собой увеличение транспортной составляющей затрат регионального оператора);</w:t>
      </w:r>
    </w:p>
    <w:p w:rsidR="005727C2" w:rsidRDefault="005727C2" w:rsidP="00B60834">
      <w:pPr>
        <w:adjustRightInd w:val="0"/>
        <w:spacing w:after="0" w:line="240" w:lineRule="auto"/>
        <w:ind w:firstLine="709"/>
        <w:jc w:val="both"/>
        <w:rPr>
          <w:sz w:val="28"/>
          <w:szCs w:val="28"/>
        </w:rPr>
      </w:pPr>
      <w:r>
        <w:rPr>
          <w:sz w:val="28"/>
          <w:szCs w:val="28"/>
        </w:rPr>
        <w:t>- 106 147,39 тыс. руб. (3,6% от НВВ «Экология-Новосибирск», составляющая в тарифе - 10,89 руб./куб.м (с НДС)) – это расходы ООО «Экология-Новосибирск» на заключение и обслуживание договоров с собственниками ТКО и операторами по обращению с ТКО;</w:t>
      </w:r>
    </w:p>
    <w:p w:rsidR="005727C2" w:rsidRDefault="005727C2" w:rsidP="00B60834">
      <w:pPr>
        <w:adjustRightInd w:val="0"/>
        <w:spacing w:after="0" w:line="240" w:lineRule="auto"/>
        <w:ind w:firstLine="709"/>
        <w:jc w:val="both"/>
        <w:rPr>
          <w:sz w:val="28"/>
          <w:szCs w:val="28"/>
        </w:rPr>
      </w:pPr>
      <w:r>
        <w:rPr>
          <w:sz w:val="28"/>
          <w:szCs w:val="28"/>
        </w:rPr>
        <w:t>- 29 140,84 тыс. руб. (1% от НВВ «Экология-Новосибирск», составляющая в тарифе – 2,99 руб./куб.м (с НДС)) – это расходы на приобретение контейнеров и бункеров и их содержание;</w:t>
      </w:r>
    </w:p>
    <w:p w:rsidR="00185C71" w:rsidRDefault="005727C2" w:rsidP="00B60834">
      <w:pPr>
        <w:adjustRightInd w:val="0"/>
        <w:spacing w:after="0" w:line="240" w:lineRule="auto"/>
        <w:ind w:firstLine="709"/>
        <w:rPr>
          <w:noProof/>
          <w:sz w:val="28"/>
          <w:szCs w:val="28"/>
        </w:rPr>
      </w:pPr>
      <w:r>
        <w:rPr>
          <w:sz w:val="28"/>
          <w:szCs w:val="28"/>
        </w:rPr>
        <w:t xml:space="preserve">- 2 604,93 тыс. руб. (0,1% от НВВ «Экология-Новосибирск», составляющая в тарифе – 0,27 руб./куб.м (с НДС)) – это расходы на уборку </w:t>
      </w:r>
      <w:r w:rsidR="00185C71">
        <w:rPr>
          <w:sz w:val="28"/>
          <w:szCs w:val="28"/>
        </w:rPr>
        <w:t>м</w:t>
      </w:r>
      <w:r>
        <w:rPr>
          <w:sz w:val="28"/>
          <w:szCs w:val="28"/>
        </w:rPr>
        <w:t>ест погрузки ТКО.</w:t>
      </w:r>
      <w:r w:rsidR="00B60834" w:rsidRPr="00B60834">
        <w:rPr>
          <w:noProof/>
          <w:sz w:val="28"/>
          <w:szCs w:val="28"/>
        </w:rPr>
        <w:t xml:space="preserve"> </w:t>
      </w:r>
    </w:p>
    <w:p w:rsidR="005727C2" w:rsidRDefault="00B60834" w:rsidP="00525F0D">
      <w:pPr>
        <w:adjustRightInd w:val="0"/>
        <w:spacing w:after="0" w:line="240" w:lineRule="auto"/>
        <w:ind w:firstLine="284"/>
        <w:jc w:val="center"/>
        <w:rPr>
          <w:sz w:val="28"/>
          <w:szCs w:val="28"/>
        </w:rPr>
      </w:pPr>
      <w:r>
        <w:rPr>
          <w:noProof/>
          <w:sz w:val="28"/>
          <w:szCs w:val="28"/>
        </w:rPr>
        <w:lastRenderedPageBreak/>
        <w:drawing>
          <wp:inline distT="0" distB="0" distL="0" distR="0" wp14:anchorId="465427DE" wp14:editId="258A3A5B">
            <wp:extent cx="5574183" cy="3343046"/>
            <wp:effectExtent l="0" t="0" r="0" b="0"/>
            <wp:docPr id="44" name="Рисунок 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5"/>
                    <pic:cNvPicPr>
                      <a:picLocks noChangeAspect="1" noChangeArrowheads="1"/>
                    </pic:cNvPicPr>
                  </pic:nvPicPr>
                  <pic:blipFill>
                    <a:blip r:embed="rId83" cstate="print">
                      <a:extLst>
                        <a:ext uri="{28A0092B-C50C-407E-A947-70E740481C1C}">
                          <a14:useLocalDpi xmlns:a14="http://schemas.microsoft.com/office/drawing/2010/main" val="0"/>
                        </a:ext>
                      </a:extLst>
                    </a:blip>
                    <a:srcRect/>
                    <a:stretch>
                      <a:fillRect/>
                    </a:stretch>
                  </pic:blipFill>
                  <pic:spPr bwMode="auto">
                    <a:xfrm>
                      <a:off x="0" y="0"/>
                      <a:ext cx="5575068" cy="3343577"/>
                    </a:xfrm>
                    <a:prstGeom prst="rect">
                      <a:avLst/>
                    </a:prstGeom>
                    <a:noFill/>
                    <a:ln>
                      <a:noFill/>
                    </a:ln>
                  </pic:spPr>
                </pic:pic>
              </a:graphicData>
            </a:graphic>
          </wp:inline>
        </w:drawing>
      </w:r>
    </w:p>
    <w:p w:rsidR="00DB2105" w:rsidRDefault="00525F0D" w:rsidP="00525F0D">
      <w:pPr>
        <w:adjustRightInd w:val="0"/>
        <w:spacing w:after="0" w:line="240" w:lineRule="auto"/>
        <w:ind w:firstLine="709"/>
        <w:jc w:val="center"/>
        <w:rPr>
          <w:sz w:val="28"/>
          <w:szCs w:val="28"/>
        </w:rPr>
      </w:pPr>
      <w:r>
        <w:rPr>
          <w:sz w:val="28"/>
          <w:szCs w:val="28"/>
        </w:rPr>
        <w:t>Рис. 2.5.1.</w:t>
      </w:r>
    </w:p>
    <w:p w:rsidR="005727C2" w:rsidRPr="00876367" w:rsidRDefault="00460305" w:rsidP="00B60834">
      <w:pPr>
        <w:adjustRightInd w:val="0"/>
        <w:spacing w:after="0" w:line="240" w:lineRule="auto"/>
        <w:ind w:firstLine="709"/>
        <w:jc w:val="both"/>
        <w:rPr>
          <w:sz w:val="28"/>
          <w:szCs w:val="28"/>
        </w:rPr>
      </w:pPr>
      <w:r>
        <w:rPr>
          <w:sz w:val="28"/>
          <w:szCs w:val="28"/>
        </w:rPr>
        <w:t>П</w:t>
      </w:r>
      <w:r w:rsidR="005727C2" w:rsidRPr="00876367">
        <w:rPr>
          <w:sz w:val="28"/>
          <w:szCs w:val="28"/>
        </w:rPr>
        <w:t>редельн</w:t>
      </w:r>
      <w:r>
        <w:rPr>
          <w:sz w:val="28"/>
          <w:szCs w:val="28"/>
        </w:rPr>
        <w:t>ый</w:t>
      </w:r>
      <w:r w:rsidR="005727C2" w:rsidRPr="00876367">
        <w:rPr>
          <w:sz w:val="28"/>
          <w:szCs w:val="28"/>
        </w:rPr>
        <w:t xml:space="preserve"> един</w:t>
      </w:r>
      <w:r>
        <w:rPr>
          <w:sz w:val="28"/>
          <w:szCs w:val="28"/>
        </w:rPr>
        <w:t>ый</w:t>
      </w:r>
      <w:r w:rsidR="005727C2" w:rsidRPr="00876367">
        <w:rPr>
          <w:sz w:val="28"/>
          <w:szCs w:val="28"/>
        </w:rPr>
        <w:t xml:space="preserve"> тариф на услугу регионального оператора по обращению с ТКО для ООО «Экология-Новосибирск»</w:t>
      </w:r>
      <w:r>
        <w:rPr>
          <w:sz w:val="28"/>
          <w:szCs w:val="28"/>
        </w:rPr>
        <w:t xml:space="preserve"> </w:t>
      </w:r>
      <w:r w:rsidRPr="00876367">
        <w:rPr>
          <w:sz w:val="28"/>
          <w:szCs w:val="28"/>
        </w:rPr>
        <w:t>на 2020 год</w:t>
      </w:r>
      <w:r w:rsidR="005727C2" w:rsidRPr="00876367">
        <w:rPr>
          <w:sz w:val="28"/>
          <w:szCs w:val="28"/>
        </w:rPr>
        <w:t xml:space="preserve"> </w:t>
      </w:r>
      <w:r>
        <w:rPr>
          <w:sz w:val="28"/>
          <w:szCs w:val="28"/>
        </w:rPr>
        <w:t xml:space="preserve">установлен Департаментом со снижением </w:t>
      </w:r>
      <w:r w:rsidRPr="00876367">
        <w:rPr>
          <w:sz w:val="28"/>
          <w:szCs w:val="28"/>
        </w:rPr>
        <w:t xml:space="preserve">на 32,4% </w:t>
      </w:r>
      <w:r>
        <w:rPr>
          <w:sz w:val="28"/>
          <w:szCs w:val="28"/>
        </w:rPr>
        <w:t xml:space="preserve">относительно </w:t>
      </w:r>
      <w:r w:rsidR="005727C2" w:rsidRPr="00876367">
        <w:rPr>
          <w:sz w:val="28"/>
          <w:szCs w:val="28"/>
        </w:rPr>
        <w:t xml:space="preserve"> действующе</w:t>
      </w:r>
      <w:r>
        <w:rPr>
          <w:sz w:val="28"/>
          <w:szCs w:val="28"/>
        </w:rPr>
        <w:t>го</w:t>
      </w:r>
      <w:r w:rsidR="005727C2" w:rsidRPr="00876367">
        <w:rPr>
          <w:sz w:val="28"/>
          <w:szCs w:val="28"/>
        </w:rPr>
        <w:t xml:space="preserve"> тариф</w:t>
      </w:r>
      <w:r>
        <w:rPr>
          <w:sz w:val="28"/>
          <w:szCs w:val="28"/>
        </w:rPr>
        <w:t>а</w:t>
      </w:r>
      <w:r w:rsidR="005727C2" w:rsidRPr="00876367">
        <w:rPr>
          <w:sz w:val="28"/>
          <w:szCs w:val="28"/>
        </w:rPr>
        <w:t xml:space="preserve"> на 31.12.2019</w:t>
      </w:r>
      <w:r>
        <w:rPr>
          <w:sz w:val="28"/>
          <w:szCs w:val="28"/>
        </w:rPr>
        <w:t>. Снижение</w:t>
      </w:r>
      <w:r w:rsidR="005727C2" w:rsidRPr="00876367">
        <w:rPr>
          <w:sz w:val="28"/>
          <w:szCs w:val="28"/>
        </w:rPr>
        <w:t xml:space="preserve"> обусловлено уменьшением расходов на транспортирование ТКО, в том числе на услуги операторов по транспортированию ТКО по результатам проведенных торгов, а также освобождением от налога на добавленную стоимость операций по реализации услуг по обращению с ТКО, оказываемых региональным оператором на территории Новосибирской области,</w:t>
      </w:r>
      <w:r>
        <w:rPr>
          <w:sz w:val="28"/>
          <w:szCs w:val="28"/>
        </w:rPr>
        <w:t xml:space="preserve"> в соответствии с</w:t>
      </w:r>
      <w:r w:rsidR="005727C2" w:rsidRPr="00876367">
        <w:rPr>
          <w:sz w:val="28"/>
          <w:szCs w:val="28"/>
        </w:rPr>
        <w:t xml:space="preserve"> подпункт</w:t>
      </w:r>
      <w:r>
        <w:rPr>
          <w:sz w:val="28"/>
          <w:szCs w:val="28"/>
        </w:rPr>
        <w:t>ом</w:t>
      </w:r>
      <w:r w:rsidR="005727C2" w:rsidRPr="00876367">
        <w:rPr>
          <w:sz w:val="28"/>
          <w:szCs w:val="28"/>
        </w:rPr>
        <w:t xml:space="preserve"> 36 пункта 2 статьи 149 Налогового Кодекса Российской Федерации.</w:t>
      </w:r>
    </w:p>
    <w:p w:rsidR="005727C2" w:rsidRDefault="005727C2" w:rsidP="00B60834">
      <w:pPr>
        <w:autoSpaceDE w:val="0"/>
        <w:autoSpaceDN w:val="0"/>
        <w:adjustRightInd w:val="0"/>
        <w:spacing w:after="0" w:line="240" w:lineRule="auto"/>
        <w:ind w:firstLine="540"/>
        <w:jc w:val="both"/>
        <w:rPr>
          <w:sz w:val="28"/>
          <w:szCs w:val="28"/>
        </w:rPr>
      </w:pPr>
      <w:r w:rsidRPr="00876367">
        <w:rPr>
          <w:sz w:val="28"/>
          <w:szCs w:val="28"/>
        </w:rPr>
        <w:t>Исходя из установленного норматива накопления ТКО в отношении домовладений на территории Новосибирской области на 1 проживающего в размере 2,38 куб. м./чел/год и установленного предельного единого тарифа на услугу регионального оператора по обращению с ТКО для населения в размере 301,92 руб./куб. м, размер платы за коммунальную услугу по обращению с ТКО на 1 гражданина в 2020 году составит 59,88 руб. в месяц.</w:t>
      </w:r>
    </w:p>
    <w:p w:rsidR="005727C2" w:rsidRDefault="005727C2" w:rsidP="00B60834">
      <w:pPr>
        <w:autoSpaceDE w:val="0"/>
        <w:autoSpaceDN w:val="0"/>
        <w:adjustRightInd w:val="0"/>
        <w:spacing w:after="0" w:line="240" w:lineRule="auto"/>
        <w:ind w:firstLine="540"/>
        <w:jc w:val="both"/>
        <w:rPr>
          <w:sz w:val="28"/>
          <w:szCs w:val="28"/>
        </w:rPr>
      </w:pPr>
      <w:r>
        <w:rPr>
          <w:sz w:val="28"/>
          <w:szCs w:val="28"/>
        </w:rPr>
        <w:t>Согласно п.98 Методических указаний по расчету регулируемых тарифов в области обращения с твердыми коммунальными отходами, утвержденных  приказом ФАС России от 21.11.2016 № 1638/16, единый тариф регионального оператора по обращению с ТКО по решению органа регулирования тарифов или в соответствии с соглашением об организации деятельности по обращению с твердыми коммунальными отходами может дифференцироваться:</w:t>
      </w:r>
    </w:p>
    <w:p w:rsidR="005727C2" w:rsidRDefault="005727C2" w:rsidP="00B60834">
      <w:pPr>
        <w:autoSpaceDE w:val="0"/>
        <w:autoSpaceDN w:val="0"/>
        <w:adjustRightInd w:val="0"/>
        <w:spacing w:after="0" w:line="240" w:lineRule="auto"/>
        <w:ind w:firstLine="540"/>
        <w:jc w:val="both"/>
        <w:rPr>
          <w:sz w:val="28"/>
          <w:szCs w:val="28"/>
        </w:rPr>
      </w:pPr>
      <w:r>
        <w:rPr>
          <w:sz w:val="28"/>
          <w:szCs w:val="28"/>
        </w:rPr>
        <w:t>по видам ТКО (сортированные, несортированные, крупногабаритные, другие виды отходов, определенные органом исполнительной власти субъекта Российской Федерации) и классам опасности отходов;</w:t>
      </w:r>
    </w:p>
    <w:p w:rsidR="005727C2" w:rsidRDefault="005727C2" w:rsidP="00B60834">
      <w:pPr>
        <w:autoSpaceDE w:val="0"/>
        <w:autoSpaceDN w:val="0"/>
        <w:adjustRightInd w:val="0"/>
        <w:spacing w:after="0" w:line="240" w:lineRule="auto"/>
        <w:ind w:firstLine="540"/>
        <w:jc w:val="both"/>
        <w:rPr>
          <w:sz w:val="28"/>
          <w:szCs w:val="28"/>
        </w:rPr>
      </w:pPr>
      <w:r>
        <w:rPr>
          <w:sz w:val="28"/>
          <w:szCs w:val="28"/>
        </w:rPr>
        <w:lastRenderedPageBreak/>
        <w:t>по муниципальным образованиям;</w:t>
      </w:r>
    </w:p>
    <w:p w:rsidR="005727C2" w:rsidRDefault="005727C2" w:rsidP="00B60834">
      <w:pPr>
        <w:autoSpaceDE w:val="0"/>
        <w:autoSpaceDN w:val="0"/>
        <w:adjustRightInd w:val="0"/>
        <w:spacing w:after="0" w:line="240" w:lineRule="auto"/>
        <w:ind w:firstLine="540"/>
        <w:jc w:val="both"/>
        <w:rPr>
          <w:sz w:val="28"/>
          <w:szCs w:val="28"/>
        </w:rPr>
      </w:pPr>
      <w:r>
        <w:rPr>
          <w:sz w:val="28"/>
          <w:szCs w:val="28"/>
        </w:rPr>
        <w:t>по технологическим особенностям в соответствии с территориальной схемой.</w:t>
      </w:r>
    </w:p>
    <w:p w:rsidR="005727C2" w:rsidRDefault="005727C2" w:rsidP="00B60834">
      <w:pPr>
        <w:autoSpaceDE w:val="0"/>
        <w:autoSpaceDN w:val="0"/>
        <w:adjustRightInd w:val="0"/>
        <w:spacing w:after="0" w:line="240" w:lineRule="auto"/>
        <w:ind w:firstLine="540"/>
        <w:jc w:val="both"/>
        <w:rPr>
          <w:sz w:val="28"/>
          <w:szCs w:val="28"/>
        </w:rPr>
      </w:pPr>
      <w:r>
        <w:rPr>
          <w:sz w:val="28"/>
          <w:szCs w:val="28"/>
        </w:rPr>
        <w:t>Соглашением от 25.07.2018 равно как и территориальной схемой обращения с отходами, в том числе с твердыми коммунальными отходами, Новосибирской области, утвержденной постановление Правительства Новосибирской области от 26.09.2016 № 292-п дифференциация тарифов регионального оператора по обращению с ТКО не предусмотрена.</w:t>
      </w:r>
    </w:p>
    <w:p w:rsidR="005727C2" w:rsidRDefault="005727C2" w:rsidP="00B60834">
      <w:pPr>
        <w:autoSpaceDE w:val="0"/>
        <w:autoSpaceDN w:val="0"/>
        <w:adjustRightInd w:val="0"/>
        <w:spacing w:after="0" w:line="240" w:lineRule="auto"/>
        <w:ind w:firstLine="540"/>
        <w:jc w:val="both"/>
        <w:rPr>
          <w:sz w:val="28"/>
          <w:szCs w:val="28"/>
        </w:rPr>
      </w:pPr>
      <w:r>
        <w:rPr>
          <w:sz w:val="28"/>
          <w:szCs w:val="28"/>
        </w:rPr>
        <w:t>Предложение ООО «Экологии-Новосибирск» об установлении единого тарифа на услугу регионального оператора по обращению с ТКО не содержало параметров дифференциации тарифа по муниципальным образованиям Новосибирской области.</w:t>
      </w:r>
    </w:p>
    <w:p w:rsidR="005727C2" w:rsidRDefault="005727C2" w:rsidP="00B60834">
      <w:pPr>
        <w:autoSpaceDE w:val="0"/>
        <w:autoSpaceDN w:val="0"/>
        <w:adjustRightInd w:val="0"/>
        <w:spacing w:after="0" w:line="240" w:lineRule="auto"/>
        <w:ind w:firstLine="540"/>
        <w:jc w:val="both"/>
        <w:rPr>
          <w:sz w:val="28"/>
          <w:szCs w:val="28"/>
        </w:rPr>
      </w:pPr>
      <w:r>
        <w:rPr>
          <w:sz w:val="28"/>
          <w:szCs w:val="28"/>
        </w:rPr>
        <w:t xml:space="preserve">Кроме того, применение дифференцированного тарифа нецелесообразно, так как наиболее развитая инфраструктура по вывозу отходов существует только в крупных населенных пунктах. В сельской местности зачастую отсутствуют контейнеры, не организована система транспортирования отходов. При установлении дифференцированного тарифа регионального оператора наибольший уровень тарифа сложится как раз в небольших сельских населенных пунктах, имеющих наименьшую плотность населения, наименее развитую инфраструктуру в сфере обращения с отходами и большую транспортную удаленность. </w:t>
      </w:r>
      <w:r w:rsidR="00460305">
        <w:rPr>
          <w:sz w:val="28"/>
          <w:szCs w:val="28"/>
        </w:rPr>
        <w:t>Д</w:t>
      </w:r>
      <w:r>
        <w:rPr>
          <w:sz w:val="28"/>
          <w:szCs w:val="28"/>
        </w:rPr>
        <w:t>ифференциация тарифа регионального оператора не позволит решить проблему минимизации роста платы за услуги по обращению с ТКО по сравнению с текущим уровнем</w:t>
      </w:r>
      <w:r w:rsidR="00460305">
        <w:rPr>
          <w:sz w:val="28"/>
          <w:szCs w:val="28"/>
        </w:rPr>
        <w:t xml:space="preserve"> в сельских населенных пунктах Новосибирской области</w:t>
      </w:r>
      <w:r>
        <w:rPr>
          <w:sz w:val="28"/>
          <w:szCs w:val="28"/>
        </w:rPr>
        <w:t>.</w:t>
      </w:r>
    </w:p>
    <w:p w:rsidR="005727C2" w:rsidRDefault="005727C2" w:rsidP="00876367">
      <w:pPr>
        <w:autoSpaceDE w:val="0"/>
        <w:autoSpaceDN w:val="0"/>
        <w:adjustRightInd w:val="0"/>
        <w:spacing w:line="240" w:lineRule="auto"/>
        <w:ind w:firstLine="540"/>
        <w:jc w:val="both"/>
        <w:rPr>
          <w:sz w:val="28"/>
          <w:szCs w:val="28"/>
        </w:rPr>
      </w:pPr>
      <w:r>
        <w:rPr>
          <w:sz w:val="28"/>
          <w:szCs w:val="28"/>
        </w:rPr>
        <w:t>Наличие формулировки «предельный единый тариф» позволяет региональному оператору применять в отношении отдельных категорий потребителей более низкий тариф с постепенным его доведением до единого по всей зоне деятельности уровня, что позволяет избежать социальной напряженности.</w:t>
      </w:r>
    </w:p>
    <w:p w:rsidR="00262A3F" w:rsidRDefault="00262A3F" w:rsidP="00876367">
      <w:pPr>
        <w:autoSpaceDE w:val="0"/>
        <w:autoSpaceDN w:val="0"/>
        <w:adjustRightInd w:val="0"/>
        <w:spacing w:line="240" w:lineRule="auto"/>
        <w:ind w:firstLine="540"/>
        <w:jc w:val="both"/>
        <w:rPr>
          <w:sz w:val="28"/>
          <w:szCs w:val="28"/>
        </w:rPr>
      </w:pPr>
    </w:p>
    <w:p w:rsidR="005727C2" w:rsidRPr="001D165F" w:rsidRDefault="001D165F" w:rsidP="001D165F">
      <w:pPr>
        <w:autoSpaceDE w:val="0"/>
        <w:autoSpaceDN w:val="0"/>
        <w:adjustRightInd w:val="0"/>
        <w:spacing w:line="240" w:lineRule="auto"/>
        <w:ind w:firstLine="540"/>
        <w:rPr>
          <w:b/>
          <w:sz w:val="28"/>
          <w:szCs w:val="28"/>
        </w:rPr>
      </w:pPr>
      <w:r w:rsidRPr="001D165F">
        <w:rPr>
          <w:b/>
          <w:sz w:val="28"/>
          <w:szCs w:val="28"/>
        </w:rPr>
        <w:t xml:space="preserve">2.5.3. </w:t>
      </w:r>
      <w:r w:rsidR="005727C2" w:rsidRPr="001D165F">
        <w:rPr>
          <w:b/>
          <w:sz w:val="28"/>
          <w:szCs w:val="28"/>
        </w:rPr>
        <w:t xml:space="preserve">Динамика тарифов (среднегодовые значения), установленных </w:t>
      </w:r>
      <w:r>
        <w:rPr>
          <w:b/>
          <w:sz w:val="28"/>
          <w:szCs w:val="28"/>
        </w:rPr>
        <w:t>Д</w:t>
      </w:r>
      <w:r w:rsidR="005727C2" w:rsidRPr="001D165F">
        <w:rPr>
          <w:b/>
          <w:sz w:val="28"/>
          <w:szCs w:val="28"/>
        </w:rPr>
        <w:t>епартаментом в сфере обращения с твердыми коммунальными отходами</w:t>
      </w:r>
    </w:p>
    <w:p w:rsidR="005727C2" w:rsidRPr="00876367" w:rsidRDefault="005727C2" w:rsidP="00876367">
      <w:pPr>
        <w:pStyle w:val="ConsPlusNormal"/>
        <w:ind w:firstLine="709"/>
        <w:jc w:val="both"/>
        <w:rPr>
          <w:rFonts w:ascii="Times New Roman" w:eastAsia="MS Mincho" w:hAnsi="Times New Roman" w:cs="Times New Roman"/>
          <w:sz w:val="28"/>
          <w:szCs w:val="28"/>
          <w:lang w:eastAsia="ru-RU"/>
        </w:rPr>
      </w:pPr>
      <w:r w:rsidRPr="00876367">
        <w:rPr>
          <w:rFonts w:ascii="Times New Roman" w:eastAsia="MS Mincho" w:hAnsi="Times New Roman" w:cs="Times New Roman"/>
          <w:sz w:val="28"/>
          <w:szCs w:val="28"/>
          <w:lang w:eastAsia="ru-RU"/>
        </w:rPr>
        <w:t>Кроме предельного единого тарифа на услугу регионального оператора по обращению с ТКО в соответствии с п.6 Основ ценообразования регулированию подлежат предельные тарифы на обработку ТКО, обезвреживание ТКО, захоронение ТКО.</w:t>
      </w:r>
    </w:p>
    <w:p w:rsidR="005727C2" w:rsidRPr="00876367" w:rsidRDefault="005727C2" w:rsidP="00876367">
      <w:pPr>
        <w:pStyle w:val="ConsPlusNormal"/>
        <w:ind w:firstLine="567"/>
        <w:jc w:val="both"/>
        <w:rPr>
          <w:rFonts w:ascii="Times New Roman" w:eastAsia="MS Mincho" w:hAnsi="Times New Roman" w:cs="Times New Roman"/>
          <w:sz w:val="28"/>
          <w:szCs w:val="28"/>
          <w:lang w:eastAsia="ru-RU"/>
        </w:rPr>
      </w:pPr>
      <w:r w:rsidRPr="00876367">
        <w:rPr>
          <w:rFonts w:ascii="Times New Roman" w:eastAsia="MS Mincho" w:hAnsi="Times New Roman" w:cs="Times New Roman"/>
          <w:sz w:val="28"/>
          <w:szCs w:val="28"/>
          <w:lang w:eastAsia="ru-RU"/>
        </w:rPr>
        <w:t xml:space="preserve">В рамках тарифной компании 2019-2020 года Департаментом рассмотрены и установлены с календарной разбивкой тарифы 23 организациям, осуществляющим регулируемую деятельность в сфере обращения с ТКО на территории Новосибирской области, в том числе на захоронение ТКО – 20 тарифных решений (ООО «Латранс» осуществляет деятельность по захоронению ТКО на территории г. Куйбышева и р.п. Чистоозерное Новосибирской области), на обработку ТКО – 2 тарифных </w:t>
      </w:r>
      <w:r w:rsidRPr="00876367">
        <w:rPr>
          <w:rFonts w:ascii="Times New Roman" w:eastAsia="MS Mincho" w:hAnsi="Times New Roman" w:cs="Times New Roman"/>
          <w:sz w:val="28"/>
          <w:szCs w:val="28"/>
          <w:lang w:eastAsia="ru-RU"/>
        </w:rPr>
        <w:lastRenderedPageBreak/>
        <w:t xml:space="preserve">решения, на обезвреживание ТКО – 2 тарифных решения. Тарифы, рассчитанные с применением метода индексации и установленные на долгосрочный период 2018 – 2020 годы были скорректированы на </w:t>
      </w:r>
      <w:r w:rsidR="001D165F" w:rsidRPr="00876367">
        <w:rPr>
          <w:rFonts w:ascii="Times New Roman" w:eastAsia="MS Mincho" w:hAnsi="Times New Roman" w:cs="Times New Roman"/>
          <w:sz w:val="28"/>
          <w:szCs w:val="28"/>
          <w:lang w:eastAsia="ru-RU"/>
        </w:rPr>
        <w:t>2020 год</w:t>
      </w:r>
      <w:r w:rsidR="001D165F">
        <w:rPr>
          <w:rFonts w:ascii="Times New Roman" w:eastAsia="MS Mincho" w:hAnsi="Times New Roman" w:cs="Times New Roman"/>
          <w:sz w:val="28"/>
          <w:szCs w:val="28"/>
          <w:lang w:eastAsia="ru-RU"/>
        </w:rPr>
        <w:t xml:space="preserve"> (очередной год долгосрочного период), </w:t>
      </w:r>
      <w:r w:rsidRPr="00876367">
        <w:rPr>
          <w:rFonts w:ascii="Times New Roman" w:eastAsia="MS Mincho" w:hAnsi="Times New Roman" w:cs="Times New Roman"/>
          <w:sz w:val="28"/>
          <w:szCs w:val="28"/>
          <w:lang w:eastAsia="ru-RU"/>
        </w:rPr>
        <w:t xml:space="preserve">с календарной разбивкой по полугодиям. </w:t>
      </w:r>
    </w:p>
    <w:p w:rsidR="005727C2" w:rsidRPr="00876367" w:rsidRDefault="005727C2" w:rsidP="00876367">
      <w:pPr>
        <w:pStyle w:val="ConsPlusNormal"/>
        <w:ind w:firstLine="567"/>
        <w:jc w:val="both"/>
        <w:rPr>
          <w:rFonts w:ascii="Times New Roman" w:eastAsia="MS Mincho" w:hAnsi="Times New Roman" w:cs="Times New Roman"/>
          <w:sz w:val="28"/>
          <w:szCs w:val="28"/>
          <w:lang w:eastAsia="ru-RU"/>
        </w:rPr>
      </w:pPr>
      <w:r w:rsidRPr="00876367">
        <w:rPr>
          <w:rFonts w:ascii="Times New Roman" w:eastAsia="MS Mincho" w:hAnsi="Times New Roman" w:cs="Times New Roman"/>
          <w:sz w:val="28"/>
          <w:szCs w:val="28"/>
          <w:lang w:eastAsia="ru-RU"/>
        </w:rPr>
        <w:t>В отношение одной организации при расчете тарифа в области обращения с ТКО применен метод экономически обоснованных расходов (затрат), т.к. в течение предыдущего года в отношении ее не осуществлялось государственное регулирование тарифов, по шести организациям тарифы рассчитаны с применением метода индексации и установлены на долгосрочный период 2020 – 2022 годов.</w:t>
      </w:r>
    </w:p>
    <w:p w:rsidR="005727C2" w:rsidRPr="00876367" w:rsidRDefault="005727C2" w:rsidP="00876367">
      <w:pPr>
        <w:pStyle w:val="ConsPlusNormal"/>
        <w:ind w:firstLine="567"/>
        <w:jc w:val="both"/>
        <w:rPr>
          <w:rFonts w:ascii="Times New Roman" w:eastAsia="MS Mincho" w:hAnsi="Times New Roman" w:cs="Times New Roman"/>
          <w:sz w:val="28"/>
          <w:szCs w:val="28"/>
          <w:lang w:eastAsia="ru-RU"/>
        </w:rPr>
      </w:pPr>
      <w:r w:rsidRPr="00876367">
        <w:rPr>
          <w:rFonts w:ascii="Times New Roman" w:eastAsia="MS Mincho" w:hAnsi="Times New Roman" w:cs="Times New Roman"/>
          <w:sz w:val="28"/>
          <w:szCs w:val="28"/>
          <w:lang w:eastAsia="ru-RU"/>
        </w:rPr>
        <w:t>ИП Петрову Владимиру Владимировичу на 2020 год был установлен тариф на захоронение ТКО, осуществляющего деятельность в области обращения с ТКО на территории Криводановского сельсовета Новосибирского района Новосибирской области с учетом расходов на обработку ТКО.</w:t>
      </w:r>
    </w:p>
    <w:p w:rsidR="005727C2" w:rsidRPr="00876367" w:rsidRDefault="005727C2" w:rsidP="00525F0D">
      <w:pPr>
        <w:pStyle w:val="ConsPlusNormal"/>
        <w:ind w:firstLine="426"/>
        <w:jc w:val="both"/>
        <w:rPr>
          <w:rFonts w:ascii="Times New Roman" w:eastAsia="MS Mincho" w:hAnsi="Times New Roman" w:cs="Times New Roman"/>
          <w:sz w:val="28"/>
          <w:szCs w:val="28"/>
          <w:lang w:eastAsia="ru-RU"/>
        </w:rPr>
      </w:pPr>
      <w:r w:rsidRPr="00876367">
        <w:rPr>
          <w:rFonts w:ascii="Times New Roman" w:eastAsia="MS Mincho" w:hAnsi="Times New Roman" w:cs="Times New Roman"/>
          <w:noProof/>
          <w:sz w:val="28"/>
          <w:szCs w:val="28"/>
          <w:lang w:eastAsia="ru-RU"/>
        </w:rPr>
        <w:drawing>
          <wp:inline distT="0" distB="0" distL="0" distR="0" wp14:anchorId="42ED6C35" wp14:editId="295CFB1B">
            <wp:extent cx="5479085" cy="2867558"/>
            <wp:effectExtent l="0" t="0" r="0" b="0"/>
            <wp:docPr id="43" name="Рисунок 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6"/>
                    <pic:cNvPicPr>
                      <a:picLocks noChangeAspect="1" noChangeArrowheads="1"/>
                    </pic:cNvPicPr>
                  </pic:nvPicPr>
                  <pic:blipFill>
                    <a:blip r:embed="rId84" cstate="print">
                      <a:extLst>
                        <a:ext uri="{28A0092B-C50C-407E-A947-70E740481C1C}">
                          <a14:useLocalDpi xmlns:a14="http://schemas.microsoft.com/office/drawing/2010/main" val="0"/>
                        </a:ext>
                      </a:extLst>
                    </a:blip>
                    <a:srcRect/>
                    <a:stretch>
                      <a:fillRect/>
                    </a:stretch>
                  </pic:blipFill>
                  <pic:spPr bwMode="auto">
                    <a:xfrm>
                      <a:off x="0" y="0"/>
                      <a:ext cx="5480639" cy="2868371"/>
                    </a:xfrm>
                    <a:prstGeom prst="rect">
                      <a:avLst/>
                    </a:prstGeom>
                    <a:noFill/>
                    <a:ln>
                      <a:noFill/>
                    </a:ln>
                  </pic:spPr>
                </pic:pic>
              </a:graphicData>
            </a:graphic>
          </wp:inline>
        </w:drawing>
      </w:r>
    </w:p>
    <w:p w:rsidR="005727C2" w:rsidRPr="001D165F" w:rsidRDefault="001D165F" w:rsidP="001D165F">
      <w:pPr>
        <w:pStyle w:val="ConsPlusNormal"/>
        <w:jc w:val="center"/>
        <w:rPr>
          <w:rFonts w:ascii="Times New Roman" w:eastAsia="MS Mincho" w:hAnsi="Times New Roman" w:cs="Times New Roman"/>
          <w:sz w:val="24"/>
          <w:szCs w:val="24"/>
          <w:lang w:eastAsia="ru-RU"/>
        </w:rPr>
      </w:pPr>
      <w:r w:rsidRPr="001D165F">
        <w:rPr>
          <w:rFonts w:ascii="Times New Roman" w:eastAsia="MS Mincho" w:hAnsi="Times New Roman" w:cs="Times New Roman"/>
          <w:sz w:val="24"/>
          <w:szCs w:val="24"/>
          <w:lang w:eastAsia="ru-RU"/>
        </w:rPr>
        <w:t>Рис. 2.5.</w:t>
      </w:r>
      <w:r w:rsidR="00525F0D">
        <w:rPr>
          <w:rFonts w:ascii="Times New Roman" w:eastAsia="MS Mincho" w:hAnsi="Times New Roman" w:cs="Times New Roman"/>
          <w:sz w:val="24"/>
          <w:szCs w:val="24"/>
          <w:lang w:eastAsia="ru-RU"/>
        </w:rPr>
        <w:t>2.</w:t>
      </w:r>
    </w:p>
    <w:p w:rsidR="005727C2" w:rsidRPr="00876367" w:rsidRDefault="005727C2" w:rsidP="00876367">
      <w:pPr>
        <w:pStyle w:val="ConsPlusNormal"/>
        <w:ind w:firstLine="567"/>
        <w:jc w:val="both"/>
        <w:rPr>
          <w:rFonts w:ascii="Times New Roman" w:eastAsia="MS Mincho" w:hAnsi="Times New Roman" w:cs="Times New Roman"/>
          <w:sz w:val="28"/>
          <w:szCs w:val="28"/>
          <w:lang w:eastAsia="ru-RU"/>
        </w:rPr>
      </w:pPr>
      <w:r w:rsidRPr="00876367">
        <w:rPr>
          <w:rFonts w:ascii="Times New Roman" w:eastAsia="MS Mincho" w:hAnsi="Times New Roman" w:cs="Times New Roman"/>
          <w:sz w:val="28"/>
          <w:szCs w:val="28"/>
          <w:lang w:eastAsia="ru-RU"/>
        </w:rPr>
        <w:t>Основной причиной снижения скорректированных на 2020 год тарифов в области обращения с ТКО по отношению к 2019 году является изменения в законодательстве Российской Федерации в сфере обращения с ТКО в части исключения амортизации по объектам основных средств, построенным за счет средств бюджетов бюджетной системы Российской Федерации (постановление Правительства Российской Федерации от 29.10.2019 № 1386) и распределения платы за негативное воздействие на окружающую среду равномерно в течение года.</w:t>
      </w:r>
    </w:p>
    <w:p w:rsidR="005727C2" w:rsidRPr="00876367" w:rsidRDefault="005727C2" w:rsidP="00876367">
      <w:pPr>
        <w:pStyle w:val="ConsPlusNormal"/>
        <w:ind w:firstLine="567"/>
        <w:jc w:val="both"/>
        <w:rPr>
          <w:rFonts w:ascii="Times New Roman" w:eastAsia="MS Mincho" w:hAnsi="Times New Roman" w:cs="Times New Roman"/>
          <w:sz w:val="28"/>
          <w:szCs w:val="28"/>
          <w:lang w:eastAsia="ru-RU"/>
        </w:rPr>
      </w:pPr>
      <w:r w:rsidRPr="00876367">
        <w:rPr>
          <w:rFonts w:ascii="Times New Roman" w:eastAsia="MS Mincho" w:hAnsi="Times New Roman" w:cs="Times New Roman"/>
          <w:sz w:val="28"/>
          <w:szCs w:val="28"/>
          <w:lang w:eastAsia="ru-RU"/>
        </w:rPr>
        <w:t xml:space="preserve">Приказами </w:t>
      </w:r>
      <w:r w:rsidR="00262A3F">
        <w:rPr>
          <w:rFonts w:ascii="Times New Roman" w:eastAsia="MS Mincho" w:hAnsi="Times New Roman" w:cs="Times New Roman"/>
          <w:sz w:val="28"/>
          <w:szCs w:val="28"/>
          <w:lang w:eastAsia="ru-RU"/>
        </w:rPr>
        <w:t>Д</w:t>
      </w:r>
      <w:r w:rsidRPr="00876367">
        <w:rPr>
          <w:rFonts w:ascii="Times New Roman" w:eastAsia="MS Mincho" w:hAnsi="Times New Roman" w:cs="Times New Roman"/>
          <w:sz w:val="28"/>
          <w:szCs w:val="28"/>
          <w:lang w:eastAsia="ru-RU"/>
        </w:rPr>
        <w:t>епартамента утверждены производственные программы в области обращения с ТКО 23 регулируемым организациям.</w:t>
      </w:r>
    </w:p>
    <w:p w:rsidR="005727C2" w:rsidRDefault="001D165F" w:rsidP="001D165F">
      <w:pPr>
        <w:autoSpaceDE w:val="0"/>
        <w:autoSpaceDN w:val="0"/>
        <w:adjustRightInd w:val="0"/>
        <w:spacing w:line="240" w:lineRule="auto"/>
        <w:jc w:val="both"/>
        <w:rPr>
          <w:sz w:val="28"/>
          <w:szCs w:val="28"/>
        </w:rPr>
      </w:pPr>
      <w:r>
        <w:rPr>
          <w:sz w:val="28"/>
          <w:szCs w:val="28"/>
        </w:rPr>
        <w:t xml:space="preserve">       </w:t>
      </w:r>
      <w:r w:rsidR="005727C2">
        <w:rPr>
          <w:sz w:val="28"/>
          <w:szCs w:val="28"/>
        </w:rPr>
        <w:t xml:space="preserve">Посредством системы ФГИС ЕИАС </w:t>
      </w:r>
      <w:r w:rsidR="00262A3F">
        <w:rPr>
          <w:sz w:val="28"/>
          <w:szCs w:val="28"/>
        </w:rPr>
        <w:t xml:space="preserve">в формате шаблонов </w:t>
      </w:r>
      <w:r w:rsidR="005727C2">
        <w:rPr>
          <w:sz w:val="28"/>
          <w:szCs w:val="28"/>
        </w:rPr>
        <w:t xml:space="preserve">Департамент в течение 2019 года направлял </w:t>
      </w:r>
      <w:r w:rsidR="00262A3F">
        <w:rPr>
          <w:sz w:val="28"/>
          <w:szCs w:val="28"/>
        </w:rPr>
        <w:t xml:space="preserve"> в ФАС России </w:t>
      </w:r>
      <w:r w:rsidR="005727C2">
        <w:rPr>
          <w:sz w:val="28"/>
          <w:szCs w:val="28"/>
        </w:rPr>
        <w:t>следующую информацию:</w:t>
      </w:r>
    </w:p>
    <w:p w:rsidR="005727C2" w:rsidRDefault="005727C2" w:rsidP="00876367">
      <w:pPr>
        <w:autoSpaceDE w:val="0"/>
        <w:autoSpaceDN w:val="0"/>
        <w:adjustRightInd w:val="0"/>
        <w:spacing w:line="240" w:lineRule="auto"/>
        <w:ind w:firstLine="709"/>
        <w:jc w:val="both"/>
        <w:rPr>
          <w:sz w:val="28"/>
          <w:szCs w:val="28"/>
        </w:rPr>
      </w:pPr>
      <w:r>
        <w:rPr>
          <w:sz w:val="28"/>
          <w:szCs w:val="28"/>
        </w:rPr>
        <w:lastRenderedPageBreak/>
        <w:t>- реестр объектов инфраструктуры регулируемых организаций в формате электронного документа – шаблона REESTR.OTKO.SOURCE.2019;</w:t>
      </w:r>
    </w:p>
    <w:p w:rsidR="005727C2" w:rsidRDefault="005727C2" w:rsidP="00876367">
      <w:pPr>
        <w:autoSpaceDE w:val="0"/>
        <w:autoSpaceDN w:val="0"/>
        <w:adjustRightInd w:val="0"/>
        <w:spacing w:line="240" w:lineRule="auto"/>
        <w:ind w:firstLine="709"/>
        <w:jc w:val="both"/>
        <w:rPr>
          <w:sz w:val="28"/>
          <w:szCs w:val="28"/>
        </w:rPr>
      </w:pPr>
      <w:r>
        <w:rPr>
          <w:sz w:val="28"/>
          <w:szCs w:val="28"/>
        </w:rPr>
        <w:t>- о технико-экономических показателях регулируемых организаций (план) в формате электронного документа – шаблона SUMMARY.BALANCE.CALC.TARIFF.OTKO.2019YEAR;</w:t>
      </w:r>
    </w:p>
    <w:p w:rsidR="005727C2" w:rsidRDefault="005727C2" w:rsidP="00876367">
      <w:pPr>
        <w:autoSpaceDE w:val="0"/>
        <w:autoSpaceDN w:val="0"/>
        <w:adjustRightInd w:val="0"/>
        <w:spacing w:line="240" w:lineRule="auto"/>
        <w:ind w:firstLine="709"/>
        <w:jc w:val="both"/>
        <w:rPr>
          <w:sz w:val="28"/>
          <w:szCs w:val="28"/>
        </w:rPr>
      </w:pPr>
      <w:r>
        <w:rPr>
          <w:sz w:val="28"/>
          <w:szCs w:val="28"/>
        </w:rPr>
        <w:t>- о перечне региональных операторов по Новосибирской области в формате электронного документа – шаблона INFO.REG.OPERATOR.OTKO.2019</w:t>
      </w:r>
    </w:p>
    <w:p w:rsidR="005727C2" w:rsidRDefault="001D165F" w:rsidP="00876367">
      <w:pPr>
        <w:autoSpaceDE w:val="0"/>
        <w:autoSpaceDN w:val="0"/>
        <w:adjustRightInd w:val="0"/>
        <w:spacing w:line="240" w:lineRule="auto"/>
        <w:ind w:firstLine="540"/>
        <w:jc w:val="both"/>
        <w:rPr>
          <w:sz w:val="28"/>
          <w:szCs w:val="28"/>
        </w:rPr>
      </w:pPr>
      <w:r>
        <w:rPr>
          <w:sz w:val="28"/>
          <w:szCs w:val="28"/>
        </w:rPr>
        <w:t>Ежеквартально Департамент осуществляет мониторинг выполнения регулируемыми организациями осуществляющими деятельность в области обращения ТКО требований по р</w:t>
      </w:r>
      <w:r w:rsidR="005727C2">
        <w:rPr>
          <w:sz w:val="28"/>
          <w:szCs w:val="28"/>
        </w:rPr>
        <w:t>аскрыти</w:t>
      </w:r>
      <w:r>
        <w:rPr>
          <w:sz w:val="28"/>
          <w:szCs w:val="28"/>
        </w:rPr>
        <w:t>ю</w:t>
      </w:r>
      <w:r w:rsidR="005727C2">
        <w:rPr>
          <w:sz w:val="28"/>
          <w:szCs w:val="28"/>
        </w:rPr>
        <w:t xml:space="preserve"> информации</w:t>
      </w:r>
      <w:r>
        <w:rPr>
          <w:sz w:val="28"/>
          <w:szCs w:val="28"/>
        </w:rPr>
        <w:t xml:space="preserve">, </w:t>
      </w:r>
      <w:r w:rsidR="005727C2">
        <w:rPr>
          <w:sz w:val="28"/>
          <w:szCs w:val="28"/>
        </w:rPr>
        <w:t xml:space="preserve"> </w:t>
      </w:r>
      <w:r>
        <w:rPr>
          <w:sz w:val="28"/>
          <w:szCs w:val="28"/>
        </w:rPr>
        <w:t xml:space="preserve">установленных </w:t>
      </w:r>
      <w:r w:rsidR="005727C2">
        <w:rPr>
          <w:sz w:val="28"/>
          <w:szCs w:val="28"/>
        </w:rPr>
        <w:t xml:space="preserve"> </w:t>
      </w:r>
      <w:r>
        <w:rPr>
          <w:sz w:val="28"/>
          <w:szCs w:val="28"/>
        </w:rPr>
        <w:t>п</w:t>
      </w:r>
      <w:r w:rsidR="005727C2">
        <w:rPr>
          <w:sz w:val="28"/>
          <w:szCs w:val="28"/>
        </w:rPr>
        <w:t>остановлени</w:t>
      </w:r>
      <w:r>
        <w:rPr>
          <w:sz w:val="28"/>
          <w:szCs w:val="28"/>
        </w:rPr>
        <w:t>ем</w:t>
      </w:r>
      <w:r w:rsidR="005727C2">
        <w:rPr>
          <w:sz w:val="28"/>
          <w:szCs w:val="28"/>
        </w:rPr>
        <w:t xml:space="preserve"> Правительства РФ от 21.06.2016 № 564 </w:t>
      </w:r>
      <w:r>
        <w:rPr>
          <w:sz w:val="28"/>
          <w:szCs w:val="28"/>
        </w:rPr>
        <w:t>«</w:t>
      </w:r>
      <w:r w:rsidR="005727C2">
        <w:rPr>
          <w:sz w:val="28"/>
          <w:szCs w:val="28"/>
        </w:rPr>
        <w:t>Об утверждении стандартов раскрытия информации в области обращения с твердыми коммунальными отходами</w:t>
      </w:r>
      <w:r>
        <w:rPr>
          <w:sz w:val="28"/>
          <w:szCs w:val="28"/>
        </w:rPr>
        <w:t>»</w:t>
      </w:r>
      <w:r w:rsidR="005727C2">
        <w:rPr>
          <w:sz w:val="28"/>
          <w:szCs w:val="28"/>
        </w:rPr>
        <w:t>. Раскрываемая информация в области обращения с ТКО отражается на портале публикаций сведений, подлежащих свободному доступу на сайте Департамента</w:t>
      </w:r>
      <w:r>
        <w:rPr>
          <w:sz w:val="28"/>
          <w:szCs w:val="28"/>
        </w:rPr>
        <w:t xml:space="preserve"> (</w:t>
      </w:r>
      <w:hyperlink r:id="rId85" w:history="1">
        <w:r w:rsidR="00525F0D" w:rsidRPr="00261401">
          <w:rPr>
            <w:rStyle w:val="af0"/>
            <w:sz w:val="28"/>
            <w:szCs w:val="28"/>
          </w:rPr>
          <w:t>https://tarif.nso.ru/page/430</w:t>
        </w:r>
      </w:hyperlink>
      <w:r>
        <w:rPr>
          <w:sz w:val="28"/>
          <w:szCs w:val="28"/>
        </w:rPr>
        <w:t>)</w:t>
      </w:r>
      <w:r w:rsidR="005727C2">
        <w:rPr>
          <w:sz w:val="28"/>
          <w:szCs w:val="28"/>
        </w:rPr>
        <w:t>.</w:t>
      </w:r>
    </w:p>
    <w:p w:rsidR="00525F0D" w:rsidRPr="00876367" w:rsidRDefault="00525F0D" w:rsidP="00876367">
      <w:pPr>
        <w:autoSpaceDE w:val="0"/>
        <w:autoSpaceDN w:val="0"/>
        <w:adjustRightInd w:val="0"/>
        <w:spacing w:line="240" w:lineRule="auto"/>
        <w:ind w:firstLine="540"/>
        <w:jc w:val="both"/>
        <w:rPr>
          <w:sz w:val="28"/>
          <w:szCs w:val="28"/>
        </w:rPr>
      </w:pPr>
    </w:p>
    <w:p w:rsidR="005727C2" w:rsidRDefault="00525F0D" w:rsidP="0061749D">
      <w:pPr>
        <w:pStyle w:val="a3"/>
      </w:pPr>
      <w:r w:rsidRPr="00525F0D">
        <w:t xml:space="preserve">2.6. </w:t>
      </w:r>
      <w:r w:rsidR="00DD0B25" w:rsidRPr="00525F0D">
        <w:t>Индекс изменения размера вносимой гражданами платы за коммунальные услуги на 2019 и 2020 годы</w:t>
      </w:r>
    </w:p>
    <w:p w:rsidR="00525F0D" w:rsidRPr="00525F0D" w:rsidRDefault="00525F0D" w:rsidP="0061749D">
      <w:pPr>
        <w:pStyle w:val="a3"/>
      </w:pPr>
    </w:p>
    <w:p w:rsidR="005727C2" w:rsidRPr="00876367" w:rsidRDefault="005727C2" w:rsidP="00DD0B25">
      <w:pPr>
        <w:autoSpaceDE w:val="0"/>
        <w:autoSpaceDN w:val="0"/>
        <w:adjustRightInd w:val="0"/>
        <w:spacing w:after="0" w:line="240" w:lineRule="auto"/>
        <w:ind w:firstLine="540"/>
        <w:jc w:val="both"/>
        <w:rPr>
          <w:sz w:val="28"/>
          <w:szCs w:val="28"/>
        </w:rPr>
      </w:pPr>
      <w:r w:rsidRPr="00876367">
        <w:rPr>
          <w:sz w:val="28"/>
          <w:szCs w:val="28"/>
        </w:rPr>
        <w:t>Распоряжением Правительства Российской Федерации от 15.11.2018 № 2490-р утверждены по Новосибирской области:</w:t>
      </w:r>
    </w:p>
    <w:p w:rsidR="005727C2" w:rsidRPr="00876367" w:rsidRDefault="005727C2" w:rsidP="00DD0B25">
      <w:pPr>
        <w:autoSpaceDE w:val="0"/>
        <w:autoSpaceDN w:val="0"/>
        <w:adjustRightInd w:val="0"/>
        <w:spacing w:after="0" w:line="240" w:lineRule="auto"/>
        <w:ind w:firstLine="540"/>
        <w:jc w:val="both"/>
        <w:rPr>
          <w:sz w:val="28"/>
          <w:szCs w:val="28"/>
        </w:rPr>
      </w:pPr>
      <w:r w:rsidRPr="00876367">
        <w:rPr>
          <w:sz w:val="28"/>
          <w:szCs w:val="28"/>
        </w:rPr>
        <w:t xml:space="preserve"> - средний индекс изменения размера вносимой гражданами платы за коммунальные услуги на первое полугодие 2019 года в размере 1,7%, на второе полугодие 2019 - 3,2%;</w:t>
      </w:r>
    </w:p>
    <w:p w:rsidR="005727C2" w:rsidRPr="00876367" w:rsidRDefault="005727C2" w:rsidP="00DD0B25">
      <w:pPr>
        <w:autoSpaceDE w:val="0"/>
        <w:autoSpaceDN w:val="0"/>
        <w:adjustRightInd w:val="0"/>
        <w:spacing w:after="0" w:line="240" w:lineRule="auto"/>
        <w:ind w:firstLine="540"/>
        <w:jc w:val="both"/>
        <w:rPr>
          <w:sz w:val="28"/>
          <w:szCs w:val="28"/>
        </w:rPr>
      </w:pPr>
      <w:r w:rsidRPr="00876367">
        <w:rPr>
          <w:sz w:val="28"/>
          <w:szCs w:val="28"/>
        </w:rPr>
        <w:t>- предельно допустимое отклонение по отдельным муниципальным образованиям на первое полугодие 2019 года в размере 0%, на второе полугодие 2019 - 3,2%.</w:t>
      </w:r>
    </w:p>
    <w:p w:rsidR="005727C2" w:rsidRPr="00876367" w:rsidRDefault="005727C2" w:rsidP="00DD0B25">
      <w:pPr>
        <w:autoSpaceDE w:val="0"/>
        <w:autoSpaceDN w:val="0"/>
        <w:adjustRightInd w:val="0"/>
        <w:spacing w:after="0" w:line="240" w:lineRule="auto"/>
        <w:ind w:firstLine="540"/>
        <w:jc w:val="both"/>
        <w:rPr>
          <w:sz w:val="28"/>
          <w:szCs w:val="28"/>
        </w:rPr>
      </w:pPr>
      <w:r w:rsidRPr="00876367">
        <w:rPr>
          <w:sz w:val="28"/>
          <w:szCs w:val="28"/>
        </w:rPr>
        <w:t>Постановлением Губернатора Новосибирской области от 19.12.2018 № 259 «О предельных (максимальных) индексах изменения размера вносимой гражданами платы за коммунальные услуги в муниципальных образованиях Новосибирской области на 2019-2023 годы» утверждены предельные (максимальные) индексы изменения размера вносимой гражданами платы за коммунальные услуги по муниципальным образованиям Новосибирской области на 2019 год.</w:t>
      </w:r>
    </w:p>
    <w:p w:rsidR="005727C2" w:rsidRPr="00876367" w:rsidRDefault="005727C2" w:rsidP="00DD0B25">
      <w:pPr>
        <w:autoSpaceDE w:val="0"/>
        <w:autoSpaceDN w:val="0"/>
        <w:adjustRightInd w:val="0"/>
        <w:spacing w:after="0" w:line="240" w:lineRule="auto"/>
        <w:ind w:firstLine="540"/>
        <w:jc w:val="both"/>
        <w:rPr>
          <w:sz w:val="28"/>
          <w:szCs w:val="28"/>
        </w:rPr>
      </w:pPr>
      <w:r w:rsidRPr="00876367">
        <w:rPr>
          <w:sz w:val="28"/>
          <w:szCs w:val="28"/>
        </w:rPr>
        <w:t xml:space="preserve">Предельные (максимальные) индексы изменения размера вносимой гражданами платы за коммунальные услуги в муниципальных образованиях Новосибирской области утверждены с 1 января по 30 июня 2019 года во всех муниципальных образованиях Новосибирской области в размере 1,7%, с 1 июля по 31 декабря 2019 года, не превышают 3,2%, что отражено в формате электронного документа PREDEL.KU.2019, </w:t>
      </w:r>
      <w:r w:rsidR="00DD0B25">
        <w:rPr>
          <w:sz w:val="28"/>
          <w:szCs w:val="28"/>
        </w:rPr>
        <w:t>направленного в ФАС России</w:t>
      </w:r>
      <w:r w:rsidRPr="00876367">
        <w:rPr>
          <w:sz w:val="28"/>
          <w:szCs w:val="28"/>
        </w:rPr>
        <w:t xml:space="preserve"> по системе</w:t>
      </w:r>
      <w:r w:rsidR="00DD0B25">
        <w:rPr>
          <w:sz w:val="28"/>
          <w:szCs w:val="28"/>
        </w:rPr>
        <w:t xml:space="preserve"> электронного документооборота</w:t>
      </w:r>
      <w:r w:rsidRPr="00876367">
        <w:rPr>
          <w:sz w:val="28"/>
          <w:szCs w:val="28"/>
        </w:rPr>
        <w:t xml:space="preserve"> ФГИС ЕИАС.</w:t>
      </w:r>
      <w:r w:rsidR="00DD0B25">
        <w:rPr>
          <w:sz w:val="28"/>
          <w:szCs w:val="28"/>
        </w:rPr>
        <w:t xml:space="preserve"> </w:t>
      </w:r>
    </w:p>
    <w:p w:rsidR="005727C2" w:rsidRDefault="005727C2" w:rsidP="00DD0B25">
      <w:pPr>
        <w:autoSpaceDE w:val="0"/>
        <w:autoSpaceDN w:val="0"/>
        <w:adjustRightInd w:val="0"/>
        <w:spacing w:after="0" w:line="240" w:lineRule="auto"/>
        <w:ind w:firstLine="540"/>
        <w:jc w:val="both"/>
        <w:rPr>
          <w:sz w:val="28"/>
          <w:szCs w:val="28"/>
        </w:rPr>
      </w:pPr>
      <w:r w:rsidRPr="00876367">
        <w:rPr>
          <w:sz w:val="28"/>
          <w:szCs w:val="28"/>
        </w:rPr>
        <w:lastRenderedPageBreak/>
        <w:t>Во исполнение решения Ф</w:t>
      </w:r>
      <w:r w:rsidR="006011C4">
        <w:rPr>
          <w:sz w:val="28"/>
          <w:szCs w:val="28"/>
        </w:rPr>
        <w:t xml:space="preserve">АС России </w:t>
      </w:r>
      <w:r w:rsidRPr="00876367">
        <w:rPr>
          <w:sz w:val="28"/>
          <w:szCs w:val="28"/>
        </w:rPr>
        <w:t xml:space="preserve">от 31.05.2019 № СП/45894/19 </w:t>
      </w:r>
      <w:r w:rsidR="006011C4">
        <w:rPr>
          <w:sz w:val="28"/>
          <w:szCs w:val="28"/>
        </w:rPr>
        <w:t xml:space="preserve">                </w:t>
      </w:r>
      <w:r w:rsidRPr="00876367">
        <w:rPr>
          <w:sz w:val="28"/>
          <w:szCs w:val="28"/>
        </w:rPr>
        <w:t>(с учетом изменений, внесенных решением Ф</w:t>
      </w:r>
      <w:r w:rsidR="006011C4">
        <w:rPr>
          <w:sz w:val="28"/>
          <w:szCs w:val="28"/>
        </w:rPr>
        <w:t xml:space="preserve">АС России </w:t>
      </w:r>
      <w:r w:rsidRPr="00876367">
        <w:rPr>
          <w:sz w:val="28"/>
          <w:szCs w:val="28"/>
        </w:rPr>
        <w:t>от 14.06.2019 № СП/50073/19)</w:t>
      </w:r>
      <w:r w:rsidR="006011C4">
        <w:rPr>
          <w:sz w:val="28"/>
          <w:szCs w:val="28"/>
        </w:rPr>
        <w:t xml:space="preserve"> </w:t>
      </w:r>
      <w:r>
        <w:rPr>
          <w:sz w:val="28"/>
          <w:szCs w:val="28"/>
        </w:rPr>
        <w:t xml:space="preserve">приказом </w:t>
      </w:r>
      <w:r w:rsidR="006011C4">
        <w:rPr>
          <w:sz w:val="28"/>
          <w:szCs w:val="28"/>
        </w:rPr>
        <w:t>Д</w:t>
      </w:r>
      <w:r>
        <w:rPr>
          <w:sz w:val="28"/>
          <w:szCs w:val="28"/>
        </w:rPr>
        <w:t>епартамента от 28.06.2019 № 181-ТЭ внесены изменения в приказ от 10.12.2018 № 701-ТЭ «Об установлении долгосрочных параметров регулирования и тарифов на тепловую энергию (мощность), поставляемую А</w:t>
      </w:r>
      <w:r w:rsidR="006011C4">
        <w:rPr>
          <w:sz w:val="28"/>
          <w:szCs w:val="28"/>
        </w:rPr>
        <w:t>О</w:t>
      </w:r>
      <w:r>
        <w:rPr>
          <w:sz w:val="28"/>
          <w:szCs w:val="28"/>
        </w:rPr>
        <w:t xml:space="preserve"> «С</w:t>
      </w:r>
      <w:r w:rsidR="006011C4">
        <w:rPr>
          <w:sz w:val="28"/>
          <w:szCs w:val="28"/>
        </w:rPr>
        <w:t>ИБЭКО</w:t>
      </w:r>
      <w:r>
        <w:rPr>
          <w:sz w:val="28"/>
          <w:szCs w:val="28"/>
        </w:rPr>
        <w:t xml:space="preserve">» потребителям на территории Новосибирской области, на долгосрочный период регулирования 2019-2023 годов». Тариф на тепловую энергию, поставляемую </w:t>
      </w:r>
      <w:r w:rsidR="006011C4">
        <w:rPr>
          <w:sz w:val="28"/>
          <w:szCs w:val="28"/>
        </w:rPr>
        <w:t xml:space="preserve">АО «СИБЭКО» </w:t>
      </w:r>
      <w:r>
        <w:rPr>
          <w:sz w:val="28"/>
          <w:szCs w:val="28"/>
        </w:rPr>
        <w:t>населению с 01.07.2019 установлен в размере 1384,74 руб./Гкал, с ростом относительно установленного тарифа на первое полугодие 2019 года -7,34%.</w:t>
      </w:r>
    </w:p>
    <w:p w:rsidR="005727C2" w:rsidRDefault="005727C2" w:rsidP="00DD0B25">
      <w:pPr>
        <w:autoSpaceDE w:val="0"/>
        <w:autoSpaceDN w:val="0"/>
        <w:adjustRightInd w:val="0"/>
        <w:spacing w:after="0" w:line="240" w:lineRule="auto"/>
        <w:ind w:firstLine="540"/>
        <w:jc w:val="both"/>
        <w:rPr>
          <w:sz w:val="28"/>
          <w:szCs w:val="28"/>
        </w:rPr>
      </w:pPr>
      <w:r w:rsidRPr="00876367">
        <w:rPr>
          <w:sz w:val="28"/>
          <w:szCs w:val="28"/>
        </w:rPr>
        <w:t xml:space="preserve">Исполнение </w:t>
      </w:r>
      <w:r w:rsidR="006011C4">
        <w:rPr>
          <w:sz w:val="28"/>
          <w:szCs w:val="28"/>
        </w:rPr>
        <w:t>Д</w:t>
      </w:r>
      <w:r w:rsidRPr="00876367">
        <w:rPr>
          <w:sz w:val="28"/>
          <w:szCs w:val="28"/>
        </w:rPr>
        <w:t xml:space="preserve">епартаментом </w:t>
      </w:r>
      <w:r w:rsidR="006011C4">
        <w:rPr>
          <w:sz w:val="28"/>
          <w:szCs w:val="28"/>
        </w:rPr>
        <w:t xml:space="preserve">решения </w:t>
      </w:r>
      <w:r w:rsidRPr="00876367">
        <w:rPr>
          <w:sz w:val="28"/>
          <w:szCs w:val="28"/>
        </w:rPr>
        <w:t xml:space="preserve">ФАС России </w:t>
      </w:r>
      <w:r w:rsidR="006011C4" w:rsidRPr="00876367">
        <w:rPr>
          <w:sz w:val="28"/>
          <w:szCs w:val="28"/>
        </w:rPr>
        <w:t xml:space="preserve">от 31.05.2019 № СП/45894/19 </w:t>
      </w:r>
      <w:r w:rsidRPr="00876367">
        <w:rPr>
          <w:sz w:val="28"/>
          <w:szCs w:val="28"/>
        </w:rPr>
        <w:t>(в редакции № СП/50073/19) повлекло превышение фактического роста платы граждан за коммунальные услуги во втором полугодии 2019 года над установленными на 2019 год постановлением Губернатора Новосибирской области от 19.12.2018 № 259 предельными индексами изменения размера вносимой гражданами платы за коммунальные услуги по муниципальным образованиям город Новосибирск (6,1%) и город Куйбышев (6,4%) и превышения фактического роста платы граждан за коммунальные услуги в среднем по Новосибирской области (4,2%) над установленным распоряжением Правительства Российской Федерации от 15.11.2018 № 2490-р индексом по субъекту Российской Федерации (3,2%).</w:t>
      </w:r>
    </w:p>
    <w:p w:rsidR="005727C2" w:rsidRDefault="005727C2" w:rsidP="00DD0B25">
      <w:pPr>
        <w:autoSpaceDE w:val="0"/>
        <w:autoSpaceDN w:val="0"/>
        <w:adjustRightInd w:val="0"/>
        <w:spacing w:after="0" w:line="240" w:lineRule="auto"/>
        <w:ind w:firstLine="540"/>
        <w:jc w:val="both"/>
        <w:rPr>
          <w:sz w:val="28"/>
          <w:szCs w:val="28"/>
        </w:rPr>
      </w:pPr>
      <w:r w:rsidRPr="00876367">
        <w:rPr>
          <w:sz w:val="28"/>
          <w:szCs w:val="28"/>
        </w:rPr>
        <w:t xml:space="preserve"> </w:t>
      </w:r>
      <w:r>
        <w:rPr>
          <w:sz w:val="28"/>
          <w:szCs w:val="28"/>
        </w:rPr>
        <w:t>В целях ограничения роста в 2019 году совокупного платежа граждан за коммунальные услуги при сопоставимых условиях (неизменности набора и объемов предоставляемых коммунальных услуг) был подготовлен проект постановления Правительства Новосибирской области «О предоставлении гражданам, проживающим на территории Новосибирской области, адресной социальной выплаты в связи с необходимостью ограничения роста совокупного платежа граждан за коммунальные услуги в 2019 году».</w:t>
      </w:r>
    </w:p>
    <w:p w:rsidR="005727C2" w:rsidRPr="00876367" w:rsidRDefault="005727C2" w:rsidP="00DD0B25">
      <w:pPr>
        <w:autoSpaceDE w:val="0"/>
        <w:autoSpaceDN w:val="0"/>
        <w:adjustRightInd w:val="0"/>
        <w:spacing w:after="0" w:line="240" w:lineRule="auto"/>
        <w:ind w:firstLine="540"/>
        <w:jc w:val="both"/>
        <w:rPr>
          <w:sz w:val="28"/>
          <w:szCs w:val="28"/>
        </w:rPr>
      </w:pPr>
      <w:r>
        <w:rPr>
          <w:sz w:val="28"/>
          <w:szCs w:val="28"/>
        </w:rPr>
        <w:t xml:space="preserve">Адресные социальные выплаты в связи с необходимостью ограничения роста совокупного платежа граждан за коммунальные услуги в 2019 году на территории Новосибирской области не выплачивались, в связи с отсутствием обращений от населения, подтверждающих </w:t>
      </w:r>
      <w:r w:rsidRPr="00876367">
        <w:rPr>
          <w:sz w:val="28"/>
          <w:szCs w:val="28"/>
        </w:rPr>
        <w:t>превышение фактического роста платы граждан за коммунальные услуги во втором полугодии 2019 года над установленным.</w:t>
      </w:r>
    </w:p>
    <w:p w:rsidR="005727C2" w:rsidRDefault="005727C2" w:rsidP="00DD0B25">
      <w:pPr>
        <w:autoSpaceDE w:val="0"/>
        <w:autoSpaceDN w:val="0"/>
        <w:adjustRightInd w:val="0"/>
        <w:spacing w:after="0" w:line="240" w:lineRule="auto"/>
        <w:ind w:firstLine="540"/>
        <w:jc w:val="both"/>
        <w:rPr>
          <w:sz w:val="28"/>
          <w:szCs w:val="28"/>
        </w:rPr>
      </w:pPr>
      <w:r>
        <w:rPr>
          <w:sz w:val="28"/>
          <w:szCs w:val="28"/>
        </w:rPr>
        <w:t xml:space="preserve">Во исполнение писем ФАС России от 23.01.2019 № ВК/4102/19, 02.07.2019 № ВК/56012/19 </w:t>
      </w:r>
      <w:r w:rsidR="006011C4">
        <w:rPr>
          <w:sz w:val="28"/>
          <w:szCs w:val="28"/>
        </w:rPr>
        <w:t>Д</w:t>
      </w:r>
      <w:r>
        <w:rPr>
          <w:sz w:val="28"/>
          <w:szCs w:val="28"/>
        </w:rPr>
        <w:t xml:space="preserve">епартамент ежемесячно (в срок не позднее 15 числа месяца, следующего за отчетным) </w:t>
      </w:r>
      <w:r w:rsidR="00DD0B25">
        <w:rPr>
          <w:sz w:val="28"/>
          <w:szCs w:val="28"/>
        </w:rPr>
        <w:t xml:space="preserve">направляет </w:t>
      </w:r>
      <w:r>
        <w:rPr>
          <w:sz w:val="28"/>
          <w:szCs w:val="28"/>
        </w:rPr>
        <w:t xml:space="preserve">информацию в ФАС России </w:t>
      </w:r>
      <w:r w:rsidR="00DD0B25">
        <w:rPr>
          <w:sz w:val="28"/>
          <w:szCs w:val="28"/>
        </w:rPr>
        <w:t xml:space="preserve"> </w:t>
      </w:r>
      <w:r>
        <w:rPr>
          <w:sz w:val="28"/>
          <w:szCs w:val="28"/>
        </w:rPr>
        <w:t>о фактическом изменени</w:t>
      </w:r>
      <w:r w:rsidR="00DD0B25">
        <w:rPr>
          <w:sz w:val="28"/>
          <w:szCs w:val="28"/>
        </w:rPr>
        <w:t xml:space="preserve">и </w:t>
      </w:r>
      <w:r>
        <w:rPr>
          <w:sz w:val="28"/>
          <w:szCs w:val="28"/>
        </w:rPr>
        <w:t xml:space="preserve">размера совокупной платы граждан за коммунальные услуги в </w:t>
      </w:r>
      <w:r w:rsidR="00DD0B25">
        <w:rPr>
          <w:sz w:val="28"/>
          <w:szCs w:val="28"/>
        </w:rPr>
        <w:t>формате</w:t>
      </w:r>
      <w:r>
        <w:rPr>
          <w:sz w:val="28"/>
          <w:szCs w:val="28"/>
        </w:rPr>
        <w:t xml:space="preserve"> шаблона </w:t>
      </w:r>
      <w:r w:rsidRPr="00876367">
        <w:rPr>
          <w:sz w:val="28"/>
          <w:szCs w:val="28"/>
        </w:rPr>
        <w:t>OREP</w:t>
      </w:r>
      <w:r>
        <w:rPr>
          <w:sz w:val="28"/>
          <w:szCs w:val="28"/>
        </w:rPr>
        <w:t>.</w:t>
      </w:r>
      <w:r w:rsidRPr="00876367">
        <w:rPr>
          <w:sz w:val="28"/>
          <w:szCs w:val="28"/>
        </w:rPr>
        <w:t>KU</w:t>
      </w:r>
      <w:r>
        <w:rPr>
          <w:sz w:val="28"/>
          <w:szCs w:val="28"/>
        </w:rPr>
        <w:t>.</w:t>
      </w:r>
      <w:r w:rsidRPr="00876367">
        <w:rPr>
          <w:sz w:val="28"/>
          <w:szCs w:val="28"/>
        </w:rPr>
        <w:t>XXXX</w:t>
      </w:r>
      <w:r>
        <w:rPr>
          <w:sz w:val="28"/>
          <w:szCs w:val="28"/>
        </w:rPr>
        <w:t>.</w:t>
      </w:r>
      <w:r w:rsidRPr="00876367">
        <w:rPr>
          <w:sz w:val="28"/>
          <w:szCs w:val="28"/>
        </w:rPr>
        <w:t>MONTHLY</w:t>
      </w:r>
      <w:r>
        <w:rPr>
          <w:sz w:val="28"/>
          <w:szCs w:val="28"/>
        </w:rPr>
        <w:t>.</w:t>
      </w:r>
      <w:r w:rsidRPr="00876367">
        <w:rPr>
          <w:sz w:val="28"/>
          <w:szCs w:val="28"/>
        </w:rPr>
        <w:t>XX</w:t>
      </w:r>
    </w:p>
    <w:p w:rsidR="005727C2" w:rsidRPr="00876367" w:rsidRDefault="005727C2" w:rsidP="00DD0B25">
      <w:pPr>
        <w:autoSpaceDE w:val="0"/>
        <w:autoSpaceDN w:val="0"/>
        <w:adjustRightInd w:val="0"/>
        <w:spacing w:after="0" w:line="240" w:lineRule="auto"/>
        <w:ind w:firstLine="540"/>
        <w:jc w:val="both"/>
        <w:rPr>
          <w:sz w:val="28"/>
          <w:szCs w:val="28"/>
        </w:rPr>
      </w:pPr>
      <w:r w:rsidRPr="00876367">
        <w:rPr>
          <w:sz w:val="28"/>
          <w:szCs w:val="28"/>
        </w:rPr>
        <w:t>Фактический средний индекс изменения размера вносимой гражданами платы за коммунальные услуги по Новосибирской области в первом полугодие 2019 года составил 0%, во втором полугодие 2019 года с учетом планируемых к выплате мер социальной поддержки граждан, направленных на соблюдение предельных индексов -  от 3,0% до 3,1%.</w:t>
      </w:r>
    </w:p>
    <w:p w:rsidR="005727C2" w:rsidRPr="00876367" w:rsidRDefault="005727C2" w:rsidP="00DD0B25">
      <w:pPr>
        <w:autoSpaceDE w:val="0"/>
        <w:autoSpaceDN w:val="0"/>
        <w:adjustRightInd w:val="0"/>
        <w:spacing w:after="0" w:line="240" w:lineRule="auto"/>
        <w:ind w:firstLine="540"/>
        <w:jc w:val="both"/>
        <w:rPr>
          <w:sz w:val="28"/>
          <w:szCs w:val="28"/>
        </w:rPr>
      </w:pPr>
      <w:r w:rsidRPr="00876367">
        <w:rPr>
          <w:sz w:val="28"/>
          <w:szCs w:val="28"/>
        </w:rPr>
        <w:lastRenderedPageBreak/>
        <w:t xml:space="preserve">Сведения о фактическом росте платы граждан за коммунальные услуги по Новосибирской области в 2019 году отражены </w:t>
      </w:r>
      <w:r w:rsidR="00DD0B25">
        <w:rPr>
          <w:sz w:val="28"/>
          <w:szCs w:val="28"/>
        </w:rPr>
        <w:t>Д</w:t>
      </w:r>
      <w:r w:rsidRPr="00876367">
        <w:rPr>
          <w:sz w:val="28"/>
          <w:szCs w:val="28"/>
        </w:rPr>
        <w:t xml:space="preserve">епартаментом в форме федерального статистического наблюдения №1-ПГ (коммунальные услуги), утвержденной приказом Росстата от 14.06.2019 № 338 и предоставлены </w:t>
      </w:r>
      <w:r w:rsidR="006011C4">
        <w:rPr>
          <w:sz w:val="28"/>
          <w:szCs w:val="28"/>
        </w:rPr>
        <w:t xml:space="preserve">в </w:t>
      </w:r>
      <w:r w:rsidRPr="00876367">
        <w:rPr>
          <w:sz w:val="28"/>
          <w:szCs w:val="28"/>
        </w:rPr>
        <w:t>Ф</w:t>
      </w:r>
      <w:r w:rsidR="00DD0B25">
        <w:rPr>
          <w:sz w:val="28"/>
          <w:szCs w:val="28"/>
        </w:rPr>
        <w:t xml:space="preserve">АС России </w:t>
      </w:r>
      <w:r w:rsidRPr="00876367">
        <w:rPr>
          <w:sz w:val="28"/>
          <w:szCs w:val="28"/>
        </w:rPr>
        <w:t xml:space="preserve"> посредством ФГИС ЕИАС.</w:t>
      </w:r>
    </w:p>
    <w:p w:rsidR="005727C2" w:rsidRPr="00876367" w:rsidRDefault="006011C4" w:rsidP="00DD0B25">
      <w:pPr>
        <w:pStyle w:val="ConsPlusNormal"/>
        <w:ind w:firstLine="540"/>
        <w:jc w:val="both"/>
        <w:rPr>
          <w:rFonts w:ascii="Times New Roman" w:eastAsia="MS Mincho" w:hAnsi="Times New Roman" w:cs="Times New Roman"/>
          <w:sz w:val="28"/>
          <w:szCs w:val="28"/>
          <w:lang w:eastAsia="ru-RU"/>
        </w:rPr>
      </w:pPr>
      <w:r>
        <w:rPr>
          <w:rFonts w:ascii="Times New Roman" w:eastAsia="MS Mincho" w:hAnsi="Times New Roman" w:cs="Times New Roman"/>
          <w:sz w:val="28"/>
          <w:szCs w:val="28"/>
          <w:lang w:eastAsia="ru-RU"/>
        </w:rPr>
        <w:t>Департамент в</w:t>
      </w:r>
      <w:r w:rsidR="005727C2" w:rsidRPr="00876367">
        <w:rPr>
          <w:rFonts w:ascii="Times New Roman" w:eastAsia="MS Mincho" w:hAnsi="Times New Roman" w:cs="Times New Roman"/>
          <w:sz w:val="28"/>
          <w:szCs w:val="28"/>
          <w:lang w:eastAsia="ru-RU"/>
        </w:rPr>
        <w:t xml:space="preserve"> соответствии с пп.</w:t>
      </w:r>
      <w:r>
        <w:rPr>
          <w:rFonts w:ascii="Times New Roman" w:eastAsia="MS Mincho" w:hAnsi="Times New Roman" w:cs="Times New Roman"/>
          <w:sz w:val="28"/>
          <w:szCs w:val="28"/>
          <w:lang w:eastAsia="ru-RU"/>
        </w:rPr>
        <w:t xml:space="preserve"> </w:t>
      </w:r>
      <w:r w:rsidR="005727C2" w:rsidRPr="00876367">
        <w:rPr>
          <w:rFonts w:ascii="Times New Roman" w:eastAsia="MS Mincho" w:hAnsi="Times New Roman" w:cs="Times New Roman"/>
          <w:sz w:val="28"/>
          <w:szCs w:val="28"/>
          <w:lang w:eastAsia="ru-RU"/>
        </w:rPr>
        <w:t>22.5 п.7 и пп.</w:t>
      </w:r>
      <w:r>
        <w:rPr>
          <w:rFonts w:ascii="Times New Roman" w:eastAsia="MS Mincho" w:hAnsi="Times New Roman" w:cs="Times New Roman"/>
          <w:sz w:val="28"/>
          <w:szCs w:val="28"/>
          <w:lang w:eastAsia="ru-RU"/>
        </w:rPr>
        <w:t xml:space="preserve"> </w:t>
      </w:r>
      <w:r w:rsidR="005727C2" w:rsidRPr="00876367">
        <w:rPr>
          <w:rFonts w:ascii="Times New Roman" w:eastAsia="MS Mincho" w:hAnsi="Times New Roman" w:cs="Times New Roman"/>
          <w:sz w:val="28"/>
          <w:szCs w:val="28"/>
          <w:lang w:eastAsia="ru-RU"/>
        </w:rPr>
        <w:t xml:space="preserve">2.1 п.11 </w:t>
      </w:r>
      <w:r>
        <w:rPr>
          <w:rFonts w:ascii="Times New Roman" w:eastAsia="MS Mincho" w:hAnsi="Times New Roman" w:cs="Times New Roman"/>
          <w:sz w:val="28"/>
          <w:szCs w:val="28"/>
          <w:lang w:eastAsia="ru-RU"/>
        </w:rPr>
        <w:t>П</w:t>
      </w:r>
      <w:r w:rsidR="005727C2" w:rsidRPr="00876367">
        <w:rPr>
          <w:rFonts w:ascii="Times New Roman" w:eastAsia="MS Mincho" w:hAnsi="Times New Roman" w:cs="Times New Roman"/>
          <w:sz w:val="28"/>
          <w:szCs w:val="28"/>
          <w:lang w:eastAsia="ru-RU"/>
        </w:rPr>
        <w:t xml:space="preserve">оложения о </w:t>
      </w:r>
      <w:r>
        <w:rPr>
          <w:rFonts w:ascii="Times New Roman" w:eastAsia="MS Mincho" w:hAnsi="Times New Roman" w:cs="Times New Roman"/>
          <w:sz w:val="28"/>
          <w:szCs w:val="28"/>
          <w:lang w:eastAsia="ru-RU"/>
        </w:rPr>
        <w:t>Д</w:t>
      </w:r>
      <w:r w:rsidR="005727C2" w:rsidRPr="00876367">
        <w:rPr>
          <w:rFonts w:ascii="Times New Roman" w:eastAsia="MS Mincho" w:hAnsi="Times New Roman" w:cs="Times New Roman"/>
          <w:sz w:val="28"/>
          <w:szCs w:val="28"/>
          <w:lang w:eastAsia="ru-RU"/>
        </w:rPr>
        <w:t xml:space="preserve">епартаменте, осуществляет ежемесячный мониторинг соблюдения утвержденных предельных (максимальных) индексов изменения размера вносимой гражданами платы за коммунальные услуги в муниципальных образованиях Новосибирской области в порядке, установленном постановлением Правительства Российской Федерации от 30.04.2014 № 400 </w:t>
      </w:r>
      <w:r w:rsidR="00DD0B25">
        <w:rPr>
          <w:rFonts w:ascii="Times New Roman" w:eastAsia="MS Mincho" w:hAnsi="Times New Roman" w:cs="Times New Roman"/>
          <w:sz w:val="28"/>
          <w:szCs w:val="28"/>
          <w:lang w:eastAsia="ru-RU"/>
        </w:rPr>
        <w:t>«</w:t>
      </w:r>
      <w:r w:rsidR="005727C2" w:rsidRPr="00876367">
        <w:rPr>
          <w:rFonts w:ascii="Times New Roman" w:eastAsia="MS Mincho" w:hAnsi="Times New Roman" w:cs="Times New Roman"/>
          <w:sz w:val="28"/>
          <w:szCs w:val="28"/>
          <w:lang w:eastAsia="ru-RU"/>
        </w:rPr>
        <w:t>О формировании индексов изменения размера платы граждан за коммунальные услуги в Российской Федерации</w:t>
      </w:r>
      <w:r w:rsidR="00DD0B25">
        <w:rPr>
          <w:rFonts w:ascii="Times New Roman" w:eastAsia="MS Mincho" w:hAnsi="Times New Roman" w:cs="Times New Roman"/>
          <w:sz w:val="28"/>
          <w:szCs w:val="28"/>
          <w:lang w:eastAsia="ru-RU"/>
        </w:rPr>
        <w:t>»</w:t>
      </w:r>
      <w:r w:rsidR="005727C2" w:rsidRPr="00876367">
        <w:rPr>
          <w:rFonts w:ascii="Times New Roman" w:eastAsia="MS Mincho" w:hAnsi="Times New Roman" w:cs="Times New Roman"/>
          <w:sz w:val="28"/>
          <w:szCs w:val="28"/>
          <w:lang w:eastAsia="ru-RU"/>
        </w:rPr>
        <w:t xml:space="preserve"> и обеспечивает размещение результатов мониторинга соблюдения предельных (максимальных) индексов изменения размера вносимой гражданами платы за коммунальные услуги в муниципальных образованиях Новосибирской области в срок, не превышающий 7 дней со дня проведения таких мероприятий, на своем официальном сайте в сети Интернет, а также осуществляет публикацию этих результатов в источнике официального опубликования нормативных правовых актов органов государственной власти Новосибирской </w:t>
      </w:r>
      <w:r w:rsidR="005727C2" w:rsidRPr="00396961">
        <w:rPr>
          <w:rFonts w:ascii="Times New Roman" w:eastAsia="MS Mincho" w:hAnsi="Times New Roman" w:cs="Times New Roman"/>
          <w:sz w:val="28"/>
          <w:szCs w:val="28"/>
          <w:lang w:eastAsia="ru-RU"/>
        </w:rPr>
        <w:t>области</w:t>
      </w:r>
      <w:r w:rsidR="00396961">
        <w:rPr>
          <w:rFonts w:ascii="Times New Roman" w:eastAsia="MS Mincho" w:hAnsi="Times New Roman" w:cs="Times New Roman"/>
          <w:sz w:val="28"/>
          <w:szCs w:val="28"/>
          <w:lang w:eastAsia="ru-RU"/>
        </w:rPr>
        <w:t xml:space="preserve"> (</w:t>
      </w:r>
      <w:r w:rsidR="00396961" w:rsidRPr="00396961">
        <w:rPr>
          <w:rFonts w:ascii="Times New Roman" w:eastAsia="MS Mincho" w:hAnsi="Times New Roman" w:cs="Times New Roman"/>
          <w:sz w:val="28"/>
          <w:szCs w:val="28"/>
          <w:lang w:eastAsia="ru-RU"/>
        </w:rPr>
        <w:t>http://www.nsopravo.ru/)</w:t>
      </w:r>
      <w:r w:rsidR="005727C2" w:rsidRPr="00876367">
        <w:rPr>
          <w:rFonts w:ascii="Times New Roman" w:eastAsia="MS Mincho" w:hAnsi="Times New Roman" w:cs="Times New Roman"/>
          <w:sz w:val="28"/>
          <w:szCs w:val="28"/>
          <w:lang w:eastAsia="ru-RU"/>
        </w:rPr>
        <w:t>.</w:t>
      </w:r>
    </w:p>
    <w:p w:rsidR="005727C2" w:rsidRPr="00876367" w:rsidRDefault="005727C2" w:rsidP="00DD0B25">
      <w:pPr>
        <w:pStyle w:val="ConsPlusNormal"/>
        <w:ind w:firstLine="540"/>
        <w:jc w:val="both"/>
        <w:rPr>
          <w:rFonts w:ascii="Times New Roman" w:eastAsia="MS Mincho" w:hAnsi="Times New Roman" w:cs="Times New Roman"/>
          <w:sz w:val="28"/>
          <w:szCs w:val="28"/>
          <w:lang w:eastAsia="ru-RU"/>
        </w:rPr>
      </w:pPr>
      <w:r w:rsidRPr="00876367">
        <w:rPr>
          <w:rFonts w:ascii="Times New Roman" w:eastAsia="MS Mincho" w:hAnsi="Times New Roman" w:cs="Times New Roman"/>
          <w:sz w:val="28"/>
          <w:szCs w:val="28"/>
          <w:lang w:eastAsia="ru-RU"/>
        </w:rPr>
        <w:t xml:space="preserve">Ежемесячный мониторинг соблюдения утвержденных предельных (максимальных) индексов </w:t>
      </w:r>
      <w:r w:rsidR="00396961">
        <w:rPr>
          <w:rFonts w:ascii="Times New Roman" w:eastAsia="MS Mincho" w:hAnsi="Times New Roman" w:cs="Times New Roman"/>
          <w:sz w:val="28"/>
          <w:szCs w:val="28"/>
          <w:lang w:eastAsia="ru-RU"/>
        </w:rPr>
        <w:t xml:space="preserve">проводится </w:t>
      </w:r>
      <w:r w:rsidRPr="00876367">
        <w:rPr>
          <w:rFonts w:ascii="Times New Roman" w:eastAsia="MS Mincho" w:hAnsi="Times New Roman" w:cs="Times New Roman"/>
          <w:sz w:val="28"/>
          <w:szCs w:val="28"/>
          <w:lang w:eastAsia="ru-RU"/>
        </w:rPr>
        <w:t xml:space="preserve"> </w:t>
      </w:r>
      <w:r w:rsidR="00396961">
        <w:rPr>
          <w:rFonts w:ascii="Times New Roman" w:eastAsia="MS Mincho" w:hAnsi="Times New Roman" w:cs="Times New Roman"/>
          <w:sz w:val="28"/>
          <w:szCs w:val="28"/>
          <w:lang w:eastAsia="ru-RU"/>
        </w:rPr>
        <w:t>Д</w:t>
      </w:r>
      <w:r w:rsidRPr="00876367">
        <w:rPr>
          <w:rFonts w:ascii="Times New Roman" w:eastAsia="MS Mincho" w:hAnsi="Times New Roman" w:cs="Times New Roman"/>
          <w:sz w:val="28"/>
          <w:szCs w:val="28"/>
          <w:lang w:eastAsia="ru-RU"/>
        </w:rPr>
        <w:t xml:space="preserve">епартаментом в </w:t>
      </w:r>
      <w:r w:rsidR="00396961">
        <w:rPr>
          <w:rFonts w:ascii="Times New Roman" w:eastAsia="MS Mincho" w:hAnsi="Times New Roman" w:cs="Times New Roman"/>
          <w:sz w:val="28"/>
          <w:szCs w:val="28"/>
          <w:lang w:eastAsia="ru-RU"/>
        </w:rPr>
        <w:t>формате</w:t>
      </w:r>
      <w:r w:rsidRPr="00876367">
        <w:rPr>
          <w:rFonts w:ascii="Times New Roman" w:eastAsia="MS Mincho" w:hAnsi="Times New Roman" w:cs="Times New Roman"/>
          <w:sz w:val="28"/>
          <w:szCs w:val="28"/>
          <w:lang w:eastAsia="ru-RU"/>
        </w:rPr>
        <w:t xml:space="preserve"> шаблона OREP.KU.XXXX.MONTHLY.XX, </w:t>
      </w:r>
      <w:r w:rsidR="00396961">
        <w:rPr>
          <w:rFonts w:ascii="Times New Roman" w:eastAsia="MS Mincho" w:hAnsi="Times New Roman" w:cs="Times New Roman"/>
          <w:sz w:val="28"/>
          <w:szCs w:val="28"/>
          <w:lang w:eastAsia="ru-RU"/>
        </w:rPr>
        <w:t xml:space="preserve">по средствам </w:t>
      </w:r>
      <w:r w:rsidRPr="00876367">
        <w:rPr>
          <w:rFonts w:ascii="Times New Roman" w:eastAsia="MS Mincho" w:hAnsi="Times New Roman" w:cs="Times New Roman"/>
          <w:sz w:val="28"/>
          <w:szCs w:val="28"/>
          <w:lang w:eastAsia="ru-RU"/>
        </w:rPr>
        <w:t>котор</w:t>
      </w:r>
      <w:r w:rsidR="00396961">
        <w:rPr>
          <w:rFonts w:ascii="Times New Roman" w:eastAsia="MS Mincho" w:hAnsi="Times New Roman" w:cs="Times New Roman"/>
          <w:sz w:val="28"/>
          <w:szCs w:val="28"/>
          <w:lang w:eastAsia="ru-RU"/>
        </w:rPr>
        <w:t xml:space="preserve">ого осуществляется </w:t>
      </w:r>
      <w:r w:rsidRPr="00876367">
        <w:rPr>
          <w:rFonts w:ascii="Times New Roman" w:eastAsia="MS Mincho" w:hAnsi="Times New Roman" w:cs="Times New Roman"/>
          <w:sz w:val="28"/>
          <w:szCs w:val="28"/>
          <w:lang w:eastAsia="ru-RU"/>
        </w:rPr>
        <w:t>сбор, обобщение, анализ и оценк</w:t>
      </w:r>
      <w:r w:rsidR="00396961">
        <w:rPr>
          <w:rFonts w:ascii="Times New Roman" w:eastAsia="MS Mincho" w:hAnsi="Times New Roman" w:cs="Times New Roman"/>
          <w:sz w:val="28"/>
          <w:szCs w:val="28"/>
          <w:lang w:eastAsia="ru-RU"/>
        </w:rPr>
        <w:t>а</w:t>
      </w:r>
      <w:r w:rsidRPr="00876367">
        <w:rPr>
          <w:rFonts w:ascii="Times New Roman" w:eastAsia="MS Mincho" w:hAnsi="Times New Roman" w:cs="Times New Roman"/>
          <w:sz w:val="28"/>
          <w:szCs w:val="28"/>
          <w:lang w:eastAsia="ru-RU"/>
        </w:rPr>
        <w:t xml:space="preserve"> информации </w:t>
      </w:r>
      <w:r w:rsidR="00396961">
        <w:rPr>
          <w:rFonts w:ascii="Times New Roman" w:eastAsia="MS Mincho" w:hAnsi="Times New Roman" w:cs="Times New Roman"/>
          <w:sz w:val="28"/>
          <w:szCs w:val="28"/>
          <w:lang w:eastAsia="ru-RU"/>
        </w:rPr>
        <w:t xml:space="preserve">об </w:t>
      </w:r>
      <w:r w:rsidRPr="00876367">
        <w:rPr>
          <w:rFonts w:ascii="Times New Roman" w:eastAsia="MS Mincho" w:hAnsi="Times New Roman" w:cs="Times New Roman"/>
          <w:sz w:val="28"/>
          <w:szCs w:val="28"/>
          <w:lang w:eastAsia="ru-RU"/>
        </w:rPr>
        <w:t xml:space="preserve"> информационно-разъяснительной работ</w:t>
      </w:r>
      <w:r w:rsidR="00396961">
        <w:rPr>
          <w:rFonts w:ascii="Times New Roman" w:eastAsia="MS Mincho" w:hAnsi="Times New Roman" w:cs="Times New Roman"/>
          <w:sz w:val="28"/>
          <w:szCs w:val="28"/>
          <w:lang w:eastAsia="ru-RU"/>
        </w:rPr>
        <w:t>е</w:t>
      </w:r>
      <w:r w:rsidRPr="00876367">
        <w:rPr>
          <w:rFonts w:ascii="Times New Roman" w:eastAsia="MS Mincho" w:hAnsi="Times New Roman" w:cs="Times New Roman"/>
          <w:sz w:val="28"/>
          <w:szCs w:val="28"/>
          <w:lang w:eastAsia="ru-RU"/>
        </w:rPr>
        <w:t xml:space="preserve"> органов регулирования</w:t>
      </w:r>
      <w:r w:rsidR="00396961">
        <w:rPr>
          <w:rFonts w:ascii="Times New Roman" w:eastAsia="MS Mincho" w:hAnsi="Times New Roman" w:cs="Times New Roman"/>
          <w:sz w:val="28"/>
          <w:szCs w:val="28"/>
          <w:lang w:eastAsia="ru-RU"/>
        </w:rPr>
        <w:t xml:space="preserve"> </w:t>
      </w:r>
      <w:r w:rsidRPr="00876367">
        <w:rPr>
          <w:rFonts w:ascii="Times New Roman" w:eastAsia="MS Mincho" w:hAnsi="Times New Roman" w:cs="Times New Roman"/>
          <w:sz w:val="28"/>
          <w:szCs w:val="28"/>
          <w:lang w:eastAsia="ru-RU"/>
        </w:rPr>
        <w:t xml:space="preserve"> о порядке формирования платы за коммунальные услуги, наличия приборов учета (общедомовых и индивидуальных), распределения жителей по уровням роста платы за коммунальные услуги, о субсидиях населению, предоставляемых из бюджетов различных уровней за ЖКУ по муниципальным образованиям Новосибирской области.</w:t>
      </w:r>
    </w:p>
    <w:p w:rsidR="005727C2" w:rsidRPr="00876367" w:rsidRDefault="005727C2" w:rsidP="00DD0B25">
      <w:pPr>
        <w:pStyle w:val="ConsPlusNormal"/>
        <w:ind w:firstLine="540"/>
        <w:jc w:val="both"/>
        <w:rPr>
          <w:rFonts w:ascii="Times New Roman" w:eastAsia="MS Mincho" w:hAnsi="Times New Roman" w:cs="Times New Roman"/>
          <w:sz w:val="28"/>
          <w:szCs w:val="28"/>
          <w:lang w:eastAsia="ru-RU"/>
        </w:rPr>
      </w:pPr>
      <w:r w:rsidRPr="00876367">
        <w:rPr>
          <w:rFonts w:ascii="Times New Roman" w:eastAsia="MS Mincho" w:hAnsi="Times New Roman" w:cs="Times New Roman"/>
          <w:sz w:val="28"/>
          <w:szCs w:val="28"/>
          <w:lang w:eastAsia="ru-RU"/>
        </w:rPr>
        <w:t>В соответствии с пунктом 4 статьи 154 Жилищного Кодекса Российской Федерации плата за коммунальные услуги включает в себя плату за холодную воду, горячую воду, электрическую энергию, тепловую энергию, газ, бытовой газ в баллонах, твердое топливо при наличии печного отопления, плату за отведение сточных вод, обращение с твердыми коммунальными отходами.</w:t>
      </w:r>
    </w:p>
    <w:p w:rsidR="005727C2" w:rsidRDefault="005727C2" w:rsidP="00DD0B25">
      <w:pPr>
        <w:pStyle w:val="ConsPlusNormal"/>
        <w:ind w:firstLine="540"/>
        <w:jc w:val="both"/>
        <w:rPr>
          <w:rFonts w:ascii="Times New Roman" w:eastAsia="MS Mincho" w:hAnsi="Times New Roman" w:cs="Times New Roman"/>
          <w:sz w:val="28"/>
          <w:szCs w:val="28"/>
          <w:lang w:eastAsia="ru-RU"/>
        </w:rPr>
      </w:pPr>
      <w:r w:rsidRPr="00876367">
        <w:rPr>
          <w:rFonts w:ascii="Times New Roman" w:eastAsia="MS Mincho" w:hAnsi="Times New Roman" w:cs="Times New Roman"/>
          <w:sz w:val="28"/>
          <w:szCs w:val="28"/>
          <w:lang w:eastAsia="ru-RU"/>
        </w:rPr>
        <w:t>Ниже приведена структура платы граждан за коммунальные услуги для семьи из 3 человек, проживающей в жилом помещении площадью 54 кв.м.</w:t>
      </w:r>
    </w:p>
    <w:p w:rsidR="00396961" w:rsidRPr="00876367" w:rsidRDefault="00396961" w:rsidP="00DD0B25">
      <w:pPr>
        <w:pStyle w:val="ConsPlusNormal"/>
        <w:ind w:firstLine="540"/>
        <w:jc w:val="both"/>
        <w:rPr>
          <w:rFonts w:ascii="Times New Roman" w:eastAsia="MS Mincho" w:hAnsi="Times New Roman" w:cs="Times New Roman"/>
          <w:sz w:val="28"/>
          <w:szCs w:val="28"/>
          <w:lang w:eastAsia="ru-RU"/>
        </w:rPr>
      </w:pPr>
    </w:p>
    <w:p w:rsidR="005727C2" w:rsidRPr="00876367" w:rsidRDefault="005727C2" w:rsidP="00396961">
      <w:pPr>
        <w:pStyle w:val="ConsPlusNormal"/>
        <w:tabs>
          <w:tab w:val="center" w:pos="5111"/>
        </w:tabs>
        <w:jc w:val="center"/>
        <w:rPr>
          <w:rFonts w:ascii="Times New Roman" w:eastAsia="MS Mincho" w:hAnsi="Times New Roman" w:cs="Times New Roman"/>
          <w:sz w:val="28"/>
          <w:szCs w:val="28"/>
          <w:lang w:eastAsia="ru-RU"/>
        </w:rPr>
      </w:pPr>
      <w:r w:rsidRPr="00876367">
        <w:rPr>
          <w:rFonts w:ascii="Times New Roman" w:eastAsia="MS Mincho" w:hAnsi="Times New Roman" w:cs="Times New Roman"/>
          <w:noProof/>
          <w:sz w:val="28"/>
          <w:szCs w:val="28"/>
          <w:lang w:eastAsia="ru-RU"/>
        </w:rPr>
        <w:lastRenderedPageBreak/>
        <w:drawing>
          <wp:inline distT="0" distB="0" distL="0" distR="0" wp14:anchorId="5BBE19FC" wp14:editId="26F7C1D3">
            <wp:extent cx="4206238" cy="3438144"/>
            <wp:effectExtent l="0" t="0" r="0" b="0"/>
            <wp:docPr id="42" name="Рисунок 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7"/>
                    <pic:cNvPicPr>
                      <a:picLocks noChangeAspect="1" noChangeArrowheads="1"/>
                    </pic:cNvPicPr>
                  </pic:nvPicPr>
                  <pic:blipFill>
                    <a:blip r:embed="rId86" cstate="print">
                      <a:extLst>
                        <a:ext uri="{28A0092B-C50C-407E-A947-70E740481C1C}">
                          <a14:useLocalDpi xmlns:a14="http://schemas.microsoft.com/office/drawing/2010/main" val="0"/>
                        </a:ext>
                      </a:extLst>
                    </a:blip>
                    <a:srcRect/>
                    <a:stretch>
                      <a:fillRect/>
                    </a:stretch>
                  </pic:blipFill>
                  <pic:spPr bwMode="auto">
                    <a:xfrm>
                      <a:off x="0" y="0"/>
                      <a:ext cx="4206352" cy="3438237"/>
                    </a:xfrm>
                    <a:prstGeom prst="rect">
                      <a:avLst/>
                    </a:prstGeom>
                    <a:noFill/>
                    <a:ln>
                      <a:noFill/>
                    </a:ln>
                  </pic:spPr>
                </pic:pic>
              </a:graphicData>
            </a:graphic>
          </wp:inline>
        </w:drawing>
      </w:r>
    </w:p>
    <w:p w:rsidR="00DB2105" w:rsidRDefault="00DB2105" w:rsidP="00396961">
      <w:pPr>
        <w:pStyle w:val="ConsPlusNormal"/>
        <w:tabs>
          <w:tab w:val="center" w:pos="5111"/>
        </w:tabs>
        <w:jc w:val="center"/>
        <w:rPr>
          <w:rFonts w:ascii="Times New Roman" w:eastAsia="MS Mincho" w:hAnsi="Times New Roman" w:cs="Times New Roman"/>
          <w:sz w:val="24"/>
          <w:szCs w:val="24"/>
          <w:lang w:eastAsia="ru-RU"/>
        </w:rPr>
      </w:pPr>
    </w:p>
    <w:p w:rsidR="005727C2" w:rsidRDefault="00396961" w:rsidP="00396961">
      <w:pPr>
        <w:pStyle w:val="ConsPlusNormal"/>
        <w:tabs>
          <w:tab w:val="center" w:pos="5111"/>
        </w:tabs>
        <w:jc w:val="center"/>
        <w:rPr>
          <w:rFonts w:ascii="Times New Roman" w:eastAsia="MS Mincho" w:hAnsi="Times New Roman" w:cs="Times New Roman"/>
          <w:sz w:val="24"/>
          <w:szCs w:val="24"/>
          <w:lang w:eastAsia="ru-RU"/>
        </w:rPr>
      </w:pPr>
      <w:r w:rsidRPr="00396961">
        <w:rPr>
          <w:rFonts w:ascii="Times New Roman" w:eastAsia="MS Mincho" w:hAnsi="Times New Roman" w:cs="Times New Roman"/>
          <w:sz w:val="24"/>
          <w:szCs w:val="24"/>
          <w:lang w:eastAsia="ru-RU"/>
        </w:rPr>
        <w:t>Рис. 2.6.1</w:t>
      </w:r>
    </w:p>
    <w:p w:rsidR="00DB2105" w:rsidRDefault="00DB2105" w:rsidP="00396961">
      <w:pPr>
        <w:pStyle w:val="ConsPlusNormal"/>
        <w:tabs>
          <w:tab w:val="center" w:pos="5111"/>
        </w:tabs>
        <w:jc w:val="center"/>
        <w:rPr>
          <w:rFonts w:ascii="Times New Roman" w:eastAsia="MS Mincho" w:hAnsi="Times New Roman" w:cs="Times New Roman"/>
          <w:sz w:val="24"/>
          <w:szCs w:val="24"/>
          <w:lang w:eastAsia="ru-RU"/>
        </w:rPr>
      </w:pPr>
    </w:p>
    <w:p w:rsidR="00DB2105" w:rsidRPr="00396961" w:rsidRDefault="00DB2105" w:rsidP="00396961">
      <w:pPr>
        <w:pStyle w:val="ConsPlusNormal"/>
        <w:tabs>
          <w:tab w:val="center" w:pos="5111"/>
        </w:tabs>
        <w:jc w:val="center"/>
        <w:rPr>
          <w:rFonts w:ascii="Times New Roman" w:eastAsia="MS Mincho" w:hAnsi="Times New Roman" w:cs="Times New Roman"/>
          <w:sz w:val="24"/>
          <w:szCs w:val="24"/>
          <w:lang w:eastAsia="ru-RU"/>
        </w:rPr>
      </w:pPr>
    </w:p>
    <w:p w:rsidR="005727C2" w:rsidRPr="00876367" w:rsidRDefault="005727C2" w:rsidP="00396961">
      <w:pPr>
        <w:pStyle w:val="ConsPlusNormal"/>
        <w:tabs>
          <w:tab w:val="center" w:pos="5111"/>
        </w:tabs>
        <w:jc w:val="center"/>
        <w:rPr>
          <w:rFonts w:ascii="Times New Roman" w:eastAsia="MS Mincho" w:hAnsi="Times New Roman" w:cs="Times New Roman"/>
          <w:sz w:val="28"/>
          <w:szCs w:val="28"/>
          <w:lang w:eastAsia="ru-RU"/>
        </w:rPr>
      </w:pPr>
      <w:r w:rsidRPr="00876367">
        <w:rPr>
          <w:rFonts w:ascii="Times New Roman" w:eastAsia="MS Mincho" w:hAnsi="Times New Roman" w:cs="Times New Roman"/>
          <w:noProof/>
          <w:sz w:val="28"/>
          <w:szCs w:val="28"/>
          <w:lang w:eastAsia="ru-RU"/>
        </w:rPr>
        <w:drawing>
          <wp:inline distT="0" distB="0" distL="0" distR="0" wp14:anchorId="09D37700" wp14:editId="1088E916">
            <wp:extent cx="4191609" cy="3913632"/>
            <wp:effectExtent l="0" t="0" r="0" b="0"/>
            <wp:docPr id="41" name="Рисунок 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8"/>
                    <pic:cNvPicPr>
                      <a:picLocks noChangeAspect="1" noChangeArrowheads="1"/>
                    </pic:cNvPicPr>
                  </pic:nvPicPr>
                  <pic:blipFill>
                    <a:blip r:embed="rId87" cstate="print">
                      <a:extLst>
                        <a:ext uri="{28A0092B-C50C-407E-A947-70E740481C1C}">
                          <a14:useLocalDpi xmlns:a14="http://schemas.microsoft.com/office/drawing/2010/main" val="0"/>
                        </a:ext>
                      </a:extLst>
                    </a:blip>
                    <a:srcRect/>
                    <a:stretch>
                      <a:fillRect/>
                    </a:stretch>
                  </pic:blipFill>
                  <pic:spPr bwMode="auto">
                    <a:xfrm>
                      <a:off x="0" y="0"/>
                      <a:ext cx="4191609" cy="3913632"/>
                    </a:xfrm>
                    <a:prstGeom prst="rect">
                      <a:avLst/>
                    </a:prstGeom>
                    <a:noFill/>
                    <a:ln>
                      <a:noFill/>
                    </a:ln>
                  </pic:spPr>
                </pic:pic>
              </a:graphicData>
            </a:graphic>
          </wp:inline>
        </w:drawing>
      </w:r>
    </w:p>
    <w:p w:rsidR="005727C2" w:rsidRPr="00396961" w:rsidRDefault="00396961" w:rsidP="00396961">
      <w:pPr>
        <w:tabs>
          <w:tab w:val="left" w:pos="0"/>
        </w:tabs>
        <w:spacing w:line="240" w:lineRule="auto"/>
        <w:ind w:right="201"/>
        <w:jc w:val="center"/>
      </w:pPr>
      <w:r w:rsidRPr="00396961">
        <w:t>Рис. 2.6.2.</w:t>
      </w:r>
    </w:p>
    <w:p w:rsidR="005727C2" w:rsidRDefault="005727C2" w:rsidP="00396961">
      <w:pPr>
        <w:tabs>
          <w:tab w:val="left" w:pos="0"/>
        </w:tabs>
        <w:spacing w:line="240" w:lineRule="auto"/>
        <w:ind w:right="201"/>
        <w:jc w:val="center"/>
        <w:rPr>
          <w:sz w:val="28"/>
          <w:szCs w:val="28"/>
        </w:rPr>
      </w:pPr>
      <w:r>
        <w:rPr>
          <w:noProof/>
          <w:sz w:val="28"/>
          <w:szCs w:val="28"/>
        </w:rPr>
        <w:lastRenderedPageBreak/>
        <w:drawing>
          <wp:inline distT="0" distB="0" distL="0" distR="0" wp14:anchorId="6F62994D" wp14:editId="34A01489">
            <wp:extent cx="4286707" cy="2713939"/>
            <wp:effectExtent l="0" t="0" r="0" b="0"/>
            <wp:docPr id="40" name="Рисунок 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9"/>
                    <pic:cNvPicPr>
                      <a:picLocks noChangeAspect="1" noChangeArrowheads="1"/>
                    </pic:cNvPicPr>
                  </pic:nvPicPr>
                  <pic:blipFill>
                    <a:blip r:embed="rId88" cstate="print">
                      <a:extLst>
                        <a:ext uri="{28A0092B-C50C-407E-A947-70E740481C1C}">
                          <a14:useLocalDpi xmlns:a14="http://schemas.microsoft.com/office/drawing/2010/main" val="0"/>
                        </a:ext>
                      </a:extLst>
                    </a:blip>
                    <a:srcRect/>
                    <a:stretch>
                      <a:fillRect/>
                    </a:stretch>
                  </pic:blipFill>
                  <pic:spPr bwMode="auto">
                    <a:xfrm>
                      <a:off x="0" y="0"/>
                      <a:ext cx="4287197" cy="2714249"/>
                    </a:xfrm>
                    <a:prstGeom prst="rect">
                      <a:avLst/>
                    </a:prstGeom>
                    <a:noFill/>
                    <a:ln>
                      <a:noFill/>
                    </a:ln>
                  </pic:spPr>
                </pic:pic>
              </a:graphicData>
            </a:graphic>
          </wp:inline>
        </w:drawing>
      </w:r>
    </w:p>
    <w:p w:rsidR="00396961" w:rsidRPr="00396961" w:rsidRDefault="00396961" w:rsidP="00396961">
      <w:pPr>
        <w:tabs>
          <w:tab w:val="left" w:pos="709"/>
        </w:tabs>
        <w:spacing w:line="240" w:lineRule="auto"/>
        <w:ind w:right="201"/>
        <w:jc w:val="center"/>
      </w:pPr>
      <w:r w:rsidRPr="00396961">
        <w:t>Рис. 2.6.3.</w:t>
      </w:r>
    </w:p>
    <w:p w:rsidR="005727C2" w:rsidRDefault="00396961" w:rsidP="00DB2105">
      <w:pPr>
        <w:tabs>
          <w:tab w:val="left" w:pos="709"/>
        </w:tabs>
        <w:spacing w:after="0" w:line="240" w:lineRule="auto"/>
        <w:ind w:right="201"/>
        <w:jc w:val="both"/>
        <w:rPr>
          <w:sz w:val="28"/>
          <w:szCs w:val="28"/>
        </w:rPr>
      </w:pPr>
      <w:r>
        <w:rPr>
          <w:sz w:val="28"/>
          <w:szCs w:val="28"/>
        </w:rPr>
        <w:t xml:space="preserve">           </w:t>
      </w:r>
      <w:r w:rsidR="005727C2">
        <w:rPr>
          <w:sz w:val="28"/>
          <w:szCs w:val="28"/>
        </w:rPr>
        <w:t>В структуре платы граждан за коммунальные услуги большую долю занимает тепловая энергия, газ, твердое топливо</w:t>
      </w:r>
      <w:r>
        <w:rPr>
          <w:sz w:val="28"/>
          <w:szCs w:val="28"/>
        </w:rPr>
        <w:t xml:space="preserve"> (коммунальная услуга по отоплению)</w:t>
      </w:r>
      <w:r w:rsidR="005727C2">
        <w:rPr>
          <w:sz w:val="28"/>
          <w:szCs w:val="28"/>
        </w:rPr>
        <w:t>.</w:t>
      </w:r>
    </w:p>
    <w:p w:rsidR="005727C2" w:rsidRDefault="005727C2" w:rsidP="00DB2105">
      <w:pPr>
        <w:autoSpaceDE w:val="0"/>
        <w:autoSpaceDN w:val="0"/>
        <w:adjustRightInd w:val="0"/>
        <w:spacing w:after="0" w:line="240" w:lineRule="auto"/>
        <w:ind w:firstLine="540"/>
        <w:jc w:val="both"/>
        <w:outlineLvl w:val="1"/>
        <w:rPr>
          <w:sz w:val="28"/>
          <w:szCs w:val="28"/>
        </w:rPr>
      </w:pPr>
      <w:r>
        <w:rPr>
          <w:sz w:val="28"/>
          <w:szCs w:val="28"/>
        </w:rPr>
        <w:t>Распоряжениями Правительства Российской Федерации от 29.10.2019 № 2556-р, от 15.11.2018 № 2490-р утверждены индексы изменения размера вносимой гражданами платы за коммунальные услуги в среднем по субъектам Российской Федерации на 2020 год и предельно допустимые отклонения по отдельным муниципальным образованиям от величины указанных индексов на 2019-2023 годы, в том числе по Новосибирской области:</w:t>
      </w:r>
    </w:p>
    <w:p w:rsidR="005727C2" w:rsidRDefault="005727C2" w:rsidP="00DB2105">
      <w:pPr>
        <w:autoSpaceDE w:val="0"/>
        <w:autoSpaceDN w:val="0"/>
        <w:adjustRightInd w:val="0"/>
        <w:spacing w:after="0" w:line="240" w:lineRule="auto"/>
        <w:ind w:firstLine="540"/>
        <w:jc w:val="both"/>
        <w:outlineLvl w:val="1"/>
        <w:rPr>
          <w:sz w:val="28"/>
          <w:szCs w:val="28"/>
        </w:rPr>
      </w:pPr>
      <w:r>
        <w:rPr>
          <w:sz w:val="28"/>
          <w:szCs w:val="28"/>
        </w:rPr>
        <w:t>- средний индекс изменения размера вносимой гражданами платы за коммунальные услуги на первое полугодие 2020 года в размере 0%, на второе полугодие 2020 – 4,9%;</w:t>
      </w:r>
    </w:p>
    <w:p w:rsidR="005727C2" w:rsidRDefault="005727C2" w:rsidP="00DB2105">
      <w:pPr>
        <w:autoSpaceDE w:val="0"/>
        <w:autoSpaceDN w:val="0"/>
        <w:adjustRightInd w:val="0"/>
        <w:spacing w:after="0" w:line="240" w:lineRule="auto"/>
        <w:ind w:firstLine="540"/>
        <w:jc w:val="both"/>
        <w:outlineLvl w:val="1"/>
        <w:rPr>
          <w:sz w:val="28"/>
          <w:szCs w:val="28"/>
        </w:rPr>
      </w:pPr>
      <w:r>
        <w:rPr>
          <w:sz w:val="28"/>
          <w:szCs w:val="28"/>
        </w:rPr>
        <w:t>- предельно допустимое отклонение по отдельным муниципальным образованиям на 2020-2023 годы – 3,2%.</w:t>
      </w:r>
    </w:p>
    <w:p w:rsidR="005727C2" w:rsidRDefault="005727C2" w:rsidP="00DB2105">
      <w:pPr>
        <w:autoSpaceDE w:val="0"/>
        <w:autoSpaceDN w:val="0"/>
        <w:adjustRightInd w:val="0"/>
        <w:spacing w:after="0" w:line="240" w:lineRule="auto"/>
        <w:ind w:firstLine="540"/>
        <w:jc w:val="both"/>
        <w:rPr>
          <w:sz w:val="28"/>
          <w:szCs w:val="28"/>
        </w:rPr>
      </w:pPr>
      <w:r>
        <w:rPr>
          <w:sz w:val="28"/>
          <w:szCs w:val="28"/>
        </w:rPr>
        <w:t xml:space="preserve">Постановлением Губернатора Новосибирской области от 24.12.2019 № 294 «О предельных (максимальных) индексах изменения размера вносимой гражданами платы за коммунальные услуги в муниципальных образованиях Новосибирской области на 2020 год» утверждены предельные (максимальные) индексы изменения размера вносимой гражданами платы за коммунальные услуги во всех муниципальных образованиях Новосибирской области с 1 января по 30 июня 2020 года в размере 0%; с 1 июля по 31 декабря 2020 года – не превышают 4,9%, </w:t>
      </w:r>
      <w:r>
        <w:rPr>
          <w:rFonts w:eastAsia="Times New Roman"/>
          <w:sz w:val="28"/>
          <w:szCs w:val="28"/>
        </w:rPr>
        <w:t xml:space="preserve">что отражено в формате электронного документа PREDEL.KU.2020, </w:t>
      </w:r>
      <w:r w:rsidR="009F2215">
        <w:rPr>
          <w:rFonts w:eastAsia="Times New Roman"/>
          <w:sz w:val="28"/>
          <w:szCs w:val="28"/>
        </w:rPr>
        <w:t>направленного в</w:t>
      </w:r>
      <w:r>
        <w:rPr>
          <w:rFonts w:eastAsia="Times New Roman"/>
          <w:sz w:val="28"/>
          <w:szCs w:val="28"/>
        </w:rPr>
        <w:t xml:space="preserve"> </w:t>
      </w:r>
      <w:r w:rsidR="009F2215">
        <w:rPr>
          <w:rFonts w:eastAsia="Times New Roman"/>
          <w:sz w:val="28"/>
          <w:szCs w:val="28"/>
        </w:rPr>
        <w:t xml:space="preserve"> ФАС России </w:t>
      </w:r>
      <w:r>
        <w:rPr>
          <w:rFonts w:eastAsia="Times New Roman"/>
          <w:sz w:val="28"/>
          <w:szCs w:val="28"/>
        </w:rPr>
        <w:t>по системе ФГИС ЕИАС</w:t>
      </w:r>
      <w:r w:rsidR="009F2215">
        <w:rPr>
          <w:rFonts w:eastAsia="Times New Roman"/>
          <w:sz w:val="28"/>
          <w:szCs w:val="28"/>
        </w:rPr>
        <w:t>.</w:t>
      </w:r>
      <w:r>
        <w:rPr>
          <w:rFonts w:eastAsia="Times New Roman"/>
          <w:sz w:val="28"/>
          <w:szCs w:val="28"/>
        </w:rPr>
        <w:t xml:space="preserve"> </w:t>
      </w:r>
    </w:p>
    <w:p w:rsidR="005727C2" w:rsidRDefault="005727C2" w:rsidP="00DB2105">
      <w:pPr>
        <w:autoSpaceDE w:val="0"/>
        <w:autoSpaceDN w:val="0"/>
        <w:adjustRightInd w:val="0"/>
        <w:spacing w:after="0" w:line="240" w:lineRule="auto"/>
        <w:ind w:firstLine="540"/>
        <w:jc w:val="both"/>
        <w:rPr>
          <w:sz w:val="28"/>
          <w:szCs w:val="28"/>
        </w:rPr>
      </w:pPr>
      <w:r>
        <w:rPr>
          <w:bCs/>
          <w:sz w:val="28"/>
          <w:szCs w:val="28"/>
        </w:rPr>
        <w:t xml:space="preserve">В 2019 году в Новосибирской области продолжена работа по предоставлению гражданам социальной поддержки, связанной с оплатой жилого помещения и коммунальных услуг. Указанная социальная поддержка предоставляется отдельным категориям граждан в виде денежных выплат на оплату жилого помещения и коммунальных услуг, а также гражданам, </w:t>
      </w:r>
      <w:r>
        <w:rPr>
          <w:bCs/>
          <w:sz w:val="28"/>
          <w:szCs w:val="28"/>
        </w:rPr>
        <w:lastRenderedPageBreak/>
        <w:t>имеющим низкий уровень дохода, в виде субсидий на оплату жилого помещения и коммунальных услуг.</w:t>
      </w:r>
    </w:p>
    <w:p w:rsidR="005727C2" w:rsidRDefault="005727C2" w:rsidP="00DB2105">
      <w:pPr>
        <w:pStyle w:val="ConsPlusNormal"/>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В целях социальной защиты населения действует система предоставления льгот и субсидий на оплату жилищно-коммунальных услуг.</w:t>
      </w:r>
    </w:p>
    <w:p w:rsidR="005727C2" w:rsidRDefault="005727C2" w:rsidP="00DB2105">
      <w:pPr>
        <w:autoSpaceDE w:val="0"/>
        <w:autoSpaceDN w:val="0"/>
        <w:adjustRightInd w:val="0"/>
        <w:spacing w:after="0" w:line="240" w:lineRule="auto"/>
        <w:ind w:firstLine="540"/>
        <w:jc w:val="both"/>
        <w:rPr>
          <w:color w:val="000000"/>
          <w:sz w:val="28"/>
          <w:szCs w:val="28"/>
        </w:rPr>
      </w:pPr>
      <w:r>
        <w:rPr>
          <w:rFonts w:eastAsia="Calibri"/>
          <w:color w:val="000000"/>
          <w:sz w:val="28"/>
          <w:szCs w:val="28"/>
          <w:lang w:eastAsia="en-US"/>
        </w:rPr>
        <w:t xml:space="preserve">Субсидии на оплату жилого помещения и коммунальных услуг предоставляются гражданам в случае, если их расходы на оплату жилого помещения и коммунальных услуг, рассчитанные исходя из размера регионального стандарта нормативной площади жилого помещения, используемой для расчета субсидий, и размера регионального стандарта стоимости жилищно-коммунальных услуг превышают величину, соответствующую максимально допустимой доле расходов граждан на оплату жилого помещения и коммунальных услуг в совокупном доходе семьи. Расчет размера регионального стандарта стоимости жилищно-коммунальных услуг осуществляет </w:t>
      </w:r>
      <w:r w:rsidR="009F2215">
        <w:rPr>
          <w:rFonts w:eastAsia="Calibri"/>
          <w:color w:val="000000"/>
          <w:sz w:val="28"/>
          <w:szCs w:val="28"/>
          <w:lang w:eastAsia="en-US"/>
        </w:rPr>
        <w:t>Д</w:t>
      </w:r>
      <w:r>
        <w:rPr>
          <w:color w:val="000000"/>
          <w:sz w:val="28"/>
          <w:szCs w:val="28"/>
        </w:rPr>
        <w:t>епартамент.</w:t>
      </w:r>
    </w:p>
    <w:p w:rsidR="005727C2" w:rsidRDefault="005727C2" w:rsidP="00DB2105">
      <w:pPr>
        <w:autoSpaceDE w:val="0"/>
        <w:autoSpaceDN w:val="0"/>
        <w:adjustRightInd w:val="0"/>
        <w:spacing w:after="0" w:line="240" w:lineRule="auto"/>
        <w:ind w:firstLine="540"/>
        <w:jc w:val="both"/>
        <w:rPr>
          <w:sz w:val="28"/>
          <w:szCs w:val="28"/>
        </w:rPr>
      </w:pPr>
      <w:r>
        <w:rPr>
          <w:sz w:val="28"/>
          <w:szCs w:val="28"/>
        </w:rPr>
        <w:t xml:space="preserve">В соответствии со статьей 159 Жилищного кодекса Российской Федерации постановлением Правительства Российской Федерации от 14.12.2005 № 761 «О предоставлении субсидий на оплату жилого помещения и коммунальных услуг», </w:t>
      </w:r>
      <w:r w:rsidR="009F2215">
        <w:rPr>
          <w:sz w:val="28"/>
          <w:szCs w:val="28"/>
        </w:rPr>
        <w:t>з</w:t>
      </w:r>
      <w:r>
        <w:rPr>
          <w:sz w:val="28"/>
          <w:szCs w:val="28"/>
        </w:rPr>
        <w:t>аконом Новосибирской области от 05.12.2006 № 60-ОЗ «О региональных стандартах оплаты жилого помещения и коммунальных услуг в Новосибирской области», постановлением Губернатора Новосибирской области от 18.02.2019 № 46</w:t>
      </w:r>
      <w:r>
        <w:rPr>
          <w:color w:val="000000"/>
        </w:rPr>
        <w:t xml:space="preserve"> </w:t>
      </w:r>
      <w:r>
        <w:rPr>
          <w:sz w:val="28"/>
          <w:szCs w:val="28"/>
        </w:rPr>
        <w:t>установлены региональные стандарты оплаты жилого помещения и коммунальных услуг на 2019 год, используемые для расчета субсидий:</w:t>
      </w:r>
    </w:p>
    <w:p w:rsidR="005727C2" w:rsidRDefault="005727C2" w:rsidP="00DB2105">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 региональный стандарт нормативной площади жилого помещения, дифференцированный по численности семьи (для одиноко проживающих граждан, для одного члена семьи – 33 кв.м., состоящей из двух человек – 42 кв.м., для одного члена семьи, состоящей из трех и более человек – 18 кв.м.);</w:t>
      </w:r>
    </w:p>
    <w:p w:rsidR="005727C2" w:rsidRDefault="005727C2" w:rsidP="00DB2105">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 региональный стандарт максимально допустимой доли расходов граждан на оплату жилого помещения и коммунальных услуг в совокупном доходе семьи – дифференцированно, в зависимости от размера совокупного семейного дохода (от 16-22%%);</w:t>
      </w:r>
    </w:p>
    <w:p w:rsidR="005727C2" w:rsidRDefault="005727C2" w:rsidP="00DB2105">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 региональный стандарт стоимости жилищно-коммунальных услуг установленный исходя из цен, тарифов и нормативов, используемых для расчета платы за содержание и ремонт жилого помещения и коммунальных услуг для пользователей и наниматели жилых помещений, членов жилищных кооперативов, для собственников жилых помещений, которые в соответствии с требованиями части 2 статьи 169 Жилищного кодекса Российской Федерации обязаны вносить взносы на капитальный ремонт, для собственников жилых помещений, которые в соответствии с требованиями части 2 статьи 169 Жилищного кодекса Российской Федерации не обязаны вносить взносы на капитальный ремонт, проживающих в жилых помещениях, расположенных в домах, уровень благоустройства и технические параметры которых соответствуют средним условиям в муниципальном образовании.</w:t>
      </w:r>
    </w:p>
    <w:p w:rsidR="005727C2" w:rsidRDefault="005727C2" w:rsidP="00DB2105">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lastRenderedPageBreak/>
        <w:t>Подготовлен проект постановления Губернатора Новосибирской области «Об установлении региональных стандартов оплаты жилого помещения и коммунальных услуг в Новосибирской области на 2020 год».</w:t>
      </w:r>
    </w:p>
    <w:p w:rsidR="005727C2" w:rsidRPr="009F2215" w:rsidRDefault="005727C2" w:rsidP="00DB2105">
      <w:pPr>
        <w:pStyle w:val="ConsPlusNormal"/>
        <w:ind w:firstLine="540"/>
        <w:jc w:val="both"/>
        <w:rPr>
          <w:rFonts w:ascii="Times New Roman" w:hAnsi="Times New Roman" w:cs="Times New Roman"/>
          <w:sz w:val="28"/>
          <w:szCs w:val="28"/>
        </w:rPr>
      </w:pPr>
      <w:r w:rsidRPr="009F2215">
        <w:rPr>
          <w:rFonts w:ascii="Times New Roman" w:hAnsi="Times New Roman" w:cs="Times New Roman"/>
          <w:sz w:val="28"/>
          <w:szCs w:val="28"/>
        </w:rPr>
        <w:t>Меры социальной поддержки населения осуществляются в виде компенсации из расчета фактической оплаты за жилищно-коммунальные услуги, но не выше региональных стандартов, утвержденных постановлением Губернатора Новосибирской области.</w:t>
      </w:r>
    </w:p>
    <w:p w:rsidR="005727C2" w:rsidRPr="009F2215" w:rsidRDefault="005727C2" w:rsidP="00DB2105">
      <w:pPr>
        <w:spacing w:line="240" w:lineRule="auto"/>
        <w:ind w:firstLine="708"/>
        <w:jc w:val="both"/>
        <w:rPr>
          <w:rFonts w:eastAsia="Calibri"/>
          <w:sz w:val="28"/>
          <w:szCs w:val="28"/>
          <w:lang w:eastAsia="en-US"/>
        </w:rPr>
      </w:pPr>
    </w:p>
    <w:p w:rsidR="005727C2" w:rsidRPr="009F2215" w:rsidRDefault="009F2215" w:rsidP="009F2215">
      <w:pPr>
        <w:rPr>
          <w:b/>
          <w:sz w:val="32"/>
          <w:szCs w:val="32"/>
        </w:rPr>
      </w:pPr>
      <w:r w:rsidRPr="009F2215">
        <w:rPr>
          <w:b/>
          <w:sz w:val="32"/>
          <w:szCs w:val="32"/>
        </w:rPr>
        <w:t>2</w:t>
      </w:r>
      <w:r w:rsidR="005727C2" w:rsidRPr="009F2215">
        <w:rPr>
          <w:b/>
          <w:sz w:val="32"/>
          <w:szCs w:val="32"/>
        </w:rPr>
        <w:t>.</w:t>
      </w:r>
      <w:r w:rsidR="00DB2105">
        <w:rPr>
          <w:b/>
          <w:sz w:val="32"/>
          <w:szCs w:val="32"/>
        </w:rPr>
        <w:t>7</w:t>
      </w:r>
      <w:r w:rsidRPr="009F2215">
        <w:rPr>
          <w:b/>
          <w:sz w:val="32"/>
          <w:szCs w:val="32"/>
        </w:rPr>
        <w:t>.</w:t>
      </w:r>
      <w:r w:rsidR="005727C2" w:rsidRPr="009F2215">
        <w:rPr>
          <w:b/>
          <w:sz w:val="32"/>
          <w:szCs w:val="32"/>
        </w:rPr>
        <w:t xml:space="preserve"> Государственное регулирование транспорта </w:t>
      </w:r>
    </w:p>
    <w:p w:rsidR="008248F9" w:rsidRPr="008248F9" w:rsidRDefault="008248F9" w:rsidP="008248F9">
      <w:pPr>
        <w:pStyle w:val="af7"/>
        <w:spacing w:line="240" w:lineRule="auto"/>
        <w:ind w:left="0"/>
        <w:rPr>
          <w:b/>
          <w:sz w:val="28"/>
          <w:szCs w:val="28"/>
        </w:rPr>
      </w:pPr>
      <w:r w:rsidRPr="008248F9">
        <w:rPr>
          <w:b/>
          <w:sz w:val="28"/>
          <w:szCs w:val="28"/>
        </w:rPr>
        <w:t>2.</w:t>
      </w:r>
      <w:r w:rsidR="00DB2105">
        <w:rPr>
          <w:b/>
          <w:sz w:val="28"/>
          <w:szCs w:val="28"/>
        </w:rPr>
        <w:t>7</w:t>
      </w:r>
      <w:r w:rsidRPr="008248F9">
        <w:rPr>
          <w:b/>
          <w:sz w:val="28"/>
          <w:szCs w:val="28"/>
        </w:rPr>
        <w:t>.1. Тарифы на услуги по перевозке пассажиров железнодорожным транспортом в пригородном сообщении, оказываемые на территории Новосибирской области</w:t>
      </w:r>
    </w:p>
    <w:p w:rsidR="008248F9" w:rsidRDefault="008248F9" w:rsidP="008248F9">
      <w:pPr>
        <w:autoSpaceDE w:val="0"/>
        <w:autoSpaceDN w:val="0"/>
        <w:adjustRightInd w:val="0"/>
        <w:spacing w:after="0" w:line="240" w:lineRule="auto"/>
        <w:ind w:firstLine="567"/>
        <w:jc w:val="both"/>
        <w:rPr>
          <w:sz w:val="28"/>
          <w:szCs w:val="28"/>
        </w:rPr>
      </w:pPr>
      <w:r>
        <w:rPr>
          <w:sz w:val="28"/>
          <w:szCs w:val="28"/>
        </w:rPr>
        <w:t>Приказом департамента от 11.12.2019 № 601-ТС «Об установлении тарифов на услуги по перевозке пассажиров железнодорожным транспортом в пригородном сообщении, оказываемые Акционерным обществом «Экспресс-пригород» на территории Новосибирской области» установлены:</w:t>
      </w:r>
    </w:p>
    <w:p w:rsidR="008248F9" w:rsidRDefault="008248F9" w:rsidP="008248F9">
      <w:pPr>
        <w:autoSpaceDE w:val="0"/>
        <w:autoSpaceDN w:val="0"/>
        <w:adjustRightInd w:val="0"/>
        <w:spacing w:after="0" w:line="240" w:lineRule="auto"/>
        <w:ind w:firstLine="709"/>
        <w:jc w:val="both"/>
        <w:rPr>
          <w:rFonts w:eastAsia="Calibri"/>
          <w:sz w:val="28"/>
          <w:szCs w:val="28"/>
          <w:lang w:eastAsia="en-US"/>
        </w:rPr>
      </w:pPr>
      <w:r>
        <w:rPr>
          <w:sz w:val="28"/>
          <w:szCs w:val="28"/>
        </w:rPr>
        <w:t xml:space="preserve"> 1. Экономически обоснованный уровень тарифа в расчете на одного пассажира </w:t>
      </w:r>
      <w:r>
        <w:rPr>
          <w:rFonts w:eastAsia="Calibri"/>
          <w:bCs/>
          <w:sz w:val="28"/>
          <w:szCs w:val="28"/>
          <w:lang w:eastAsia="en-US"/>
        </w:rPr>
        <w:t>за один километр в размере 1,72</w:t>
      </w:r>
      <w:r>
        <w:rPr>
          <w:rFonts w:eastAsia="Calibri"/>
          <w:sz w:val="28"/>
          <w:szCs w:val="28"/>
          <w:lang w:eastAsia="en-US"/>
        </w:rPr>
        <w:t xml:space="preserve"> руб. с увеличением на 1,3% от тарифных параметров 2019 года.</w:t>
      </w:r>
    </w:p>
    <w:p w:rsidR="008248F9" w:rsidRDefault="008248F9" w:rsidP="008248F9">
      <w:pPr>
        <w:autoSpaceDE w:val="0"/>
        <w:autoSpaceDN w:val="0"/>
        <w:adjustRightInd w:val="0"/>
        <w:spacing w:after="0" w:line="240" w:lineRule="auto"/>
        <w:ind w:firstLine="709"/>
        <w:jc w:val="both"/>
        <w:rPr>
          <w:rFonts w:eastAsia="Calibri"/>
          <w:sz w:val="28"/>
          <w:szCs w:val="28"/>
        </w:rPr>
      </w:pPr>
      <w:r>
        <w:rPr>
          <w:sz w:val="28"/>
          <w:szCs w:val="28"/>
        </w:rPr>
        <w:t>В целях обеспечения бесперебойного субсидирования перевозчика</w:t>
      </w:r>
      <w:r>
        <w:rPr>
          <w:rFonts w:eastAsia="Calibri"/>
          <w:sz w:val="28"/>
          <w:szCs w:val="28"/>
        </w:rPr>
        <w:t xml:space="preserve"> в соответствии с Порядком, утвержденным постановлением Правительства Новосибирской области от 24.02.2014 № 83-п, произведен перерасчет э</w:t>
      </w:r>
      <w:r>
        <w:rPr>
          <w:bCs/>
          <w:sz w:val="28"/>
          <w:szCs w:val="28"/>
        </w:rPr>
        <w:t xml:space="preserve">кономически обоснованного уровня тарифа, рассчитанного на пассажирокилометр, в  </w:t>
      </w:r>
      <w:r>
        <w:rPr>
          <w:rFonts w:eastAsia="Calibri"/>
          <w:sz w:val="28"/>
          <w:szCs w:val="28"/>
        </w:rPr>
        <w:t>разрезе пригородных  зон и кварталов регулируемого периода;</w:t>
      </w:r>
    </w:p>
    <w:p w:rsidR="008248F9" w:rsidRDefault="008248F9" w:rsidP="008248F9">
      <w:pPr>
        <w:autoSpaceDE w:val="0"/>
        <w:autoSpaceDN w:val="0"/>
        <w:adjustRightInd w:val="0"/>
        <w:spacing w:after="0" w:line="240" w:lineRule="auto"/>
        <w:ind w:firstLine="540"/>
        <w:jc w:val="both"/>
        <w:rPr>
          <w:rFonts w:eastAsia="Times New Roman"/>
          <w:sz w:val="28"/>
          <w:szCs w:val="28"/>
        </w:rPr>
      </w:pPr>
      <w:r>
        <w:rPr>
          <w:sz w:val="28"/>
          <w:szCs w:val="28"/>
        </w:rPr>
        <w:t xml:space="preserve">2. Тарифы на услуги по перевозке пассажиров железнодорожным транспортом общего пользования в пригородном сообщении, </w:t>
      </w:r>
      <w:r>
        <w:rPr>
          <w:rFonts w:eastAsia="Calibri"/>
          <w:sz w:val="28"/>
          <w:szCs w:val="28"/>
          <w:lang w:eastAsia="en-US"/>
        </w:rPr>
        <w:t xml:space="preserve"> оплачиваемые пассажирами при осуществлении поездок в пригородном сообщении </w:t>
      </w:r>
      <w:r>
        <w:rPr>
          <w:sz w:val="28"/>
          <w:szCs w:val="28"/>
        </w:rPr>
        <w:t xml:space="preserve">с дифференцированным увеличением </w:t>
      </w:r>
      <w:r>
        <w:rPr>
          <w:bCs/>
          <w:sz w:val="28"/>
          <w:szCs w:val="28"/>
        </w:rPr>
        <w:t xml:space="preserve">в  </w:t>
      </w:r>
      <w:r>
        <w:rPr>
          <w:rFonts w:eastAsia="Calibri"/>
          <w:sz w:val="28"/>
          <w:szCs w:val="28"/>
        </w:rPr>
        <w:t xml:space="preserve">разрезе пригородных  зон. </w:t>
      </w:r>
      <w:r>
        <w:rPr>
          <w:sz w:val="28"/>
          <w:szCs w:val="28"/>
        </w:rPr>
        <w:t>Средневзвешенный размер увеличения тарифов для расчета с населением составил 3%, что соответствует параметрам индекса потребительских цен на 2020 год согласно Прогнозу СЭР РФ по состоянию на 30.09.2019 года.</w:t>
      </w:r>
    </w:p>
    <w:p w:rsidR="008248F9" w:rsidRDefault="008248F9" w:rsidP="008248F9">
      <w:pPr>
        <w:pStyle w:val="ConsPlusNormal"/>
        <w:ind w:firstLine="567"/>
        <w:jc w:val="both"/>
        <w:rPr>
          <w:rFonts w:ascii="Times New Roman" w:hAnsi="Times New Roman" w:cs="Times New Roman"/>
          <w:sz w:val="28"/>
          <w:szCs w:val="28"/>
        </w:rPr>
      </w:pPr>
      <w:r>
        <w:rPr>
          <w:rFonts w:ascii="Times New Roman" w:hAnsi="Times New Roman" w:cs="Times New Roman"/>
          <w:sz w:val="28"/>
          <w:szCs w:val="28"/>
        </w:rPr>
        <w:t>Установленные тарифы дифференцированы по кварталам и применяются с 01.01.2020 в соответствии с Порядком, утвержденным Правительством Новосибирской области, для определения размера субсидий в целях возмещения затрат или недополученных доходов АО «Экспресс-пригород» возникающих в случае применения  АО «Экспресс-пригород»  тарифов,</w:t>
      </w:r>
      <w:r>
        <w:rPr>
          <w:sz w:val="28"/>
          <w:szCs w:val="28"/>
        </w:rPr>
        <w:t xml:space="preserve"> </w:t>
      </w:r>
      <w:r>
        <w:rPr>
          <w:rFonts w:ascii="Times New Roman" w:hAnsi="Times New Roman" w:cs="Times New Roman"/>
          <w:sz w:val="28"/>
          <w:szCs w:val="28"/>
        </w:rPr>
        <w:t>на основании которых определяется плата за перевозку пассажиров в пригородном сообщении.</w:t>
      </w:r>
    </w:p>
    <w:p w:rsidR="008248F9" w:rsidRDefault="008248F9" w:rsidP="008248F9">
      <w:pPr>
        <w:spacing w:before="120" w:after="0" w:line="240" w:lineRule="auto"/>
        <w:ind w:firstLine="709"/>
        <w:jc w:val="both"/>
      </w:pPr>
      <w:r>
        <w:rPr>
          <w:sz w:val="28"/>
          <w:szCs w:val="28"/>
        </w:rPr>
        <w:t>Тарифы на услуги АО «Экспресс-пригород» по перевозке пассажиров железнодорожным транспортом в пригородном сообщении на территории Новосибирской области составляют:</w:t>
      </w:r>
    </w:p>
    <w:tbl>
      <w:tblPr>
        <w:tblW w:w="9040" w:type="dxa"/>
        <w:tblInd w:w="392" w:type="dxa"/>
        <w:tblLayout w:type="fixed"/>
        <w:tblLook w:val="04A0" w:firstRow="1" w:lastRow="0" w:firstColumn="1" w:lastColumn="0" w:noHBand="0" w:noVBand="1"/>
      </w:tblPr>
      <w:tblGrid>
        <w:gridCol w:w="992"/>
        <w:gridCol w:w="1560"/>
        <w:gridCol w:w="993"/>
        <w:gridCol w:w="992"/>
        <w:gridCol w:w="1101"/>
        <w:gridCol w:w="1134"/>
        <w:gridCol w:w="1134"/>
        <w:gridCol w:w="1134"/>
      </w:tblGrid>
      <w:tr w:rsidR="008248F9" w:rsidTr="00AC77C2">
        <w:trPr>
          <w:trHeight w:val="510"/>
        </w:trPr>
        <w:tc>
          <w:tcPr>
            <w:tcW w:w="992" w:type="dxa"/>
            <w:vMerge w:val="restart"/>
            <w:tcBorders>
              <w:top w:val="single" w:sz="4" w:space="0" w:color="auto"/>
              <w:left w:val="single" w:sz="4" w:space="0" w:color="auto"/>
              <w:bottom w:val="single" w:sz="4" w:space="0" w:color="auto"/>
              <w:right w:val="single" w:sz="4" w:space="0" w:color="auto"/>
            </w:tcBorders>
            <w:vAlign w:val="center"/>
            <w:hideMark/>
          </w:tcPr>
          <w:p w:rsidR="008248F9" w:rsidRDefault="008248F9" w:rsidP="008248F9">
            <w:pPr>
              <w:spacing w:after="0" w:line="240" w:lineRule="auto"/>
              <w:jc w:val="center"/>
              <w:rPr>
                <w:sz w:val="20"/>
                <w:szCs w:val="20"/>
                <w:lang w:eastAsia="en-US"/>
              </w:rPr>
            </w:pPr>
            <w:r>
              <w:rPr>
                <w:sz w:val="20"/>
                <w:szCs w:val="20"/>
                <w:lang w:eastAsia="en-US"/>
              </w:rPr>
              <w:lastRenderedPageBreak/>
              <w:t>Зоны</w:t>
            </w:r>
          </w:p>
        </w:tc>
        <w:tc>
          <w:tcPr>
            <w:tcW w:w="1560" w:type="dxa"/>
            <w:vMerge w:val="restart"/>
            <w:tcBorders>
              <w:top w:val="single" w:sz="4" w:space="0" w:color="auto"/>
              <w:left w:val="single" w:sz="4" w:space="0" w:color="auto"/>
              <w:bottom w:val="single" w:sz="4" w:space="0" w:color="auto"/>
              <w:right w:val="single" w:sz="4" w:space="0" w:color="auto"/>
            </w:tcBorders>
            <w:vAlign w:val="center"/>
            <w:hideMark/>
          </w:tcPr>
          <w:p w:rsidR="008248F9" w:rsidRDefault="008248F9" w:rsidP="008248F9">
            <w:pPr>
              <w:spacing w:after="0" w:line="240" w:lineRule="auto"/>
              <w:jc w:val="center"/>
              <w:rPr>
                <w:sz w:val="20"/>
                <w:szCs w:val="20"/>
                <w:lang w:eastAsia="en-US"/>
              </w:rPr>
            </w:pPr>
            <w:r>
              <w:rPr>
                <w:sz w:val="20"/>
                <w:szCs w:val="20"/>
                <w:lang w:eastAsia="en-US"/>
              </w:rPr>
              <w:t xml:space="preserve">  Расстояние, км.</w:t>
            </w:r>
          </w:p>
        </w:tc>
        <w:tc>
          <w:tcPr>
            <w:tcW w:w="1985" w:type="dxa"/>
            <w:gridSpan w:val="2"/>
            <w:tcBorders>
              <w:top w:val="single" w:sz="4" w:space="0" w:color="auto"/>
              <w:left w:val="nil"/>
              <w:bottom w:val="single" w:sz="4" w:space="0" w:color="auto"/>
              <w:right w:val="single" w:sz="4" w:space="0" w:color="auto"/>
            </w:tcBorders>
            <w:vAlign w:val="center"/>
            <w:hideMark/>
          </w:tcPr>
          <w:p w:rsidR="008248F9" w:rsidRDefault="008248F9" w:rsidP="008248F9">
            <w:pPr>
              <w:spacing w:after="0" w:line="240" w:lineRule="auto"/>
              <w:jc w:val="center"/>
              <w:rPr>
                <w:sz w:val="20"/>
                <w:szCs w:val="20"/>
                <w:lang w:eastAsia="en-US"/>
              </w:rPr>
            </w:pPr>
            <w:r>
              <w:rPr>
                <w:sz w:val="20"/>
                <w:szCs w:val="20"/>
                <w:lang w:eastAsia="en-US"/>
              </w:rPr>
              <w:t xml:space="preserve">Тарифы для расчета с пассажирами </w:t>
            </w:r>
          </w:p>
        </w:tc>
        <w:tc>
          <w:tcPr>
            <w:tcW w:w="4503" w:type="dxa"/>
            <w:gridSpan w:val="4"/>
            <w:tcBorders>
              <w:top w:val="single" w:sz="4" w:space="0" w:color="auto"/>
              <w:left w:val="nil"/>
              <w:bottom w:val="single" w:sz="4" w:space="0" w:color="auto"/>
              <w:right w:val="single" w:sz="4" w:space="0" w:color="auto"/>
            </w:tcBorders>
            <w:vAlign w:val="center"/>
            <w:hideMark/>
          </w:tcPr>
          <w:p w:rsidR="008248F9" w:rsidRDefault="008248F9" w:rsidP="008248F9">
            <w:pPr>
              <w:spacing w:after="0" w:line="240" w:lineRule="auto"/>
              <w:jc w:val="center"/>
              <w:rPr>
                <w:sz w:val="20"/>
                <w:szCs w:val="20"/>
                <w:lang w:eastAsia="en-US"/>
              </w:rPr>
            </w:pPr>
            <w:r>
              <w:rPr>
                <w:sz w:val="20"/>
                <w:szCs w:val="20"/>
                <w:lang w:eastAsia="en-US"/>
              </w:rPr>
              <w:t xml:space="preserve">Тарифы для определения субсидий </w:t>
            </w:r>
          </w:p>
          <w:p w:rsidR="008248F9" w:rsidRDefault="008248F9" w:rsidP="008248F9">
            <w:pPr>
              <w:spacing w:after="0" w:line="240" w:lineRule="auto"/>
              <w:jc w:val="center"/>
              <w:rPr>
                <w:sz w:val="20"/>
                <w:szCs w:val="20"/>
                <w:lang w:eastAsia="en-US"/>
              </w:rPr>
            </w:pPr>
            <w:r>
              <w:rPr>
                <w:sz w:val="20"/>
                <w:szCs w:val="20"/>
                <w:lang w:eastAsia="en-US"/>
              </w:rPr>
              <w:t>АО "Экспресс-пригород</w:t>
            </w:r>
          </w:p>
        </w:tc>
      </w:tr>
      <w:tr w:rsidR="008248F9" w:rsidTr="00AC77C2">
        <w:trPr>
          <w:trHeight w:val="284"/>
        </w:trPr>
        <w:tc>
          <w:tcPr>
            <w:tcW w:w="992" w:type="dxa"/>
            <w:vMerge/>
            <w:tcBorders>
              <w:top w:val="single" w:sz="4" w:space="0" w:color="auto"/>
              <w:left w:val="single" w:sz="4" w:space="0" w:color="auto"/>
              <w:bottom w:val="single" w:sz="4" w:space="0" w:color="auto"/>
              <w:right w:val="single" w:sz="4" w:space="0" w:color="auto"/>
            </w:tcBorders>
            <w:vAlign w:val="center"/>
            <w:hideMark/>
          </w:tcPr>
          <w:p w:rsidR="008248F9" w:rsidRDefault="008248F9" w:rsidP="008248F9">
            <w:pPr>
              <w:spacing w:after="0" w:line="240" w:lineRule="auto"/>
              <w:rPr>
                <w:sz w:val="20"/>
                <w:szCs w:val="20"/>
                <w:lang w:eastAsia="en-US"/>
              </w:rPr>
            </w:pPr>
          </w:p>
        </w:tc>
        <w:tc>
          <w:tcPr>
            <w:tcW w:w="1560" w:type="dxa"/>
            <w:vMerge/>
            <w:tcBorders>
              <w:top w:val="single" w:sz="4" w:space="0" w:color="auto"/>
              <w:left w:val="single" w:sz="4" w:space="0" w:color="auto"/>
              <w:bottom w:val="single" w:sz="4" w:space="0" w:color="auto"/>
              <w:right w:val="single" w:sz="4" w:space="0" w:color="auto"/>
            </w:tcBorders>
            <w:vAlign w:val="center"/>
            <w:hideMark/>
          </w:tcPr>
          <w:p w:rsidR="008248F9" w:rsidRDefault="008248F9" w:rsidP="008248F9">
            <w:pPr>
              <w:spacing w:after="0" w:line="240" w:lineRule="auto"/>
              <w:rPr>
                <w:sz w:val="20"/>
                <w:szCs w:val="20"/>
                <w:lang w:eastAsia="en-US"/>
              </w:rPr>
            </w:pPr>
          </w:p>
        </w:tc>
        <w:tc>
          <w:tcPr>
            <w:tcW w:w="993" w:type="dxa"/>
            <w:tcBorders>
              <w:top w:val="nil"/>
              <w:left w:val="single" w:sz="4" w:space="0" w:color="auto"/>
              <w:bottom w:val="single" w:sz="4" w:space="0" w:color="auto"/>
              <w:right w:val="single" w:sz="4" w:space="0" w:color="auto"/>
            </w:tcBorders>
            <w:vAlign w:val="center"/>
            <w:hideMark/>
          </w:tcPr>
          <w:p w:rsidR="008248F9" w:rsidRDefault="008248F9" w:rsidP="008248F9">
            <w:pPr>
              <w:spacing w:after="0" w:line="240" w:lineRule="auto"/>
              <w:jc w:val="center"/>
              <w:rPr>
                <w:sz w:val="20"/>
                <w:szCs w:val="20"/>
                <w:lang w:eastAsia="en-US"/>
              </w:rPr>
            </w:pPr>
            <w:r>
              <w:rPr>
                <w:sz w:val="20"/>
                <w:szCs w:val="20"/>
                <w:lang w:eastAsia="en-US"/>
              </w:rPr>
              <w:t>полный</w:t>
            </w:r>
          </w:p>
        </w:tc>
        <w:tc>
          <w:tcPr>
            <w:tcW w:w="992" w:type="dxa"/>
            <w:tcBorders>
              <w:top w:val="nil"/>
              <w:left w:val="single" w:sz="4" w:space="0" w:color="auto"/>
              <w:bottom w:val="single" w:sz="4" w:space="0" w:color="auto"/>
              <w:right w:val="single" w:sz="4" w:space="0" w:color="auto"/>
            </w:tcBorders>
            <w:vAlign w:val="center"/>
            <w:hideMark/>
          </w:tcPr>
          <w:p w:rsidR="008248F9" w:rsidRDefault="008248F9" w:rsidP="008248F9">
            <w:pPr>
              <w:spacing w:after="0" w:line="240" w:lineRule="auto"/>
              <w:rPr>
                <w:sz w:val="20"/>
                <w:szCs w:val="20"/>
                <w:lang w:eastAsia="en-US"/>
              </w:rPr>
            </w:pPr>
            <w:r>
              <w:rPr>
                <w:sz w:val="20"/>
                <w:szCs w:val="20"/>
                <w:lang w:eastAsia="en-US"/>
              </w:rPr>
              <w:t>детский</w:t>
            </w:r>
          </w:p>
        </w:tc>
        <w:tc>
          <w:tcPr>
            <w:tcW w:w="1101" w:type="dxa"/>
            <w:tcBorders>
              <w:top w:val="nil"/>
              <w:left w:val="nil"/>
              <w:bottom w:val="single" w:sz="4" w:space="0" w:color="auto"/>
              <w:right w:val="single" w:sz="4" w:space="0" w:color="auto"/>
            </w:tcBorders>
            <w:vAlign w:val="center"/>
            <w:hideMark/>
          </w:tcPr>
          <w:p w:rsidR="008248F9" w:rsidRDefault="008248F9" w:rsidP="008248F9">
            <w:pPr>
              <w:spacing w:after="0" w:line="240" w:lineRule="auto"/>
              <w:jc w:val="center"/>
              <w:rPr>
                <w:sz w:val="20"/>
                <w:szCs w:val="20"/>
                <w:lang w:eastAsia="en-US"/>
              </w:rPr>
            </w:pPr>
            <w:r>
              <w:rPr>
                <w:sz w:val="20"/>
                <w:szCs w:val="20"/>
                <w:lang w:eastAsia="en-US"/>
              </w:rPr>
              <w:t>1 квартал</w:t>
            </w:r>
          </w:p>
        </w:tc>
        <w:tc>
          <w:tcPr>
            <w:tcW w:w="1134" w:type="dxa"/>
            <w:tcBorders>
              <w:top w:val="nil"/>
              <w:left w:val="nil"/>
              <w:bottom w:val="single" w:sz="4" w:space="0" w:color="auto"/>
              <w:right w:val="single" w:sz="4" w:space="0" w:color="auto"/>
            </w:tcBorders>
            <w:vAlign w:val="center"/>
            <w:hideMark/>
          </w:tcPr>
          <w:p w:rsidR="008248F9" w:rsidRDefault="008248F9" w:rsidP="008248F9">
            <w:pPr>
              <w:spacing w:after="0" w:line="240" w:lineRule="auto"/>
              <w:jc w:val="center"/>
              <w:rPr>
                <w:sz w:val="20"/>
                <w:szCs w:val="20"/>
                <w:lang w:eastAsia="en-US"/>
              </w:rPr>
            </w:pPr>
            <w:r>
              <w:rPr>
                <w:sz w:val="20"/>
                <w:szCs w:val="20"/>
                <w:lang w:eastAsia="en-US"/>
              </w:rPr>
              <w:t>2 квартал</w:t>
            </w:r>
          </w:p>
        </w:tc>
        <w:tc>
          <w:tcPr>
            <w:tcW w:w="1134" w:type="dxa"/>
            <w:tcBorders>
              <w:top w:val="nil"/>
              <w:left w:val="nil"/>
              <w:bottom w:val="single" w:sz="4" w:space="0" w:color="auto"/>
              <w:right w:val="single" w:sz="4" w:space="0" w:color="auto"/>
            </w:tcBorders>
            <w:vAlign w:val="center"/>
            <w:hideMark/>
          </w:tcPr>
          <w:p w:rsidR="008248F9" w:rsidRDefault="008248F9" w:rsidP="008248F9">
            <w:pPr>
              <w:spacing w:after="0" w:line="240" w:lineRule="auto"/>
              <w:jc w:val="center"/>
              <w:rPr>
                <w:sz w:val="20"/>
                <w:szCs w:val="20"/>
                <w:lang w:eastAsia="en-US"/>
              </w:rPr>
            </w:pPr>
            <w:r>
              <w:rPr>
                <w:sz w:val="20"/>
                <w:szCs w:val="20"/>
                <w:lang w:eastAsia="en-US"/>
              </w:rPr>
              <w:t>3 квартал</w:t>
            </w:r>
          </w:p>
        </w:tc>
        <w:tc>
          <w:tcPr>
            <w:tcW w:w="1134" w:type="dxa"/>
            <w:tcBorders>
              <w:top w:val="nil"/>
              <w:left w:val="nil"/>
              <w:bottom w:val="single" w:sz="4" w:space="0" w:color="auto"/>
              <w:right w:val="single" w:sz="4" w:space="0" w:color="auto"/>
            </w:tcBorders>
            <w:vAlign w:val="center"/>
            <w:hideMark/>
          </w:tcPr>
          <w:p w:rsidR="008248F9" w:rsidRDefault="008248F9" w:rsidP="008248F9">
            <w:pPr>
              <w:spacing w:after="0" w:line="240" w:lineRule="auto"/>
              <w:jc w:val="center"/>
              <w:rPr>
                <w:sz w:val="20"/>
                <w:szCs w:val="20"/>
                <w:lang w:eastAsia="en-US"/>
              </w:rPr>
            </w:pPr>
            <w:r>
              <w:rPr>
                <w:sz w:val="20"/>
                <w:szCs w:val="20"/>
                <w:lang w:eastAsia="en-US"/>
              </w:rPr>
              <w:t>4 квартал</w:t>
            </w:r>
          </w:p>
        </w:tc>
      </w:tr>
      <w:tr w:rsidR="008248F9" w:rsidTr="00AC77C2">
        <w:trPr>
          <w:trHeight w:val="284"/>
        </w:trPr>
        <w:tc>
          <w:tcPr>
            <w:tcW w:w="992" w:type="dxa"/>
            <w:tcBorders>
              <w:top w:val="nil"/>
              <w:left w:val="single" w:sz="4" w:space="0" w:color="auto"/>
              <w:bottom w:val="single" w:sz="4" w:space="0" w:color="auto"/>
              <w:right w:val="single" w:sz="4" w:space="0" w:color="auto"/>
            </w:tcBorders>
            <w:noWrap/>
            <w:vAlign w:val="center"/>
            <w:hideMark/>
          </w:tcPr>
          <w:p w:rsidR="008248F9" w:rsidRDefault="008248F9" w:rsidP="008248F9">
            <w:pPr>
              <w:spacing w:after="0" w:line="240" w:lineRule="auto"/>
              <w:jc w:val="center"/>
              <w:rPr>
                <w:sz w:val="20"/>
                <w:szCs w:val="20"/>
                <w:lang w:eastAsia="en-US"/>
              </w:rPr>
            </w:pPr>
            <w:r>
              <w:rPr>
                <w:sz w:val="20"/>
                <w:szCs w:val="20"/>
                <w:lang w:eastAsia="en-US"/>
              </w:rPr>
              <w:t>1</w:t>
            </w:r>
          </w:p>
        </w:tc>
        <w:tc>
          <w:tcPr>
            <w:tcW w:w="1560" w:type="dxa"/>
            <w:tcBorders>
              <w:top w:val="nil"/>
              <w:left w:val="nil"/>
              <w:bottom w:val="single" w:sz="4" w:space="0" w:color="auto"/>
              <w:right w:val="single" w:sz="4" w:space="0" w:color="auto"/>
            </w:tcBorders>
            <w:noWrap/>
            <w:vAlign w:val="center"/>
            <w:hideMark/>
          </w:tcPr>
          <w:p w:rsidR="008248F9" w:rsidRDefault="008248F9" w:rsidP="008248F9">
            <w:pPr>
              <w:spacing w:after="0" w:line="240" w:lineRule="auto"/>
              <w:jc w:val="center"/>
              <w:rPr>
                <w:sz w:val="20"/>
                <w:szCs w:val="20"/>
                <w:lang w:eastAsia="en-US"/>
              </w:rPr>
            </w:pPr>
            <w:r>
              <w:rPr>
                <w:sz w:val="20"/>
                <w:szCs w:val="20"/>
                <w:lang w:eastAsia="en-US"/>
              </w:rPr>
              <w:t>0-5</w:t>
            </w:r>
          </w:p>
        </w:tc>
        <w:tc>
          <w:tcPr>
            <w:tcW w:w="993" w:type="dxa"/>
            <w:tcBorders>
              <w:top w:val="nil"/>
              <w:left w:val="nil"/>
              <w:bottom w:val="single" w:sz="4" w:space="0" w:color="auto"/>
              <w:right w:val="single" w:sz="4" w:space="0" w:color="auto"/>
            </w:tcBorders>
            <w:vAlign w:val="center"/>
            <w:hideMark/>
          </w:tcPr>
          <w:p w:rsidR="008248F9" w:rsidRDefault="008248F9" w:rsidP="008248F9">
            <w:pPr>
              <w:spacing w:after="0" w:line="240" w:lineRule="auto"/>
              <w:jc w:val="center"/>
              <w:rPr>
                <w:color w:val="000000"/>
                <w:sz w:val="20"/>
                <w:szCs w:val="20"/>
                <w:lang w:eastAsia="en-US"/>
              </w:rPr>
            </w:pPr>
            <w:r>
              <w:rPr>
                <w:color w:val="000000"/>
                <w:sz w:val="20"/>
                <w:szCs w:val="20"/>
                <w:lang w:eastAsia="en-US"/>
              </w:rPr>
              <w:t>24</w:t>
            </w:r>
          </w:p>
        </w:tc>
        <w:tc>
          <w:tcPr>
            <w:tcW w:w="992" w:type="dxa"/>
            <w:tcBorders>
              <w:top w:val="nil"/>
              <w:left w:val="nil"/>
              <w:bottom w:val="single" w:sz="4" w:space="0" w:color="auto"/>
              <w:right w:val="single" w:sz="4" w:space="0" w:color="auto"/>
            </w:tcBorders>
            <w:vAlign w:val="center"/>
            <w:hideMark/>
          </w:tcPr>
          <w:p w:rsidR="008248F9" w:rsidRDefault="008248F9" w:rsidP="008248F9">
            <w:pPr>
              <w:spacing w:after="0" w:line="240" w:lineRule="auto"/>
              <w:jc w:val="center"/>
              <w:rPr>
                <w:color w:val="000000"/>
                <w:sz w:val="20"/>
                <w:szCs w:val="20"/>
                <w:lang w:eastAsia="en-US"/>
              </w:rPr>
            </w:pPr>
            <w:r>
              <w:rPr>
                <w:color w:val="000000"/>
                <w:sz w:val="20"/>
                <w:szCs w:val="20"/>
                <w:lang w:eastAsia="en-US"/>
              </w:rPr>
              <w:t>6</w:t>
            </w:r>
          </w:p>
        </w:tc>
        <w:tc>
          <w:tcPr>
            <w:tcW w:w="1101" w:type="dxa"/>
            <w:tcBorders>
              <w:top w:val="nil"/>
              <w:left w:val="nil"/>
              <w:bottom w:val="single" w:sz="4" w:space="0" w:color="auto"/>
              <w:right w:val="single" w:sz="4" w:space="0" w:color="auto"/>
            </w:tcBorders>
            <w:vAlign w:val="center"/>
            <w:hideMark/>
          </w:tcPr>
          <w:p w:rsidR="008248F9" w:rsidRDefault="008248F9" w:rsidP="008248F9">
            <w:pPr>
              <w:spacing w:after="0" w:line="240" w:lineRule="auto"/>
              <w:jc w:val="center"/>
              <w:rPr>
                <w:sz w:val="20"/>
                <w:szCs w:val="20"/>
                <w:lang w:eastAsia="en-US"/>
              </w:rPr>
            </w:pPr>
            <w:r>
              <w:rPr>
                <w:sz w:val="20"/>
                <w:szCs w:val="20"/>
                <w:lang w:eastAsia="en-US"/>
              </w:rPr>
              <w:t>37,62</w:t>
            </w:r>
          </w:p>
        </w:tc>
        <w:tc>
          <w:tcPr>
            <w:tcW w:w="1134" w:type="dxa"/>
            <w:tcBorders>
              <w:top w:val="nil"/>
              <w:left w:val="nil"/>
              <w:bottom w:val="single" w:sz="4" w:space="0" w:color="auto"/>
              <w:right w:val="single" w:sz="4" w:space="0" w:color="auto"/>
            </w:tcBorders>
            <w:vAlign w:val="center"/>
            <w:hideMark/>
          </w:tcPr>
          <w:p w:rsidR="008248F9" w:rsidRDefault="008248F9" w:rsidP="008248F9">
            <w:pPr>
              <w:spacing w:after="0" w:line="240" w:lineRule="auto"/>
              <w:jc w:val="center"/>
              <w:rPr>
                <w:sz w:val="20"/>
                <w:szCs w:val="20"/>
                <w:lang w:eastAsia="en-US"/>
              </w:rPr>
            </w:pPr>
            <w:r>
              <w:rPr>
                <w:sz w:val="20"/>
                <w:szCs w:val="20"/>
                <w:lang w:eastAsia="en-US"/>
              </w:rPr>
              <w:t>32,25</w:t>
            </w:r>
          </w:p>
        </w:tc>
        <w:tc>
          <w:tcPr>
            <w:tcW w:w="1134" w:type="dxa"/>
            <w:tcBorders>
              <w:top w:val="nil"/>
              <w:left w:val="nil"/>
              <w:bottom w:val="single" w:sz="4" w:space="0" w:color="auto"/>
              <w:right w:val="single" w:sz="4" w:space="0" w:color="auto"/>
            </w:tcBorders>
            <w:vAlign w:val="center"/>
            <w:hideMark/>
          </w:tcPr>
          <w:p w:rsidR="008248F9" w:rsidRDefault="008248F9" w:rsidP="008248F9">
            <w:pPr>
              <w:spacing w:after="0" w:line="240" w:lineRule="auto"/>
              <w:jc w:val="center"/>
              <w:rPr>
                <w:sz w:val="20"/>
                <w:szCs w:val="20"/>
                <w:lang w:eastAsia="en-US"/>
              </w:rPr>
            </w:pPr>
            <w:r>
              <w:rPr>
                <w:sz w:val="20"/>
                <w:szCs w:val="20"/>
                <w:lang w:eastAsia="en-US"/>
              </w:rPr>
              <w:t>29,08</w:t>
            </w:r>
          </w:p>
        </w:tc>
        <w:tc>
          <w:tcPr>
            <w:tcW w:w="1134" w:type="dxa"/>
            <w:tcBorders>
              <w:top w:val="nil"/>
              <w:left w:val="nil"/>
              <w:bottom w:val="single" w:sz="4" w:space="0" w:color="auto"/>
              <w:right w:val="single" w:sz="4" w:space="0" w:color="auto"/>
            </w:tcBorders>
            <w:vAlign w:val="center"/>
            <w:hideMark/>
          </w:tcPr>
          <w:p w:rsidR="008248F9" w:rsidRDefault="008248F9" w:rsidP="008248F9">
            <w:pPr>
              <w:spacing w:after="0" w:line="240" w:lineRule="auto"/>
              <w:jc w:val="center"/>
              <w:rPr>
                <w:sz w:val="20"/>
                <w:szCs w:val="20"/>
                <w:lang w:eastAsia="en-US"/>
              </w:rPr>
            </w:pPr>
            <w:r>
              <w:rPr>
                <w:sz w:val="20"/>
                <w:szCs w:val="20"/>
                <w:lang w:eastAsia="en-US"/>
              </w:rPr>
              <w:t>34,13</w:t>
            </w:r>
          </w:p>
        </w:tc>
      </w:tr>
      <w:tr w:rsidR="008248F9" w:rsidTr="00AC77C2">
        <w:trPr>
          <w:trHeight w:val="284"/>
        </w:trPr>
        <w:tc>
          <w:tcPr>
            <w:tcW w:w="992" w:type="dxa"/>
            <w:tcBorders>
              <w:top w:val="nil"/>
              <w:left w:val="single" w:sz="4" w:space="0" w:color="auto"/>
              <w:bottom w:val="single" w:sz="4" w:space="0" w:color="auto"/>
              <w:right w:val="single" w:sz="4" w:space="0" w:color="auto"/>
            </w:tcBorders>
            <w:noWrap/>
            <w:vAlign w:val="center"/>
            <w:hideMark/>
          </w:tcPr>
          <w:p w:rsidR="008248F9" w:rsidRDefault="008248F9" w:rsidP="008248F9">
            <w:pPr>
              <w:spacing w:after="0" w:line="240" w:lineRule="auto"/>
              <w:jc w:val="center"/>
              <w:rPr>
                <w:sz w:val="20"/>
                <w:szCs w:val="20"/>
                <w:lang w:eastAsia="en-US"/>
              </w:rPr>
            </w:pPr>
            <w:r>
              <w:rPr>
                <w:sz w:val="20"/>
                <w:szCs w:val="20"/>
                <w:lang w:eastAsia="en-US"/>
              </w:rPr>
              <w:t>2</w:t>
            </w:r>
          </w:p>
        </w:tc>
        <w:tc>
          <w:tcPr>
            <w:tcW w:w="1560" w:type="dxa"/>
            <w:tcBorders>
              <w:top w:val="nil"/>
              <w:left w:val="nil"/>
              <w:bottom w:val="single" w:sz="4" w:space="0" w:color="auto"/>
              <w:right w:val="single" w:sz="4" w:space="0" w:color="auto"/>
            </w:tcBorders>
            <w:noWrap/>
            <w:vAlign w:val="center"/>
            <w:hideMark/>
          </w:tcPr>
          <w:p w:rsidR="008248F9" w:rsidRDefault="008248F9" w:rsidP="008248F9">
            <w:pPr>
              <w:spacing w:after="0" w:line="240" w:lineRule="auto"/>
              <w:jc w:val="center"/>
              <w:rPr>
                <w:sz w:val="20"/>
                <w:szCs w:val="20"/>
                <w:lang w:eastAsia="en-US"/>
              </w:rPr>
            </w:pPr>
            <w:r>
              <w:rPr>
                <w:sz w:val="20"/>
                <w:szCs w:val="20"/>
                <w:lang w:eastAsia="en-US"/>
              </w:rPr>
              <w:t>6-15</w:t>
            </w:r>
          </w:p>
        </w:tc>
        <w:tc>
          <w:tcPr>
            <w:tcW w:w="993" w:type="dxa"/>
            <w:tcBorders>
              <w:top w:val="nil"/>
              <w:left w:val="nil"/>
              <w:bottom w:val="single" w:sz="4" w:space="0" w:color="auto"/>
              <w:right w:val="single" w:sz="4" w:space="0" w:color="auto"/>
            </w:tcBorders>
            <w:vAlign w:val="center"/>
            <w:hideMark/>
          </w:tcPr>
          <w:p w:rsidR="008248F9" w:rsidRDefault="008248F9" w:rsidP="008248F9">
            <w:pPr>
              <w:spacing w:after="0" w:line="240" w:lineRule="auto"/>
              <w:jc w:val="center"/>
              <w:rPr>
                <w:color w:val="000000"/>
                <w:sz w:val="20"/>
                <w:szCs w:val="20"/>
                <w:lang w:eastAsia="en-US"/>
              </w:rPr>
            </w:pPr>
            <w:r>
              <w:rPr>
                <w:color w:val="000000"/>
                <w:sz w:val="20"/>
                <w:szCs w:val="20"/>
                <w:lang w:eastAsia="en-US"/>
              </w:rPr>
              <w:t>26</w:t>
            </w:r>
          </w:p>
        </w:tc>
        <w:tc>
          <w:tcPr>
            <w:tcW w:w="992" w:type="dxa"/>
            <w:tcBorders>
              <w:top w:val="nil"/>
              <w:left w:val="nil"/>
              <w:bottom w:val="single" w:sz="4" w:space="0" w:color="auto"/>
              <w:right w:val="single" w:sz="4" w:space="0" w:color="auto"/>
            </w:tcBorders>
            <w:vAlign w:val="center"/>
            <w:hideMark/>
          </w:tcPr>
          <w:p w:rsidR="008248F9" w:rsidRDefault="008248F9" w:rsidP="008248F9">
            <w:pPr>
              <w:spacing w:after="0" w:line="240" w:lineRule="auto"/>
              <w:jc w:val="center"/>
              <w:rPr>
                <w:color w:val="000000"/>
                <w:sz w:val="20"/>
                <w:szCs w:val="20"/>
                <w:lang w:eastAsia="en-US"/>
              </w:rPr>
            </w:pPr>
            <w:r>
              <w:rPr>
                <w:color w:val="000000"/>
                <w:sz w:val="20"/>
                <w:szCs w:val="20"/>
                <w:lang w:eastAsia="en-US"/>
              </w:rPr>
              <w:t>7</w:t>
            </w:r>
          </w:p>
        </w:tc>
        <w:tc>
          <w:tcPr>
            <w:tcW w:w="1101" w:type="dxa"/>
            <w:tcBorders>
              <w:top w:val="nil"/>
              <w:left w:val="nil"/>
              <w:bottom w:val="single" w:sz="4" w:space="0" w:color="auto"/>
              <w:right w:val="single" w:sz="4" w:space="0" w:color="auto"/>
            </w:tcBorders>
            <w:vAlign w:val="center"/>
            <w:hideMark/>
          </w:tcPr>
          <w:p w:rsidR="008248F9" w:rsidRDefault="008248F9" w:rsidP="008248F9">
            <w:pPr>
              <w:spacing w:after="0" w:line="240" w:lineRule="auto"/>
              <w:jc w:val="center"/>
              <w:rPr>
                <w:sz w:val="20"/>
                <w:szCs w:val="20"/>
                <w:lang w:eastAsia="en-US"/>
              </w:rPr>
            </w:pPr>
            <w:r>
              <w:rPr>
                <w:sz w:val="20"/>
                <w:szCs w:val="20"/>
                <w:lang w:eastAsia="en-US"/>
              </w:rPr>
              <w:t>40,85</w:t>
            </w:r>
          </w:p>
        </w:tc>
        <w:tc>
          <w:tcPr>
            <w:tcW w:w="1134" w:type="dxa"/>
            <w:tcBorders>
              <w:top w:val="nil"/>
              <w:left w:val="nil"/>
              <w:bottom w:val="single" w:sz="4" w:space="0" w:color="auto"/>
              <w:right w:val="single" w:sz="4" w:space="0" w:color="auto"/>
            </w:tcBorders>
            <w:vAlign w:val="center"/>
            <w:hideMark/>
          </w:tcPr>
          <w:p w:rsidR="008248F9" w:rsidRDefault="008248F9" w:rsidP="008248F9">
            <w:pPr>
              <w:spacing w:after="0" w:line="240" w:lineRule="auto"/>
              <w:jc w:val="center"/>
              <w:rPr>
                <w:sz w:val="20"/>
                <w:szCs w:val="20"/>
                <w:lang w:eastAsia="en-US"/>
              </w:rPr>
            </w:pPr>
            <w:r>
              <w:rPr>
                <w:sz w:val="20"/>
                <w:szCs w:val="20"/>
                <w:lang w:eastAsia="en-US"/>
              </w:rPr>
              <w:t>35,00</w:t>
            </w:r>
          </w:p>
        </w:tc>
        <w:tc>
          <w:tcPr>
            <w:tcW w:w="1134" w:type="dxa"/>
            <w:tcBorders>
              <w:top w:val="nil"/>
              <w:left w:val="nil"/>
              <w:bottom w:val="single" w:sz="4" w:space="0" w:color="auto"/>
              <w:right w:val="single" w:sz="4" w:space="0" w:color="auto"/>
            </w:tcBorders>
            <w:vAlign w:val="center"/>
            <w:hideMark/>
          </w:tcPr>
          <w:p w:rsidR="008248F9" w:rsidRDefault="008248F9" w:rsidP="008248F9">
            <w:pPr>
              <w:spacing w:after="0" w:line="240" w:lineRule="auto"/>
              <w:jc w:val="center"/>
              <w:rPr>
                <w:sz w:val="20"/>
                <w:szCs w:val="20"/>
                <w:lang w:eastAsia="en-US"/>
              </w:rPr>
            </w:pPr>
            <w:r>
              <w:rPr>
                <w:sz w:val="20"/>
                <w:szCs w:val="20"/>
                <w:lang w:eastAsia="en-US"/>
              </w:rPr>
              <w:t>31,55</w:t>
            </w:r>
          </w:p>
        </w:tc>
        <w:tc>
          <w:tcPr>
            <w:tcW w:w="1134" w:type="dxa"/>
            <w:tcBorders>
              <w:top w:val="nil"/>
              <w:left w:val="nil"/>
              <w:bottom w:val="single" w:sz="4" w:space="0" w:color="auto"/>
              <w:right w:val="single" w:sz="4" w:space="0" w:color="auto"/>
            </w:tcBorders>
            <w:vAlign w:val="center"/>
            <w:hideMark/>
          </w:tcPr>
          <w:p w:rsidR="008248F9" w:rsidRDefault="008248F9" w:rsidP="008248F9">
            <w:pPr>
              <w:spacing w:after="0" w:line="240" w:lineRule="auto"/>
              <w:jc w:val="center"/>
              <w:rPr>
                <w:sz w:val="20"/>
                <w:szCs w:val="20"/>
                <w:lang w:eastAsia="en-US"/>
              </w:rPr>
            </w:pPr>
            <w:r>
              <w:rPr>
                <w:sz w:val="20"/>
                <w:szCs w:val="20"/>
                <w:lang w:eastAsia="en-US"/>
              </w:rPr>
              <w:t>37,04</w:t>
            </w:r>
          </w:p>
        </w:tc>
      </w:tr>
      <w:tr w:rsidR="008248F9" w:rsidTr="00AC77C2">
        <w:trPr>
          <w:trHeight w:val="284"/>
        </w:trPr>
        <w:tc>
          <w:tcPr>
            <w:tcW w:w="992" w:type="dxa"/>
            <w:tcBorders>
              <w:top w:val="nil"/>
              <w:left w:val="single" w:sz="4" w:space="0" w:color="auto"/>
              <w:bottom w:val="single" w:sz="4" w:space="0" w:color="auto"/>
              <w:right w:val="single" w:sz="4" w:space="0" w:color="auto"/>
            </w:tcBorders>
            <w:noWrap/>
            <w:vAlign w:val="center"/>
            <w:hideMark/>
          </w:tcPr>
          <w:p w:rsidR="008248F9" w:rsidRDefault="008248F9" w:rsidP="008248F9">
            <w:pPr>
              <w:spacing w:after="0" w:line="240" w:lineRule="auto"/>
              <w:jc w:val="center"/>
              <w:rPr>
                <w:sz w:val="20"/>
                <w:szCs w:val="20"/>
                <w:lang w:eastAsia="en-US"/>
              </w:rPr>
            </w:pPr>
            <w:r>
              <w:rPr>
                <w:sz w:val="20"/>
                <w:szCs w:val="20"/>
                <w:lang w:eastAsia="en-US"/>
              </w:rPr>
              <w:t>3</w:t>
            </w:r>
          </w:p>
        </w:tc>
        <w:tc>
          <w:tcPr>
            <w:tcW w:w="1560" w:type="dxa"/>
            <w:tcBorders>
              <w:top w:val="nil"/>
              <w:left w:val="nil"/>
              <w:bottom w:val="single" w:sz="4" w:space="0" w:color="auto"/>
              <w:right w:val="single" w:sz="4" w:space="0" w:color="auto"/>
            </w:tcBorders>
            <w:noWrap/>
            <w:vAlign w:val="center"/>
            <w:hideMark/>
          </w:tcPr>
          <w:p w:rsidR="008248F9" w:rsidRDefault="008248F9" w:rsidP="008248F9">
            <w:pPr>
              <w:spacing w:after="0" w:line="240" w:lineRule="auto"/>
              <w:jc w:val="center"/>
              <w:rPr>
                <w:sz w:val="20"/>
                <w:szCs w:val="20"/>
                <w:lang w:eastAsia="en-US"/>
              </w:rPr>
            </w:pPr>
            <w:r>
              <w:rPr>
                <w:sz w:val="20"/>
                <w:szCs w:val="20"/>
                <w:lang w:eastAsia="en-US"/>
              </w:rPr>
              <w:t>16-25</w:t>
            </w:r>
          </w:p>
        </w:tc>
        <w:tc>
          <w:tcPr>
            <w:tcW w:w="993" w:type="dxa"/>
            <w:tcBorders>
              <w:top w:val="nil"/>
              <w:left w:val="nil"/>
              <w:bottom w:val="single" w:sz="4" w:space="0" w:color="auto"/>
              <w:right w:val="single" w:sz="4" w:space="0" w:color="auto"/>
            </w:tcBorders>
            <w:vAlign w:val="center"/>
            <w:hideMark/>
          </w:tcPr>
          <w:p w:rsidR="008248F9" w:rsidRDefault="008248F9" w:rsidP="008248F9">
            <w:pPr>
              <w:spacing w:after="0" w:line="240" w:lineRule="auto"/>
              <w:jc w:val="center"/>
              <w:rPr>
                <w:color w:val="000000"/>
                <w:sz w:val="20"/>
                <w:szCs w:val="20"/>
                <w:lang w:eastAsia="en-US"/>
              </w:rPr>
            </w:pPr>
            <w:r>
              <w:rPr>
                <w:color w:val="000000"/>
                <w:sz w:val="20"/>
                <w:szCs w:val="20"/>
                <w:lang w:eastAsia="en-US"/>
              </w:rPr>
              <w:t>38</w:t>
            </w:r>
          </w:p>
        </w:tc>
        <w:tc>
          <w:tcPr>
            <w:tcW w:w="992" w:type="dxa"/>
            <w:tcBorders>
              <w:top w:val="nil"/>
              <w:left w:val="nil"/>
              <w:bottom w:val="single" w:sz="4" w:space="0" w:color="auto"/>
              <w:right w:val="single" w:sz="4" w:space="0" w:color="auto"/>
            </w:tcBorders>
            <w:vAlign w:val="center"/>
            <w:hideMark/>
          </w:tcPr>
          <w:p w:rsidR="008248F9" w:rsidRDefault="008248F9" w:rsidP="008248F9">
            <w:pPr>
              <w:spacing w:after="0" w:line="240" w:lineRule="auto"/>
              <w:jc w:val="center"/>
              <w:rPr>
                <w:color w:val="000000"/>
                <w:sz w:val="20"/>
                <w:szCs w:val="20"/>
                <w:lang w:eastAsia="en-US"/>
              </w:rPr>
            </w:pPr>
            <w:r>
              <w:rPr>
                <w:color w:val="000000"/>
                <w:sz w:val="20"/>
                <w:szCs w:val="20"/>
                <w:lang w:eastAsia="en-US"/>
              </w:rPr>
              <w:t>10</w:t>
            </w:r>
          </w:p>
        </w:tc>
        <w:tc>
          <w:tcPr>
            <w:tcW w:w="1101" w:type="dxa"/>
            <w:tcBorders>
              <w:top w:val="nil"/>
              <w:left w:val="nil"/>
              <w:bottom w:val="single" w:sz="4" w:space="0" w:color="auto"/>
              <w:right w:val="single" w:sz="4" w:space="0" w:color="auto"/>
            </w:tcBorders>
            <w:vAlign w:val="center"/>
            <w:hideMark/>
          </w:tcPr>
          <w:p w:rsidR="008248F9" w:rsidRDefault="008248F9" w:rsidP="008248F9">
            <w:pPr>
              <w:spacing w:after="0" w:line="240" w:lineRule="auto"/>
              <w:jc w:val="center"/>
              <w:rPr>
                <w:sz w:val="20"/>
                <w:szCs w:val="20"/>
                <w:lang w:eastAsia="en-US"/>
              </w:rPr>
            </w:pPr>
            <w:r>
              <w:rPr>
                <w:sz w:val="20"/>
                <w:szCs w:val="20"/>
                <w:lang w:eastAsia="en-US"/>
              </w:rPr>
              <w:t>59,70</w:t>
            </w:r>
          </w:p>
        </w:tc>
        <w:tc>
          <w:tcPr>
            <w:tcW w:w="1134" w:type="dxa"/>
            <w:tcBorders>
              <w:top w:val="nil"/>
              <w:left w:val="nil"/>
              <w:bottom w:val="single" w:sz="4" w:space="0" w:color="auto"/>
              <w:right w:val="single" w:sz="4" w:space="0" w:color="auto"/>
            </w:tcBorders>
            <w:vAlign w:val="center"/>
            <w:hideMark/>
          </w:tcPr>
          <w:p w:rsidR="008248F9" w:rsidRDefault="008248F9" w:rsidP="008248F9">
            <w:pPr>
              <w:spacing w:after="0" w:line="240" w:lineRule="auto"/>
              <w:jc w:val="center"/>
              <w:rPr>
                <w:sz w:val="20"/>
                <w:szCs w:val="20"/>
                <w:lang w:eastAsia="en-US"/>
              </w:rPr>
            </w:pPr>
            <w:r>
              <w:rPr>
                <w:sz w:val="20"/>
                <w:szCs w:val="20"/>
                <w:lang w:eastAsia="en-US"/>
              </w:rPr>
              <w:t>51,14</w:t>
            </w:r>
          </w:p>
        </w:tc>
        <w:tc>
          <w:tcPr>
            <w:tcW w:w="1134" w:type="dxa"/>
            <w:tcBorders>
              <w:top w:val="nil"/>
              <w:left w:val="nil"/>
              <w:bottom w:val="single" w:sz="4" w:space="0" w:color="auto"/>
              <w:right w:val="single" w:sz="4" w:space="0" w:color="auto"/>
            </w:tcBorders>
            <w:vAlign w:val="center"/>
            <w:hideMark/>
          </w:tcPr>
          <w:p w:rsidR="008248F9" w:rsidRDefault="008248F9" w:rsidP="008248F9">
            <w:pPr>
              <w:spacing w:after="0" w:line="240" w:lineRule="auto"/>
              <w:jc w:val="center"/>
              <w:rPr>
                <w:sz w:val="20"/>
                <w:szCs w:val="20"/>
                <w:lang w:eastAsia="en-US"/>
              </w:rPr>
            </w:pPr>
            <w:r>
              <w:rPr>
                <w:sz w:val="20"/>
                <w:szCs w:val="20"/>
                <w:lang w:eastAsia="en-US"/>
              </w:rPr>
              <w:t>46,08</w:t>
            </w:r>
          </w:p>
        </w:tc>
        <w:tc>
          <w:tcPr>
            <w:tcW w:w="1134" w:type="dxa"/>
            <w:tcBorders>
              <w:top w:val="nil"/>
              <w:left w:val="nil"/>
              <w:bottom w:val="single" w:sz="4" w:space="0" w:color="auto"/>
              <w:right w:val="single" w:sz="4" w:space="0" w:color="auto"/>
            </w:tcBorders>
            <w:vAlign w:val="center"/>
            <w:hideMark/>
          </w:tcPr>
          <w:p w:rsidR="008248F9" w:rsidRDefault="008248F9" w:rsidP="008248F9">
            <w:pPr>
              <w:spacing w:after="0" w:line="240" w:lineRule="auto"/>
              <w:jc w:val="center"/>
              <w:rPr>
                <w:sz w:val="20"/>
                <w:szCs w:val="20"/>
                <w:lang w:eastAsia="en-US"/>
              </w:rPr>
            </w:pPr>
            <w:r>
              <w:rPr>
                <w:sz w:val="20"/>
                <w:szCs w:val="20"/>
                <w:lang w:eastAsia="en-US"/>
              </w:rPr>
              <w:t>54,14</w:t>
            </w:r>
          </w:p>
        </w:tc>
      </w:tr>
      <w:tr w:rsidR="008248F9" w:rsidTr="00AC77C2">
        <w:trPr>
          <w:trHeight w:val="284"/>
        </w:trPr>
        <w:tc>
          <w:tcPr>
            <w:tcW w:w="992" w:type="dxa"/>
            <w:tcBorders>
              <w:top w:val="nil"/>
              <w:left w:val="single" w:sz="4" w:space="0" w:color="auto"/>
              <w:bottom w:val="single" w:sz="4" w:space="0" w:color="auto"/>
              <w:right w:val="single" w:sz="4" w:space="0" w:color="auto"/>
            </w:tcBorders>
            <w:noWrap/>
            <w:vAlign w:val="center"/>
            <w:hideMark/>
          </w:tcPr>
          <w:p w:rsidR="008248F9" w:rsidRDefault="008248F9" w:rsidP="008248F9">
            <w:pPr>
              <w:spacing w:after="0" w:line="240" w:lineRule="auto"/>
              <w:jc w:val="center"/>
              <w:rPr>
                <w:sz w:val="20"/>
                <w:szCs w:val="20"/>
                <w:lang w:eastAsia="en-US"/>
              </w:rPr>
            </w:pPr>
            <w:r>
              <w:rPr>
                <w:sz w:val="20"/>
                <w:szCs w:val="20"/>
                <w:lang w:eastAsia="en-US"/>
              </w:rPr>
              <w:t>4</w:t>
            </w:r>
          </w:p>
        </w:tc>
        <w:tc>
          <w:tcPr>
            <w:tcW w:w="1560" w:type="dxa"/>
            <w:tcBorders>
              <w:top w:val="nil"/>
              <w:left w:val="nil"/>
              <w:bottom w:val="single" w:sz="4" w:space="0" w:color="auto"/>
              <w:right w:val="single" w:sz="4" w:space="0" w:color="auto"/>
            </w:tcBorders>
            <w:noWrap/>
            <w:vAlign w:val="center"/>
            <w:hideMark/>
          </w:tcPr>
          <w:p w:rsidR="008248F9" w:rsidRDefault="008248F9" w:rsidP="008248F9">
            <w:pPr>
              <w:spacing w:after="0" w:line="240" w:lineRule="auto"/>
              <w:jc w:val="center"/>
              <w:rPr>
                <w:sz w:val="20"/>
                <w:szCs w:val="20"/>
                <w:lang w:eastAsia="en-US"/>
              </w:rPr>
            </w:pPr>
            <w:r>
              <w:rPr>
                <w:sz w:val="20"/>
                <w:szCs w:val="20"/>
                <w:lang w:eastAsia="en-US"/>
              </w:rPr>
              <w:t>26-35</w:t>
            </w:r>
          </w:p>
        </w:tc>
        <w:tc>
          <w:tcPr>
            <w:tcW w:w="993" w:type="dxa"/>
            <w:tcBorders>
              <w:top w:val="nil"/>
              <w:left w:val="nil"/>
              <w:bottom w:val="single" w:sz="4" w:space="0" w:color="auto"/>
              <w:right w:val="single" w:sz="4" w:space="0" w:color="auto"/>
            </w:tcBorders>
            <w:vAlign w:val="center"/>
            <w:hideMark/>
          </w:tcPr>
          <w:p w:rsidR="008248F9" w:rsidRDefault="008248F9" w:rsidP="008248F9">
            <w:pPr>
              <w:spacing w:after="0" w:line="240" w:lineRule="auto"/>
              <w:jc w:val="center"/>
              <w:rPr>
                <w:color w:val="000000"/>
                <w:sz w:val="20"/>
                <w:szCs w:val="20"/>
                <w:lang w:eastAsia="en-US"/>
              </w:rPr>
            </w:pPr>
            <w:r>
              <w:rPr>
                <w:color w:val="000000"/>
                <w:sz w:val="20"/>
                <w:szCs w:val="20"/>
                <w:lang w:eastAsia="en-US"/>
              </w:rPr>
              <w:t>58</w:t>
            </w:r>
          </w:p>
        </w:tc>
        <w:tc>
          <w:tcPr>
            <w:tcW w:w="992" w:type="dxa"/>
            <w:tcBorders>
              <w:top w:val="nil"/>
              <w:left w:val="nil"/>
              <w:bottom w:val="single" w:sz="4" w:space="0" w:color="auto"/>
              <w:right w:val="single" w:sz="4" w:space="0" w:color="auto"/>
            </w:tcBorders>
            <w:vAlign w:val="center"/>
            <w:hideMark/>
          </w:tcPr>
          <w:p w:rsidR="008248F9" w:rsidRDefault="008248F9" w:rsidP="008248F9">
            <w:pPr>
              <w:spacing w:after="0" w:line="240" w:lineRule="auto"/>
              <w:jc w:val="center"/>
              <w:rPr>
                <w:color w:val="000000"/>
                <w:sz w:val="20"/>
                <w:szCs w:val="20"/>
                <w:lang w:eastAsia="en-US"/>
              </w:rPr>
            </w:pPr>
            <w:r>
              <w:rPr>
                <w:color w:val="000000"/>
                <w:sz w:val="20"/>
                <w:szCs w:val="20"/>
                <w:lang w:eastAsia="en-US"/>
              </w:rPr>
              <w:t>15</w:t>
            </w:r>
          </w:p>
        </w:tc>
        <w:tc>
          <w:tcPr>
            <w:tcW w:w="1101" w:type="dxa"/>
            <w:tcBorders>
              <w:top w:val="nil"/>
              <w:left w:val="nil"/>
              <w:bottom w:val="single" w:sz="4" w:space="0" w:color="auto"/>
              <w:right w:val="single" w:sz="4" w:space="0" w:color="auto"/>
            </w:tcBorders>
            <w:vAlign w:val="center"/>
            <w:hideMark/>
          </w:tcPr>
          <w:p w:rsidR="008248F9" w:rsidRDefault="008248F9" w:rsidP="008248F9">
            <w:pPr>
              <w:spacing w:after="0" w:line="240" w:lineRule="auto"/>
              <w:jc w:val="center"/>
              <w:rPr>
                <w:sz w:val="20"/>
                <w:szCs w:val="20"/>
                <w:lang w:eastAsia="en-US"/>
              </w:rPr>
            </w:pPr>
            <w:r>
              <w:rPr>
                <w:sz w:val="20"/>
                <w:szCs w:val="20"/>
                <w:lang w:eastAsia="en-US"/>
              </w:rPr>
              <w:t>91,03</w:t>
            </w:r>
          </w:p>
        </w:tc>
        <w:tc>
          <w:tcPr>
            <w:tcW w:w="1134" w:type="dxa"/>
            <w:tcBorders>
              <w:top w:val="nil"/>
              <w:left w:val="nil"/>
              <w:bottom w:val="single" w:sz="4" w:space="0" w:color="auto"/>
              <w:right w:val="single" w:sz="4" w:space="0" w:color="auto"/>
            </w:tcBorders>
            <w:vAlign w:val="center"/>
            <w:hideMark/>
          </w:tcPr>
          <w:p w:rsidR="008248F9" w:rsidRDefault="008248F9" w:rsidP="008248F9">
            <w:pPr>
              <w:spacing w:after="0" w:line="240" w:lineRule="auto"/>
              <w:jc w:val="center"/>
              <w:rPr>
                <w:sz w:val="20"/>
                <w:szCs w:val="20"/>
                <w:lang w:eastAsia="en-US"/>
              </w:rPr>
            </w:pPr>
            <w:r>
              <w:rPr>
                <w:sz w:val="20"/>
                <w:szCs w:val="20"/>
                <w:lang w:eastAsia="en-US"/>
              </w:rPr>
              <w:t>78,00</w:t>
            </w:r>
          </w:p>
        </w:tc>
        <w:tc>
          <w:tcPr>
            <w:tcW w:w="1134" w:type="dxa"/>
            <w:tcBorders>
              <w:top w:val="nil"/>
              <w:left w:val="nil"/>
              <w:bottom w:val="single" w:sz="4" w:space="0" w:color="auto"/>
              <w:right w:val="single" w:sz="4" w:space="0" w:color="auto"/>
            </w:tcBorders>
            <w:vAlign w:val="center"/>
            <w:hideMark/>
          </w:tcPr>
          <w:p w:rsidR="008248F9" w:rsidRDefault="008248F9" w:rsidP="008248F9">
            <w:pPr>
              <w:spacing w:after="0" w:line="240" w:lineRule="auto"/>
              <w:jc w:val="center"/>
              <w:rPr>
                <w:sz w:val="20"/>
                <w:szCs w:val="20"/>
                <w:lang w:eastAsia="en-US"/>
              </w:rPr>
            </w:pPr>
            <w:r>
              <w:rPr>
                <w:sz w:val="20"/>
                <w:szCs w:val="20"/>
                <w:lang w:eastAsia="en-US"/>
              </w:rPr>
              <w:t>70,27</w:t>
            </w:r>
          </w:p>
        </w:tc>
        <w:tc>
          <w:tcPr>
            <w:tcW w:w="1134" w:type="dxa"/>
            <w:tcBorders>
              <w:top w:val="nil"/>
              <w:left w:val="nil"/>
              <w:bottom w:val="single" w:sz="4" w:space="0" w:color="auto"/>
              <w:right w:val="single" w:sz="4" w:space="0" w:color="auto"/>
            </w:tcBorders>
            <w:vAlign w:val="center"/>
            <w:hideMark/>
          </w:tcPr>
          <w:p w:rsidR="008248F9" w:rsidRDefault="008248F9" w:rsidP="008248F9">
            <w:pPr>
              <w:spacing w:after="0" w:line="240" w:lineRule="auto"/>
              <w:jc w:val="center"/>
              <w:rPr>
                <w:sz w:val="20"/>
                <w:szCs w:val="20"/>
                <w:lang w:eastAsia="en-US"/>
              </w:rPr>
            </w:pPr>
            <w:r>
              <w:rPr>
                <w:sz w:val="20"/>
                <w:szCs w:val="20"/>
                <w:lang w:eastAsia="en-US"/>
              </w:rPr>
              <w:t>82,54</w:t>
            </w:r>
          </w:p>
        </w:tc>
      </w:tr>
      <w:tr w:rsidR="008248F9" w:rsidTr="00AC77C2">
        <w:trPr>
          <w:trHeight w:val="284"/>
        </w:trPr>
        <w:tc>
          <w:tcPr>
            <w:tcW w:w="992" w:type="dxa"/>
            <w:tcBorders>
              <w:top w:val="nil"/>
              <w:left w:val="single" w:sz="4" w:space="0" w:color="auto"/>
              <w:bottom w:val="single" w:sz="4" w:space="0" w:color="auto"/>
              <w:right w:val="single" w:sz="4" w:space="0" w:color="auto"/>
            </w:tcBorders>
            <w:noWrap/>
            <w:vAlign w:val="center"/>
            <w:hideMark/>
          </w:tcPr>
          <w:p w:rsidR="008248F9" w:rsidRDefault="008248F9" w:rsidP="008248F9">
            <w:pPr>
              <w:spacing w:after="0" w:line="240" w:lineRule="auto"/>
              <w:jc w:val="center"/>
              <w:rPr>
                <w:sz w:val="20"/>
                <w:szCs w:val="20"/>
                <w:lang w:eastAsia="en-US"/>
              </w:rPr>
            </w:pPr>
            <w:r>
              <w:rPr>
                <w:sz w:val="20"/>
                <w:szCs w:val="20"/>
                <w:lang w:eastAsia="en-US"/>
              </w:rPr>
              <w:t>5</w:t>
            </w:r>
          </w:p>
        </w:tc>
        <w:tc>
          <w:tcPr>
            <w:tcW w:w="1560" w:type="dxa"/>
            <w:tcBorders>
              <w:top w:val="nil"/>
              <w:left w:val="nil"/>
              <w:bottom w:val="single" w:sz="4" w:space="0" w:color="auto"/>
              <w:right w:val="single" w:sz="4" w:space="0" w:color="auto"/>
            </w:tcBorders>
            <w:noWrap/>
            <w:vAlign w:val="center"/>
            <w:hideMark/>
          </w:tcPr>
          <w:p w:rsidR="008248F9" w:rsidRDefault="008248F9" w:rsidP="008248F9">
            <w:pPr>
              <w:spacing w:after="0" w:line="240" w:lineRule="auto"/>
              <w:jc w:val="center"/>
              <w:rPr>
                <w:sz w:val="20"/>
                <w:szCs w:val="20"/>
                <w:lang w:eastAsia="en-US"/>
              </w:rPr>
            </w:pPr>
            <w:r>
              <w:rPr>
                <w:sz w:val="20"/>
                <w:szCs w:val="20"/>
                <w:lang w:eastAsia="en-US"/>
              </w:rPr>
              <w:t>36-45</w:t>
            </w:r>
          </w:p>
        </w:tc>
        <w:tc>
          <w:tcPr>
            <w:tcW w:w="993" w:type="dxa"/>
            <w:tcBorders>
              <w:top w:val="nil"/>
              <w:left w:val="nil"/>
              <w:bottom w:val="single" w:sz="4" w:space="0" w:color="auto"/>
              <w:right w:val="single" w:sz="4" w:space="0" w:color="auto"/>
            </w:tcBorders>
            <w:vAlign w:val="center"/>
            <w:hideMark/>
          </w:tcPr>
          <w:p w:rsidR="008248F9" w:rsidRDefault="008248F9" w:rsidP="008248F9">
            <w:pPr>
              <w:spacing w:after="0" w:line="240" w:lineRule="auto"/>
              <w:jc w:val="center"/>
              <w:rPr>
                <w:color w:val="000000"/>
                <w:sz w:val="20"/>
                <w:szCs w:val="20"/>
                <w:lang w:eastAsia="en-US"/>
              </w:rPr>
            </w:pPr>
            <w:r>
              <w:rPr>
                <w:color w:val="000000"/>
                <w:sz w:val="20"/>
                <w:szCs w:val="20"/>
                <w:lang w:eastAsia="en-US"/>
              </w:rPr>
              <w:t>65</w:t>
            </w:r>
          </w:p>
        </w:tc>
        <w:tc>
          <w:tcPr>
            <w:tcW w:w="992" w:type="dxa"/>
            <w:tcBorders>
              <w:top w:val="nil"/>
              <w:left w:val="nil"/>
              <w:bottom w:val="single" w:sz="4" w:space="0" w:color="auto"/>
              <w:right w:val="single" w:sz="4" w:space="0" w:color="auto"/>
            </w:tcBorders>
            <w:vAlign w:val="center"/>
            <w:hideMark/>
          </w:tcPr>
          <w:p w:rsidR="008248F9" w:rsidRDefault="008248F9" w:rsidP="008248F9">
            <w:pPr>
              <w:spacing w:after="0" w:line="240" w:lineRule="auto"/>
              <w:jc w:val="center"/>
              <w:rPr>
                <w:color w:val="000000"/>
                <w:sz w:val="20"/>
                <w:szCs w:val="20"/>
                <w:lang w:eastAsia="en-US"/>
              </w:rPr>
            </w:pPr>
            <w:r>
              <w:rPr>
                <w:color w:val="000000"/>
                <w:sz w:val="20"/>
                <w:szCs w:val="20"/>
                <w:lang w:eastAsia="en-US"/>
              </w:rPr>
              <w:t>16</w:t>
            </w:r>
          </w:p>
        </w:tc>
        <w:tc>
          <w:tcPr>
            <w:tcW w:w="1101" w:type="dxa"/>
            <w:tcBorders>
              <w:top w:val="nil"/>
              <w:left w:val="nil"/>
              <w:bottom w:val="single" w:sz="4" w:space="0" w:color="auto"/>
              <w:right w:val="single" w:sz="4" w:space="0" w:color="auto"/>
            </w:tcBorders>
            <w:vAlign w:val="center"/>
            <w:hideMark/>
          </w:tcPr>
          <w:p w:rsidR="008248F9" w:rsidRDefault="008248F9" w:rsidP="008248F9">
            <w:pPr>
              <w:spacing w:after="0" w:line="240" w:lineRule="auto"/>
              <w:jc w:val="center"/>
              <w:rPr>
                <w:sz w:val="20"/>
                <w:szCs w:val="20"/>
                <w:lang w:eastAsia="en-US"/>
              </w:rPr>
            </w:pPr>
            <w:r>
              <w:rPr>
                <w:sz w:val="20"/>
                <w:szCs w:val="20"/>
                <w:lang w:eastAsia="en-US"/>
              </w:rPr>
              <w:t>101,94</w:t>
            </w:r>
          </w:p>
        </w:tc>
        <w:tc>
          <w:tcPr>
            <w:tcW w:w="1134" w:type="dxa"/>
            <w:tcBorders>
              <w:top w:val="nil"/>
              <w:left w:val="nil"/>
              <w:bottom w:val="single" w:sz="4" w:space="0" w:color="auto"/>
              <w:right w:val="single" w:sz="4" w:space="0" w:color="auto"/>
            </w:tcBorders>
            <w:vAlign w:val="center"/>
            <w:hideMark/>
          </w:tcPr>
          <w:p w:rsidR="008248F9" w:rsidRDefault="008248F9" w:rsidP="008248F9">
            <w:pPr>
              <w:spacing w:after="0" w:line="240" w:lineRule="auto"/>
              <w:jc w:val="center"/>
              <w:rPr>
                <w:sz w:val="20"/>
                <w:szCs w:val="20"/>
                <w:lang w:eastAsia="en-US"/>
              </w:rPr>
            </w:pPr>
            <w:r>
              <w:rPr>
                <w:sz w:val="20"/>
                <w:szCs w:val="20"/>
                <w:lang w:eastAsia="en-US"/>
              </w:rPr>
              <w:t>87,32</w:t>
            </w:r>
          </w:p>
        </w:tc>
        <w:tc>
          <w:tcPr>
            <w:tcW w:w="1134" w:type="dxa"/>
            <w:tcBorders>
              <w:top w:val="nil"/>
              <w:left w:val="nil"/>
              <w:bottom w:val="single" w:sz="4" w:space="0" w:color="auto"/>
              <w:right w:val="single" w:sz="4" w:space="0" w:color="auto"/>
            </w:tcBorders>
            <w:vAlign w:val="center"/>
            <w:hideMark/>
          </w:tcPr>
          <w:p w:rsidR="008248F9" w:rsidRDefault="008248F9" w:rsidP="008248F9">
            <w:pPr>
              <w:spacing w:after="0" w:line="240" w:lineRule="auto"/>
              <w:jc w:val="center"/>
              <w:rPr>
                <w:sz w:val="20"/>
                <w:szCs w:val="20"/>
                <w:lang w:eastAsia="en-US"/>
              </w:rPr>
            </w:pPr>
            <w:r>
              <w:rPr>
                <w:sz w:val="20"/>
                <w:szCs w:val="20"/>
                <w:lang w:eastAsia="en-US"/>
              </w:rPr>
              <w:t>78,72</w:t>
            </w:r>
          </w:p>
        </w:tc>
        <w:tc>
          <w:tcPr>
            <w:tcW w:w="1134" w:type="dxa"/>
            <w:tcBorders>
              <w:top w:val="nil"/>
              <w:left w:val="nil"/>
              <w:bottom w:val="single" w:sz="4" w:space="0" w:color="auto"/>
              <w:right w:val="single" w:sz="4" w:space="0" w:color="auto"/>
            </w:tcBorders>
            <w:vAlign w:val="center"/>
            <w:hideMark/>
          </w:tcPr>
          <w:p w:rsidR="008248F9" w:rsidRDefault="008248F9" w:rsidP="008248F9">
            <w:pPr>
              <w:spacing w:after="0" w:line="240" w:lineRule="auto"/>
              <w:jc w:val="center"/>
              <w:rPr>
                <w:sz w:val="20"/>
                <w:szCs w:val="20"/>
                <w:lang w:eastAsia="en-US"/>
              </w:rPr>
            </w:pPr>
            <w:r>
              <w:rPr>
                <w:sz w:val="20"/>
                <w:szCs w:val="20"/>
                <w:lang w:eastAsia="en-US"/>
              </w:rPr>
              <w:t>92,49</w:t>
            </w:r>
          </w:p>
        </w:tc>
      </w:tr>
      <w:tr w:rsidR="008248F9" w:rsidTr="00AC77C2">
        <w:trPr>
          <w:trHeight w:val="284"/>
        </w:trPr>
        <w:tc>
          <w:tcPr>
            <w:tcW w:w="992" w:type="dxa"/>
            <w:tcBorders>
              <w:top w:val="nil"/>
              <w:left w:val="single" w:sz="4" w:space="0" w:color="auto"/>
              <w:bottom w:val="single" w:sz="4" w:space="0" w:color="auto"/>
              <w:right w:val="single" w:sz="4" w:space="0" w:color="auto"/>
            </w:tcBorders>
            <w:noWrap/>
            <w:vAlign w:val="center"/>
            <w:hideMark/>
          </w:tcPr>
          <w:p w:rsidR="008248F9" w:rsidRDefault="008248F9" w:rsidP="008248F9">
            <w:pPr>
              <w:spacing w:after="0" w:line="240" w:lineRule="auto"/>
              <w:jc w:val="center"/>
              <w:rPr>
                <w:sz w:val="20"/>
                <w:szCs w:val="20"/>
                <w:lang w:eastAsia="en-US"/>
              </w:rPr>
            </w:pPr>
            <w:r>
              <w:rPr>
                <w:sz w:val="20"/>
                <w:szCs w:val="20"/>
                <w:lang w:eastAsia="en-US"/>
              </w:rPr>
              <w:t>6</w:t>
            </w:r>
          </w:p>
        </w:tc>
        <w:tc>
          <w:tcPr>
            <w:tcW w:w="1560" w:type="dxa"/>
            <w:tcBorders>
              <w:top w:val="nil"/>
              <w:left w:val="nil"/>
              <w:bottom w:val="single" w:sz="4" w:space="0" w:color="auto"/>
              <w:right w:val="single" w:sz="4" w:space="0" w:color="auto"/>
            </w:tcBorders>
            <w:noWrap/>
            <w:vAlign w:val="center"/>
            <w:hideMark/>
          </w:tcPr>
          <w:p w:rsidR="008248F9" w:rsidRDefault="008248F9" w:rsidP="008248F9">
            <w:pPr>
              <w:spacing w:after="0" w:line="240" w:lineRule="auto"/>
              <w:jc w:val="center"/>
              <w:rPr>
                <w:sz w:val="20"/>
                <w:szCs w:val="20"/>
                <w:lang w:eastAsia="en-US"/>
              </w:rPr>
            </w:pPr>
            <w:r>
              <w:rPr>
                <w:sz w:val="20"/>
                <w:szCs w:val="20"/>
                <w:lang w:eastAsia="en-US"/>
              </w:rPr>
              <w:t>46-55</w:t>
            </w:r>
          </w:p>
        </w:tc>
        <w:tc>
          <w:tcPr>
            <w:tcW w:w="993" w:type="dxa"/>
            <w:tcBorders>
              <w:top w:val="nil"/>
              <w:left w:val="nil"/>
              <w:bottom w:val="single" w:sz="4" w:space="0" w:color="auto"/>
              <w:right w:val="single" w:sz="4" w:space="0" w:color="auto"/>
            </w:tcBorders>
            <w:vAlign w:val="center"/>
            <w:hideMark/>
          </w:tcPr>
          <w:p w:rsidR="008248F9" w:rsidRDefault="008248F9" w:rsidP="008248F9">
            <w:pPr>
              <w:spacing w:after="0" w:line="240" w:lineRule="auto"/>
              <w:jc w:val="center"/>
              <w:rPr>
                <w:color w:val="000000"/>
                <w:sz w:val="20"/>
                <w:szCs w:val="20"/>
                <w:lang w:eastAsia="en-US"/>
              </w:rPr>
            </w:pPr>
            <w:r>
              <w:rPr>
                <w:color w:val="000000"/>
                <w:sz w:val="20"/>
                <w:szCs w:val="20"/>
                <w:lang w:eastAsia="en-US"/>
              </w:rPr>
              <w:t>73</w:t>
            </w:r>
          </w:p>
        </w:tc>
        <w:tc>
          <w:tcPr>
            <w:tcW w:w="992" w:type="dxa"/>
            <w:tcBorders>
              <w:top w:val="nil"/>
              <w:left w:val="nil"/>
              <w:bottom w:val="single" w:sz="4" w:space="0" w:color="auto"/>
              <w:right w:val="single" w:sz="4" w:space="0" w:color="auto"/>
            </w:tcBorders>
            <w:vAlign w:val="center"/>
            <w:hideMark/>
          </w:tcPr>
          <w:p w:rsidR="008248F9" w:rsidRDefault="008248F9" w:rsidP="008248F9">
            <w:pPr>
              <w:spacing w:after="0" w:line="240" w:lineRule="auto"/>
              <w:jc w:val="center"/>
              <w:rPr>
                <w:color w:val="000000"/>
                <w:sz w:val="20"/>
                <w:szCs w:val="20"/>
                <w:lang w:eastAsia="en-US"/>
              </w:rPr>
            </w:pPr>
            <w:r>
              <w:rPr>
                <w:color w:val="000000"/>
                <w:sz w:val="20"/>
                <w:szCs w:val="20"/>
                <w:lang w:eastAsia="en-US"/>
              </w:rPr>
              <w:t>18</w:t>
            </w:r>
          </w:p>
        </w:tc>
        <w:tc>
          <w:tcPr>
            <w:tcW w:w="1101" w:type="dxa"/>
            <w:tcBorders>
              <w:top w:val="nil"/>
              <w:left w:val="nil"/>
              <w:bottom w:val="single" w:sz="4" w:space="0" w:color="auto"/>
              <w:right w:val="single" w:sz="4" w:space="0" w:color="auto"/>
            </w:tcBorders>
            <w:vAlign w:val="center"/>
            <w:hideMark/>
          </w:tcPr>
          <w:p w:rsidR="008248F9" w:rsidRDefault="008248F9" w:rsidP="008248F9">
            <w:pPr>
              <w:spacing w:after="0" w:line="240" w:lineRule="auto"/>
              <w:jc w:val="center"/>
              <w:rPr>
                <w:sz w:val="20"/>
                <w:szCs w:val="20"/>
                <w:lang w:eastAsia="en-US"/>
              </w:rPr>
            </w:pPr>
            <w:r>
              <w:rPr>
                <w:sz w:val="20"/>
                <w:szCs w:val="20"/>
                <w:lang w:eastAsia="en-US"/>
              </w:rPr>
              <w:t>114,52</w:t>
            </w:r>
          </w:p>
        </w:tc>
        <w:tc>
          <w:tcPr>
            <w:tcW w:w="1134" w:type="dxa"/>
            <w:tcBorders>
              <w:top w:val="nil"/>
              <w:left w:val="nil"/>
              <w:bottom w:val="single" w:sz="4" w:space="0" w:color="auto"/>
              <w:right w:val="single" w:sz="4" w:space="0" w:color="auto"/>
            </w:tcBorders>
            <w:vAlign w:val="center"/>
            <w:hideMark/>
          </w:tcPr>
          <w:p w:rsidR="008248F9" w:rsidRDefault="008248F9" w:rsidP="008248F9">
            <w:pPr>
              <w:spacing w:after="0" w:line="240" w:lineRule="auto"/>
              <w:jc w:val="center"/>
              <w:rPr>
                <w:sz w:val="20"/>
                <w:szCs w:val="20"/>
                <w:lang w:eastAsia="en-US"/>
              </w:rPr>
            </w:pPr>
            <w:r>
              <w:rPr>
                <w:sz w:val="20"/>
                <w:szCs w:val="20"/>
                <w:lang w:eastAsia="en-US"/>
              </w:rPr>
              <w:t>98,13</w:t>
            </w:r>
          </w:p>
        </w:tc>
        <w:tc>
          <w:tcPr>
            <w:tcW w:w="1134" w:type="dxa"/>
            <w:tcBorders>
              <w:top w:val="nil"/>
              <w:left w:val="nil"/>
              <w:bottom w:val="single" w:sz="4" w:space="0" w:color="auto"/>
              <w:right w:val="single" w:sz="4" w:space="0" w:color="auto"/>
            </w:tcBorders>
            <w:vAlign w:val="center"/>
            <w:hideMark/>
          </w:tcPr>
          <w:p w:rsidR="008248F9" w:rsidRDefault="008248F9" w:rsidP="008248F9">
            <w:pPr>
              <w:spacing w:after="0" w:line="240" w:lineRule="auto"/>
              <w:jc w:val="center"/>
              <w:rPr>
                <w:sz w:val="20"/>
                <w:szCs w:val="20"/>
                <w:lang w:eastAsia="en-US"/>
              </w:rPr>
            </w:pPr>
            <w:r>
              <w:rPr>
                <w:sz w:val="20"/>
                <w:szCs w:val="20"/>
                <w:lang w:eastAsia="en-US"/>
              </w:rPr>
              <w:t>88,34</w:t>
            </w:r>
          </w:p>
        </w:tc>
        <w:tc>
          <w:tcPr>
            <w:tcW w:w="1134" w:type="dxa"/>
            <w:tcBorders>
              <w:top w:val="nil"/>
              <w:left w:val="nil"/>
              <w:bottom w:val="single" w:sz="4" w:space="0" w:color="auto"/>
              <w:right w:val="single" w:sz="4" w:space="0" w:color="auto"/>
            </w:tcBorders>
            <w:vAlign w:val="center"/>
            <w:hideMark/>
          </w:tcPr>
          <w:p w:rsidR="008248F9" w:rsidRDefault="008248F9" w:rsidP="008248F9">
            <w:pPr>
              <w:spacing w:after="0" w:line="240" w:lineRule="auto"/>
              <w:jc w:val="center"/>
              <w:rPr>
                <w:sz w:val="20"/>
                <w:szCs w:val="20"/>
                <w:lang w:eastAsia="en-US"/>
              </w:rPr>
            </w:pPr>
            <w:r>
              <w:rPr>
                <w:sz w:val="20"/>
                <w:szCs w:val="20"/>
                <w:lang w:eastAsia="en-US"/>
              </w:rPr>
              <w:t>103,88</w:t>
            </w:r>
          </w:p>
        </w:tc>
      </w:tr>
      <w:tr w:rsidR="008248F9" w:rsidTr="00AC77C2">
        <w:trPr>
          <w:trHeight w:val="284"/>
        </w:trPr>
        <w:tc>
          <w:tcPr>
            <w:tcW w:w="992" w:type="dxa"/>
            <w:tcBorders>
              <w:top w:val="nil"/>
              <w:left w:val="single" w:sz="4" w:space="0" w:color="auto"/>
              <w:bottom w:val="single" w:sz="4" w:space="0" w:color="auto"/>
              <w:right w:val="single" w:sz="4" w:space="0" w:color="auto"/>
            </w:tcBorders>
            <w:noWrap/>
            <w:vAlign w:val="center"/>
            <w:hideMark/>
          </w:tcPr>
          <w:p w:rsidR="008248F9" w:rsidRDefault="008248F9" w:rsidP="008248F9">
            <w:pPr>
              <w:spacing w:after="0" w:line="240" w:lineRule="auto"/>
              <w:jc w:val="center"/>
              <w:rPr>
                <w:sz w:val="20"/>
                <w:szCs w:val="20"/>
                <w:lang w:eastAsia="en-US"/>
              </w:rPr>
            </w:pPr>
            <w:r>
              <w:rPr>
                <w:sz w:val="20"/>
                <w:szCs w:val="20"/>
                <w:lang w:eastAsia="en-US"/>
              </w:rPr>
              <w:t>7</w:t>
            </w:r>
          </w:p>
        </w:tc>
        <w:tc>
          <w:tcPr>
            <w:tcW w:w="1560" w:type="dxa"/>
            <w:tcBorders>
              <w:top w:val="nil"/>
              <w:left w:val="nil"/>
              <w:bottom w:val="single" w:sz="4" w:space="0" w:color="auto"/>
              <w:right w:val="single" w:sz="4" w:space="0" w:color="auto"/>
            </w:tcBorders>
            <w:noWrap/>
            <w:vAlign w:val="center"/>
            <w:hideMark/>
          </w:tcPr>
          <w:p w:rsidR="008248F9" w:rsidRDefault="008248F9" w:rsidP="008248F9">
            <w:pPr>
              <w:spacing w:after="0" w:line="240" w:lineRule="auto"/>
              <w:jc w:val="center"/>
              <w:rPr>
                <w:sz w:val="20"/>
                <w:szCs w:val="20"/>
                <w:lang w:eastAsia="en-US"/>
              </w:rPr>
            </w:pPr>
            <w:r>
              <w:rPr>
                <w:sz w:val="20"/>
                <w:szCs w:val="20"/>
                <w:lang w:eastAsia="en-US"/>
              </w:rPr>
              <w:t>56-65</w:t>
            </w:r>
          </w:p>
        </w:tc>
        <w:tc>
          <w:tcPr>
            <w:tcW w:w="993" w:type="dxa"/>
            <w:tcBorders>
              <w:top w:val="nil"/>
              <w:left w:val="nil"/>
              <w:bottom w:val="single" w:sz="4" w:space="0" w:color="auto"/>
              <w:right w:val="single" w:sz="4" w:space="0" w:color="auto"/>
            </w:tcBorders>
            <w:vAlign w:val="center"/>
            <w:hideMark/>
          </w:tcPr>
          <w:p w:rsidR="008248F9" w:rsidRDefault="008248F9" w:rsidP="008248F9">
            <w:pPr>
              <w:spacing w:after="0" w:line="240" w:lineRule="auto"/>
              <w:jc w:val="center"/>
              <w:rPr>
                <w:color w:val="000000"/>
                <w:sz w:val="20"/>
                <w:szCs w:val="20"/>
                <w:lang w:eastAsia="en-US"/>
              </w:rPr>
            </w:pPr>
            <w:r>
              <w:rPr>
                <w:color w:val="000000"/>
                <w:sz w:val="20"/>
                <w:szCs w:val="20"/>
                <w:lang w:eastAsia="en-US"/>
              </w:rPr>
              <w:t>83</w:t>
            </w:r>
          </w:p>
        </w:tc>
        <w:tc>
          <w:tcPr>
            <w:tcW w:w="992" w:type="dxa"/>
            <w:tcBorders>
              <w:top w:val="nil"/>
              <w:left w:val="nil"/>
              <w:bottom w:val="single" w:sz="4" w:space="0" w:color="auto"/>
              <w:right w:val="single" w:sz="4" w:space="0" w:color="auto"/>
            </w:tcBorders>
            <w:vAlign w:val="center"/>
            <w:hideMark/>
          </w:tcPr>
          <w:p w:rsidR="008248F9" w:rsidRDefault="008248F9" w:rsidP="008248F9">
            <w:pPr>
              <w:spacing w:after="0" w:line="240" w:lineRule="auto"/>
              <w:jc w:val="center"/>
              <w:rPr>
                <w:color w:val="000000"/>
                <w:sz w:val="20"/>
                <w:szCs w:val="20"/>
                <w:lang w:eastAsia="en-US"/>
              </w:rPr>
            </w:pPr>
            <w:r>
              <w:rPr>
                <w:color w:val="000000"/>
                <w:sz w:val="20"/>
                <w:szCs w:val="20"/>
                <w:lang w:eastAsia="en-US"/>
              </w:rPr>
              <w:t>21</w:t>
            </w:r>
          </w:p>
        </w:tc>
        <w:tc>
          <w:tcPr>
            <w:tcW w:w="1101" w:type="dxa"/>
            <w:tcBorders>
              <w:top w:val="nil"/>
              <w:left w:val="nil"/>
              <w:bottom w:val="single" w:sz="4" w:space="0" w:color="auto"/>
              <w:right w:val="single" w:sz="4" w:space="0" w:color="auto"/>
            </w:tcBorders>
            <w:vAlign w:val="center"/>
            <w:hideMark/>
          </w:tcPr>
          <w:p w:rsidR="008248F9" w:rsidRDefault="008248F9" w:rsidP="008248F9">
            <w:pPr>
              <w:spacing w:after="0" w:line="240" w:lineRule="auto"/>
              <w:jc w:val="center"/>
              <w:rPr>
                <w:sz w:val="20"/>
                <w:szCs w:val="20"/>
                <w:lang w:eastAsia="en-US"/>
              </w:rPr>
            </w:pPr>
            <w:r>
              <w:rPr>
                <w:sz w:val="20"/>
                <w:szCs w:val="20"/>
                <w:lang w:eastAsia="en-US"/>
              </w:rPr>
              <w:t>129,96</w:t>
            </w:r>
          </w:p>
        </w:tc>
        <w:tc>
          <w:tcPr>
            <w:tcW w:w="1134" w:type="dxa"/>
            <w:tcBorders>
              <w:top w:val="nil"/>
              <w:left w:val="nil"/>
              <w:bottom w:val="single" w:sz="4" w:space="0" w:color="auto"/>
              <w:right w:val="single" w:sz="4" w:space="0" w:color="auto"/>
            </w:tcBorders>
            <w:vAlign w:val="center"/>
            <w:hideMark/>
          </w:tcPr>
          <w:p w:rsidR="008248F9" w:rsidRDefault="008248F9" w:rsidP="008248F9">
            <w:pPr>
              <w:spacing w:after="0" w:line="240" w:lineRule="auto"/>
              <w:jc w:val="center"/>
              <w:rPr>
                <w:sz w:val="20"/>
                <w:szCs w:val="20"/>
                <w:lang w:eastAsia="en-US"/>
              </w:rPr>
            </w:pPr>
            <w:r>
              <w:rPr>
                <w:sz w:val="20"/>
                <w:szCs w:val="20"/>
                <w:lang w:eastAsia="en-US"/>
              </w:rPr>
              <w:t>111,24</w:t>
            </w:r>
          </w:p>
        </w:tc>
        <w:tc>
          <w:tcPr>
            <w:tcW w:w="1134" w:type="dxa"/>
            <w:tcBorders>
              <w:top w:val="nil"/>
              <w:left w:val="nil"/>
              <w:bottom w:val="single" w:sz="4" w:space="0" w:color="auto"/>
              <w:right w:val="single" w:sz="4" w:space="0" w:color="auto"/>
            </w:tcBorders>
            <w:vAlign w:val="center"/>
            <w:hideMark/>
          </w:tcPr>
          <w:p w:rsidR="008248F9" w:rsidRDefault="008248F9" w:rsidP="008248F9">
            <w:pPr>
              <w:spacing w:after="0" w:line="240" w:lineRule="auto"/>
              <w:jc w:val="center"/>
              <w:rPr>
                <w:sz w:val="20"/>
                <w:szCs w:val="20"/>
                <w:lang w:eastAsia="en-US"/>
              </w:rPr>
            </w:pPr>
            <w:r>
              <w:rPr>
                <w:sz w:val="20"/>
                <w:szCs w:val="20"/>
                <w:lang w:eastAsia="en-US"/>
              </w:rPr>
              <w:t>100,36</w:t>
            </w:r>
          </w:p>
        </w:tc>
        <w:tc>
          <w:tcPr>
            <w:tcW w:w="1134" w:type="dxa"/>
            <w:tcBorders>
              <w:top w:val="nil"/>
              <w:left w:val="nil"/>
              <w:bottom w:val="single" w:sz="4" w:space="0" w:color="auto"/>
              <w:right w:val="single" w:sz="4" w:space="0" w:color="auto"/>
            </w:tcBorders>
            <w:vAlign w:val="center"/>
            <w:hideMark/>
          </w:tcPr>
          <w:p w:rsidR="008248F9" w:rsidRDefault="008248F9" w:rsidP="008248F9">
            <w:pPr>
              <w:spacing w:after="0" w:line="240" w:lineRule="auto"/>
              <w:jc w:val="center"/>
              <w:rPr>
                <w:sz w:val="20"/>
                <w:szCs w:val="20"/>
                <w:lang w:eastAsia="en-US"/>
              </w:rPr>
            </w:pPr>
            <w:r>
              <w:rPr>
                <w:sz w:val="20"/>
                <w:szCs w:val="20"/>
                <w:lang w:eastAsia="en-US"/>
              </w:rPr>
              <w:t>117,86</w:t>
            </w:r>
          </w:p>
        </w:tc>
      </w:tr>
      <w:tr w:rsidR="008248F9" w:rsidTr="00AC77C2">
        <w:trPr>
          <w:trHeight w:val="284"/>
        </w:trPr>
        <w:tc>
          <w:tcPr>
            <w:tcW w:w="992" w:type="dxa"/>
            <w:tcBorders>
              <w:top w:val="nil"/>
              <w:left w:val="single" w:sz="4" w:space="0" w:color="auto"/>
              <w:bottom w:val="single" w:sz="4" w:space="0" w:color="auto"/>
              <w:right w:val="single" w:sz="4" w:space="0" w:color="auto"/>
            </w:tcBorders>
            <w:noWrap/>
            <w:vAlign w:val="center"/>
            <w:hideMark/>
          </w:tcPr>
          <w:p w:rsidR="008248F9" w:rsidRDefault="008248F9" w:rsidP="008248F9">
            <w:pPr>
              <w:spacing w:after="0" w:line="240" w:lineRule="auto"/>
              <w:jc w:val="center"/>
              <w:rPr>
                <w:sz w:val="20"/>
                <w:szCs w:val="20"/>
                <w:lang w:eastAsia="en-US"/>
              </w:rPr>
            </w:pPr>
            <w:r>
              <w:rPr>
                <w:sz w:val="20"/>
                <w:szCs w:val="20"/>
                <w:lang w:eastAsia="en-US"/>
              </w:rPr>
              <w:t>8</w:t>
            </w:r>
          </w:p>
        </w:tc>
        <w:tc>
          <w:tcPr>
            <w:tcW w:w="1560" w:type="dxa"/>
            <w:tcBorders>
              <w:top w:val="nil"/>
              <w:left w:val="nil"/>
              <w:bottom w:val="single" w:sz="4" w:space="0" w:color="auto"/>
              <w:right w:val="single" w:sz="4" w:space="0" w:color="auto"/>
            </w:tcBorders>
            <w:noWrap/>
            <w:vAlign w:val="center"/>
            <w:hideMark/>
          </w:tcPr>
          <w:p w:rsidR="008248F9" w:rsidRDefault="008248F9" w:rsidP="008248F9">
            <w:pPr>
              <w:spacing w:after="0" w:line="240" w:lineRule="auto"/>
              <w:jc w:val="center"/>
              <w:rPr>
                <w:sz w:val="20"/>
                <w:szCs w:val="20"/>
                <w:lang w:eastAsia="en-US"/>
              </w:rPr>
            </w:pPr>
            <w:r>
              <w:rPr>
                <w:sz w:val="20"/>
                <w:szCs w:val="20"/>
                <w:lang w:eastAsia="en-US"/>
              </w:rPr>
              <w:t>66-75</w:t>
            </w:r>
          </w:p>
        </w:tc>
        <w:tc>
          <w:tcPr>
            <w:tcW w:w="993" w:type="dxa"/>
            <w:tcBorders>
              <w:top w:val="nil"/>
              <w:left w:val="nil"/>
              <w:bottom w:val="single" w:sz="4" w:space="0" w:color="auto"/>
              <w:right w:val="single" w:sz="4" w:space="0" w:color="auto"/>
            </w:tcBorders>
            <w:vAlign w:val="center"/>
            <w:hideMark/>
          </w:tcPr>
          <w:p w:rsidR="008248F9" w:rsidRDefault="008248F9" w:rsidP="008248F9">
            <w:pPr>
              <w:spacing w:after="0" w:line="240" w:lineRule="auto"/>
              <w:jc w:val="center"/>
              <w:rPr>
                <w:color w:val="000000"/>
                <w:sz w:val="20"/>
                <w:szCs w:val="20"/>
                <w:lang w:eastAsia="en-US"/>
              </w:rPr>
            </w:pPr>
            <w:r>
              <w:rPr>
                <w:color w:val="000000"/>
                <w:sz w:val="20"/>
                <w:szCs w:val="20"/>
                <w:lang w:eastAsia="en-US"/>
              </w:rPr>
              <w:t>87</w:t>
            </w:r>
          </w:p>
        </w:tc>
        <w:tc>
          <w:tcPr>
            <w:tcW w:w="992" w:type="dxa"/>
            <w:tcBorders>
              <w:top w:val="nil"/>
              <w:left w:val="nil"/>
              <w:bottom w:val="single" w:sz="4" w:space="0" w:color="auto"/>
              <w:right w:val="single" w:sz="4" w:space="0" w:color="auto"/>
            </w:tcBorders>
            <w:vAlign w:val="center"/>
            <w:hideMark/>
          </w:tcPr>
          <w:p w:rsidR="008248F9" w:rsidRDefault="008248F9" w:rsidP="008248F9">
            <w:pPr>
              <w:spacing w:after="0" w:line="240" w:lineRule="auto"/>
              <w:jc w:val="center"/>
              <w:rPr>
                <w:color w:val="000000"/>
                <w:sz w:val="20"/>
                <w:szCs w:val="20"/>
                <w:lang w:eastAsia="en-US"/>
              </w:rPr>
            </w:pPr>
            <w:r>
              <w:rPr>
                <w:color w:val="000000"/>
                <w:sz w:val="20"/>
                <w:szCs w:val="20"/>
                <w:lang w:eastAsia="en-US"/>
              </w:rPr>
              <w:t>22</w:t>
            </w:r>
          </w:p>
        </w:tc>
        <w:tc>
          <w:tcPr>
            <w:tcW w:w="1101" w:type="dxa"/>
            <w:tcBorders>
              <w:top w:val="nil"/>
              <w:left w:val="nil"/>
              <w:bottom w:val="single" w:sz="4" w:space="0" w:color="auto"/>
              <w:right w:val="single" w:sz="4" w:space="0" w:color="auto"/>
            </w:tcBorders>
            <w:vAlign w:val="center"/>
            <w:hideMark/>
          </w:tcPr>
          <w:p w:rsidR="008248F9" w:rsidRDefault="008248F9" w:rsidP="008248F9">
            <w:pPr>
              <w:spacing w:after="0" w:line="240" w:lineRule="auto"/>
              <w:jc w:val="center"/>
              <w:rPr>
                <w:sz w:val="20"/>
                <w:szCs w:val="20"/>
                <w:lang w:eastAsia="en-US"/>
              </w:rPr>
            </w:pPr>
            <w:r>
              <w:rPr>
                <w:sz w:val="20"/>
                <w:szCs w:val="20"/>
                <w:lang w:eastAsia="en-US"/>
              </w:rPr>
              <w:t>136,37</w:t>
            </w:r>
          </w:p>
        </w:tc>
        <w:tc>
          <w:tcPr>
            <w:tcW w:w="1134" w:type="dxa"/>
            <w:tcBorders>
              <w:top w:val="nil"/>
              <w:left w:val="nil"/>
              <w:bottom w:val="single" w:sz="4" w:space="0" w:color="auto"/>
              <w:right w:val="single" w:sz="4" w:space="0" w:color="auto"/>
            </w:tcBorders>
            <w:vAlign w:val="center"/>
            <w:hideMark/>
          </w:tcPr>
          <w:p w:rsidR="008248F9" w:rsidRDefault="008248F9" w:rsidP="008248F9">
            <w:pPr>
              <w:spacing w:after="0" w:line="240" w:lineRule="auto"/>
              <w:jc w:val="center"/>
              <w:rPr>
                <w:sz w:val="20"/>
                <w:szCs w:val="20"/>
                <w:lang w:eastAsia="en-US"/>
              </w:rPr>
            </w:pPr>
            <w:r>
              <w:rPr>
                <w:sz w:val="20"/>
                <w:szCs w:val="20"/>
                <w:lang w:eastAsia="en-US"/>
              </w:rPr>
              <w:t>116,81</w:t>
            </w:r>
          </w:p>
        </w:tc>
        <w:tc>
          <w:tcPr>
            <w:tcW w:w="1134" w:type="dxa"/>
            <w:tcBorders>
              <w:top w:val="nil"/>
              <w:left w:val="nil"/>
              <w:bottom w:val="single" w:sz="4" w:space="0" w:color="auto"/>
              <w:right w:val="single" w:sz="4" w:space="0" w:color="auto"/>
            </w:tcBorders>
            <w:vAlign w:val="center"/>
            <w:hideMark/>
          </w:tcPr>
          <w:p w:rsidR="008248F9" w:rsidRDefault="008248F9" w:rsidP="008248F9">
            <w:pPr>
              <w:spacing w:after="0" w:line="240" w:lineRule="auto"/>
              <w:jc w:val="center"/>
              <w:rPr>
                <w:sz w:val="20"/>
                <w:szCs w:val="20"/>
                <w:lang w:eastAsia="en-US"/>
              </w:rPr>
            </w:pPr>
            <w:r>
              <w:rPr>
                <w:sz w:val="20"/>
                <w:szCs w:val="20"/>
                <w:lang w:eastAsia="en-US"/>
              </w:rPr>
              <w:t>105,18</w:t>
            </w:r>
          </w:p>
        </w:tc>
        <w:tc>
          <w:tcPr>
            <w:tcW w:w="1134" w:type="dxa"/>
            <w:tcBorders>
              <w:top w:val="nil"/>
              <w:left w:val="nil"/>
              <w:bottom w:val="single" w:sz="4" w:space="0" w:color="auto"/>
              <w:right w:val="single" w:sz="4" w:space="0" w:color="auto"/>
            </w:tcBorders>
            <w:vAlign w:val="center"/>
            <w:hideMark/>
          </w:tcPr>
          <w:p w:rsidR="008248F9" w:rsidRDefault="008248F9" w:rsidP="008248F9">
            <w:pPr>
              <w:spacing w:after="0" w:line="240" w:lineRule="auto"/>
              <w:jc w:val="center"/>
              <w:rPr>
                <w:sz w:val="20"/>
                <w:szCs w:val="20"/>
                <w:lang w:eastAsia="en-US"/>
              </w:rPr>
            </w:pPr>
            <w:r>
              <w:rPr>
                <w:sz w:val="20"/>
                <w:szCs w:val="20"/>
                <w:lang w:eastAsia="en-US"/>
              </w:rPr>
              <w:t>123,73</w:t>
            </w:r>
          </w:p>
        </w:tc>
      </w:tr>
      <w:tr w:rsidR="008248F9" w:rsidTr="00AC77C2">
        <w:trPr>
          <w:trHeight w:val="284"/>
        </w:trPr>
        <w:tc>
          <w:tcPr>
            <w:tcW w:w="992" w:type="dxa"/>
            <w:tcBorders>
              <w:top w:val="nil"/>
              <w:left w:val="single" w:sz="4" w:space="0" w:color="auto"/>
              <w:bottom w:val="single" w:sz="4" w:space="0" w:color="auto"/>
              <w:right w:val="single" w:sz="4" w:space="0" w:color="auto"/>
            </w:tcBorders>
            <w:noWrap/>
            <w:vAlign w:val="center"/>
            <w:hideMark/>
          </w:tcPr>
          <w:p w:rsidR="008248F9" w:rsidRDefault="008248F9" w:rsidP="008248F9">
            <w:pPr>
              <w:spacing w:after="0" w:line="240" w:lineRule="auto"/>
              <w:jc w:val="center"/>
              <w:rPr>
                <w:sz w:val="20"/>
                <w:szCs w:val="20"/>
                <w:lang w:eastAsia="en-US"/>
              </w:rPr>
            </w:pPr>
            <w:r>
              <w:rPr>
                <w:sz w:val="20"/>
                <w:szCs w:val="20"/>
                <w:lang w:eastAsia="en-US"/>
              </w:rPr>
              <w:t>9</w:t>
            </w:r>
          </w:p>
        </w:tc>
        <w:tc>
          <w:tcPr>
            <w:tcW w:w="1560" w:type="dxa"/>
            <w:tcBorders>
              <w:top w:val="nil"/>
              <w:left w:val="nil"/>
              <w:bottom w:val="single" w:sz="4" w:space="0" w:color="auto"/>
              <w:right w:val="single" w:sz="4" w:space="0" w:color="auto"/>
            </w:tcBorders>
            <w:noWrap/>
            <w:vAlign w:val="center"/>
            <w:hideMark/>
          </w:tcPr>
          <w:p w:rsidR="008248F9" w:rsidRDefault="008248F9" w:rsidP="008248F9">
            <w:pPr>
              <w:spacing w:after="0" w:line="240" w:lineRule="auto"/>
              <w:jc w:val="center"/>
              <w:rPr>
                <w:sz w:val="20"/>
                <w:szCs w:val="20"/>
                <w:lang w:eastAsia="en-US"/>
              </w:rPr>
            </w:pPr>
            <w:r>
              <w:rPr>
                <w:sz w:val="20"/>
                <w:szCs w:val="20"/>
                <w:lang w:eastAsia="en-US"/>
              </w:rPr>
              <w:t>76-85</w:t>
            </w:r>
          </w:p>
        </w:tc>
        <w:tc>
          <w:tcPr>
            <w:tcW w:w="993" w:type="dxa"/>
            <w:tcBorders>
              <w:top w:val="nil"/>
              <w:left w:val="nil"/>
              <w:bottom w:val="single" w:sz="4" w:space="0" w:color="auto"/>
              <w:right w:val="single" w:sz="4" w:space="0" w:color="auto"/>
            </w:tcBorders>
            <w:vAlign w:val="center"/>
            <w:hideMark/>
          </w:tcPr>
          <w:p w:rsidR="008248F9" w:rsidRDefault="008248F9" w:rsidP="008248F9">
            <w:pPr>
              <w:spacing w:after="0" w:line="240" w:lineRule="auto"/>
              <w:jc w:val="center"/>
              <w:rPr>
                <w:sz w:val="20"/>
                <w:szCs w:val="20"/>
                <w:lang w:eastAsia="en-US"/>
              </w:rPr>
            </w:pPr>
            <w:r>
              <w:rPr>
                <w:sz w:val="20"/>
                <w:szCs w:val="20"/>
                <w:lang w:eastAsia="en-US"/>
              </w:rPr>
              <w:t>91</w:t>
            </w:r>
          </w:p>
        </w:tc>
        <w:tc>
          <w:tcPr>
            <w:tcW w:w="992" w:type="dxa"/>
            <w:tcBorders>
              <w:top w:val="nil"/>
              <w:left w:val="nil"/>
              <w:bottom w:val="single" w:sz="4" w:space="0" w:color="auto"/>
              <w:right w:val="single" w:sz="4" w:space="0" w:color="auto"/>
            </w:tcBorders>
            <w:vAlign w:val="center"/>
            <w:hideMark/>
          </w:tcPr>
          <w:p w:rsidR="008248F9" w:rsidRDefault="008248F9" w:rsidP="008248F9">
            <w:pPr>
              <w:spacing w:after="0" w:line="240" w:lineRule="auto"/>
              <w:jc w:val="center"/>
              <w:rPr>
                <w:sz w:val="20"/>
                <w:szCs w:val="20"/>
                <w:lang w:eastAsia="en-US"/>
              </w:rPr>
            </w:pPr>
            <w:r>
              <w:rPr>
                <w:sz w:val="20"/>
                <w:szCs w:val="20"/>
                <w:lang w:eastAsia="en-US"/>
              </w:rPr>
              <w:t>23</w:t>
            </w:r>
          </w:p>
        </w:tc>
        <w:tc>
          <w:tcPr>
            <w:tcW w:w="1101" w:type="dxa"/>
            <w:tcBorders>
              <w:top w:val="nil"/>
              <w:left w:val="nil"/>
              <w:bottom w:val="single" w:sz="4" w:space="0" w:color="auto"/>
              <w:right w:val="single" w:sz="4" w:space="0" w:color="auto"/>
            </w:tcBorders>
            <w:vAlign w:val="center"/>
            <w:hideMark/>
          </w:tcPr>
          <w:p w:rsidR="008248F9" w:rsidRDefault="008248F9" w:rsidP="008248F9">
            <w:pPr>
              <w:spacing w:after="0" w:line="240" w:lineRule="auto"/>
              <w:jc w:val="center"/>
              <w:rPr>
                <w:sz w:val="20"/>
                <w:szCs w:val="20"/>
                <w:lang w:eastAsia="en-US"/>
              </w:rPr>
            </w:pPr>
            <w:r>
              <w:rPr>
                <w:sz w:val="20"/>
                <w:szCs w:val="20"/>
                <w:lang w:eastAsia="en-US"/>
              </w:rPr>
              <w:t>142,52</w:t>
            </w:r>
          </w:p>
        </w:tc>
        <w:tc>
          <w:tcPr>
            <w:tcW w:w="1134" w:type="dxa"/>
            <w:tcBorders>
              <w:top w:val="nil"/>
              <w:left w:val="nil"/>
              <w:bottom w:val="single" w:sz="4" w:space="0" w:color="auto"/>
              <w:right w:val="single" w:sz="4" w:space="0" w:color="auto"/>
            </w:tcBorders>
            <w:vAlign w:val="center"/>
            <w:hideMark/>
          </w:tcPr>
          <w:p w:rsidR="008248F9" w:rsidRDefault="008248F9" w:rsidP="008248F9">
            <w:pPr>
              <w:spacing w:after="0" w:line="240" w:lineRule="auto"/>
              <w:jc w:val="center"/>
              <w:rPr>
                <w:sz w:val="20"/>
                <w:szCs w:val="20"/>
                <w:lang w:eastAsia="en-US"/>
              </w:rPr>
            </w:pPr>
            <w:r>
              <w:rPr>
                <w:sz w:val="20"/>
                <w:szCs w:val="20"/>
                <w:lang w:eastAsia="en-US"/>
              </w:rPr>
              <w:t>122,01</w:t>
            </w:r>
          </w:p>
        </w:tc>
        <w:tc>
          <w:tcPr>
            <w:tcW w:w="1134" w:type="dxa"/>
            <w:tcBorders>
              <w:top w:val="nil"/>
              <w:left w:val="nil"/>
              <w:bottom w:val="single" w:sz="4" w:space="0" w:color="auto"/>
              <w:right w:val="single" w:sz="4" w:space="0" w:color="auto"/>
            </w:tcBorders>
            <w:vAlign w:val="center"/>
            <w:hideMark/>
          </w:tcPr>
          <w:p w:rsidR="008248F9" w:rsidRDefault="008248F9" w:rsidP="008248F9">
            <w:pPr>
              <w:spacing w:after="0" w:line="240" w:lineRule="auto"/>
              <w:jc w:val="center"/>
              <w:rPr>
                <w:sz w:val="20"/>
                <w:szCs w:val="20"/>
                <w:lang w:eastAsia="en-US"/>
              </w:rPr>
            </w:pPr>
            <w:r>
              <w:rPr>
                <w:sz w:val="20"/>
                <w:szCs w:val="20"/>
                <w:lang w:eastAsia="en-US"/>
              </w:rPr>
              <w:t>109,95</w:t>
            </w:r>
          </w:p>
        </w:tc>
        <w:tc>
          <w:tcPr>
            <w:tcW w:w="1134" w:type="dxa"/>
            <w:tcBorders>
              <w:top w:val="nil"/>
              <w:left w:val="nil"/>
              <w:bottom w:val="single" w:sz="4" w:space="0" w:color="auto"/>
              <w:right w:val="single" w:sz="4" w:space="0" w:color="auto"/>
            </w:tcBorders>
            <w:vAlign w:val="center"/>
            <w:hideMark/>
          </w:tcPr>
          <w:p w:rsidR="008248F9" w:rsidRDefault="008248F9" w:rsidP="008248F9">
            <w:pPr>
              <w:spacing w:after="0" w:line="240" w:lineRule="auto"/>
              <w:jc w:val="center"/>
              <w:rPr>
                <w:sz w:val="20"/>
                <w:szCs w:val="20"/>
                <w:lang w:eastAsia="en-US"/>
              </w:rPr>
            </w:pPr>
            <w:r>
              <w:rPr>
                <w:sz w:val="20"/>
                <w:szCs w:val="20"/>
                <w:lang w:eastAsia="en-US"/>
              </w:rPr>
              <w:t>129,30</w:t>
            </w:r>
          </w:p>
        </w:tc>
      </w:tr>
      <w:tr w:rsidR="008248F9" w:rsidTr="00AC77C2">
        <w:trPr>
          <w:trHeight w:val="284"/>
        </w:trPr>
        <w:tc>
          <w:tcPr>
            <w:tcW w:w="992" w:type="dxa"/>
            <w:tcBorders>
              <w:top w:val="nil"/>
              <w:left w:val="single" w:sz="4" w:space="0" w:color="auto"/>
              <w:bottom w:val="single" w:sz="4" w:space="0" w:color="auto"/>
              <w:right w:val="single" w:sz="4" w:space="0" w:color="auto"/>
            </w:tcBorders>
            <w:noWrap/>
            <w:vAlign w:val="center"/>
            <w:hideMark/>
          </w:tcPr>
          <w:p w:rsidR="008248F9" w:rsidRDefault="008248F9" w:rsidP="008248F9">
            <w:pPr>
              <w:spacing w:after="0" w:line="240" w:lineRule="auto"/>
              <w:jc w:val="center"/>
              <w:rPr>
                <w:sz w:val="20"/>
                <w:szCs w:val="20"/>
                <w:lang w:eastAsia="en-US"/>
              </w:rPr>
            </w:pPr>
            <w:r>
              <w:rPr>
                <w:sz w:val="20"/>
                <w:szCs w:val="20"/>
                <w:lang w:eastAsia="en-US"/>
              </w:rPr>
              <w:t>10</w:t>
            </w:r>
          </w:p>
        </w:tc>
        <w:tc>
          <w:tcPr>
            <w:tcW w:w="1560" w:type="dxa"/>
            <w:tcBorders>
              <w:top w:val="nil"/>
              <w:left w:val="nil"/>
              <w:bottom w:val="single" w:sz="4" w:space="0" w:color="auto"/>
              <w:right w:val="single" w:sz="4" w:space="0" w:color="auto"/>
            </w:tcBorders>
            <w:noWrap/>
            <w:vAlign w:val="center"/>
            <w:hideMark/>
          </w:tcPr>
          <w:p w:rsidR="008248F9" w:rsidRDefault="008248F9" w:rsidP="008248F9">
            <w:pPr>
              <w:spacing w:after="0" w:line="240" w:lineRule="auto"/>
              <w:jc w:val="center"/>
              <w:rPr>
                <w:sz w:val="20"/>
                <w:szCs w:val="20"/>
                <w:lang w:eastAsia="en-US"/>
              </w:rPr>
            </w:pPr>
            <w:r>
              <w:rPr>
                <w:sz w:val="20"/>
                <w:szCs w:val="20"/>
                <w:lang w:eastAsia="en-US"/>
              </w:rPr>
              <w:t>86-95</w:t>
            </w:r>
          </w:p>
        </w:tc>
        <w:tc>
          <w:tcPr>
            <w:tcW w:w="993" w:type="dxa"/>
            <w:tcBorders>
              <w:top w:val="nil"/>
              <w:left w:val="nil"/>
              <w:bottom w:val="single" w:sz="4" w:space="0" w:color="auto"/>
              <w:right w:val="single" w:sz="4" w:space="0" w:color="auto"/>
            </w:tcBorders>
            <w:vAlign w:val="center"/>
            <w:hideMark/>
          </w:tcPr>
          <w:p w:rsidR="008248F9" w:rsidRDefault="008248F9" w:rsidP="008248F9">
            <w:pPr>
              <w:spacing w:after="0" w:line="240" w:lineRule="auto"/>
              <w:jc w:val="center"/>
              <w:rPr>
                <w:sz w:val="20"/>
                <w:szCs w:val="20"/>
                <w:lang w:eastAsia="en-US"/>
              </w:rPr>
            </w:pPr>
            <w:r>
              <w:rPr>
                <w:sz w:val="20"/>
                <w:szCs w:val="20"/>
                <w:lang w:eastAsia="en-US"/>
              </w:rPr>
              <w:t>97</w:t>
            </w:r>
          </w:p>
        </w:tc>
        <w:tc>
          <w:tcPr>
            <w:tcW w:w="992" w:type="dxa"/>
            <w:tcBorders>
              <w:top w:val="nil"/>
              <w:left w:val="nil"/>
              <w:bottom w:val="single" w:sz="4" w:space="0" w:color="auto"/>
              <w:right w:val="single" w:sz="4" w:space="0" w:color="auto"/>
            </w:tcBorders>
            <w:vAlign w:val="center"/>
            <w:hideMark/>
          </w:tcPr>
          <w:p w:rsidR="008248F9" w:rsidRDefault="008248F9" w:rsidP="008248F9">
            <w:pPr>
              <w:spacing w:after="0" w:line="240" w:lineRule="auto"/>
              <w:jc w:val="center"/>
              <w:rPr>
                <w:sz w:val="20"/>
                <w:szCs w:val="20"/>
                <w:lang w:eastAsia="en-US"/>
              </w:rPr>
            </w:pPr>
            <w:r>
              <w:rPr>
                <w:sz w:val="20"/>
                <w:szCs w:val="20"/>
                <w:lang w:eastAsia="en-US"/>
              </w:rPr>
              <w:t>24</w:t>
            </w:r>
          </w:p>
        </w:tc>
        <w:tc>
          <w:tcPr>
            <w:tcW w:w="1101" w:type="dxa"/>
            <w:tcBorders>
              <w:top w:val="nil"/>
              <w:left w:val="nil"/>
              <w:bottom w:val="single" w:sz="4" w:space="0" w:color="auto"/>
              <w:right w:val="single" w:sz="4" w:space="0" w:color="auto"/>
            </w:tcBorders>
            <w:vAlign w:val="center"/>
            <w:hideMark/>
          </w:tcPr>
          <w:p w:rsidR="008248F9" w:rsidRDefault="008248F9" w:rsidP="008248F9">
            <w:pPr>
              <w:spacing w:after="0" w:line="240" w:lineRule="auto"/>
              <w:jc w:val="center"/>
              <w:rPr>
                <w:sz w:val="20"/>
                <w:szCs w:val="20"/>
                <w:lang w:eastAsia="en-US"/>
              </w:rPr>
            </w:pPr>
            <w:r>
              <w:rPr>
                <w:sz w:val="20"/>
                <w:szCs w:val="20"/>
                <w:lang w:eastAsia="en-US"/>
              </w:rPr>
              <w:t>151,99</w:t>
            </w:r>
          </w:p>
        </w:tc>
        <w:tc>
          <w:tcPr>
            <w:tcW w:w="1134" w:type="dxa"/>
            <w:tcBorders>
              <w:top w:val="nil"/>
              <w:left w:val="nil"/>
              <w:bottom w:val="single" w:sz="4" w:space="0" w:color="auto"/>
              <w:right w:val="single" w:sz="4" w:space="0" w:color="auto"/>
            </w:tcBorders>
            <w:vAlign w:val="center"/>
            <w:hideMark/>
          </w:tcPr>
          <w:p w:rsidR="008248F9" w:rsidRDefault="008248F9" w:rsidP="008248F9">
            <w:pPr>
              <w:spacing w:after="0" w:line="240" w:lineRule="auto"/>
              <w:jc w:val="center"/>
              <w:rPr>
                <w:sz w:val="20"/>
                <w:szCs w:val="20"/>
                <w:lang w:eastAsia="en-US"/>
              </w:rPr>
            </w:pPr>
            <w:r>
              <w:rPr>
                <w:sz w:val="20"/>
                <w:szCs w:val="20"/>
                <w:lang w:eastAsia="en-US"/>
              </w:rPr>
              <w:t>130,08</w:t>
            </w:r>
          </w:p>
        </w:tc>
        <w:tc>
          <w:tcPr>
            <w:tcW w:w="1134" w:type="dxa"/>
            <w:tcBorders>
              <w:top w:val="nil"/>
              <w:left w:val="nil"/>
              <w:bottom w:val="single" w:sz="4" w:space="0" w:color="auto"/>
              <w:right w:val="single" w:sz="4" w:space="0" w:color="auto"/>
            </w:tcBorders>
            <w:vAlign w:val="center"/>
            <w:hideMark/>
          </w:tcPr>
          <w:p w:rsidR="008248F9" w:rsidRDefault="008248F9" w:rsidP="008248F9">
            <w:pPr>
              <w:spacing w:after="0" w:line="240" w:lineRule="auto"/>
              <w:jc w:val="center"/>
              <w:rPr>
                <w:sz w:val="20"/>
                <w:szCs w:val="20"/>
                <w:lang w:eastAsia="en-US"/>
              </w:rPr>
            </w:pPr>
            <w:r>
              <w:rPr>
                <w:sz w:val="20"/>
                <w:szCs w:val="20"/>
                <w:lang w:eastAsia="en-US"/>
              </w:rPr>
              <w:t>117,33</w:t>
            </w:r>
          </w:p>
        </w:tc>
        <w:tc>
          <w:tcPr>
            <w:tcW w:w="1134" w:type="dxa"/>
            <w:tcBorders>
              <w:top w:val="nil"/>
              <w:left w:val="nil"/>
              <w:bottom w:val="single" w:sz="4" w:space="0" w:color="auto"/>
              <w:right w:val="single" w:sz="4" w:space="0" w:color="auto"/>
            </w:tcBorders>
            <w:vAlign w:val="center"/>
            <w:hideMark/>
          </w:tcPr>
          <w:p w:rsidR="008248F9" w:rsidRDefault="008248F9" w:rsidP="008248F9">
            <w:pPr>
              <w:spacing w:after="0" w:line="240" w:lineRule="auto"/>
              <w:jc w:val="center"/>
              <w:rPr>
                <w:sz w:val="20"/>
                <w:szCs w:val="20"/>
                <w:lang w:eastAsia="en-US"/>
              </w:rPr>
            </w:pPr>
            <w:r>
              <w:rPr>
                <w:sz w:val="20"/>
                <w:szCs w:val="20"/>
                <w:lang w:eastAsia="en-US"/>
              </w:rPr>
              <w:t>137,80</w:t>
            </w:r>
          </w:p>
        </w:tc>
      </w:tr>
      <w:tr w:rsidR="008248F9" w:rsidTr="00AC77C2">
        <w:trPr>
          <w:trHeight w:val="284"/>
        </w:trPr>
        <w:tc>
          <w:tcPr>
            <w:tcW w:w="992" w:type="dxa"/>
            <w:tcBorders>
              <w:top w:val="nil"/>
              <w:left w:val="single" w:sz="4" w:space="0" w:color="auto"/>
              <w:bottom w:val="single" w:sz="4" w:space="0" w:color="auto"/>
              <w:right w:val="single" w:sz="4" w:space="0" w:color="auto"/>
            </w:tcBorders>
            <w:noWrap/>
            <w:vAlign w:val="center"/>
            <w:hideMark/>
          </w:tcPr>
          <w:p w:rsidR="008248F9" w:rsidRDefault="008248F9" w:rsidP="008248F9">
            <w:pPr>
              <w:spacing w:after="0" w:line="240" w:lineRule="auto"/>
              <w:jc w:val="center"/>
              <w:rPr>
                <w:sz w:val="20"/>
                <w:szCs w:val="20"/>
                <w:lang w:eastAsia="en-US"/>
              </w:rPr>
            </w:pPr>
            <w:r>
              <w:rPr>
                <w:sz w:val="20"/>
                <w:szCs w:val="20"/>
                <w:lang w:eastAsia="en-US"/>
              </w:rPr>
              <w:t>11</w:t>
            </w:r>
          </w:p>
        </w:tc>
        <w:tc>
          <w:tcPr>
            <w:tcW w:w="1560" w:type="dxa"/>
            <w:tcBorders>
              <w:top w:val="nil"/>
              <w:left w:val="nil"/>
              <w:bottom w:val="single" w:sz="4" w:space="0" w:color="auto"/>
              <w:right w:val="single" w:sz="4" w:space="0" w:color="auto"/>
            </w:tcBorders>
            <w:noWrap/>
            <w:vAlign w:val="center"/>
            <w:hideMark/>
          </w:tcPr>
          <w:p w:rsidR="008248F9" w:rsidRDefault="008248F9" w:rsidP="008248F9">
            <w:pPr>
              <w:spacing w:after="0" w:line="240" w:lineRule="auto"/>
              <w:jc w:val="center"/>
              <w:rPr>
                <w:sz w:val="20"/>
                <w:szCs w:val="20"/>
                <w:lang w:eastAsia="en-US"/>
              </w:rPr>
            </w:pPr>
            <w:r>
              <w:rPr>
                <w:sz w:val="20"/>
                <w:szCs w:val="20"/>
                <w:lang w:eastAsia="en-US"/>
              </w:rPr>
              <w:t>96-105</w:t>
            </w:r>
          </w:p>
        </w:tc>
        <w:tc>
          <w:tcPr>
            <w:tcW w:w="993" w:type="dxa"/>
            <w:tcBorders>
              <w:top w:val="nil"/>
              <w:left w:val="nil"/>
              <w:bottom w:val="single" w:sz="4" w:space="0" w:color="auto"/>
              <w:right w:val="single" w:sz="4" w:space="0" w:color="auto"/>
            </w:tcBorders>
            <w:vAlign w:val="center"/>
            <w:hideMark/>
          </w:tcPr>
          <w:p w:rsidR="008248F9" w:rsidRDefault="008248F9" w:rsidP="008248F9">
            <w:pPr>
              <w:spacing w:after="0" w:line="240" w:lineRule="auto"/>
              <w:jc w:val="center"/>
              <w:rPr>
                <w:sz w:val="20"/>
                <w:szCs w:val="20"/>
                <w:lang w:eastAsia="en-US"/>
              </w:rPr>
            </w:pPr>
            <w:r>
              <w:rPr>
                <w:sz w:val="20"/>
                <w:szCs w:val="20"/>
                <w:lang w:eastAsia="en-US"/>
              </w:rPr>
              <w:t>101</w:t>
            </w:r>
          </w:p>
        </w:tc>
        <w:tc>
          <w:tcPr>
            <w:tcW w:w="992" w:type="dxa"/>
            <w:tcBorders>
              <w:top w:val="nil"/>
              <w:left w:val="nil"/>
              <w:bottom w:val="single" w:sz="4" w:space="0" w:color="auto"/>
              <w:right w:val="single" w:sz="4" w:space="0" w:color="auto"/>
            </w:tcBorders>
            <w:vAlign w:val="center"/>
            <w:hideMark/>
          </w:tcPr>
          <w:p w:rsidR="008248F9" w:rsidRDefault="008248F9" w:rsidP="008248F9">
            <w:pPr>
              <w:spacing w:after="0" w:line="240" w:lineRule="auto"/>
              <w:jc w:val="center"/>
              <w:rPr>
                <w:sz w:val="20"/>
                <w:szCs w:val="20"/>
                <w:lang w:eastAsia="en-US"/>
              </w:rPr>
            </w:pPr>
            <w:r>
              <w:rPr>
                <w:sz w:val="20"/>
                <w:szCs w:val="20"/>
                <w:lang w:eastAsia="en-US"/>
              </w:rPr>
              <w:t>25</w:t>
            </w:r>
          </w:p>
        </w:tc>
        <w:tc>
          <w:tcPr>
            <w:tcW w:w="1101" w:type="dxa"/>
            <w:tcBorders>
              <w:top w:val="nil"/>
              <w:left w:val="nil"/>
              <w:bottom w:val="single" w:sz="4" w:space="0" w:color="auto"/>
              <w:right w:val="single" w:sz="4" w:space="0" w:color="auto"/>
            </w:tcBorders>
            <w:vAlign w:val="center"/>
            <w:hideMark/>
          </w:tcPr>
          <w:p w:rsidR="008248F9" w:rsidRDefault="008248F9" w:rsidP="008248F9">
            <w:pPr>
              <w:spacing w:after="0" w:line="240" w:lineRule="auto"/>
              <w:jc w:val="center"/>
              <w:rPr>
                <w:sz w:val="20"/>
                <w:szCs w:val="20"/>
                <w:lang w:eastAsia="en-US"/>
              </w:rPr>
            </w:pPr>
            <w:r>
              <w:rPr>
                <w:sz w:val="20"/>
                <w:szCs w:val="20"/>
                <w:lang w:eastAsia="en-US"/>
              </w:rPr>
              <w:t>157,89</w:t>
            </w:r>
          </w:p>
        </w:tc>
        <w:tc>
          <w:tcPr>
            <w:tcW w:w="1134" w:type="dxa"/>
            <w:tcBorders>
              <w:top w:val="nil"/>
              <w:left w:val="nil"/>
              <w:bottom w:val="single" w:sz="4" w:space="0" w:color="auto"/>
              <w:right w:val="single" w:sz="4" w:space="0" w:color="auto"/>
            </w:tcBorders>
            <w:vAlign w:val="center"/>
            <w:hideMark/>
          </w:tcPr>
          <w:p w:rsidR="008248F9" w:rsidRDefault="008248F9" w:rsidP="008248F9">
            <w:pPr>
              <w:spacing w:after="0" w:line="240" w:lineRule="auto"/>
              <w:jc w:val="center"/>
              <w:rPr>
                <w:sz w:val="20"/>
                <w:szCs w:val="20"/>
                <w:lang w:eastAsia="en-US"/>
              </w:rPr>
            </w:pPr>
            <w:r>
              <w:rPr>
                <w:sz w:val="20"/>
                <w:szCs w:val="20"/>
                <w:lang w:eastAsia="en-US"/>
              </w:rPr>
              <w:t>135,23</w:t>
            </w:r>
          </w:p>
        </w:tc>
        <w:tc>
          <w:tcPr>
            <w:tcW w:w="1134" w:type="dxa"/>
            <w:tcBorders>
              <w:top w:val="nil"/>
              <w:left w:val="nil"/>
              <w:bottom w:val="single" w:sz="4" w:space="0" w:color="auto"/>
              <w:right w:val="single" w:sz="4" w:space="0" w:color="auto"/>
            </w:tcBorders>
            <w:vAlign w:val="center"/>
            <w:hideMark/>
          </w:tcPr>
          <w:p w:rsidR="008248F9" w:rsidRDefault="008248F9" w:rsidP="008248F9">
            <w:pPr>
              <w:spacing w:after="0" w:line="240" w:lineRule="auto"/>
              <w:jc w:val="center"/>
              <w:rPr>
                <w:sz w:val="20"/>
                <w:szCs w:val="20"/>
                <w:lang w:eastAsia="en-US"/>
              </w:rPr>
            </w:pPr>
            <w:r>
              <w:rPr>
                <w:sz w:val="20"/>
                <w:szCs w:val="20"/>
                <w:lang w:eastAsia="en-US"/>
              </w:rPr>
              <w:t>121,89</w:t>
            </w:r>
          </w:p>
        </w:tc>
        <w:tc>
          <w:tcPr>
            <w:tcW w:w="1134" w:type="dxa"/>
            <w:tcBorders>
              <w:top w:val="nil"/>
              <w:left w:val="nil"/>
              <w:bottom w:val="single" w:sz="4" w:space="0" w:color="auto"/>
              <w:right w:val="single" w:sz="4" w:space="0" w:color="auto"/>
            </w:tcBorders>
            <w:vAlign w:val="center"/>
            <w:hideMark/>
          </w:tcPr>
          <w:p w:rsidR="008248F9" w:rsidRDefault="008248F9" w:rsidP="008248F9">
            <w:pPr>
              <w:spacing w:after="0" w:line="240" w:lineRule="auto"/>
              <w:jc w:val="center"/>
              <w:rPr>
                <w:sz w:val="20"/>
                <w:szCs w:val="20"/>
                <w:lang w:eastAsia="en-US"/>
              </w:rPr>
            </w:pPr>
            <w:r>
              <w:rPr>
                <w:sz w:val="20"/>
                <w:szCs w:val="20"/>
                <w:lang w:eastAsia="en-US"/>
              </w:rPr>
              <w:t>143,25</w:t>
            </w:r>
          </w:p>
        </w:tc>
      </w:tr>
      <w:tr w:rsidR="008248F9" w:rsidTr="00AC77C2">
        <w:trPr>
          <w:trHeight w:val="284"/>
        </w:trPr>
        <w:tc>
          <w:tcPr>
            <w:tcW w:w="992" w:type="dxa"/>
            <w:tcBorders>
              <w:top w:val="nil"/>
              <w:left w:val="single" w:sz="4" w:space="0" w:color="auto"/>
              <w:bottom w:val="single" w:sz="4" w:space="0" w:color="auto"/>
              <w:right w:val="single" w:sz="4" w:space="0" w:color="auto"/>
            </w:tcBorders>
            <w:noWrap/>
            <w:vAlign w:val="center"/>
            <w:hideMark/>
          </w:tcPr>
          <w:p w:rsidR="008248F9" w:rsidRDefault="008248F9" w:rsidP="008248F9">
            <w:pPr>
              <w:spacing w:after="0" w:line="240" w:lineRule="auto"/>
              <w:jc w:val="center"/>
              <w:rPr>
                <w:sz w:val="20"/>
                <w:szCs w:val="20"/>
                <w:lang w:eastAsia="en-US"/>
              </w:rPr>
            </w:pPr>
            <w:r>
              <w:rPr>
                <w:sz w:val="20"/>
                <w:szCs w:val="20"/>
                <w:lang w:eastAsia="en-US"/>
              </w:rPr>
              <w:t>12</w:t>
            </w:r>
          </w:p>
        </w:tc>
        <w:tc>
          <w:tcPr>
            <w:tcW w:w="1560" w:type="dxa"/>
            <w:tcBorders>
              <w:top w:val="nil"/>
              <w:left w:val="nil"/>
              <w:bottom w:val="single" w:sz="4" w:space="0" w:color="auto"/>
              <w:right w:val="single" w:sz="4" w:space="0" w:color="auto"/>
            </w:tcBorders>
            <w:noWrap/>
            <w:vAlign w:val="center"/>
            <w:hideMark/>
          </w:tcPr>
          <w:p w:rsidR="008248F9" w:rsidRDefault="008248F9" w:rsidP="008248F9">
            <w:pPr>
              <w:spacing w:after="0" w:line="240" w:lineRule="auto"/>
              <w:jc w:val="center"/>
              <w:rPr>
                <w:sz w:val="20"/>
                <w:szCs w:val="20"/>
                <w:lang w:eastAsia="en-US"/>
              </w:rPr>
            </w:pPr>
            <w:r>
              <w:rPr>
                <w:sz w:val="20"/>
                <w:szCs w:val="20"/>
                <w:lang w:eastAsia="en-US"/>
              </w:rPr>
              <w:t>106-115</w:t>
            </w:r>
          </w:p>
        </w:tc>
        <w:tc>
          <w:tcPr>
            <w:tcW w:w="993" w:type="dxa"/>
            <w:tcBorders>
              <w:top w:val="nil"/>
              <w:left w:val="nil"/>
              <w:bottom w:val="single" w:sz="4" w:space="0" w:color="auto"/>
              <w:right w:val="single" w:sz="4" w:space="0" w:color="auto"/>
            </w:tcBorders>
            <w:vAlign w:val="center"/>
            <w:hideMark/>
          </w:tcPr>
          <w:p w:rsidR="008248F9" w:rsidRDefault="008248F9" w:rsidP="008248F9">
            <w:pPr>
              <w:spacing w:after="0" w:line="240" w:lineRule="auto"/>
              <w:jc w:val="center"/>
              <w:rPr>
                <w:sz w:val="20"/>
                <w:szCs w:val="20"/>
                <w:lang w:eastAsia="en-US"/>
              </w:rPr>
            </w:pPr>
            <w:r>
              <w:rPr>
                <w:sz w:val="20"/>
                <w:szCs w:val="20"/>
                <w:lang w:eastAsia="en-US"/>
              </w:rPr>
              <w:t>105</w:t>
            </w:r>
          </w:p>
        </w:tc>
        <w:tc>
          <w:tcPr>
            <w:tcW w:w="992" w:type="dxa"/>
            <w:tcBorders>
              <w:top w:val="nil"/>
              <w:left w:val="nil"/>
              <w:bottom w:val="single" w:sz="4" w:space="0" w:color="auto"/>
              <w:right w:val="single" w:sz="4" w:space="0" w:color="auto"/>
            </w:tcBorders>
            <w:vAlign w:val="center"/>
            <w:hideMark/>
          </w:tcPr>
          <w:p w:rsidR="008248F9" w:rsidRDefault="008248F9" w:rsidP="008248F9">
            <w:pPr>
              <w:spacing w:after="0" w:line="240" w:lineRule="auto"/>
              <w:jc w:val="center"/>
              <w:rPr>
                <w:sz w:val="20"/>
                <w:szCs w:val="20"/>
                <w:lang w:eastAsia="en-US"/>
              </w:rPr>
            </w:pPr>
            <w:r>
              <w:rPr>
                <w:sz w:val="20"/>
                <w:szCs w:val="20"/>
                <w:lang w:eastAsia="en-US"/>
              </w:rPr>
              <w:t>26</w:t>
            </w:r>
          </w:p>
        </w:tc>
        <w:tc>
          <w:tcPr>
            <w:tcW w:w="1101" w:type="dxa"/>
            <w:tcBorders>
              <w:top w:val="nil"/>
              <w:left w:val="nil"/>
              <w:bottom w:val="single" w:sz="4" w:space="0" w:color="auto"/>
              <w:right w:val="single" w:sz="4" w:space="0" w:color="auto"/>
            </w:tcBorders>
            <w:vAlign w:val="center"/>
            <w:hideMark/>
          </w:tcPr>
          <w:p w:rsidR="008248F9" w:rsidRDefault="008248F9" w:rsidP="008248F9">
            <w:pPr>
              <w:spacing w:after="0" w:line="240" w:lineRule="auto"/>
              <w:jc w:val="center"/>
              <w:rPr>
                <w:sz w:val="20"/>
                <w:szCs w:val="20"/>
                <w:lang w:eastAsia="en-US"/>
              </w:rPr>
            </w:pPr>
            <w:r>
              <w:rPr>
                <w:sz w:val="20"/>
                <w:szCs w:val="20"/>
                <w:lang w:eastAsia="en-US"/>
              </w:rPr>
              <w:t>164,12</w:t>
            </w:r>
          </w:p>
        </w:tc>
        <w:tc>
          <w:tcPr>
            <w:tcW w:w="1134" w:type="dxa"/>
            <w:tcBorders>
              <w:top w:val="nil"/>
              <w:left w:val="nil"/>
              <w:bottom w:val="single" w:sz="4" w:space="0" w:color="auto"/>
              <w:right w:val="single" w:sz="4" w:space="0" w:color="auto"/>
            </w:tcBorders>
            <w:vAlign w:val="center"/>
            <w:hideMark/>
          </w:tcPr>
          <w:p w:rsidR="008248F9" w:rsidRDefault="008248F9" w:rsidP="008248F9">
            <w:pPr>
              <w:spacing w:after="0" w:line="240" w:lineRule="auto"/>
              <w:jc w:val="center"/>
              <w:rPr>
                <w:sz w:val="20"/>
                <w:szCs w:val="20"/>
                <w:lang w:eastAsia="en-US"/>
              </w:rPr>
            </w:pPr>
            <w:r>
              <w:rPr>
                <w:sz w:val="20"/>
                <w:szCs w:val="20"/>
                <w:lang w:eastAsia="en-US"/>
              </w:rPr>
              <w:t>140,48</w:t>
            </w:r>
          </w:p>
        </w:tc>
        <w:tc>
          <w:tcPr>
            <w:tcW w:w="1134" w:type="dxa"/>
            <w:tcBorders>
              <w:top w:val="nil"/>
              <w:left w:val="nil"/>
              <w:bottom w:val="single" w:sz="4" w:space="0" w:color="auto"/>
              <w:right w:val="single" w:sz="4" w:space="0" w:color="auto"/>
            </w:tcBorders>
            <w:vAlign w:val="center"/>
            <w:hideMark/>
          </w:tcPr>
          <w:p w:rsidR="008248F9" w:rsidRDefault="008248F9" w:rsidP="008248F9">
            <w:pPr>
              <w:spacing w:after="0" w:line="240" w:lineRule="auto"/>
              <w:jc w:val="center"/>
              <w:rPr>
                <w:sz w:val="20"/>
                <w:szCs w:val="20"/>
                <w:lang w:eastAsia="en-US"/>
              </w:rPr>
            </w:pPr>
            <w:r>
              <w:rPr>
                <w:sz w:val="20"/>
                <w:szCs w:val="20"/>
                <w:lang w:eastAsia="en-US"/>
              </w:rPr>
              <w:t>126,55</w:t>
            </w:r>
          </w:p>
        </w:tc>
        <w:tc>
          <w:tcPr>
            <w:tcW w:w="1134" w:type="dxa"/>
            <w:tcBorders>
              <w:top w:val="nil"/>
              <w:left w:val="nil"/>
              <w:bottom w:val="single" w:sz="4" w:space="0" w:color="auto"/>
              <w:right w:val="single" w:sz="4" w:space="0" w:color="auto"/>
            </w:tcBorders>
            <w:vAlign w:val="center"/>
            <w:hideMark/>
          </w:tcPr>
          <w:p w:rsidR="008248F9" w:rsidRDefault="008248F9" w:rsidP="008248F9">
            <w:pPr>
              <w:spacing w:after="0" w:line="240" w:lineRule="auto"/>
              <w:jc w:val="center"/>
              <w:rPr>
                <w:sz w:val="20"/>
                <w:szCs w:val="20"/>
                <w:lang w:eastAsia="en-US"/>
              </w:rPr>
            </w:pPr>
            <w:r>
              <w:rPr>
                <w:sz w:val="20"/>
                <w:szCs w:val="20"/>
                <w:lang w:eastAsia="en-US"/>
              </w:rPr>
              <w:t>148,84</w:t>
            </w:r>
          </w:p>
        </w:tc>
      </w:tr>
      <w:tr w:rsidR="008248F9" w:rsidTr="00AC77C2">
        <w:trPr>
          <w:trHeight w:val="284"/>
        </w:trPr>
        <w:tc>
          <w:tcPr>
            <w:tcW w:w="992" w:type="dxa"/>
            <w:tcBorders>
              <w:top w:val="nil"/>
              <w:left w:val="single" w:sz="4" w:space="0" w:color="auto"/>
              <w:bottom w:val="single" w:sz="4" w:space="0" w:color="auto"/>
              <w:right w:val="single" w:sz="4" w:space="0" w:color="auto"/>
            </w:tcBorders>
            <w:noWrap/>
            <w:vAlign w:val="center"/>
            <w:hideMark/>
          </w:tcPr>
          <w:p w:rsidR="008248F9" w:rsidRDefault="008248F9" w:rsidP="008248F9">
            <w:pPr>
              <w:spacing w:after="0" w:line="240" w:lineRule="auto"/>
              <w:jc w:val="center"/>
              <w:rPr>
                <w:sz w:val="20"/>
                <w:szCs w:val="20"/>
                <w:lang w:eastAsia="en-US"/>
              </w:rPr>
            </w:pPr>
            <w:r>
              <w:rPr>
                <w:sz w:val="20"/>
                <w:szCs w:val="20"/>
                <w:lang w:eastAsia="en-US"/>
              </w:rPr>
              <w:t>13</w:t>
            </w:r>
          </w:p>
        </w:tc>
        <w:tc>
          <w:tcPr>
            <w:tcW w:w="1560" w:type="dxa"/>
            <w:tcBorders>
              <w:top w:val="nil"/>
              <w:left w:val="nil"/>
              <w:bottom w:val="single" w:sz="4" w:space="0" w:color="auto"/>
              <w:right w:val="single" w:sz="4" w:space="0" w:color="auto"/>
            </w:tcBorders>
            <w:noWrap/>
            <w:vAlign w:val="center"/>
            <w:hideMark/>
          </w:tcPr>
          <w:p w:rsidR="008248F9" w:rsidRDefault="008248F9" w:rsidP="008248F9">
            <w:pPr>
              <w:spacing w:after="0" w:line="240" w:lineRule="auto"/>
              <w:jc w:val="center"/>
              <w:rPr>
                <w:sz w:val="20"/>
                <w:szCs w:val="20"/>
                <w:lang w:eastAsia="en-US"/>
              </w:rPr>
            </w:pPr>
            <w:r>
              <w:rPr>
                <w:sz w:val="20"/>
                <w:szCs w:val="20"/>
                <w:lang w:eastAsia="en-US"/>
              </w:rPr>
              <w:t>116-125</w:t>
            </w:r>
          </w:p>
        </w:tc>
        <w:tc>
          <w:tcPr>
            <w:tcW w:w="993" w:type="dxa"/>
            <w:tcBorders>
              <w:top w:val="nil"/>
              <w:left w:val="nil"/>
              <w:bottom w:val="single" w:sz="4" w:space="0" w:color="auto"/>
              <w:right w:val="single" w:sz="4" w:space="0" w:color="auto"/>
            </w:tcBorders>
            <w:vAlign w:val="center"/>
            <w:hideMark/>
          </w:tcPr>
          <w:p w:rsidR="008248F9" w:rsidRDefault="008248F9" w:rsidP="008248F9">
            <w:pPr>
              <w:spacing w:after="0" w:line="240" w:lineRule="auto"/>
              <w:jc w:val="center"/>
              <w:rPr>
                <w:sz w:val="20"/>
                <w:szCs w:val="20"/>
                <w:lang w:eastAsia="en-US"/>
              </w:rPr>
            </w:pPr>
            <w:r>
              <w:rPr>
                <w:sz w:val="20"/>
                <w:szCs w:val="20"/>
                <w:lang w:eastAsia="en-US"/>
              </w:rPr>
              <w:t>108</w:t>
            </w:r>
          </w:p>
        </w:tc>
        <w:tc>
          <w:tcPr>
            <w:tcW w:w="992" w:type="dxa"/>
            <w:tcBorders>
              <w:top w:val="nil"/>
              <w:left w:val="nil"/>
              <w:bottom w:val="single" w:sz="4" w:space="0" w:color="auto"/>
              <w:right w:val="single" w:sz="4" w:space="0" w:color="auto"/>
            </w:tcBorders>
            <w:vAlign w:val="center"/>
            <w:hideMark/>
          </w:tcPr>
          <w:p w:rsidR="008248F9" w:rsidRDefault="008248F9" w:rsidP="008248F9">
            <w:pPr>
              <w:spacing w:after="0" w:line="240" w:lineRule="auto"/>
              <w:jc w:val="center"/>
              <w:rPr>
                <w:sz w:val="20"/>
                <w:szCs w:val="20"/>
                <w:lang w:eastAsia="en-US"/>
              </w:rPr>
            </w:pPr>
            <w:r>
              <w:rPr>
                <w:sz w:val="20"/>
                <w:szCs w:val="20"/>
                <w:lang w:eastAsia="en-US"/>
              </w:rPr>
              <w:t>27</w:t>
            </w:r>
          </w:p>
        </w:tc>
        <w:tc>
          <w:tcPr>
            <w:tcW w:w="1101" w:type="dxa"/>
            <w:tcBorders>
              <w:top w:val="nil"/>
              <w:left w:val="nil"/>
              <w:bottom w:val="single" w:sz="4" w:space="0" w:color="auto"/>
              <w:right w:val="single" w:sz="4" w:space="0" w:color="auto"/>
            </w:tcBorders>
            <w:vAlign w:val="center"/>
            <w:hideMark/>
          </w:tcPr>
          <w:p w:rsidR="008248F9" w:rsidRDefault="008248F9" w:rsidP="008248F9">
            <w:pPr>
              <w:spacing w:after="0" w:line="240" w:lineRule="auto"/>
              <w:jc w:val="center"/>
              <w:rPr>
                <w:sz w:val="20"/>
                <w:szCs w:val="20"/>
                <w:lang w:eastAsia="en-US"/>
              </w:rPr>
            </w:pPr>
            <w:r>
              <w:rPr>
                <w:sz w:val="20"/>
                <w:szCs w:val="20"/>
                <w:lang w:eastAsia="en-US"/>
              </w:rPr>
              <w:t>168,87</w:t>
            </w:r>
          </w:p>
        </w:tc>
        <w:tc>
          <w:tcPr>
            <w:tcW w:w="1134" w:type="dxa"/>
            <w:tcBorders>
              <w:top w:val="nil"/>
              <w:left w:val="nil"/>
              <w:bottom w:val="single" w:sz="4" w:space="0" w:color="auto"/>
              <w:right w:val="single" w:sz="4" w:space="0" w:color="auto"/>
            </w:tcBorders>
            <w:vAlign w:val="center"/>
            <w:hideMark/>
          </w:tcPr>
          <w:p w:rsidR="008248F9" w:rsidRDefault="008248F9" w:rsidP="008248F9">
            <w:pPr>
              <w:spacing w:after="0" w:line="240" w:lineRule="auto"/>
              <w:jc w:val="center"/>
              <w:rPr>
                <w:sz w:val="20"/>
                <w:szCs w:val="20"/>
                <w:lang w:eastAsia="en-US"/>
              </w:rPr>
            </w:pPr>
            <w:r>
              <w:rPr>
                <w:sz w:val="20"/>
                <w:szCs w:val="20"/>
                <w:lang w:eastAsia="en-US"/>
              </w:rPr>
              <w:t>144,55</w:t>
            </w:r>
          </w:p>
        </w:tc>
        <w:tc>
          <w:tcPr>
            <w:tcW w:w="1134" w:type="dxa"/>
            <w:tcBorders>
              <w:top w:val="nil"/>
              <w:left w:val="nil"/>
              <w:bottom w:val="single" w:sz="4" w:space="0" w:color="auto"/>
              <w:right w:val="single" w:sz="4" w:space="0" w:color="auto"/>
            </w:tcBorders>
            <w:vAlign w:val="center"/>
            <w:hideMark/>
          </w:tcPr>
          <w:p w:rsidR="008248F9" w:rsidRDefault="008248F9" w:rsidP="008248F9">
            <w:pPr>
              <w:spacing w:after="0" w:line="240" w:lineRule="auto"/>
              <w:jc w:val="center"/>
              <w:rPr>
                <w:sz w:val="20"/>
                <w:szCs w:val="20"/>
                <w:lang w:eastAsia="en-US"/>
              </w:rPr>
            </w:pPr>
            <w:r>
              <w:rPr>
                <w:sz w:val="20"/>
                <w:szCs w:val="20"/>
                <w:lang w:eastAsia="en-US"/>
              </w:rPr>
              <w:t>130,32</w:t>
            </w:r>
          </w:p>
        </w:tc>
        <w:tc>
          <w:tcPr>
            <w:tcW w:w="1134" w:type="dxa"/>
            <w:tcBorders>
              <w:top w:val="nil"/>
              <w:left w:val="nil"/>
              <w:bottom w:val="single" w:sz="4" w:space="0" w:color="auto"/>
              <w:right w:val="single" w:sz="4" w:space="0" w:color="auto"/>
            </w:tcBorders>
            <w:vAlign w:val="center"/>
            <w:hideMark/>
          </w:tcPr>
          <w:p w:rsidR="008248F9" w:rsidRDefault="008248F9" w:rsidP="008248F9">
            <w:pPr>
              <w:spacing w:after="0" w:line="240" w:lineRule="auto"/>
              <w:jc w:val="center"/>
              <w:rPr>
                <w:sz w:val="20"/>
                <w:szCs w:val="20"/>
                <w:lang w:eastAsia="en-US"/>
              </w:rPr>
            </w:pPr>
            <w:r>
              <w:rPr>
                <w:sz w:val="20"/>
                <w:szCs w:val="20"/>
                <w:lang w:eastAsia="en-US"/>
              </w:rPr>
              <w:t>153,27</w:t>
            </w:r>
          </w:p>
        </w:tc>
      </w:tr>
      <w:tr w:rsidR="008248F9" w:rsidTr="00AC77C2">
        <w:trPr>
          <w:trHeight w:val="284"/>
        </w:trPr>
        <w:tc>
          <w:tcPr>
            <w:tcW w:w="992" w:type="dxa"/>
            <w:tcBorders>
              <w:top w:val="nil"/>
              <w:left w:val="single" w:sz="4" w:space="0" w:color="auto"/>
              <w:bottom w:val="single" w:sz="4" w:space="0" w:color="auto"/>
              <w:right w:val="single" w:sz="4" w:space="0" w:color="auto"/>
            </w:tcBorders>
            <w:noWrap/>
            <w:vAlign w:val="center"/>
            <w:hideMark/>
          </w:tcPr>
          <w:p w:rsidR="008248F9" w:rsidRDefault="008248F9" w:rsidP="008248F9">
            <w:pPr>
              <w:spacing w:after="0" w:line="240" w:lineRule="auto"/>
              <w:jc w:val="center"/>
              <w:rPr>
                <w:sz w:val="20"/>
                <w:szCs w:val="20"/>
                <w:lang w:eastAsia="en-US"/>
              </w:rPr>
            </w:pPr>
            <w:r>
              <w:rPr>
                <w:sz w:val="20"/>
                <w:szCs w:val="20"/>
                <w:lang w:eastAsia="en-US"/>
              </w:rPr>
              <w:t>14</w:t>
            </w:r>
          </w:p>
        </w:tc>
        <w:tc>
          <w:tcPr>
            <w:tcW w:w="1560" w:type="dxa"/>
            <w:tcBorders>
              <w:top w:val="nil"/>
              <w:left w:val="nil"/>
              <w:bottom w:val="single" w:sz="4" w:space="0" w:color="auto"/>
              <w:right w:val="single" w:sz="4" w:space="0" w:color="auto"/>
            </w:tcBorders>
            <w:noWrap/>
            <w:vAlign w:val="center"/>
            <w:hideMark/>
          </w:tcPr>
          <w:p w:rsidR="008248F9" w:rsidRDefault="008248F9" w:rsidP="008248F9">
            <w:pPr>
              <w:spacing w:after="0" w:line="240" w:lineRule="auto"/>
              <w:jc w:val="center"/>
              <w:rPr>
                <w:sz w:val="20"/>
                <w:szCs w:val="20"/>
                <w:lang w:eastAsia="en-US"/>
              </w:rPr>
            </w:pPr>
            <w:r>
              <w:rPr>
                <w:sz w:val="20"/>
                <w:szCs w:val="20"/>
                <w:lang w:eastAsia="en-US"/>
              </w:rPr>
              <w:t>126-135</w:t>
            </w:r>
          </w:p>
        </w:tc>
        <w:tc>
          <w:tcPr>
            <w:tcW w:w="993" w:type="dxa"/>
            <w:tcBorders>
              <w:top w:val="nil"/>
              <w:left w:val="nil"/>
              <w:bottom w:val="single" w:sz="4" w:space="0" w:color="auto"/>
              <w:right w:val="single" w:sz="4" w:space="0" w:color="auto"/>
            </w:tcBorders>
            <w:vAlign w:val="center"/>
            <w:hideMark/>
          </w:tcPr>
          <w:p w:rsidR="008248F9" w:rsidRDefault="008248F9" w:rsidP="008248F9">
            <w:pPr>
              <w:spacing w:after="0" w:line="240" w:lineRule="auto"/>
              <w:jc w:val="center"/>
              <w:rPr>
                <w:sz w:val="20"/>
                <w:szCs w:val="20"/>
                <w:lang w:eastAsia="en-US"/>
              </w:rPr>
            </w:pPr>
            <w:r>
              <w:rPr>
                <w:sz w:val="20"/>
                <w:szCs w:val="20"/>
                <w:lang w:eastAsia="en-US"/>
              </w:rPr>
              <w:t>115</w:t>
            </w:r>
          </w:p>
        </w:tc>
        <w:tc>
          <w:tcPr>
            <w:tcW w:w="992" w:type="dxa"/>
            <w:tcBorders>
              <w:top w:val="nil"/>
              <w:left w:val="nil"/>
              <w:bottom w:val="single" w:sz="4" w:space="0" w:color="auto"/>
              <w:right w:val="single" w:sz="4" w:space="0" w:color="auto"/>
            </w:tcBorders>
            <w:vAlign w:val="center"/>
            <w:hideMark/>
          </w:tcPr>
          <w:p w:rsidR="008248F9" w:rsidRDefault="008248F9" w:rsidP="008248F9">
            <w:pPr>
              <w:spacing w:after="0" w:line="240" w:lineRule="auto"/>
              <w:jc w:val="center"/>
              <w:rPr>
                <w:sz w:val="20"/>
                <w:szCs w:val="20"/>
                <w:lang w:eastAsia="en-US"/>
              </w:rPr>
            </w:pPr>
            <w:r>
              <w:rPr>
                <w:sz w:val="20"/>
                <w:szCs w:val="20"/>
                <w:lang w:eastAsia="en-US"/>
              </w:rPr>
              <w:t>29</w:t>
            </w:r>
          </w:p>
        </w:tc>
        <w:tc>
          <w:tcPr>
            <w:tcW w:w="1101" w:type="dxa"/>
            <w:tcBorders>
              <w:top w:val="nil"/>
              <w:left w:val="nil"/>
              <w:bottom w:val="single" w:sz="4" w:space="0" w:color="auto"/>
              <w:right w:val="single" w:sz="4" w:space="0" w:color="auto"/>
            </w:tcBorders>
            <w:vAlign w:val="center"/>
            <w:hideMark/>
          </w:tcPr>
          <w:p w:rsidR="008248F9" w:rsidRDefault="008248F9" w:rsidP="008248F9">
            <w:pPr>
              <w:spacing w:after="0" w:line="240" w:lineRule="auto"/>
              <w:jc w:val="center"/>
              <w:rPr>
                <w:sz w:val="20"/>
                <w:szCs w:val="20"/>
                <w:lang w:eastAsia="en-US"/>
              </w:rPr>
            </w:pPr>
            <w:r>
              <w:rPr>
                <w:sz w:val="20"/>
                <w:szCs w:val="20"/>
                <w:lang w:eastAsia="en-US"/>
              </w:rPr>
              <w:t>179,95</w:t>
            </w:r>
          </w:p>
        </w:tc>
        <w:tc>
          <w:tcPr>
            <w:tcW w:w="1134" w:type="dxa"/>
            <w:tcBorders>
              <w:top w:val="nil"/>
              <w:left w:val="nil"/>
              <w:bottom w:val="single" w:sz="4" w:space="0" w:color="auto"/>
              <w:right w:val="single" w:sz="4" w:space="0" w:color="auto"/>
            </w:tcBorders>
            <w:vAlign w:val="center"/>
            <w:hideMark/>
          </w:tcPr>
          <w:p w:rsidR="008248F9" w:rsidRDefault="008248F9" w:rsidP="008248F9">
            <w:pPr>
              <w:spacing w:after="0" w:line="240" w:lineRule="auto"/>
              <w:jc w:val="center"/>
              <w:rPr>
                <w:sz w:val="20"/>
                <w:szCs w:val="20"/>
                <w:lang w:eastAsia="en-US"/>
              </w:rPr>
            </w:pPr>
            <w:r>
              <w:rPr>
                <w:sz w:val="20"/>
                <w:szCs w:val="20"/>
                <w:lang w:eastAsia="en-US"/>
              </w:rPr>
              <w:t>153,92</w:t>
            </w:r>
          </w:p>
        </w:tc>
        <w:tc>
          <w:tcPr>
            <w:tcW w:w="1134" w:type="dxa"/>
            <w:tcBorders>
              <w:top w:val="nil"/>
              <w:left w:val="nil"/>
              <w:bottom w:val="single" w:sz="4" w:space="0" w:color="auto"/>
              <w:right w:val="single" w:sz="4" w:space="0" w:color="auto"/>
            </w:tcBorders>
            <w:vAlign w:val="center"/>
            <w:hideMark/>
          </w:tcPr>
          <w:p w:rsidR="008248F9" w:rsidRDefault="008248F9" w:rsidP="008248F9">
            <w:pPr>
              <w:spacing w:after="0" w:line="240" w:lineRule="auto"/>
              <w:jc w:val="center"/>
              <w:rPr>
                <w:sz w:val="20"/>
                <w:szCs w:val="20"/>
                <w:lang w:eastAsia="en-US"/>
              </w:rPr>
            </w:pPr>
            <w:r>
              <w:rPr>
                <w:sz w:val="20"/>
                <w:szCs w:val="20"/>
                <w:lang w:eastAsia="en-US"/>
              </w:rPr>
              <w:t>138,66</w:t>
            </w:r>
          </w:p>
        </w:tc>
        <w:tc>
          <w:tcPr>
            <w:tcW w:w="1134" w:type="dxa"/>
            <w:tcBorders>
              <w:top w:val="nil"/>
              <w:left w:val="nil"/>
              <w:bottom w:val="single" w:sz="4" w:space="0" w:color="auto"/>
              <w:right w:val="single" w:sz="4" w:space="0" w:color="auto"/>
            </w:tcBorders>
            <w:vAlign w:val="center"/>
            <w:hideMark/>
          </w:tcPr>
          <w:p w:rsidR="008248F9" w:rsidRDefault="008248F9" w:rsidP="008248F9">
            <w:pPr>
              <w:spacing w:after="0" w:line="240" w:lineRule="auto"/>
              <w:jc w:val="center"/>
              <w:rPr>
                <w:sz w:val="20"/>
                <w:szCs w:val="20"/>
                <w:lang w:eastAsia="en-US"/>
              </w:rPr>
            </w:pPr>
            <w:r>
              <w:rPr>
                <w:sz w:val="20"/>
                <w:szCs w:val="20"/>
                <w:lang w:eastAsia="en-US"/>
              </w:rPr>
              <w:t>163,21</w:t>
            </w:r>
          </w:p>
        </w:tc>
      </w:tr>
      <w:tr w:rsidR="008248F9" w:rsidTr="00AC77C2">
        <w:trPr>
          <w:trHeight w:val="284"/>
        </w:trPr>
        <w:tc>
          <w:tcPr>
            <w:tcW w:w="992" w:type="dxa"/>
            <w:tcBorders>
              <w:top w:val="nil"/>
              <w:left w:val="single" w:sz="4" w:space="0" w:color="auto"/>
              <w:bottom w:val="single" w:sz="4" w:space="0" w:color="auto"/>
              <w:right w:val="single" w:sz="4" w:space="0" w:color="auto"/>
            </w:tcBorders>
            <w:noWrap/>
            <w:vAlign w:val="center"/>
            <w:hideMark/>
          </w:tcPr>
          <w:p w:rsidR="008248F9" w:rsidRDefault="008248F9" w:rsidP="008248F9">
            <w:pPr>
              <w:spacing w:after="0" w:line="240" w:lineRule="auto"/>
              <w:jc w:val="center"/>
              <w:rPr>
                <w:sz w:val="20"/>
                <w:szCs w:val="20"/>
                <w:lang w:eastAsia="en-US"/>
              </w:rPr>
            </w:pPr>
            <w:r>
              <w:rPr>
                <w:sz w:val="20"/>
                <w:szCs w:val="20"/>
                <w:lang w:eastAsia="en-US"/>
              </w:rPr>
              <w:t>15</w:t>
            </w:r>
          </w:p>
        </w:tc>
        <w:tc>
          <w:tcPr>
            <w:tcW w:w="1560" w:type="dxa"/>
            <w:tcBorders>
              <w:top w:val="nil"/>
              <w:left w:val="nil"/>
              <w:bottom w:val="single" w:sz="4" w:space="0" w:color="auto"/>
              <w:right w:val="single" w:sz="4" w:space="0" w:color="auto"/>
            </w:tcBorders>
            <w:noWrap/>
            <w:vAlign w:val="center"/>
            <w:hideMark/>
          </w:tcPr>
          <w:p w:rsidR="008248F9" w:rsidRDefault="008248F9" w:rsidP="008248F9">
            <w:pPr>
              <w:spacing w:after="0" w:line="240" w:lineRule="auto"/>
              <w:jc w:val="center"/>
              <w:rPr>
                <w:sz w:val="20"/>
                <w:szCs w:val="20"/>
                <w:lang w:eastAsia="en-US"/>
              </w:rPr>
            </w:pPr>
            <w:r>
              <w:rPr>
                <w:sz w:val="20"/>
                <w:szCs w:val="20"/>
                <w:lang w:eastAsia="en-US"/>
              </w:rPr>
              <w:t>136-150</w:t>
            </w:r>
          </w:p>
        </w:tc>
        <w:tc>
          <w:tcPr>
            <w:tcW w:w="993" w:type="dxa"/>
            <w:tcBorders>
              <w:top w:val="nil"/>
              <w:left w:val="nil"/>
              <w:bottom w:val="single" w:sz="4" w:space="0" w:color="auto"/>
              <w:right w:val="single" w:sz="4" w:space="0" w:color="auto"/>
            </w:tcBorders>
            <w:vAlign w:val="center"/>
            <w:hideMark/>
          </w:tcPr>
          <w:p w:rsidR="008248F9" w:rsidRDefault="008248F9" w:rsidP="008248F9">
            <w:pPr>
              <w:spacing w:after="0" w:line="240" w:lineRule="auto"/>
              <w:jc w:val="center"/>
              <w:rPr>
                <w:sz w:val="20"/>
                <w:szCs w:val="20"/>
                <w:lang w:eastAsia="en-US"/>
              </w:rPr>
            </w:pPr>
            <w:r>
              <w:rPr>
                <w:sz w:val="20"/>
                <w:szCs w:val="20"/>
                <w:lang w:eastAsia="en-US"/>
              </w:rPr>
              <w:t>124</w:t>
            </w:r>
          </w:p>
        </w:tc>
        <w:tc>
          <w:tcPr>
            <w:tcW w:w="992" w:type="dxa"/>
            <w:tcBorders>
              <w:top w:val="nil"/>
              <w:left w:val="nil"/>
              <w:bottom w:val="single" w:sz="4" w:space="0" w:color="auto"/>
              <w:right w:val="single" w:sz="4" w:space="0" w:color="auto"/>
            </w:tcBorders>
            <w:vAlign w:val="center"/>
            <w:hideMark/>
          </w:tcPr>
          <w:p w:rsidR="008248F9" w:rsidRDefault="008248F9" w:rsidP="008248F9">
            <w:pPr>
              <w:spacing w:after="0" w:line="240" w:lineRule="auto"/>
              <w:jc w:val="center"/>
              <w:rPr>
                <w:sz w:val="20"/>
                <w:szCs w:val="20"/>
                <w:lang w:eastAsia="en-US"/>
              </w:rPr>
            </w:pPr>
            <w:r>
              <w:rPr>
                <w:sz w:val="20"/>
                <w:szCs w:val="20"/>
                <w:lang w:eastAsia="en-US"/>
              </w:rPr>
              <w:t>31</w:t>
            </w:r>
          </w:p>
        </w:tc>
        <w:tc>
          <w:tcPr>
            <w:tcW w:w="1101" w:type="dxa"/>
            <w:tcBorders>
              <w:top w:val="nil"/>
              <w:left w:val="nil"/>
              <w:bottom w:val="single" w:sz="4" w:space="0" w:color="auto"/>
              <w:right w:val="single" w:sz="4" w:space="0" w:color="auto"/>
            </w:tcBorders>
            <w:vAlign w:val="center"/>
            <w:hideMark/>
          </w:tcPr>
          <w:p w:rsidR="008248F9" w:rsidRDefault="008248F9" w:rsidP="008248F9">
            <w:pPr>
              <w:spacing w:after="0" w:line="240" w:lineRule="auto"/>
              <w:jc w:val="center"/>
              <w:rPr>
                <w:sz w:val="20"/>
                <w:szCs w:val="20"/>
                <w:lang w:eastAsia="en-US"/>
              </w:rPr>
            </w:pPr>
            <w:r>
              <w:rPr>
                <w:sz w:val="20"/>
                <w:szCs w:val="20"/>
                <w:lang w:eastAsia="en-US"/>
              </w:rPr>
              <w:t>193,61</w:t>
            </w:r>
          </w:p>
        </w:tc>
        <w:tc>
          <w:tcPr>
            <w:tcW w:w="1134" w:type="dxa"/>
            <w:tcBorders>
              <w:top w:val="nil"/>
              <w:left w:val="nil"/>
              <w:bottom w:val="single" w:sz="4" w:space="0" w:color="auto"/>
              <w:right w:val="single" w:sz="4" w:space="0" w:color="auto"/>
            </w:tcBorders>
            <w:vAlign w:val="center"/>
            <w:hideMark/>
          </w:tcPr>
          <w:p w:rsidR="008248F9" w:rsidRDefault="008248F9" w:rsidP="008248F9">
            <w:pPr>
              <w:spacing w:after="0" w:line="240" w:lineRule="auto"/>
              <w:jc w:val="center"/>
              <w:rPr>
                <w:sz w:val="20"/>
                <w:szCs w:val="20"/>
                <w:lang w:eastAsia="en-US"/>
              </w:rPr>
            </w:pPr>
            <w:r>
              <w:rPr>
                <w:sz w:val="20"/>
                <w:szCs w:val="20"/>
                <w:lang w:eastAsia="en-US"/>
              </w:rPr>
              <w:t>165,55</w:t>
            </w:r>
          </w:p>
        </w:tc>
        <w:tc>
          <w:tcPr>
            <w:tcW w:w="1134" w:type="dxa"/>
            <w:tcBorders>
              <w:top w:val="nil"/>
              <w:left w:val="nil"/>
              <w:bottom w:val="single" w:sz="4" w:space="0" w:color="auto"/>
              <w:right w:val="single" w:sz="4" w:space="0" w:color="auto"/>
            </w:tcBorders>
            <w:vAlign w:val="center"/>
            <w:hideMark/>
          </w:tcPr>
          <w:p w:rsidR="008248F9" w:rsidRDefault="008248F9" w:rsidP="008248F9">
            <w:pPr>
              <w:spacing w:after="0" w:line="240" w:lineRule="auto"/>
              <w:jc w:val="center"/>
              <w:rPr>
                <w:sz w:val="20"/>
                <w:szCs w:val="20"/>
                <w:lang w:eastAsia="en-US"/>
              </w:rPr>
            </w:pPr>
            <w:r>
              <w:rPr>
                <w:sz w:val="20"/>
                <w:szCs w:val="20"/>
                <w:lang w:eastAsia="en-US"/>
              </w:rPr>
              <w:t>149,07</w:t>
            </w:r>
          </w:p>
        </w:tc>
        <w:tc>
          <w:tcPr>
            <w:tcW w:w="1134" w:type="dxa"/>
            <w:tcBorders>
              <w:top w:val="nil"/>
              <w:left w:val="nil"/>
              <w:bottom w:val="single" w:sz="4" w:space="0" w:color="auto"/>
              <w:right w:val="single" w:sz="4" w:space="0" w:color="auto"/>
            </w:tcBorders>
            <w:vAlign w:val="center"/>
            <w:hideMark/>
          </w:tcPr>
          <w:p w:rsidR="008248F9" w:rsidRDefault="008248F9" w:rsidP="008248F9">
            <w:pPr>
              <w:spacing w:after="0" w:line="240" w:lineRule="auto"/>
              <w:jc w:val="center"/>
              <w:rPr>
                <w:sz w:val="20"/>
                <w:szCs w:val="20"/>
                <w:lang w:eastAsia="en-US"/>
              </w:rPr>
            </w:pPr>
            <w:r>
              <w:rPr>
                <w:sz w:val="20"/>
                <w:szCs w:val="20"/>
                <w:lang w:eastAsia="en-US"/>
              </w:rPr>
              <w:t>175,72</w:t>
            </w:r>
          </w:p>
        </w:tc>
      </w:tr>
      <w:tr w:rsidR="008248F9" w:rsidTr="00AC77C2">
        <w:trPr>
          <w:trHeight w:val="284"/>
        </w:trPr>
        <w:tc>
          <w:tcPr>
            <w:tcW w:w="992" w:type="dxa"/>
            <w:tcBorders>
              <w:top w:val="nil"/>
              <w:left w:val="single" w:sz="4" w:space="0" w:color="auto"/>
              <w:bottom w:val="single" w:sz="4" w:space="0" w:color="auto"/>
              <w:right w:val="single" w:sz="4" w:space="0" w:color="auto"/>
            </w:tcBorders>
            <w:noWrap/>
            <w:vAlign w:val="center"/>
            <w:hideMark/>
          </w:tcPr>
          <w:p w:rsidR="008248F9" w:rsidRDefault="008248F9" w:rsidP="008248F9">
            <w:pPr>
              <w:spacing w:after="0" w:line="240" w:lineRule="auto"/>
              <w:jc w:val="center"/>
              <w:rPr>
                <w:sz w:val="20"/>
                <w:szCs w:val="20"/>
                <w:lang w:eastAsia="en-US"/>
              </w:rPr>
            </w:pPr>
            <w:r>
              <w:rPr>
                <w:sz w:val="20"/>
                <w:szCs w:val="20"/>
                <w:lang w:eastAsia="en-US"/>
              </w:rPr>
              <w:t>16</w:t>
            </w:r>
          </w:p>
        </w:tc>
        <w:tc>
          <w:tcPr>
            <w:tcW w:w="1560" w:type="dxa"/>
            <w:tcBorders>
              <w:top w:val="nil"/>
              <w:left w:val="nil"/>
              <w:bottom w:val="single" w:sz="4" w:space="0" w:color="auto"/>
              <w:right w:val="single" w:sz="4" w:space="0" w:color="auto"/>
            </w:tcBorders>
            <w:noWrap/>
            <w:vAlign w:val="center"/>
            <w:hideMark/>
          </w:tcPr>
          <w:p w:rsidR="008248F9" w:rsidRDefault="008248F9" w:rsidP="008248F9">
            <w:pPr>
              <w:spacing w:after="0" w:line="240" w:lineRule="auto"/>
              <w:jc w:val="center"/>
              <w:rPr>
                <w:sz w:val="20"/>
                <w:szCs w:val="20"/>
                <w:lang w:eastAsia="en-US"/>
              </w:rPr>
            </w:pPr>
            <w:r>
              <w:rPr>
                <w:sz w:val="20"/>
                <w:szCs w:val="20"/>
                <w:lang w:eastAsia="en-US"/>
              </w:rPr>
              <w:t>151-160</w:t>
            </w:r>
          </w:p>
        </w:tc>
        <w:tc>
          <w:tcPr>
            <w:tcW w:w="993" w:type="dxa"/>
            <w:tcBorders>
              <w:top w:val="nil"/>
              <w:left w:val="nil"/>
              <w:bottom w:val="single" w:sz="4" w:space="0" w:color="auto"/>
              <w:right w:val="single" w:sz="4" w:space="0" w:color="auto"/>
            </w:tcBorders>
            <w:vAlign w:val="center"/>
            <w:hideMark/>
          </w:tcPr>
          <w:p w:rsidR="008248F9" w:rsidRDefault="008248F9" w:rsidP="008248F9">
            <w:pPr>
              <w:spacing w:after="0" w:line="240" w:lineRule="auto"/>
              <w:jc w:val="center"/>
              <w:rPr>
                <w:sz w:val="20"/>
                <w:szCs w:val="20"/>
                <w:lang w:eastAsia="en-US"/>
              </w:rPr>
            </w:pPr>
            <w:r>
              <w:rPr>
                <w:sz w:val="20"/>
                <w:szCs w:val="20"/>
                <w:lang w:eastAsia="en-US"/>
              </w:rPr>
              <w:t>138</w:t>
            </w:r>
          </w:p>
        </w:tc>
        <w:tc>
          <w:tcPr>
            <w:tcW w:w="992" w:type="dxa"/>
            <w:tcBorders>
              <w:top w:val="nil"/>
              <w:left w:val="nil"/>
              <w:bottom w:val="single" w:sz="4" w:space="0" w:color="auto"/>
              <w:right w:val="single" w:sz="4" w:space="0" w:color="auto"/>
            </w:tcBorders>
            <w:vAlign w:val="center"/>
            <w:hideMark/>
          </w:tcPr>
          <w:p w:rsidR="008248F9" w:rsidRDefault="008248F9" w:rsidP="008248F9">
            <w:pPr>
              <w:spacing w:after="0" w:line="240" w:lineRule="auto"/>
              <w:jc w:val="center"/>
              <w:rPr>
                <w:sz w:val="20"/>
                <w:szCs w:val="20"/>
                <w:lang w:eastAsia="en-US"/>
              </w:rPr>
            </w:pPr>
            <w:r>
              <w:rPr>
                <w:sz w:val="20"/>
                <w:szCs w:val="20"/>
                <w:lang w:eastAsia="en-US"/>
              </w:rPr>
              <w:t>35</w:t>
            </w:r>
          </w:p>
        </w:tc>
        <w:tc>
          <w:tcPr>
            <w:tcW w:w="1101" w:type="dxa"/>
            <w:tcBorders>
              <w:top w:val="nil"/>
              <w:left w:val="nil"/>
              <w:bottom w:val="single" w:sz="4" w:space="0" w:color="auto"/>
              <w:right w:val="single" w:sz="4" w:space="0" w:color="auto"/>
            </w:tcBorders>
            <w:vAlign w:val="center"/>
            <w:hideMark/>
          </w:tcPr>
          <w:p w:rsidR="008248F9" w:rsidRDefault="008248F9" w:rsidP="008248F9">
            <w:pPr>
              <w:spacing w:after="0" w:line="240" w:lineRule="auto"/>
              <w:jc w:val="center"/>
              <w:rPr>
                <w:sz w:val="20"/>
                <w:szCs w:val="20"/>
                <w:lang w:eastAsia="en-US"/>
              </w:rPr>
            </w:pPr>
            <w:r>
              <w:rPr>
                <w:sz w:val="20"/>
                <w:szCs w:val="20"/>
                <w:lang w:eastAsia="en-US"/>
              </w:rPr>
              <w:t>215,23</w:t>
            </w:r>
          </w:p>
        </w:tc>
        <w:tc>
          <w:tcPr>
            <w:tcW w:w="1134" w:type="dxa"/>
            <w:tcBorders>
              <w:top w:val="nil"/>
              <w:left w:val="nil"/>
              <w:bottom w:val="single" w:sz="4" w:space="0" w:color="auto"/>
              <w:right w:val="single" w:sz="4" w:space="0" w:color="auto"/>
            </w:tcBorders>
            <w:vAlign w:val="center"/>
            <w:hideMark/>
          </w:tcPr>
          <w:p w:rsidR="008248F9" w:rsidRDefault="008248F9" w:rsidP="008248F9">
            <w:pPr>
              <w:spacing w:after="0" w:line="240" w:lineRule="auto"/>
              <w:jc w:val="center"/>
              <w:rPr>
                <w:sz w:val="20"/>
                <w:szCs w:val="20"/>
                <w:lang w:eastAsia="en-US"/>
              </w:rPr>
            </w:pPr>
            <w:r>
              <w:rPr>
                <w:sz w:val="20"/>
                <w:szCs w:val="20"/>
                <w:lang w:eastAsia="en-US"/>
              </w:rPr>
              <w:t>183,64</w:t>
            </w:r>
          </w:p>
        </w:tc>
        <w:tc>
          <w:tcPr>
            <w:tcW w:w="1134" w:type="dxa"/>
            <w:tcBorders>
              <w:top w:val="nil"/>
              <w:left w:val="nil"/>
              <w:bottom w:val="single" w:sz="4" w:space="0" w:color="auto"/>
              <w:right w:val="single" w:sz="4" w:space="0" w:color="auto"/>
            </w:tcBorders>
            <w:vAlign w:val="center"/>
            <w:hideMark/>
          </w:tcPr>
          <w:p w:rsidR="008248F9" w:rsidRDefault="008248F9" w:rsidP="008248F9">
            <w:pPr>
              <w:spacing w:after="0" w:line="240" w:lineRule="auto"/>
              <w:jc w:val="center"/>
              <w:rPr>
                <w:sz w:val="20"/>
                <w:szCs w:val="20"/>
                <w:lang w:eastAsia="en-US"/>
              </w:rPr>
            </w:pPr>
            <w:r>
              <w:rPr>
                <w:sz w:val="20"/>
                <w:szCs w:val="20"/>
                <w:lang w:eastAsia="en-US"/>
              </w:rPr>
              <w:t>165,76</w:t>
            </w:r>
          </w:p>
        </w:tc>
        <w:tc>
          <w:tcPr>
            <w:tcW w:w="1134" w:type="dxa"/>
            <w:tcBorders>
              <w:top w:val="nil"/>
              <w:left w:val="nil"/>
              <w:bottom w:val="single" w:sz="4" w:space="0" w:color="auto"/>
              <w:right w:val="single" w:sz="4" w:space="0" w:color="auto"/>
            </w:tcBorders>
            <w:vAlign w:val="center"/>
            <w:hideMark/>
          </w:tcPr>
          <w:p w:rsidR="008248F9" w:rsidRDefault="008248F9" w:rsidP="008248F9">
            <w:pPr>
              <w:spacing w:after="0" w:line="240" w:lineRule="auto"/>
              <w:jc w:val="center"/>
              <w:rPr>
                <w:sz w:val="20"/>
                <w:szCs w:val="20"/>
                <w:lang w:eastAsia="en-US"/>
              </w:rPr>
            </w:pPr>
            <w:r>
              <w:rPr>
                <w:sz w:val="20"/>
                <w:szCs w:val="20"/>
                <w:lang w:eastAsia="en-US"/>
              </w:rPr>
              <w:t>195,38</w:t>
            </w:r>
          </w:p>
        </w:tc>
      </w:tr>
      <w:tr w:rsidR="008248F9" w:rsidTr="00AC77C2">
        <w:trPr>
          <w:trHeight w:val="284"/>
        </w:trPr>
        <w:tc>
          <w:tcPr>
            <w:tcW w:w="992" w:type="dxa"/>
            <w:tcBorders>
              <w:top w:val="nil"/>
              <w:left w:val="single" w:sz="4" w:space="0" w:color="auto"/>
              <w:bottom w:val="single" w:sz="4" w:space="0" w:color="auto"/>
              <w:right w:val="single" w:sz="4" w:space="0" w:color="auto"/>
            </w:tcBorders>
            <w:noWrap/>
            <w:vAlign w:val="center"/>
            <w:hideMark/>
          </w:tcPr>
          <w:p w:rsidR="008248F9" w:rsidRDefault="008248F9" w:rsidP="008248F9">
            <w:pPr>
              <w:spacing w:after="0" w:line="240" w:lineRule="auto"/>
              <w:jc w:val="center"/>
              <w:rPr>
                <w:sz w:val="20"/>
                <w:szCs w:val="20"/>
                <w:lang w:eastAsia="en-US"/>
              </w:rPr>
            </w:pPr>
            <w:r>
              <w:rPr>
                <w:sz w:val="20"/>
                <w:szCs w:val="20"/>
                <w:lang w:eastAsia="en-US"/>
              </w:rPr>
              <w:t>17</w:t>
            </w:r>
          </w:p>
        </w:tc>
        <w:tc>
          <w:tcPr>
            <w:tcW w:w="1560" w:type="dxa"/>
            <w:tcBorders>
              <w:top w:val="nil"/>
              <w:left w:val="nil"/>
              <w:bottom w:val="single" w:sz="4" w:space="0" w:color="auto"/>
              <w:right w:val="single" w:sz="4" w:space="0" w:color="auto"/>
            </w:tcBorders>
            <w:noWrap/>
            <w:vAlign w:val="center"/>
            <w:hideMark/>
          </w:tcPr>
          <w:p w:rsidR="008248F9" w:rsidRDefault="008248F9" w:rsidP="008248F9">
            <w:pPr>
              <w:spacing w:after="0" w:line="240" w:lineRule="auto"/>
              <w:jc w:val="center"/>
              <w:rPr>
                <w:sz w:val="20"/>
                <w:szCs w:val="20"/>
                <w:lang w:eastAsia="en-US"/>
              </w:rPr>
            </w:pPr>
            <w:r>
              <w:rPr>
                <w:sz w:val="20"/>
                <w:szCs w:val="20"/>
                <w:lang w:eastAsia="en-US"/>
              </w:rPr>
              <w:t>161-170</w:t>
            </w:r>
          </w:p>
        </w:tc>
        <w:tc>
          <w:tcPr>
            <w:tcW w:w="993" w:type="dxa"/>
            <w:tcBorders>
              <w:top w:val="nil"/>
              <w:left w:val="nil"/>
              <w:bottom w:val="single" w:sz="4" w:space="0" w:color="auto"/>
              <w:right w:val="single" w:sz="4" w:space="0" w:color="auto"/>
            </w:tcBorders>
            <w:vAlign w:val="center"/>
            <w:hideMark/>
          </w:tcPr>
          <w:p w:rsidR="008248F9" w:rsidRDefault="008248F9" w:rsidP="008248F9">
            <w:pPr>
              <w:spacing w:after="0" w:line="240" w:lineRule="auto"/>
              <w:jc w:val="center"/>
              <w:rPr>
                <w:sz w:val="20"/>
                <w:szCs w:val="20"/>
                <w:lang w:eastAsia="en-US"/>
              </w:rPr>
            </w:pPr>
            <w:r>
              <w:rPr>
                <w:sz w:val="20"/>
                <w:szCs w:val="20"/>
                <w:lang w:eastAsia="en-US"/>
              </w:rPr>
              <w:t>145</w:t>
            </w:r>
          </w:p>
        </w:tc>
        <w:tc>
          <w:tcPr>
            <w:tcW w:w="992" w:type="dxa"/>
            <w:tcBorders>
              <w:top w:val="nil"/>
              <w:left w:val="nil"/>
              <w:bottom w:val="single" w:sz="4" w:space="0" w:color="auto"/>
              <w:right w:val="single" w:sz="4" w:space="0" w:color="auto"/>
            </w:tcBorders>
            <w:vAlign w:val="center"/>
            <w:hideMark/>
          </w:tcPr>
          <w:p w:rsidR="008248F9" w:rsidRDefault="008248F9" w:rsidP="008248F9">
            <w:pPr>
              <w:spacing w:after="0" w:line="240" w:lineRule="auto"/>
              <w:jc w:val="center"/>
              <w:rPr>
                <w:sz w:val="20"/>
                <w:szCs w:val="20"/>
                <w:lang w:eastAsia="en-US"/>
              </w:rPr>
            </w:pPr>
            <w:r>
              <w:rPr>
                <w:sz w:val="20"/>
                <w:szCs w:val="20"/>
                <w:lang w:eastAsia="en-US"/>
              </w:rPr>
              <w:t>36</w:t>
            </w:r>
          </w:p>
        </w:tc>
        <w:tc>
          <w:tcPr>
            <w:tcW w:w="1101" w:type="dxa"/>
            <w:tcBorders>
              <w:top w:val="nil"/>
              <w:left w:val="nil"/>
              <w:bottom w:val="single" w:sz="4" w:space="0" w:color="auto"/>
              <w:right w:val="single" w:sz="4" w:space="0" w:color="auto"/>
            </w:tcBorders>
            <w:vAlign w:val="center"/>
            <w:hideMark/>
          </w:tcPr>
          <w:p w:rsidR="008248F9" w:rsidRDefault="008248F9" w:rsidP="008248F9">
            <w:pPr>
              <w:spacing w:after="0" w:line="240" w:lineRule="auto"/>
              <w:jc w:val="center"/>
              <w:rPr>
                <w:sz w:val="20"/>
                <w:szCs w:val="20"/>
                <w:lang w:eastAsia="en-US"/>
              </w:rPr>
            </w:pPr>
            <w:r>
              <w:rPr>
                <w:sz w:val="20"/>
                <w:szCs w:val="20"/>
                <w:lang w:eastAsia="en-US"/>
              </w:rPr>
              <w:t>225,36</w:t>
            </w:r>
          </w:p>
        </w:tc>
        <w:tc>
          <w:tcPr>
            <w:tcW w:w="1134" w:type="dxa"/>
            <w:tcBorders>
              <w:top w:val="nil"/>
              <w:left w:val="nil"/>
              <w:bottom w:val="single" w:sz="4" w:space="0" w:color="auto"/>
              <w:right w:val="single" w:sz="4" w:space="0" w:color="auto"/>
            </w:tcBorders>
            <w:vAlign w:val="center"/>
            <w:hideMark/>
          </w:tcPr>
          <w:p w:rsidR="008248F9" w:rsidRDefault="008248F9" w:rsidP="008248F9">
            <w:pPr>
              <w:spacing w:after="0" w:line="240" w:lineRule="auto"/>
              <w:jc w:val="center"/>
              <w:rPr>
                <w:sz w:val="20"/>
                <w:szCs w:val="20"/>
                <w:lang w:eastAsia="en-US"/>
              </w:rPr>
            </w:pPr>
            <w:r>
              <w:rPr>
                <w:sz w:val="20"/>
                <w:szCs w:val="20"/>
                <w:lang w:eastAsia="en-US"/>
              </w:rPr>
              <w:t>192,41</w:t>
            </w:r>
          </w:p>
        </w:tc>
        <w:tc>
          <w:tcPr>
            <w:tcW w:w="1134" w:type="dxa"/>
            <w:tcBorders>
              <w:top w:val="nil"/>
              <w:left w:val="nil"/>
              <w:bottom w:val="single" w:sz="4" w:space="0" w:color="auto"/>
              <w:right w:val="single" w:sz="4" w:space="0" w:color="auto"/>
            </w:tcBorders>
            <w:vAlign w:val="center"/>
            <w:hideMark/>
          </w:tcPr>
          <w:p w:rsidR="008248F9" w:rsidRDefault="008248F9" w:rsidP="008248F9">
            <w:pPr>
              <w:spacing w:after="0" w:line="240" w:lineRule="auto"/>
              <w:jc w:val="center"/>
              <w:rPr>
                <w:sz w:val="20"/>
                <w:szCs w:val="20"/>
                <w:lang w:eastAsia="en-US"/>
              </w:rPr>
            </w:pPr>
            <w:r>
              <w:rPr>
                <w:sz w:val="20"/>
                <w:szCs w:val="20"/>
                <w:lang w:eastAsia="en-US"/>
              </w:rPr>
              <w:t>173,47</w:t>
            </w:r>
          </w:p>
        </w:tc>
        <w:tc>
          <w:tcPr>
            <w:tcW w:w="1134" w:type="dxa"/>
            <w:tcBorders>
              <w:top w:val="nil"/>
              <w:left w:val="nil"/>
              <w:bottom w:val="single" w:sz="4" w:space="0" w:color="auto"/>
              <w:right w:val="single" w:sz="4" w:space="0" w:color="auto"/>
            </w:tcBorders>
            <w:vAlign w:val="center"/>
            <w:hideMark/>
          </w:tcPr>
          <w:p w:rsidR="008248F9" w:rsidRDefault="008248F9" w:rsidP="008248F9">
            <w:pPr>
              <w:spacing w:after="0" w:line="240" w:lineRule="auto"/>
              <w:jc w:val="center"/>
              <w:rPr>
                <w:sz w:val="20"/>
                <w:szCs w:val="20"/>
                <w:lang w:eastAsia="en-US"/>
              </w:rPr>
            </w:pPr>
            <w:r>
              <w:rPr>
                <w:sz w:val="20"/>
                <w:szCs w:val="20"/>
                <w:lang w:eastAsia="en-US"/>
              </w:rPr>
              <w:t>204,48</w:t>
            </w:r>
          </w:p>
        </w:tc>
      </w:tr>
      <w:tr w:rsidR="008248F9" w:rsidTr="00AC77C2">
        <w:trPr>
          <w:trHeight w:val="284"/>
        </w:trPr>
        <w:tc>
          <w:tcPr>
            <w:tcW w:w="992" w:type="dxa"/>
            <w:tcBorders>
              <w:top w:val="nil"/>
              <w:left w:val="single" w:sz="4" w:space="0" w:color="auto"/>
              <w:bottom w:val="single" w:sz="4" w:space="0" w:color="auto"/>
              <w:right w:val="single" w:sz="4" w:space="0" w:color="auto"/>
            </w:tcBorders>
            <w:noWrap/>
            <w:vAlign w:val="center"/>
            <w:hideMark/>
          </w:tcPr>
          <w:p w:rsidR="008248F9" w:rsidRDefault="008248F9" w:rsidP="008248F9">
            <w:pPr>
              <w:spacing w:after="0" w:line="240" w:lineRule="auto"/>
              <w:jc w:val="center"/>
              <w:rPr>
                <w:sz w:val="20"/>
                <w:szCs w:val="20"/>
                <w:lang w:eastAsia="en-US"/>
              </w:rPr>
            </w:pPr>
            <w:r>
              <w:rPr>
                <w:sz w:val="20"/>
                <w:szCs w:val="20"/>
                <w:lang w:eastAsia="en-US"/>
              </w:rPr>
              <w:t>18</w:t>
            </w:r>
          </w:p>
        </w:tc>
        <w:tc>
          <w:tcPr>
            <w:tcW w:w="1560" w:type="dxa"/>
            <w:tcBorders>
              <w:top w:val="nil"/>
              <w:left w:val="nil"/>
              <w:bottom w:val="single" w:sz="4" w:space="0" w:color="auto"/>
              <w:right w:val="single" w:sz="4" w:space="0" w:color="auto"/>
            </w:tcBorders>
            <w:noWrap/>
            <w:vAlign w:val="center"/>
            <w:hideMark/>
          </w:tcPr>
          <w:p w:rsidR="008248F9" w:rsidRDefault="008248F9" w:rsidP="008248F9">
            <w:pPr>
              <w:spacing w:after="0" w:line="240" w:lineRule="auto"/>
              <w:jc w:val="center"/>
              <w:rPr>
                <w:sz w:val="20"/>
                <w:szCs w:val="20"/>
                <w:lang w:eastAsia="en-US"/>
              </w:rPr>
            </w:pPr>
            <w:r>
              <w:rPr>
                <w:sz w:val="20"/>
                <w:szCs w:val="20"/>
                <w:lang w:eastAsia="en-US"/>
              </w:rPr>
              <w:t>171-180</w:t>
            </w:r>
          </w:p>
        </w:tc>
        <w:tc>
          <w:tcPr>
            <w:tcW w:w="993" w:type="dxa"/>
            <w:tcBorders>
              <w:top w:val="nil"/>
              <w:left w:val="nil"/>
              <w:bottom w:val="single" w:sz="4" w:space="0" w:color="auto"/>
              <w:right w:val="single" w:sz="4" w:space="0" w:color="auto"/>
            </w:tcBorders>
            <w:vAlign w:val="center"/>
            <w:hideMark/>
          </w:tcPr>
          <w:p w:rsidR="008248F9" w:rsidRDefault="008248F9" w:rsidP="008248F9">
            <w:pPr>
              <w:spacing w:after="0" w:line="240" w:lineRule="auto"/>
              <w:jc w:val="center"/>
              <w:rPr>
                <w:sz w:val="20"/>
                <w:szCs w:val="20"/>
                <w:lang w:eastAsia="en-US"/>
              </w:rPr>
            </w:pPr>
            <w:r>
              <w:rPr>
                <w:sz w:val="20"/>
                <w:szCs w:val="20"/>
                <w:lang w:eastAsia="en-US"/>
              </w:rPr>
              <w:t>158</w:t>
            </w:r>
          </w:p>
        </w:tc>
        <w:tc>
          <w:tcPr>
            <w:tcW w:w="992" w:type="dxa"/>
            <w:tcBorders>
              <w:top w:val="nil"/>
              <w:left w:val="nil"/>
              <w:bottom w:val="single" w:sz="4" w:space="0" w:color="auto"/>
              <w:right w:val="single" w:sz="4" w:space="0" w:color="auto"/>
            </w:tcBorders>
            <w:vAlign w:val="center"/>
            <w:hideMark/>
          </w:tcPr>
          <w:p w:rsidR="008248F9" w:rsidRDefault="008248F9" w:rsidP="008248F9">
            <w:pPr>
              <w:spacing w:after="0" w:line="240" w:lineRule="auto"/>
              <w:jc w:val="center"/>
              <w:rPr>
                <w:sz w:val="20"/>
                <w:szCs w:val="20"/>
                <w:lang w:eastAsia="en-US"/>
              </w:rPr>
            </w:pPr>
            <w:r>
              <w:rPr>
                <w:sz w:val="20"/>
                <w:szCs w:val="20"/>
                <w:lang w:eastAsia="en-US"/>
              </w:rPr>
              <w:t>40</w:t>
            </w:r>
          </w:p>
        </w:tc>
        <w:tc>
          <w:tcPr>
            <w:tcW w:w="1101" w:type="dxa"/>
            <w:tcBorders>
              <w:top w:val="nil"/>
              <w:left w:val="nil"/>
              <w:bottom w:val="single" w:sz="4" w:space="0" w:color="auto"/>
              <w:right w:val="single" w:sz="4" w:space="0" w:color="auto"/>
            </w:tcBorders>
            <w:vAlign w:val="center"/>
            <w:hideMark/>
          </w:tcPr>
          <w:p w:rsidR="008248F9" w:rsidRDefault="008248F9" w:rsidP="008248F9">
            <w:pPr>
              <w:spacing w:after="0" w:line="240" w:lineRule="auto"/>
              <w:jc w:val="center"/>
              <w:rPr>
                <w:sz w:val="20"/>
                <w:szCs w:val="20"/>
                <w:lang w:eastAsia="en-US"/>
              </w:rPr>
            </w:pPr>
            <w:r>
              <w:rPr>
                <w:sz w:val="20"/>
                <w:szCs w:val="20"/>
                <w:lang w:eastAsia="en-US"/>
              </w:rPr>
              <w:t>246,43</w:t>
            </w:r>
          </w:p>
        </w:tc>
        <w:tc>
          <w:tcPr>
            <w:tcW w:w="1134" w:type="dxa"/>
            <w:tcBorders>
              <w:top w:val="nil"/>
              <w:left w:val="nil"/>
              <w:bottom w:val="single" w:sz="4" w:space="0" w:color="auto"/>
              <w:right w:val="single" w:sz="4" w:space="0" w:color="auto"/>
            </w:tcBorders>
            <w:vAlign w:val="center"/>
            <w:hideMark/>
          </w:tcPr>
          <w:p w:rsidR="008248F9" w:rsidRDefault="008248F9" w:rsidP="008248F9">
            <w:pPr>
              <w:spacing w:after="0" w:line="240" w:lineRule="auto"/>
              <w:jc w:val="center"/>
              <w:rPr>
                <w:sz w:val="20"/>
                <w:szCs w:val="20"/>
                <w:lang w:eastAsia="en-US"/>
              </w:rPr>
            </w:pPr>
            <w:r>
              <w:rPr>
                <w:sz w:val="20"/>
                <w:szCs w:val="20"/>
                <w:lang w:eastAsia="en-US"/>
              </w:rPr>
              <w:t>210,52</w:t>
            </w:r>
          </w:p>
        </w:tc>
        <w:tc>
          <w:tcPr>
            <w:tcW w:w="1134" w:type="dxa"/>
            <w:tcBorders>
              <w:top w:val="nil"/>
              <w:left w:val="nil"/>
              <w:bottom w:val="single" w:sz="4" w:space="0" w:color="auto"/>
              <w:right w:val="single" w:sz="4" w:space="0" w:color="auto"/>
            </w:tcBorders>
            <w:vAlign w:val="center"/>
            <w:hideMark/>
          </w:tcPr>
          <w:p w:rsidR="008248F9" w:rsidRDefault="008248F9" w:rsidP="008248F9">
            <w:pPr>
              <w:spacing w:after="0" w:line="240" w:lineRule="auto"/>
              <w:jc w:val="center"/>
              <w:rPr>
                <w:sz w:val="20"/>
                <w:szCs w:val="20"/>
                <w:lang w:eastAsia="en-US"/>
              </w:rPr>
            </w:pPr>
            <w:r>
              <w:rPr>
                <w:sz w:val="20"/>
                <w:szCs w:val="20"/>
                <w:lang w:eastAsia="en-US"/>
              </w:rPr>
              <w:t>189,86</w:t>
            </w:r>
          </w:p>
        </w:tc>
        <w:tc>
          <w:tcPr>
            <w:tcW w:w="1134" w:type="dxa"/>
            <w:tcBorders>
              <w:top w:val="nil"/>
              <w:left w:val="nil"/>
              <w:bottom w:val="single" w:sz="4" w:space="0" w:color="auto"/>
              <w:right w:val="single" w:sz="4" w:space="0" w:color="auto"/>
            </w:tcBorders>
            <w:vAlign w:val="center"/>
            <w:hideMark/>
          </w:tcPr>
          <w:p w:rsidR="008248F9" w:rsidRDefault="008248F9" w:rsidP="008248F9">
            <w:pPr>
              <w:spacing w:after="0" w:line="240" w:lineRule="auto"/>
              <w:jc w:val="center"/>
              <w:rPr>
                <w:sz w:val="20"/>
                <w:szCs w:val="20"/>
                <w:lang w:eastAsia="en-US"/>
              </w:rPr>
            </w:pPr>
            <w:r>
              <w:rPr>
                <w:sz w:val="20"/>
                <w:szCs w:val="20"/>
                <w:lang w:eastAsia="en-US"/>
              </w:rPr>
              <w:t>223,42</w:t>
            </w:r>
          </w:p>
        </w:tc>
      </w:tr>
      <w:tr w:rsidR="008248F9" w:rsidTr="00AC77C2">
        <w:trPr>
          <w:trHeight w:val="284"/>
        </w:trPr>
        <w:tc>
          <w:tcPr>
            <w:tcW w:w="992" w:type="dxa"/>
            <w:tcBorders>
              <w:top w:val="nil"/>
              <w:left w:val="single" w:sz="4" w:space="0" w:color="auto"/>
              <w:bottom w:val="single" w:sz="4" w:space="0" w:color="auto"/>
              <w:right w:val="single" w:sz="4" w:space="0" w:color="auto"/>
            </w:tcBorders>
            <w:noWrap/>
            <w:vAlign w:val="center"/>
            <w:hideMark/>
          </w:tcPr>
          <w:p w:rsidR="008248F9" w:rsidRDefault="008248F9" w:rsidP="008248F9">
            <w:pPr>
              <w:spacing w:after="0" w:line="240" w:lineRule="auto"/>
              <w:jc w:val="center"/>
              <w:rPr>
                <w:sz w:val="20"/>
                <w:szCs w:val="20"/>
                <w:lang w:eastAsia="en-US"/>
              </w:rPr>
            </w:pPr>
            <w:r>
              <w:rPr>
                <w:sz w:val="20"/>
                <w:szCs w:val="20"/>
                <w:lang w:eastAsia="en-US"/>
              </w:rPr>
              <w:t>19</w:t>
            </w:r>
          </w:p>
        </w:tc>
        <w:tc>
          <w:tcPr>
            <w:tcW w:w="1560" w:type="dxa"/>
            <w:tcBorders>
              <w:top w:val="nil"/>
              <w:left w:val="nil"/>
              <w:bottom w:val="single" w:sz="4" w:space="0" w:color="auto"/>
              <w:right w:val="single" w:sz="4" w:space="0" w:color="auto"/>
            </w:tcBorders>
            <w:noWrap/>
            <w:vAlign w:val="center"/>
            <w:hideMark/>
          </w:tcPr>
          <w:p w:rsidR="008248F9" w:rsidRDefault="008248F9" w:rsidP="008248F9">
            <w:pPr>
              <w:spacing w:after="0" w:line="240" w:lineRule="auto"/>
              <w:jc w:val="center"/>
              <w:rPr>
                <w:sz w:val="20"/>
                <w:szCs w:val="20"/>
                <w:lang w:eastAsia="en-US"/>
              </w:rPr>
            </w:pPr>
            <w:r>
              <w:rPr>
                <w:sz w:val="20"/>
                <w:szCs w:val="20"/>
                <w:lang w:eastAsia="en-US"/>
              </w:rPr>
              <w:t>181-190</w:t>
            </w:r>
          </w:p>
        </w:tc>
        <w:tc>
          <w:tcPr>
            <w:tcW w:w="993" w:type="dxa"/>
            <w:tcBorders>
              <w:top w:val="nil"/>
              <w:left w:val="nil"/>
              <w:bottom w:val="single" w:sz="4" w:space="0" w:color="auto"/>
              <w:right w:val="single" w:sz="4" w:space="0" w:color="auto"/>
            </w:tcBorders>
            <w:vAlign w:val="center"/>
            <w:hideMark/>
          </w:tcPr>
          <w:p w:rsidR="008248F9" w:rsidRDefault="008248F9" w:rsidP="008248F9">
            <w:pPr>
              <w:spacing w:after="0" w:line="240" w:lineRule="auto"/>
              <w:jc w:val="center"/>
              <w:rPr>
                <w:sz w:val="20"/>
                <w:szCs w:val="20"/>
                <w:lang w:eastAsia="en-US"/>
              </w:rPr>
            </w:pPr>
            <w:r>
              <w:rPr>
                <w:sz w:val="20"/>
                <w:szCs w:val="20"/>
                <w:lang w:eastAsia="en-US"/>
              </w:rPr>
              <w:t>166</w:t>
            </w:r>
          </w:p>
        </w:tc>
        <w:tc>
          <w:tcPr>
            <w:tcW w:w="992" w:type="dxa"/>
            <w:tcBorders>
              <w:top w:val="nil"/>
              <w:left w:val="nil"/>
              <w:bottom w:val="single" w:sz="4" w:space="0" w:color="auto"/>
              <w:right w:val="single" w:sz="4" w:space="0" w:color="auto"/>
            </w:tcBorders>
            <w:vAlign w:val="center"/>
            <w:hideMark/>
          </w:tcPr>
          <w:p w:rsidR="008248F9" w:rsidRDefault="008248F9" w:rsidP="008248F9">
            <w:pPr>
              <w:spacing w:after="0" w:line="240" w:lineRule="auto"/>
              <w:jc w:val="center"/>
              <w:rPr>
                <w:sz w:val="20"/>
                <w:szCs w:val="20"/>
                <w:lang w:eastAsia="en-US"/>
              </w:rPr>
            </w:pPr>
            <w:r>
              <w:rPr>
                <w:sz w:val="20"/>
                <w:szCs w:val="20"/>
                <w:lang w:eastAsia="en-US"/>
              </w:rPr>
              <w:t>42</w:t>
            </w:r>
          </w:p>
        </w:tc>
        <w:tc>
          <w:tcPr>
            <w:tcW w:w="1101" w:type="dxa"/>
            <w:tcBorders>
              <w:top w:val="nil"/>
              <w:left w:val="nil"/>
              <w:bottom w:val="single" w:sz="4" w:space="0" w:color="auto"/>
              <w:right w:val="single" w:sz="4" w:space="0" w:color="auto"/>
            </w:tcBorders>
            <w:vAlign w:val="center"/>
            <w:hideMark/>
          </w:tcPr>
          <w:p w:rsidR="008248F9" w:rsidRDefault="008248F9" w:rsidP="008248F9">
            <w:pPr>
              <w:spacing w:after="0" w:line="240" w:lineRule="auto"/>
              <w:jc w:val="center"/>
              <w:rPr>
                <w:sz w:val="20"/>
                <w:szCs w:val="20"/>
                <w:lang w:eastAsia="en-US"/>
              </w:rPr>
            </w:pPr>
            <w:r>
              <w:rPr>
                <w:sz w:val="20"/>
                <w:szCs w:val="20"/>
                <w:lang w:eastAsia="en-US"/>
              </w:rPr>
              <w:t>261,53</w:t>
            </w:r>
          </w:p>
        </w:tc>
        <w:tc>
          <w:tcPr>
            <w:tcW w:w="1134" w:type="dxa"/>
            <w:tcBorders>
              <w:top w:val="nil"/>
              <w:left w:val="nil"/>
              <w:bottom w:val="single" w:sz="4" w:space="0" w:color="auto"/>
              <w:right w:val="single" w:sz="4" w:space="0" w:color="auto"/>
            </w:tcBorders>
            <w:vAlign w:val="center"/>
            <w:hideMark/>
          </w:tcPr>
          <w:p w:rsidR="008248F9" w:rsidRDefault="008248F9" w:rsidP="008248F9">
            <w:pPr>
              <w:spacing w:after="0" w:line="240" w:lineRule="auto"/>
              <w:jc w:val="center"/>
              <w:rPr>
                <w:sz w:val="20"/>
                <w:szCs w:val="20"/>
                <w:lang w:eastAsia="en-US"/>
              </w:rPr>
            </w:pPr>
            <w:r>
              <w:rPr>
                <w:sz w:val="20"/>
                <w:szCs w:val="20"/>
                <w:lang w:eastAsia="en-US"/>
              </w:rPr>
              <w:t>63,02</w:t>
            </w:r>
          </w:p>
        </w:tc>
        <w:tc>
          <w:tcPr>
            <w:tcW w:w="1134" w:type="dxa"/>
            <w:tcBorders>
              <w:top w:val="nil"/>
              <w:left w:val="nil"/>
              <w:bottom w:val="single" w:sz="4" w:space="0" w:color="auto"/>
              <w:right w:val="single" w:sz="4" w:space="0" w:color="auto"/>
            </w:tcBorders>
            <w:vAlign w:val="center"/>
            <w:hideMark/>
          </w:tcPr>
          <w:p w:rsidR="008248F9" w:rsidRDefault="008248F9" w:rsidP="008248F9">
            <w:pPr>
              <w:spacing w:after="0" w:line="240" w:lineRule="auto"/>
              <w:jc w:val="center"/>
              <w:rPr>
                <w:sz w:val="20"/>
                <w:szCs w:val="20"/>
                <w:lang w:eastAsia="en-US"/>
              </w:rPr>
            </w:pPr>
            <w:r>
              <w:rPr>
                <w:sz w:val="20"/>
                <w:szCs w:val="20"/>
                <w:lang w:eastAsia="en-US"/>
              </w:rPr>
              <w:t>66,17</w:t>
            </w:r>
          </w:p>
        </w:tc>
        <w:tc>
          <w:tcPr>
            <w:tcW w:w="1134" w:type="dxa"/>
            <w:tcBorders>
              <w:top w:val="nil"/>
              <w:left w:val="nil"/>
              <w:bottom w:val="single" w:sz="4" w:space="0" w:color="auto"/>
              <w:right w:val="single" w:sz="4" w:space="0" w:color="auto"/>
            </w:tcBorders>
            <w:vAlign w:val="center"/>
            <w:hideMark/>
          </w:tcPr>
          <w:p w:rsidR="008248F9" w:rsidRDefault="008248F9" w:rsidP="008248F9">
            <w:pPr>
              <w:spacing w:after="0" w:line="240" w:lineRule="auto"/>
              <w:jc w:val="center"/>
              <w:rPr>
                <w:sz w:val="20"/>
                <w:szCs w:val="20"/>
                <w:lang w:eastAsia="en-US"/>
              </w:rPr>
            </w:pPr>
            <w:r>
              <w:rPr>
                <w:sz w:val="20"/>
                <w:szCs w:val="20"/>
                <w:lang w:eastAsia="en-US"/>
              </w:rPr>
              <w:t>308,01</w:t>
            </w:r>
          </w:p>
        </w:tc>
      </w:tr>
      <w:tr w:rsidR="008248F9" w:rsidTr="00AC77C2">
        <w:trPr>
          <w:trHeight w:val="284"/>
        </w:trPr>
        <w:tc>
          <w:tcPr>
            <w:tcW w:w="992" w:type="dxa"/>
            <w:tcBorders>
              <w:top w:val="nil"/>
              <w:left w:val="single" w:sz="4" w:space="0" w:color="auto"/>
              <w:bottom w:val="single" w:sz="4" w:space="0" w:color="auto"/>
              <w:right w:val="single" w:sz="4" w:space="0" w:color="auto"/>
            </w:tcBorders>
            <w:noWrap/>
            <w:vAlign w:val="center"/>
            <w:hideMark/>
          </w:tcPr>
          <w:p w:rsidR="008248F9" w:rsidRDefault="008248F9" w:rsidP="008248F9">
            <w:pPr>
              <w:spacing w:after="0" w:line="240" w:lineRule="auto"/>
              <w:jc w:val="center"/>
              <w:rPr>
                <w:sz w:val="20"/>
                <w:szCs w:val="20"/>
                <w:lang w:eastAsia="en-US"/>
              </w:rPr>
            </w:pPr>
            <w:r>
              <w:rPr>
                <w:sz w:val="20"/>
                <w:szCs w:val="20"/>
                <w:lang w:eastAsia="en-US"/>
              </w:rPr>
              <w:t>20</w:t>
            </w:r>
          </w:p>
        </w:tc>
        <w:tc>
          <w:tcPr>
            <w:tcW w:w="1560" w:type="dxa"/>
            <w:tcBorders>
              <w:top w:val="nil"/>
              <w:left w:val="nil"/>
              <w:bottom w:val="single" w:sz="4" w:space="0" w:color="auto"/>
              <w:right w:val="single" w:sz="4" w:space="0" w:color="auto"/>
            </w:tcBorders>
            <w:noWrap/>
            <w:vAlign w:val="center"/>
            <w:hideMark/>
          </w:tcPr>
          <w:p w:rsidR="008248F9" w:rsidRDefault="008248F9" w:rsidP="008248F9">
            <w:pPr>
              <w:spacing w:after="0" w:line="240" w:lineRule="auto"/>
              <w:jc w:val="center"/>
              <w:rPr>
                <w:sz w:val="20"/>
                <w:szCs w:val="20"/>
                <w:lang w:eastAsia="en-US"/>
              </w:rPr>
            </w:pPr>
            <w:r>
              <w:rPr>
                <w:sz w:val="20"/>
                <w:szCs w:val="20"/>
                <w:lang w:eastAsia="en-US"/>
              </w:rPr>
              <w:t>191-200</w:t>
            </w:r>
          </w:p>
        </w:tc>
        <w:tc>
          <w:tcPr>
            <w:tcW w:w="993" w:type="dxa"/>
            <w:tcBorders>
              <w:top w:val="nil"/>
              <w:left w:val="nil"/>
              <w:bottom w:val="single" w:sz="4" w:space="0" w:color="auto"/>
              <w:right w:val="single" w:sz="4" w:space="0" w:color="auto"/>
            </w:tcBorders>
            <w:vAlign w:val="center"/>
            <w:hideMark/>
          </w:tcPr>
          <w:p w:rsidR="008248F9" w:rsidRDefault="008248F9" w:rsidP="008248F9">
            <w:pPr>
              <w:spacing w:after="0" w:line="240" w:lineRule="auto"/>
              <w:jc w:val="center"/>
              <w:rPr>
                <w:sz w:val="20"/>
                <w:szCs w:val="20"/>
                <w:lang w:eastAsia="en-US"/>
              </w:rPr>
            </w:pPr>
            <w:r>
              <w:rPr>
                <w:sz w:val="20"/>
                <w:szCs w:val="20"/>
                <w:lang w:eastAsia="en-US"/>
              </w:rPr>
              <w:t>173</w:t>
            </w:r>
          </w:p>
        </w:tc>
        <w:tc>
          <w:tcPr>
            <w:tcW w:w="992" w:type="dxa"/>
            <w:tcBorders>
              <w:top w:val="nil"/>
              <w:left w:val="nil"/>
              <w:bottom w:val="single" w:sz="4" w:space="0" w:color="auto"/>
              <w:right w:val="single" w:sz="4" w:space="0" w:color="auto"/>
            </w:tcBorders>
            <w:vAlign w:val="center"/>
            <w:hideMark/>
          </w:tcPr>
          <w:p w:rsidR="008248F9" w:rsidRDefault="008248F9" w:rsidP="008248F9">
            <w:pPr>
              <w:spacing w:after="0" w:line="240" w:lineRule="auto"/>
              <w:jc w:val="center"/>
              <w:rPr>
                <w:sz w:val="20"/>
                <w:szCs w:val="20"/>
                <w:lang w:eastAsia="en-US"/>
              </w:rPr>
            </w:pPr>
            <w:r>
              <w:rPr>
                <w:sz w:val="20"/>
                <w:szCs w:val="20"/>
                <w:lang w:eastAsia="en-US"/>
              </w:rPr>
              <w:t>43</w:t>
            </w:r>
          </w:p>
        </w:tc>
        <w:tc>
          <w:tcPr>
            <w:tcW w:w="1101" w:type="dxa"/>
            <w:tcBorders>
              <w:top w:val="nil"/>
              <w:left w:val="nil"/>
              <w:bottom w:val="single" w:sz="4" w:space="0" w:color="auto"/>
              <w:right w:val="single" w:sz="4" w:space="0" w:color="auto"/>
            </w:tcBorders>
            <w:vAlign w:val="center"/>
            <w:hideMark/>
          </w:tcPr>
          <w:p w:rsidR="008248F9" w:rsidRDefault="008248F9" w:rsidP="008248F9">
            <w:pPr>
              <w:spacing w:after="0" w:line="240" w:lineRule="auto"/>
              <w:jc w:val="center"/>
              <w:rPr>
                <w:sz w:val="20"/>
                <w:szCs w:val="20"/>
                <w:lang w:eastAsia="en-US"/>
              </w:rPr>
            </w:pPr>
            <w:r>
              <w:rPr>
                <w:sz w:val="20"/>
                <w:szCs w:val="20"/>
                <w:lang w:eastAsia="en-US"/>
              </w:rPr>
              <w:t>272,56</w:t>
            </w:r>
          </w:p>
        </w:tc>
        <w:tc>
          <w:tcPr>
            <w:tcW w:w="1134" w:type="dxa"/>
            <w:tcBorders>
              <w:top w:val="nil"/>
              <w:left w:val="nil"/>
              <w:bottom w:val="single" w:sz="4" w:space="0" w:color="auto"/>
              <w:right w:val="single" w:sz="4" w:space="0" w:color="auto"/>
            </w:tcBorders>
            <w:vAlign w:val="center"/>
            <w:hideMark/>
          </w:tcPr>
          <w:p w:rsidR="008248F9" w:rsidRDefault="008248F9" w:rsidP="008248F9">
            <w:pPr>
              <w:spacing w:after="0" w:line="240" w:lineRule="auto"/>
              <w:jc w:val="center"/>
              <w:rPr>
                <w:sz w:val="20"/>
                <w:szCs w:val="20"/>
                <w:lang w:eastAsia="en-US"/>
              </w:rPr>
            </w:pPr>
            <w:r>
              <w:rPr>
                <w:sz w:val="20"/>
                <w:szCs w:val="20"/>
                <w:lang w:eastAsia="en-US"/>
              </w:rPr>
              <w:t>66,17</w:t>
            </w:r>
          </w:p>
        </w:tc>
        <w:tc>
          <w:tcPr>
            <w:tcW w:w="1134" w:type="dxa"/>
            <w:tcBorders>
              <w:top w:val="nil"/>
              <w:left w:val="nil"/>
              <w:bottom w:val="single" w:sz="4" w:space="0" w:color="auto"/>
              <w:right w:val="single" w:sz="4" w:space="0" w:color="auto"/>
            </w:tcBorders>
            <w:vAlign w:val="center"/>
            <w:hideMark/>
          </w:tcPr>
          <w:p w:rsidR="008248F9" w:rsidRDefault="008248F9" w:rsidP="008248F9">
            <w:pPr>
              <w:spacing w:after="0" w:line="240" w:lineRule="auto"/>
              <w:jc w:val="center"/>
              <w:rPr>
                <w:sz w:val="20"/>
                <w:szCs w:val="20"/>
                <w:lang w:eastAsia="en-US"/>
              </w:rPr>
            </w:pPr>
            <w:r>
              <w:rPr>
                <w:sz w:val="20"/>
                <w:szCs w:val="20"/>
                <w:lang w:eastAsia="en-US"/>
              </w:rPr>
              <w:t>67,75</w:t>
            </w:r>
          </w:p>
        </w:tc>
        <w:tc>
          <w:tcPr>
            <w:tcW w:w="1134" w:type="dxa"/>
            <w:tcBorders>
              <w:top w:val="nil"/>
              <w:left w:val="nil"/>
              <w:bottom w:val="single" w:sz="4" w:space="0" w:color="auto"/>
              <w:right w:val="single" w:sz="4" w:space="0" w:color="auto"/>
            </w:tcBorders>
            <w:vAlign w:val="center"/>
            <w:hideMark/>
          </w:tcPr>
          <w:p w:rsidR="008248F9" w:rsidRDefault="008248F9" w:rsidP="008248F9">
            <w:pPr>
              <w:spacing w:after="0" w:line="240" w:lineRule="auto"/>
              <w:jc w:val="center"/>
              <w:rPr>
                <w:sz w:val="20"/>
                <w:szCs w:val="20"/>
                <w:lang w:eastAsia="en-US"/>
              </w:rPr>
            </w:pPr>
            <w:r>
              <w:rPr>
                <w:sz w:val="20"/>
                <w:szCs w:val="20"/>
                <w:lang w:eastAsia="en-US"/>
              </w:rPr>
              <w:t>321,06</w:t>
            </w:r>
          </w:p>
        </w:tc>
      </w:tr>
    </w:tbl>
    <w:p w:rsidR="008248F9" w:rsidRDefault="008248F9" w:rsidP="008248F9">
      <w:pPr>
        <w:spacing w:after="0" w:line="240" w:lineRule="auto"/>
        <w:jc w:val="center"/>
        <w:rPr>
          <w:sz w:val="20"/>
          <w:szCs w:val="20"/>
        </w:rPr>
      </w:pPr>
    </w:p>
    <w:p w:rsidR="008248F9" w:rsidRDefault="008248F9" w:rsidP="008248F9">
      <w:pPr>
        <w:spacing w:after="0" w:line="240" w:lineRule="auto"/>
        <w:ind w:firstLine="851"/>
        <w:rPr>
          <w:noProof/>
          <w:sz w:val="28"/>
          <w:szCs w:val="28"/>
        </w:rPr>
      </w:pPr>
      <w:r>
        <w:rPr>
          <w:sz w:val="28"/>
          <w:szCs w:val="28"/>
        </w:rPr>
        <w:t xml:space="preserve">Структура необходимой валовой выручки  АО «Экспресс-пригород», учтенной при расчете тарифов на перевозку пассажиров железнодорожным транспортом в пригородном сообщении на 2020 год. </w:t>
      </w:r>
    </w:p>
    <w:p w:rsidR="008248F9" w:rsidRDefault="008248F9" w:rsidP="008248F9">
      <w:pPr>
        <w:spacing w:after="0" w:line="240" w:lineRule="auto"/>
        <w:ind w:firstLine="851"/>
        <w:rPr>
          <w:noProof/>
          <w:sz w:val="28"/>
          <w:szCs w:val="28"/>
        </w:rPr>
      </w:pPr>
    </w:p>
    <w:p w:rsidR="008248F9" w:rsidRDefault="008248F9" w:rsidP="00525F0D">
      <w:pPr>
        <w:ind w:firstLine="567"/>
        <w:jc w:val="center"/>
        <w:rPr>
          <w:sz w:val="28"/>
          <w:szCs w:val="28"/>
        </w:rPr>
      </w:pPr>
      <w:r>
        <w:rPr>
          <w:noProof/>
          <w:sz w:val="28"/>
          <w:szCs w:val="28"/>
        </w:rPr>
        <w:drawing>
          <wp:inline distT="0" distB="0" distL="0" distR="0" wp14:anchorId="7C40A575" wp14:editId="5718639A">
            <wp:extent cx="4828032" cy="3196742"/>
            <wp:effectExtent l="0" t="0" r="0" b="0"/>
            <wp:docPr id="45" name="Рисунок 45"/>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88"/>
                    <pic:cNvPicPr>
                      <a:picLocks noChangeArrowheads="1"/>
                    </pic:cNvPicPr>
                  </pic:nvPicPr>
                  <pic:blipFill>
                    <a:blip r:embed="rId89" cstate="print">
                      <a:extLst>
                        <a:ext uri="{28A0092B-C50C-407E-A947-70E740481C1C}">
                          <a14:useLocalDpi xmlns:a14="http://schemas.microsoft.com/office/drawing/2010/main" val="0"/>
                        </a:ext>
                      </a:extLst>
                    </a:blip>
                    <a:srcRect/>
                    <a:stretch>
                      <a:fillRect/>
                    </a:stretch>
                  </pic:blipFill>
                  <pic:spPr bwMode="auto">
                    <a:xfrm>
                      <a:off x="0" y="0"/>
                      <a:ext cx="4828372" cy="3196967"/>
                    </a:xfrm>
                    <a:prstGeom prst="rect">
                      <a:avLst/>
                    </a:prstGeom>
                    <a:noFill/>
                    <a:ln>
                      <a:noFill/>
                    </a:ln>
                  </pic:spPr>
                </pic:pic>
              </a:graphicData>
            </a:graphic>
          </wp:inline>
        </w:drawing>
      </w:r>
    </w:p>
    <w:p w:rsidR="008248F9" w:rsidRDefault="008248F9" w:rsidP="008248F9">
      <w:pPr>
        <w:spacing w:line="240" w:lineRule="auto"/>
        <w:ind w:firstLine="851"/>
        <w:jc w:val="both"/>
        <w:rPr>
          <w:rStyle w:val="af0"/>
        </w:rPr>
      </w:pPr>
      <w:r>
        <w:rPr>
          <w:rFonts w:ascii="Times New Roman CYR" w:eastAsia="Calibri" w:hAnsi="Times New Roman CYR" w:cs="Times New Roman CYR"/>
          <w:sz w:val="28"/>
          <w:szCs w:val="28"/>
          <w:lang w:eastAsia="en-US"/>
        </w:rPr>
        <w:t xml:space="preserve">С информацией о тарифах на </w:t>
      </w:r>
      <w:r>
        <w:rPr>
          <w:sz w:val="28"/>
          <w:szCs w:val="28"/>
        </w:rPr>
        <w:t>услуги по перевозке пассажиров железнодорожным транспортом в пригородном сообщении, оказываемые на территории Новосибирской области</w:t>
      </w:r>
      <w:r>
        <w:rPr>
          <w:rFonts w:ascii="Times New Roman CYR" w:eastAsia="Calibri" w:hAnsi="Times New Roman CYR" w:cs="Times New Roman CYR"/>
          <w:sz w:val="28"/>
          <w:szCs w:val="28"/>
          <w:lang w:eastAsia="en-US"/>
        </w:rPr>
        <w:t xml:space="preserve"> можно ознакомиться на официальном </w:t>
      </w:r>
      <w:r>
        <w:rPr>
          <w:rFonts w:ascii="Times New Roman CYR" w:eastAsia="Calibri" w:hAnsi="Times New Roman CYR" w:cs="Times New Roman CYR"/>
          <w:sz w:val="28"/>
          <w:szCs w:val="28"/>
          <w:lang w:eastAsia="en-US"/>
        </w:rPr>
        <w:lastRenderedPageBreak/>
        <w:t xml:space="preserve">сайте департамента в информационно-телекоммуникационной сети «Интернет»  </w:t>
      </w:r>
      <w:hyperlink r:id="rId90" w:history="1">
        <w:r>
          <w:rPr>
            <w:rStyle w:val="af0"/>
          </w:rPr>
          <w:t>https://tarif.nso.ru/page/96</w:t>
        </w:r>
      </w:hyperlink>
    </w:p>
    <w:p w:rsidR="008248F9" w:rsidRDefault="008248F9" w:rsidP="008248F9">
      <w:pPr>
        <w:spacing w:line="240" w:lineRule="auto"/>
        <w:ind w:firstLine="851"/>
        <w:jc w:val="both"/>
        <w:rPr>
          <w:rStyle w:val="af0"/>
          <w:sz w:val="28"/>
          <w:szCs w:val="28"/>
        </w:rPr>
      </w:pPr>
    </w:p>
    <w:p w:rsidR="005727C2" w:rsidRPr="009F2215" w:rsidRDefault="009F2215" w:rsidP="009F2215">
      <w:pPr>
        <w:jc w:val="both"/>
        <w:rPr>
          <w:b/>
          <w:sz w:val="28"/>
          <w:szCs w:val="28"/>
        </w:rPr>
      </w:pPr>
      <w:r w:rsidRPr="009F2215">
        <w:rPr>
          <w:b/>
          <w:sz w:val="28"/>
          <w:szCs w:val="28"/>
        </w:rPr>
        <w:t>2.</w:t>
      </w:r>
      <w:r w:rsidR="00DB2105">
        <w:rPr>
          <w:b/>
          <w:sz w:val="28"/>
          <w:szCs w:val="28"/>
        </w:rPr>
        <w:t>7</w:t>
      </w:r>
      <w:r w:rsidRPr="009F2215">
        <w:rPr>
          <w:b/>
          <w:sz w:val="28"/>
          <w:szCs w:val="28"/>
        </w:rPr>
        <w:t>.</w:t>
      </w:r>
      <w:r w:rsidR="00AC77C2">
        <w:rPr>
          <w:b/>
          <w:sz w:val="28"/>
          <w:szCs w:val="28"/>
        </w:rPr>
        <w:t>2</w:t>
      </w:r>
      <w:r w:rsidRPr="009F2215">
        <w:rPr>
          <w:b/>
          <w:sz w:val="28"/>
          <w:szCs w:val="28"/>
        </w:rPr>
        <w:t xml:space="preserve">. </w:t>
      </w:r>
      <w:r w:rsidR="005727C2" w:rsidRPr="009F2215">
        <w:rPr>
          <w:b/>
          <w:sz w:val="28"/>
          <w:szCs w:val="28"/>
        </w:rPr>
        <w:t>Тарифы на транспортные услуги, оказываемые организациями на подъездных железнодорожных путях</w:t>
      </w:r>
    </w:p>
    <w:p w:rsidR="005727C2" w:rsidRDefault="005727C2" w:rsidP="009F2215">
      <w:pPr>
        <w:spacing w:after="0" w:line="240" w:lineRule="auto"/>
        <w:ind w:firstLine="709"/>
        <w:jc w:val="both"/>
        <w:rPr>
          <w:sz w:val="28"/>
          <w:szCs w:val="28"/>
        </w:rPr>
      </w:pPr>
      <w:r>
        <w:rPr>
          <w:sz w:val="28"/>
          <w:szCs w:val="28"/>
        </w:rPr>
        <w:t>В 2019 году отрегулированы 9 организаций, оказывающих транспортные услуги на подъездных железнодорожных путях.</w:t>
      </w:r>
      <w:r w:rsidR="009F2215">
        <w:rPr>
          <w:sz w:val="28"/>
          <w:szCs w:val="28"/>
        </w:rPr>
        <w:t xml:space="preserve"> С приказами Департамента можно ознакомиться на официальном сайте в разделе «тарифы» (</w:t>
      </w:r>
      <w:r w:rsidR="005301F6">
        <w:rPr>
          <w:sz w:val="28"/>
          <w:szCs w:val="28"/>
        </w:rPr>
        <w:t>https://tarif.nso.ru/page/98).</w:t>
      </w:r>
      <w:r w:rsidR="009F2215">
        <w:rPr>
          <w:sz w:val="28"/>
          <w:szCs w:val="28"/>
        </w:rPr>
        <w:t xml:space="preserve">  </w:t>
      </w:r>
    </w:p>
    <w:p w:rsidR="005301F6" w:rsidRDefault="005301F6" w:rsidP="009F2215">
      <w:pPr>
        <w:spacing w:after="0" w:line="240" w:lineRule="auto"/>
        <w:ind w:firstLine="709"/>
        <w:jc w:val="both"/>
        <w:rPr>
          <w:iCs/>
          <w:sz w:val="28"/>
          <w:szCs w:val="28"/>
        </w:rPr>
      </w:pPr>
      <w:r w:rsidRPr="005301F6">
        <w:rPr>
          <w:iCs/>
          <w:sz w:val="28"/>
          <w:szCs w:val="28"/>
        </w:rPr>
        <w:t>Динамика тарифов на транспортные услуги (подача и уборка вагонов), оказываемые организациями на подъездных железнодорожных путях, за период 2018-2020 гг.</w:t>
      </w:r>
      <w:r>
        <w:rPr>
          <w:iCs/>
          <w:sz w:val="28"/>
          <w:szCs w:val="28"/>
        </w:rPr>
        <w:t xml:space="preserve"> представлена на рисунке 2.</w:t>
      </w:r>
      <w:r w:rsidR="00525F0D">
        <w:rPr>
          <w:iCs/>
          <w:sz w:val="28"/>
          <w:szCs w:val="28"/>
        </w:rPr>
        <w:t>7</w:t>
      </w:r>
      <w:r>
        <w:rPr>
          <w:iCs/>
          <w:sz w:val="28"/>
          <w:szCs w:val="28"/>
        </w:rPr>
        <w:t>.1</w:t>
      </w:r>
    </w:p>
    <w:p w:rsidR="00525F0D" w:rsidRDefault="00525F0D" w:rsidP="009F2215">
      <w:pPr>
        <w:spacing w:after="0" w:line="240" w:lineRule="auto"/>
        <w:ind w:firstLine="709"/>
        <w:jc w:val="both"/>
        <w:rPr>
          <w:iCs/>
          <w:sz w:val="28"/>
          <w:szCs w:val="28"/>
        </w:rPr>
      </w:pPr>
    </w:p>
    <w:p w:rsidR="00525F0D" w:rsidRDefault="00525F0D" w:rsidP="009F2215">
      <w:pPr>
        <w:spacing w:after="0" w:line="240" w:lineRule="auto"/>
        <w:ind w:firstLine="709"/>
        <w:jc w:val="both"/>
        <w:rPr>
          <w:iCs/>
          <w:sz w:val="28"/>
          <w:szCs w:val="28"/>
        </w:rPr>
      </w:pPr>
      <w:r>
        <w:rPr>
          <w:noProof/>
          <w:color w:val="0000CC"/>
          <w:sz w:val="16"/>
          <w:szCs w:val="16"/>
        </w:rPr>
        <w:drawing>
          <wp:inline distT="0" distB="0" distL="0" distR="0" wp14:anchorId="5DB1EC93" wp14:editId="0DCDB73F">
            <wp:extent cx="5310835" cy="4422587"/>
            <wp:effectExtent l="0" t="0" r="0" b="0"/>
            <wp:docPr id="14" name="Рисунок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0"/>
                    <pic:cNvPicPr>
                      <a:picLocks noChangeAspect="1" noChangeArrowheads="1"/>
                    </pic:cNvPicPr>
                  </pic:nvPicPr>
                  <pic:blipFill>
                    <a:blip r:embed="rId91">
                      <a:extLst>
                        <a:ext uri="{28A0092B-C50C-407E-A947-70E740481C1C}">
                          <a14:useLocalDpi xmlns:a14="http://schemas.microsoft.com/office/drawing/2010/main" val="0"/>
                        </a:ext>
                      </a:extLst>
                    </a:blip>
                    <a:srcRect/>
                    <a:stretch>
                      <a:fillRect/>
                    </a:stretch>
                  </pic:blipFill>
                  <pic:spPr bwMode="auto">
                    <a:xfrm>
                      <a:off x="0" y="0"/>
                      <a:ext cx="5311267" cy="4422947"/>
                    </a:xfrm>
                    <a:prstGeom prst="rect">
                      <a:avLst/>
                    </a:prstGeom>
                    <a:noFill/>
                    <a:ln>
                      <a:noFill/>
                    </a:ln>
                  </pic:spPr>
                </pic:pic>
              </a:graphicData>
            </a:graphic>
          </wp:inline>
        </w:drawing>
      </w:r>
    </w:p>
    <w:p w:rsidR="00525F0D" w:rsidRPr="00525F0D" w:rsidRDefault="00525F0D" w:rsidP="00525F0D">
      <w:pPr>
        <w:spacing w:after="0" w:line="240" w:lineRule="auto"/>
        <w:ind w:firstLine="709"/>
        <w:jc w:val="center"/>
        <w:rPr>
          <w:iCs/>
        </w:rPr>
      </w:pPr>
      <w:r w:rsidRPr="00525F0D">
        <w:rPr>
          <w:iCs/>
        </w:rPr>
        <w:t>Рис.2.7.1.</w:t>
      </w:r>
    </w:p>
    <w:p w:rsidR="00525F0D" w:rsidRDefault="00525F0D" w:rsidP="00525F0D">
      <w:pPr>
        <w:spacing w:after="0" w:line="240" w:lineRule="auto"/>
        <w:ind w:firstLine="709"/>
        <w:jc w:val="center"/>
        <w:rPr>
          <w:iCs/>
          <w:sz w:val="28"/>
          <w:szCs w:val="28"/>
        </w:rPr>
      </w:pPr>
    </w:p>
    <w:p w:rsidR="005727C2" w:rsidRPr="005301F6" w:rsidRDefault="005301F6" w:rsidP="005727C2">
      <w:pPr>
        <w:pStyle w:val="af7"/>
        <w:spacing w:after="0"/>
        <w:ind w:left="-426" w:firstLine="709"/>
        <w:jc w:val="both"/>
        <w:rPr>
          <w:b/>
          <w:sz w:val="28"/>
          <w:szCs w:val="28"/>
        </w:rPr>
      </w:pPr>
      <w:r w:rsidRPr="005301F6">
        <w:rPr>
          <w:b/>
          <w:sz w:val="28"/>
          <w:szCs w:val="28"/>
        </w:rPr>
        <w:t>2.</w:t>
      </w:r>
      <w:r w:rsidR="00DB2105">
        <w:rPr>
          <w:b/>
          <w:sz w:val="28"/>
          <w:szCs w:val="28"/>
        </w:rPr>
        <w:t>7</w:t>
      </w:r>
      <w:r w:rsidRPr="005301F6">
        <w:rPr>
          <w:b/>
          <w:sz w:val="28"/>
          <w:szCs w:val="28"/>
        </w:rPr>
        <w:t>.</w:t>
      </w:r>
      <w:r w:rsidR="00AC77C2">
        <w:rPr>
          <w:b/>
          <w:sz w:val="28"/>
          <w:szCs w:val="28"/>
        </w:rPr>
        <w:t>3.</w:t>
      </w:r>
      <w:r w:rsidRPr="005301F6">
        <w:rPr>
          <w:b/>
          <w:sz w:val="28"/>
          <w:szCs w:val="28"/>
        </w:rPr>
        <w:t xml:space="preserve"> Т</w:t>
      </w:r>
      <w:r w:rsidR="005727C2" w:rsidRPr="005301F6">
        <w:rPr>
          <w:b/>
          <w:sz w:val="28"/>
          <w:szCs w:val="28"/>
        </w:rPr>
        <w:t>арифы на перемещение и хранение задержанных транспортных средств на специализированную стоянку</w:t>
      </w:r>
    </w:p>
    <w:p w:rsidR="005727C2" w:rsidRDefault="005727C2" w:rsidP="00B60A41">
      <w:pPr>
        <w:autoSpaceDE w:val="0"/>
        <w:autoSpaceDN w:val="0"/>
        <w:adjustRightInd w:val="0"/>
        <w:spacing w:after="0" w:line="240" w:lineRule="auto"/>
        <w:ind w:firstLine="709"/>
        <w:jc w:val="both"/>
        <w:rPr>
          <w:sz w:val="28"/>
          <w:szCs w:val="28"/>
        </w:rPr>
      </w:pPr>
      <w:r>
        <w:rPr>
          <w:sz w:val="28"/>
          <w:szCs w:val="28"/>
        </w:rPr>
        <w:t xml:space="preserve">В 2019 году на территориях 5 муниципальных районов  </w:t>
      </w:r>
      <w:r w:rsidR="005301F6">
        <w:rPr>
          <w:sz w:val="28"/>
          <w:szCs w:val="28"/>
        </w:rPr>
        <w:t xml:space="preserve">(Доволенского, Венгеровского, Куйбышевского, Убинского, Ордынского)  </w:t>
      </w:r>
      <w:r>
        <w:rPr>
          <w:sz w:val="28"/>
          <w:szCs w:val="28"/>
        </w:rPr>
        <w:t>Новосибирской области на период с 01.01.2020 по 31.12.2020 установлены  тарифы на перемещение и хранение задержанных транспортных средств (за исключением судна).</w:t>
      </w:r>
    </w:p>
    <w:p w:rsidR="005727C2" w:rsidRDefault="005727C2" w:rsidP="00B60A41">
      <w:pPr>
        <w:autoSpaceDE w:val="0"/>
        <w:autoSpaceDN w:val="0"/>
        <w:adjustRightInd w:val="0"/>
        <w:spacing w:after="0" w:line="240" w:lineRule="auto"/>
        <w:ind w:firstLine="709"/>
        <w:jc w:val="both"/>
        <w:rPr>
          <w:sz w:val="28"/>
          <w:szCs w:val="28"/>
        </w:rPr>
      </w:pPr>
      <w:r>
        <w:rPr>
          <w:sz w:val="28"/>
          <w:szCs w:val="28"/>
        </w:rPr>
        <w:lastRenderedPageBreak/>
        <w:t>Тарифы установлены на основании обращения, поступившего в департамент по тарифам Новосибирской области от Минтранса Новосибирской области  от 16.12.2019 № 8155-19/28-Вн об установлении тарифов на перемещение и хранение задержанных транспортных средств (за исключением маломерных судов) на специализированную стоянку, их хранению по итогам открытого аукциона (протокол от 16.10.2019 № 3).</w:t>
      </w:r>
    </w:p>
    <w:p w:rsidR="005727C2" w:rsidRDefault="005727C2" w:rsidP="00B60A41">
      <w:pPr>
        <w:autoSpaceDE w:val="0"/>
        <w:autoSpaceDN w:val="0"/>
        <w:adjustRightInd w:val="0"/>
        <w:spacing w:line="240" w:lineRule="auto"/>
        <w:ind w:firstLine="709"/>
        <w:jc w:val="both"/>
        <w:rPr>
          <w:sz w:val="28"/>
          <w:szCs w:val="28"/>
        </w:rPr>
      </w:pPr>
      <w:r>
        <w:rPr>
          <w:sz w:val="28"/>
          <w:szCs w:val="28"/>
        </w:rPr>
        <w:t xml:space="preserve">Тарифы </w:t>
      </w:r>
      <w:r w:rsidR="00B60A41">
        <w:rPr>
          <w:sz w:val="28"/>
          <w:szCs w:val="28"/>
        </w:rPr>
        <w:t>«</w:t>
      </w:r>
      <w:r>
        <w:rPr>
          <w:sz w:val="28"/>
          <w:szCs w:val="28"/>
        </w:rPr>
        <w:t>за полный час хранения задержанных транспортных средств</w:t>
      </w:r>
      <w:r w:rsidR="00B60A41">
        <w:rPr>
          <w:sz w:val="28"/>
          <w:szCs w:val="28"/>
        </w:rPr>
        <w:t>»</w:t>
      </w:r>
      <w:r>
        <w:rPr>
          <w:sz w:val="28"/>
          <w:szCs w:val="28"/>
        </w:rPr>
        <w:t xml:space="preserve"> и размеры платы за перемещение задержанных транспортных средств на специализированных стоянках на территории Новосибирской области, установленные  постановлением Правительства Новосибирской области от 20.07.2015 № 272-п, в 2019 году не пересматривались:</w:t>
      </w:r>
    </w:p>
    <w:p w:rsidR="005727C2" w:rsidRDefault="005727C2" w:rsidP="00B60A41">
      <w:pPr>
        <w:autoSpaceDE w:val="0"/>
        <w:autoSpaceDN w:val="0"/>
        <w:adjustRightInd w:val="0"/>
        <w:spacing w:line="240" w:lineRule="auto"/>
        <w:ind w:firstLine="709"/>
        <w:jc w:val="center"/>
        <w:rPr>
          <w:sz w:val="28"/>
          <w:szCs w:val="28"/>
        </w:rPr>
      </w:pPr>
      <w:r>
        <w:rPr>
          <w:sz w:val="28"/>
          <w:szCs w:val="28"/>
        </w:rPr>
        <w:t xml:space="preserve">Тарифы </w:t>
      </w:r>
      <w:r w:rsidR="0061749D">
        <w:rPr>
          <w:sz w:val="28"/>
          <w:szCs w:val="28"/>
        </w:rPr>
        <w:t>«</w:t>
      </w:r>
      <w:r>
        <w:rPr>
          <w:sz w:val="28"/>
          <w:szCs w:val="28"/>
        </w:rPr>
        <w:t>за полный час хранения задержанных транспортных средств</w:t>
      </w:r>
      <w:r w:rsidR="0061749D">
        <w:rPr>
          <w:sz w:val="28"/>
          <w:szCs w:val="28"/>
        </w:rPr>
        <w:t>»</w:t>
      </w:r>
    </w:p>
    <w:tbl>
      <w:tblPr>
        <w:tblW w:w="9207" w:type="dxa"/>
        <w:jc w:val="center"/>
        <w:tblInd w:w="21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94"/>
        <w:gridCol w:w="6336"/>
        <w:gridCol w:w="2277"/>
      </w:tblGrid>
      <w:tr w:rsidR="005727C2" w:rsidTr="00B60A41">
        <w:trPr>
          <w:jc w:val="center"/>
        </w:trPr>
        <w:tc>
          <w:tcPr>
            <w:tcW w:w="594" w:type="dxa"/>
            <w:tcBorders>
              <w:top w:val="single" w:sz="4" w:space="0" w:color="auto"/>
              <w:left w:val="single" w:sz="4" w:space="0" w:color="auto"/>
              <w:bottom w:val="single" w:sz="4" w:space="0" w:color="auto"/>
              <w:right w:val="single" w:sz="4" w:space="0" w:color="auto"/>
            </w:tcBorders>
            <w:hideMark/>
          </w:tcPr>
          <w:p w:rsidR="005727C2" w:rsidRDefault="005727C2" w:rsidP="00B60A41">
            <w:pPr>
              <w:spacing w:after="0" w:line="240" w:lineRule="auto"/>
              <w:jc w:val="center"/>
            </w:pPr>
            <w:r>
              <w:rPr>
                <w:snapToGrid w:val="0"/>
                <w:sz w:val="22"/>
                <w:szCs w:val="22"/>
              </w:rPr>
              <w:t>№ п/п</w:t>
            </w:r>
          </w:p>
        </w:tc>
        <w:tc>
          <w:tcPr>
            <w:tcW w:w="6336" w:type="dxa"/>
            <w:tcBorders>
              <w:top w:val="single" w:sz="4" w:space="0" w:color="auto"/>
              <w:left w:val="single" w:sz="4" w:space="0" w:color="auto"/>
              <w:bottom w:val="single" w:sz="4" w:space="0" w:color="auto"/>
              <w:right w:val="single" w:sz="4" w:space="0" w:color="auto"/>
            </w:tcBorders>
            <w:hideMark/>
          </w:tcPr>
          <w:p w:rsidR="005727C2" w:rsidRDefault="005727C2" w:rsidP="00B60A41">
            <w:pPr>
              <w:spacing w:after="0" w:line="240" w:lineRule="auto"/>
              <w:jc w:val="center"/>
            </w:pPr>
            <w:r>
              <w:rPr>
                <w:sz w:val="22"/>
                <w:szCs w:val="22"/>
              </w:rPr>
              <w:t>Категории транспортных средств</w:t>
            </w:r>
          </w:p>
        </w:tc>
        <w:tc>
          <w:tcPr>
            <w:tcW w:w="2277" w:type="dxa"/>
            <w:tcBorders>
              <w:top w:val="single" w:sz="4" w:space="0" w:color="auto"/>
              <w:left w:val="single" w:sz="4" w:space="0" w:color="auto"/>
              <w:bottom w:val="single" w:sz="4" w:space="0" w:color="auto"/>
              <w:right w:val="single" w:sz="4" w:space="0" w:color="auto"/>
            </w:tcBorders>
            <w:hideMark/>
          </w:tcPr>
          <w:p w:rsidR="005727C2" w:rsidRDefault="005727C2" w:rsidP="00B60A41">
            <w:pPr>
              <w:spacing w:after="0" w:line="240" w:lineRule="auto"/>
              <w:ind w:left="-57" w:right="-57"/>
              <w:jc w:val="center"/>
              <w:rPr>
                <w:snapToGrid w:val="0"/>
              </w:rPr>
            </w:pPr>
            <w:r>
              <w:rPr>
                <w:snapToGrid w:val="0"/>
                <w:sz w:val="22"/>
                <w:szCs w:val="22"/>
              </w:rPr>
              <w:t xml:space="preserve">Тариф </w:t>
            </w:r>
          </w:p>
          <w:p w:rsidR="005727C2" w:rsidRDefault="005727C2" w:rsidP="00B60A41">
            <w:pPr>
              <w:spacing w:after="0" w:line="240" w:lineRule="auto"/>
              <w:ind w:left="-57" w:right="-57"/>
              <w:jc w:val="center"/>
              <w:rPr>
                <w:snapToGrid w:val="0"/>
              </w:rPr>
            </w:pPr>
            <w:r>
              <w:rPr>
                <w:snapToGrid w:val="0"/>
                <w:sz w:val="22"/>
                <w:szCs w:val="22"/>
              </w:rPr>
              <w:t xml:space="preserve">за полный час хранения, </w:t>
            </w:r>
          </w:p>
          <w:p w:rsidR="005727C2" w:rsidRDefault="005727C2" w:rsidP="00B60A41">
            <w:pPr>
              <w:spacing w:after="0" w:line="240" w:lineRule="auto"/>
              <w:ind w:left="-57" w:right="-57"/>
              <w:jc w:val="center"/>
            </w:pPr>
            <w:r>
              <w:rPr>
                <w:snapToGrid w:val="0"/>
                <w:sz w:val="22"/>
                <w:szCs w:val="22"/>
              </w:rPr>
              <w:t>руб.</w:t>
            </w:r>
            <w:r>
              <w:rPr>
                <w:sz w:val="22"/>
                <w:szCs w:val="22"/>
              </w:rPr>
              <w:t xml:space="preserve"> </w:t>
            </w:r>
          </w:p>
        </w:tc>
      </w:tr>
      <w:tr w:rsidR="005727C2" w:rsidTr="00B60A41">
        <w:trPr>
          <w:trHeight w:val="528"/>
          <w:jc w:val="center"/>
        </w:trPr>
        <w:tc>
          <w:tcPr>
            <w:tcW w:w="594" w:type="dxa"/>
            <w:tcBorders>
              <w:top w:val="single" w:sz="4" w:space="0" w:color="auto"/>
              <w:left w:val="single" w:sz="4" w:space="0" w:color="auto"/>
              <w:bottom w:val="single" w:sz="4" w:space="0" w:color="auto"/>
              <w:right w:val="single" w:sz="4" w:space="0" w:color="auto"/>
            </w:tcBorders>
            <w:hideMark/>
          </w:tcPr>
          <w:p w:rsidR="005727C2" w:rsidRDefault="005727C2" w:rsidP="00B60A41">
            <w:pPr>
              <w:spacing w:after="0" w:line="240" w:lineRule="auto"/>
              <w:jc w:val="center"/>
            </w:pPr>
            <w:r>
              <w:rPr>
                <w:snapToGrid w:val="0"/>
                <w:sz w:val="22"/>
                <w:szCs w:val="22"/>
              </w:rPr>
              <w:t>1</w:t>
            </w:r>
          </w:p>
        </w:tc>
        <w:tc>
          <w:tcPr>
            <w:tcW w:w="6336" w:type="dxa"/>
            <w:tcBorders>
              <w:top w:val="single" w:sz="4" w:space="0" w:color="auto"/>
              <w:left w:val="single" w:sz="4" w:space="0" w:color="auto"/>
              <w:bottom w:val="single" w:sz="4" w:space="0" w:color="auto"/>
              <w:right w:val="single" w:sz="4" w:space="0" w:color="auto"/>
            </w:tcBorders>
            <w:hideMark/>
          </w:tcPr>
          <w:p w:rsidR="005727C2" w:rsidRDefault="005727C2" w:rsidP="00B60A41">
            <w:pPr>
              <w:spacing w:after="0" w:line="240" w:lineRule="auto"/>
            </w:pPr>
            <w:r>
              <w:rPr>
                <w:sz w:val="22"/>
                <w:szCs w:val="22"/>
              </w:rPr>
              <w:t xml:space="preserve">Транспортные средства категорий </w:t>
            </w:r>
            <w:r>
              <w:rPr>
                <w:sz w:val="22"/>
                <w:szCs w:val="22"/>
                <w:lang w:val="en-US"/>
              </w:rPr>
              <w:t>A</w:t>
            </w:r>
            <w:r>
              <w:rPr>
                <w:sz w:val="22"/>
                <w:szCs w:val="22"/>
              </w:rPr>
              <w:t xml:space="preserve"> и </w:t>
            </w:r>
            <w:r>
              <w:rPr>
                <w:sz w:val="22"/>
                <w:szCs w:val="22"/>
                <w:lang w:val="en-US"/>
              </w:rPr>
              <w:t>M</w:t>
            </w:r>
          </w:p>
        </w:tc>
        <w:tc>
          <w:tcPr>
            <w:tcW w:w="2277" w:type="dxa"/>
            <w:tcBorders>
              <w:top w:val="single" w:sz="4" w:space="0" w:color="auto"/>
              <w:left w:val="single" w:sz="4" w:space="0" w:color="auto"/>
              <w:bottom w:val="single" w:sz="4" w:space="0" w:color="auto"/>
              <w:right w:val="single" w:sz="4" w:space="0" w:color="auto"/>
            </w:tcBorders>
            <w:hideMark/>
          </w:tcPr>
          <w:p w:rsidR="005727C2" w:rsidRDefault="005727C2" w:rsidP="00B60A41">
            <w:pPr>
              <w:spacing w:after="0" w:line="240" w:lineRule="auto"/>
              <w:jc w:val="center"/>
            </w:pPr>
            <w:r>
              <w:rPr>
                <w:snapToGrid w:val="0"/>
                <w:sz w:val="22"/>
                <w:szCs w:val="22"/>
              </w:rPr>
              <w:t>22,05</w:t>
            </w:r>
          </w:p>
        </w:tc>
      </w:tr>
      <w:tr w:rsidR="005727C2" w:rsidTr="00B60A41">
        <w:trPr>
          <w:jc w:val="center"/>
        </w:trPr>
        <w:tc>
          <w:tcPr>
            <w:tcW w:w="594" w:type="dxa"/>
            <w:tcBorders>
              <w:top w:val="single" w:sz="4" w:space="0" w:color="auto"/>
              <w:left w:val="single" w:sz="4" w:space="0" w:color="auto"/>
              <w:bottom w:val="single" w:sz="4" w:space="0" w:color="auto"/>
              <w:right w:val="single" w:sz="4" w:space="0" w:color="auto"/>
            </w:tcBorders>
            <w:hideMark/>
          </w:tcPr>
          <w:p w:rsidR="005727C2" w:rsidRDefault="005727C2" w:rsidP="00B60A41">
            <w:pPr>
              <w:spacing w:after="0" w:line="240" w:lineRule="auto"/>
              <w:jc w:val="center"/>
            </w:pPr>
            <w:r>
              <w:rPr>
                <w:snapToGrid w:val="0"/>
                <w:sz w:val="22"/>
                <w:szCs w:val="22"/>
              </w:rPr>
              <w:t>2</w:t>
            </w:r>
          </w:p>
        </w:tc>
        <w:tc>
          <w:tcPr>
            <w:tcW w:w="6336" w:type="dxa"/>
            <w:tcBorders>
              <w:top w:val="single" w:sz="4" w:space="0" w:color="auto"/>
              <w:left w:val="single" w:sz="4" w:space="0" w:color="auto"/>
              <w:bottom w:val="single" w:sz="4" w:space="0" w:color="auto"/>
              <w:right w:val="single" w:sz="4" w:space="0" w:color="auto"/>
            </w:tcBorders>
            <w:hideMark/>
          </w:tcPr>
          <w:p w:rsidR="005727C2" w:rsidRDefault="005727C2" w:rsidP="00B60A41">
            <w:pPr>
              <w:spacing w:after="0" w:line="240" w:lineRule="auto"/>
            </w:pPr>
            <w:r>
              <w:rPr>
                <w:snapToGrid w:val="0"/>
                <w:sz w:val="22"/>
                <w:szCs w:val="22"/>
              </w:rPr>
              <w:t xml:space="preserve">Транспортные средства категорий </w:t>
            </w:r>
            <w:r>
              <w:rPr>
                <w:sz w:val="22"/>
                <w:szCs w:val="22"/>
                <w:lang w:val="en-US"/>
              </w:rPr>
              <w:t>B</w:t>
            </w:r>
            <w:r>
              <w:rPr>
                <w:sz w:val="22"/>
                <w:szCs w:val="22"/>
              </w:rPr>
              <w:t xml:space="preserve"> и </w:t>
            </w:r>
            <w:r>
              <w:rPr>
                <w:sz w:val="22"/>
                <w:szCs w:val="22"/>
                <w:lang w:val="en-US"/>
              </w:rPr>
              <w:t>D</w:t>
            </w:r>
            <w:r>
              <w:rPr>
                <w:sz w:val="22"/>
                <w:szCs w:val="22"/>
              </w:rPr>
              <w:t>, разрешенная максимальная масса которых не превышает 3500 килограммов</w:t>
            </w:r>
          </w:p>
        </w:tc>
        <w:tc>
          <w:tcPr>
            <w:tcW w:w="2277" w:type="dxa"/>
            <w:tcBorders>
              <w:top w:val="single" w:sz="4" w:space="0" w:color="auto"/>
              <w:left w:val="single" w:sz="4" w:space="0" w:color="auto"/>
              <w:bottom w:val="single" w:sz="4" w:space="0" w:color="auto"/>
              <w:right w:val="single" w:sz="4" w:space="0" w:color="auto"/>
            </w:tcBorders>
            <w:hideMark/>
          </w:tcPr>
          <w:p w:rsidR="005727C2" w:rsidRDefault="005727C2" w:rsidP="00B60A41">
            <w:pPr>
              <w:spacing w:after="0" w:line="240" w:lineRule="auto"/>
              <w:jc w:val="center"/>
            </w:pPr>
            <w:r>
              <w:rPr>
                <w:snapToGrid w:val="0"/>
                <w:sz w:val="22"/>
                <w:szCs w:val="22"/>
              </w:rPr>
              <w:t>44,09</w:t>
            </w:r>
          </w:p>
        </w:tc>
      </w:tr>
      <w:tr w:rsidR="005727C2" w:rsidTr="00B60A41">
        <w:trPr>
          <w:jc w:val="center"/>
        </w:trPr>
        <w:tc>
          <w:tcPr>
            <w:tcW w:w="594" w:type="dxa"/>
            <w:tcBorders>
              <w:top w:val="single" w:sz="4" w:space="0" w:color="auto"/>
              <w:left w:val="single" w:sz="4" w:space="0" w:color="auto"/>
              <w:bottom w:val="single" w:sz="4" w:space="0" w:color="auto"/>
              <w:right w:val="single" w:sz="4" w:space="0" w:color="auto"/>
            </w:tcBorders>
            <w:hideMark/>
          </w:tcPr>
          <w:p w:rsidR="005727C2" w:rsidRDefault="005727C2" w:rsidP="00B60A41">
            <w:pPr>
              <w:spacing w:after="0" w:line="240" w:lineRule="auto"/>
              <w:jc w:val="center"/>
            </w:pPr>
            <w:r>
              <w:rPr>
                <w:snapToGrid w:val="0"/>
                <w:sz w:val="22"/>
                <w:szCs w:val="22"/>
              </w:rPr>
              <w:t>3</w:t>
            </w:r>
          </w:p>
        </w:tc>
        <w:tc>
          <w:tcPr>
            <w:tcW w:w="6336" w:type="dxa"/>
            <w:tcBorders>
              <w:top w:val="single" w:sz="4" w:space="0" w:color="auto"/>
              <w:left w:val="single" w:sz="4" w:space="0" w:color="auto"/>
              <w:bottom w:val="single" w:sz="4" w:space="0" w:color="auto"/>
              <w:right w:val="single" w:sz="4" w:space="0" w:color="auto"/>
            </w:tcBorders>
            <w:hideMark/>
          </w:tcPr>
          <w:p w:rsidR="005727C2" w:rsidRDefault="005727C2" w:rsidP="00B60A41">
            <w:pPr>
              <w:spacing w:after="0" w:line="240" w:lineRule="auto"/>
            </w:pPr>
            <w:r>
              <w:rPr>
                <w:snapToGrid w:val="0"/>
                <w:sz w:val="22"/>
                <w:szCs w:val="22"/>
              </w:rPr>
              <w:t xml:space="preserve">Транспортные средства категорий </w:t>
            </w:r>
            <w:r>
              <w:rPr>
                <w:sz w:val="22"/>
                <w:szCs w:val="22"/>
                <w:lang w:val="en-US"/>
              </w:rPr>
              <w:t>BE</w:t>
            </w:r>
            <w:r>
              <w:rPr>
                <w:sz w:val="22"/>
                <w:szCs w:val="22"/>
              </w:rPr>
              <w:t xml:space="preserve"> и </w:t>
            </w:r>
            <w:r>
              <w:rPr>
                <w:sz w:val="22"/>
                <w:szCs w:val="22"/>
                <w:lang w:val="en-US"/>
              </w:rPr>
              <w:t>D</w:t>
            </w:r>
            <w:r>
              <w:rPr>
                <w:sz w:val="22"/>
                <w:szCs w:val="22"/>
              </w:rPr>
              <w:t xml:space="preserve"> (разрешенная максимальная масса которых превышает 3500 килограммов), </w:t>
            </w:r>
            <w:r>
              <w:rPr>
                <w:sz w:val="22"/>
                <w:szCs w:val="22"/>
                <w:lang w:val="en-US"/>
              </w:rPr>
              <w:t>DE</w:t>
            </w:r>
            <w:r>
              <w:rPr>
                <w:sz w:val="22"/>
                <w:szCs w:val="22"/>
              </w:rPr>
              <w:t xml:space="preserve">, </w:t>
            </w:r>
            <w:r>
              <w:rPr>
                <w:sz w:val="22"/>
                <w:szCs w:val="22"/>
                <w:lang w:val="en-US"/>
              </w:rPr>
              <w:t>C</w:t>
            </w:r>
            <w:r>
              <w:rPr>
                <w:sz w:val="22"/>
                <w:szCs w:val="22"/>
              </w:rPr>
              <w:t xml:space="preserve">, </w:t>
            </w:r>
            <w:r>
              <w:rPr>
                <w:sz w:val="22"/>
                <w:szCs w:val="22"/>
                <w:lang w:val="en-US"/>
              </w:rPr>
              <w:t>CE</w:t>
            </w:r>
          </w:p>
        </w:tc>
        <w:tc>
          <w:tcPr>
            <w:tcW w:w="2277" w:type="dxa"/>
            <w:tcBorders>
              <w:top w:val="single" w:sz="4" w:space="0" w:color="auto"/>
              <w:left w:val="single" w:sz="4" w:space="0" w:color="auto"/>
              <w:bottom w:val="single" w:sz="4" w:space="0" w:color="auto"/>
              <w:right w:val="single" w:sz="4" w:space="0" w:color="auto"/>
            </w:tcBorders>
            <w:hideMark/>
          </w:tcPr>
          <w:p w:rsidR="005727C2" w:rsidRDefault="005727C2" w:rsidP="00B60A41">
            <w:pPr>
              <w:spacing w:after="0" w:line="240" w:lineRule="auto"/>
              <w:jc w:val="center"/>
            </w:pPr>
            <w:r>
              <w:rPr>
                <w:snapToGrid w:val="0"/>
                <w:sz w:val="22"/>
                <w:szCs w:val="22"/>
              </w:rPr>
              <w:t>88,18</w:t>
            </w:r>
          </w:p>
        </w:tc>
      </w:tr>
      <w:tr w:rsidR="005727C2" w:rsidTr="00B60A41">
        <w:trPr>
          <w:trHeight w:val="489"/>
          <w:jc w:val="center"/>
        </w:trPr>
        <w:tc>
          <w:tcPr>
            <w:tcW w:w="594" w:type="dxa"/>
            <w:tcBorders>
              <w:top w:val="single" w:sz="4" w:space="0" w:color="auto"/>
              <w:left w:val="single" w:sz="4" w:space="0" w:color="auto"/>
              <w:bottom w:val="single" w:sz="4" w:space="0" w:color="auto"/>
              <w:right w:val="single" w:sz="4" w:space="0" w:color="auto"/>
            </w:tcBorders>
            <w:hideMark/>
          </w:tcPr>
          <w:p w:rsidR="005727C2" w:rsidRDefault="005727C2" w:rsidP="00B60A41">
            <w:pPr>
              <w:spacing w:after="0" w:line="240" w:lineRule="auto"/>
              <w:jc w:val="center"/>
            </w:pPr>
            <w:r>
              <w:rPr>
                <w:snapToGrid w:val="0"/>
                <w:sz w:val="22"/>
                <w:szCs w:val="22"/>
              </w:rPr>
              <w:t>4</w:t>
            </w:r>
          </w:p>
        </w:tc>
        <w:tc>
          <w:tcPr>
            <w:tcW w:w="6336" w:type="dxa"/>
            <w:tcBorders>
              <w:top w:val="single" w:sz="4" w:space="0" w:color="auto"/>
              <w:left w:val="single" w:sz="4" w:space="0" w:color="auto"/>
              <w:bottom w:val="single" w:sz="4" w:space="0" w:color="auto"/>
              <w:right w:val="single" w:sz="4" w:space="0" w:color="auto"/>
            </w:tcBorders>
            <w:hideMark/>
          </w:tcPr>
          <w:p w:rsidR="005727C2" w:rsidRDefault="005727C2" w:rsidP="00B60A41">
            <w:pPr>
              <w:spacing w:after="0" w:line="240" w:lineRule="auto"/>
            </w:pPr>
            <w:r>
              <w:rPr>
                <w:snapToGrid w:val="0"/>
                <w:sz w:val="22"/>
                <w:szCs w:val="22"/>
              </w:rPr>
              <w:t>Негабаритные транспортные средства</w:t>
            </w:r>
            <w:r>
              <w:rPr>
                <w:snapToGrid w:val="0"/>
                <w:sz w:val="22"/>
                <w:szCs w:val="22"/>
                <w:lang w:val="en-US"/>
              </w:rPr>
              <w:t xml:space="preserve"> </w:t>
            </w:r>
          </w:p>
        </w:tc>
        <w:tc>
          <w:tcPr>
            <w:tcW w:w="2277" w:type="dxa"/>
            <w:tcBorders>
              <w:top w:val="single" w:sz="4" w:space="0" w:color="auto"/>
              <w:left w:val="single" w:sz="4" w:space="0" w:color="auto"/>
              <w:bottom w:val="single" w:sz="4" w:space="0" w:color="auto"/>
              <w:right w:val="single" w:sz="4" w:space="0" w:color="auto"/>
            </w:tcBorders>
            <w:hideMark/>
          </w:tcPr>
          <w:p w:rsidR="005727C2" w:rsidRDefault="005727C2" w:rsidP="00B60A41">
            <w:pPr>
              <w:spacing w:after="0" w:line="240" w:lineRule="auto"/>
              <w:jc w:val="center"/>
            </w:pPr>
            <w:r>
              <w:rPr>
                <w:snapToGrid w:val="0"/>
                <w:sz w:val="22"/>
                <w:szCs w:val="22"/>
              </w:rPr>
              <w:t>132,27</w:t>
            </w:r>
          </w:p>
        </w:tc>
      </w:tr>
    </w:tbl>
    <w:p w:rsidR="001E6715" w:rsidRDefault="001E6715" w:rsidP="00B60A41">
      <w:pPr>
        <w:autoSpaceDE w:val="0"/>
        <w:autoSpaceDN w:val="0"/>
        <w:adjustRightInd w:val="0"/>
        <w:spacing w:line="240" w:lineRule="auto"/>
        <w:jc w:val="center"/>
        <w:rPr>
          <w:sz w:val="28"/>
          <w:szCs w:val="28"/>
        </w:rPr>
      </w:pPr>
    </w:p>
    <w:p w:rsidR="005727C2" w:rsidRDefault="005727C2" w:rsidP="00B60A41">
      <w:pPr>
        <w:autoSpaceDE w:val="0"/>
        <w:autoSpaceDN w:val="0"/>
        <w:adjustRightInd w:val="0"/>
        <w:spacing w:line="240" w:lineRule="auto"/>
        <w:jc w:val="center"/>
        <w:rPr>
          <w:sz w:val="28"/>
          <w:szCs w:val="28"/>
        </w:rPr>
      </w:pPr>
      <w:r>
        <w:rPr>
          <w:sz w:val="28"/>
          <w:szCs w:val="28"/>
        </w:rPr>
        <w:t>Размеры платы за перемещение задержанных транспортных средств</w:t>
      </w:r>
    </w:p>
    <w:tbl>
      <w:tblPr>
        <w:tblW w:w="9073" w:type="dxa"/>
        <w:jc w:val="center"/>
        <w:tblInd w:w="21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94"/>
        <w:gridCol w:w="6619"/>
        <w:gridCol w:w="1860"/>
      </w:tblGrid>
      <w:tr w:rsidR="005727C2" w:rsidTr="00B60A41">
        <w:trPr>
          <w:jc w:val="center"/>
        </w:trPr>
        <w:tc>
          <w:tcPr>
            <w:tcW w:w="594" w:type="dxa"/>
            <w:tcBorders>
              <w:top w:val="single" w:sz="4" w:space="0" w:color="auto"/>
              <w:left w:val="single" w:sz="4" w:space="0" w:color="auto"/>
              <w:bottom w:val="single" w:sz="4" w:space="0" w:color="auto"/>
              <w:right w:val="single" w:sz="4" w:space="0" w:color="auto"/>
            </w:tcBorders>
            <w:hideMark/>
          </w:tcPr>
          <w:p w:rsidR="005727C2" w:rsidRDefault="005727C2" w:rsidP="00B60A41">
            <w:pPr>
              <w:spacing w:after="0"/>
              <w:jc w:val="center"/>
            </w:pPr>
            <w:r>
              <w:rPr>
                <w:snapToGrid w:val="0"/>
                <w:sz w:val="22"/>
                <w:szCs w:val="22"/>
              </w:rPr>
              <w:t>№ п/п</w:t>
            </w:r>
          </w:p>
        </w:tc>
        <w:tc>
          <w:tcPr>
            <w:tcW w:w="6619" w:type="dxa"/>
            <w:tcBorders>
              <w:top w:val="single" w:sz="4" w:space="0" w:color="auto"/>
              <w:left w:val="single" w:sz="4" w:space="0" w:color="auto"/>
              <w:bottom w:val="single" w:sz="4" w:space="0" w:color="auto"/>
              <w:right w:val="single" w:sz="4" w:space="0" w:color="auto"/>
            </w:tcBorders>
            <w:hideMark/>
          </w:tcPr>
          <w:p w:rsidR="005727C2" w:rsidRDefault="005727C2" w:rsidP="00B60A41">
            <w:pPr>
              <w:spacing w:after="0"/>
              <w:jc w:val="center"/>
            </w:pPr>
            <w:r>
              <w:rPr>
                <w:sz w:val="22"/>
                <w:szCs w:val="22"/>
              </w:rPr>
              <w:t>Категории транспортных средств</w:t>
            </w:r>
          </w:p>
        </w:tc>
        <w:tc>
          <w:tcPr>
            <w:tcW w:w="1860" w:type="dxa"/>
            <w:tcBorders>
              <w:top w:val="single" w:sz="4" w:space="0" w:color="auto"/>
              <w:left w:val="single" w:sz="4" w:space="0" w:color="auto"/>
              <w:bottom w:val="single" w:sz="4" w:space="0" w:color="auto"/>
              <w:right w:val="single" w:sz="4" w:space="0" w:color="auto"/>
            </w:tcBorders>
            <w:hideMark/>
          </w:tcPr>
          <w:p w:rsidR="005727C2" w:rsidRDefault="005727C2" w:rsidP="00B60A41">
            <w:pPr>
              <w:spacing w:after="0"/>
              <w:ind w:left="-73" w:right="-57" w:firstLine="16"/>
              <w:jc w:val="center"/>
              <w:rPr>
                <w:snapToGrid w:val="0"/>
              </w:rPr>
            </w:pPr>
            <w:r>
              <w:rPr>
                <w:snapToGrid w:val="0"/>
                <w:sz w:val="22"/>
                <w:szCs w:val="22"/>
              </w:rPr>
              <w:t>Размер платы</w:t>
            </w:r>
          </w:p>
          <w:p w:rsidR="005727C2" w:rsidRDefault="005727C2" w:rsidP="00B60A41">
            <w:pPr>
              <w:spacing w:after="0"/>
              <w:ind w:left="-73" w:right="-57" w:firstLine="16"/>
              <w:jc w:val="center"/>
              <w:rPr>
                <w:snapToGrid w:val="0"/>
              </w:rPr>
            </w:pPr>
            <w:r>
              <w:rPr>
                <w:snapToGrid w:val="0"/>
                <w:sz w:val="22"/>
                <w:szCs w:val="22"/>
              </w:rPr>
              <w:t>за перемещение</w:t>
            </w:r>
          </w:p>
          <w:p w:rsidR="005727C2" w:rsidRDefault="005727C2" w:rsidP="00B60A41">
            <w:pPr>
              <w:spacing w:after="0"/>
              <w:ind w:left="-73" w:right="-57" w:firstLine="16"/>
              <w:jc w:val="center"/>
              <w:rPr>
                <w:snapToGrid w:val="0"/>
              </w:rPr>
            </w:pPr>
            <w:r>
              <w:rPr>
                <w:snapToGrid w:val="0"/>
                <w:sz w:val="22"/>
                <w:szCs w:val="22"/>
              </w:rPr>
              <w:t>транспортного средства,</w:t>
            </w:r>
          </w:p>
          <w:p w:rsidR="005727C2" w:rsidRDefault="005727C2" w:rsidP="00B60A41">
            <w:pPr>
              <w:spacing w:after="0"/>
              <w:ind w:left="-73" w:right="-57" w:firstLine="16"/>
              <w:jc w:val="center"/>
            </w:pPr>
            <w:r>
              <w:rPr>
                <w:snapToGrid w:val="0"/>
                <w:sz w:val="22"/>
                <w:szCs w:val="22"/>
              </w:rPr>
              <w:t>руб.</w:t>
            </w:r>
            <w:r>
              <w:rPr>
                <w:sz w:val="22"/>
                <w:szCs w:val="22"/>
              </w:rPr>
              <w:t xml:space="preserve"> </w:t>
            </w:r>
          </w:p>
        </w:tc>
      </w:tr>
      <w:tr w:rsidR="005727C2" w:rsidTr="00B60A41">
        <w:trPr>
          <w:trHeight w:val="539"/>
          <w:jc w:val="center"/>
        </w:trPr>
        <w:tc>
          <w:tcPr>
            <w:tcW w:w="594" w:type="dxa"/>
            <w:tcBorders>
              <w:top w:val="single" w:sz="4" w:space="0" w:color="auto"/>
              <w:left w:val="single" w:sz="4" w:space="0" w:color="auto"/>
              <w:bottom w:val="single" w:sz="4" w:space="0" w:color="auto"/>
              <w:right w:val="single" w:sz="4" w:space="0" w:color="auto"/>
            </w:tcBorders>
            <w:hideMark/>
          </w:tcPr>
          <w:p w:rsidR="005727C2" w:rsidRDefault="005727C2" w:rsidP="00B60A41">
            <w:pPr>
              <w:spacing w:after="0"/>
              <w:jc w:val="center"/>
            </w:pPr>
            <w:r>
              <w:rPr>
                <w:snapToGrid w:val="0"/>
                <w:sz w:val="22"/>
                <w:szCs w:val="22"/>
              </w:rPr>
              <w:t>1</w:t>
            </w:r>
          </w:p>
        </w:tc>
        <w:tc>
          <w:tcPr>
            <w:tcW w:w="6619" w:type="dxa"/>
            <w:tcBorders>
              <w:top w:val="single" w:sz="4" w:space="0" w:color="auto"/>
              <w:left w:val="single" w:sz="4" w:space="0" w:color="auto"/>
              <w:bottom w:val="single" w:sz="4" w:space="0" w:color="auto"/>
              <w:right w:val="single" w:sz="4" w:space="0" w:color="auto"/>
            </w:tcBorders>
            <w:hideMark/>
          </w:tcPr>
          <w:p w:rsidR="005727C2" w:rsidRDefault="005727C2" w:rsidP="00B60A41">
            <w:pPr>
              <w:spacing w:after="0"/>
            </w:pPr>
            <w:r>
              <w:rPr>
                <w:sz w:val="22"/>
                <w:szCs w:val="22"/>
              </w:rPr>
              <w:t xml:space="preserve">Транспортные средства категорий </w:t>
            </w:r>
            <w:r>
              <w:rPr>
                <w:sz w:val="22"/>
                <w:szCs w:val="22"/>
                <w:lang w:val="en-US"/>
              </w:rPr>
              <w:t>A</w:t>
            </w:r>
            <w:r>
              <w:rPr>
                <w:sz w:val="22"/>
                <w:szCs w:val="22"/>
              </w:rPr>
              <w:t xml:space="preserve">, В, </w:t>
            </w:r>
            <w:r>
              <w:rPr>
                <w:sz w:val="22"/>
                <w:szCs w:val="22"/>
                <w:lang w:val="en-US"/>
              </w:rPr>
              <w:t>M</w:t>
            </w:r>
          </w:p>
        </w:tc>
        <w:tc>
          <w:tcPr>
            <w:tcW w:w="1860" w:type="dxa"/>
            <w:tcBorders>
              <w:top w:val="single" w:sz="4" w:space="0" w:color="auto"/>
              <w:left w:val="single" w:sz="4" w:space="0" w:color="auto"/>
              <w:bottom w:val="single" w:sz="4" w:space="0" w:color="auto"/>
              <w:right w:val="single" w:sz="4" w:space="0" w:color="auto"/>
            </w:tcBorders>
            <w:hideMark/>
          </w:tcPr>
          <w:p w:rsidR="005727C2" w:rsidRDefault="005727C2" w:rsidP="00B60A41">
            <w:pPr>
              <w:spacing w:after="0"/>
              <w:jc w:val="center"/>
              <w:rPr>
                <w:lang w:val="en-US"/>
              </w:rPr>
            </w:pPr>
            <w:r>
              <w:rPr>
                <w:snapToGrid w:val="0"/>
                <w:sz w:val="22"/>
                <w:szCs w:val="22"/>
              </w:rPr>
              <w:t>1724,0</w:t>
            </w:r>
          </w:p>
        </w:tc>
      </w:tr>
      <w:tr w:rsidR="005727C2" w:rsidTr="00B60A41">
        <w:trPr>
          <w:jc w:val="center"/>
        </w:trPr>
        <w:tc>
          <w:tcPr>
            <w:tcW w:w="594" w:type="dxa"/>
            <w:tcBorders>
              <w:top w:val="single" w:sz="4" w:space="0" w:color="auto"/>
              <w:left w:val="single" w:sz="4" w:space="0" w:color="auto"/>
              <w:bottom w:val="single" w:sz="4" w:space="0" w:color="auto"/>
              <w:right w:val="single" w:sz="4" w:space="0" w:color="auto"/>
            </w:tcBorders>
            <w:hideMark/>
          </w:tcPr>
          <w:p w:rsidR="005727C2" w:rsidRDefault="005727C2" w:rsidP="00B60A41">
            <w:pPr>
              <w:spacing w:after="0"/>
              <w:jc w:val="center"/>
            </w:pPr>
            <w:r>
              <w:rPr>
                <w:snapToGrid w:val="0"/>
                <w:sz w:val="22"/>
                <w:szCs w:val="22"/>
              </w:rPr>
              <w:t>2</w:t>
            </w:r>
          </w:p>
        </w:tc>
        <w:tc>
          <w:tcPr>
            <w:tcW w:w="6619" w:type="dxa"/>
            <w:tcBorders>
              <w:top w:val="single" w:sz="4" w:space="0" w:color="auto"/>
              <w:left w:val="single" w:sz="4" w:space="0" w:color="auto"/>
              <w:bottom w:val="single" w:sz="4" w:space="0" w:color="auto"/>
              <w:right w:val="single" w:sz="4" w:space="0" w:color="auto"/>
            </w:tcBorders>
            <w:hideMark/>
          </w:tcPr>
          <w:p w:rsidR="005727C2" w:rsidRDefault="005727C2" w:rsidP="00B60A41">
            <w:pPr>
              <w:spacing w:after="0"/>
            </w:pPr>
            <w:r>
              <w:rPr>
                <w:snapToGrid w:val="0"/>
                <w:sz w:val="22"/>
                <w:szCs w:val="22"/>
              </w:rPr>
              <w:t xml:space="preserve">Транспортные средства категорий </w:t>
            </w:r>
            <w:r>
              <w:rPr>
                <w:snapToGrid w:val="0"/>
                <w:sz w:val="22"/>
                <w:szCs w:val="22"/>
                <w:lang w:val="en-US"/>
              </w:rPr>
              <w:t>C</w:t>
            </w:r>
            <w:r>
              <w:rPr>
                <w:snapToGrid w:val="0"/>
                <w:sz w:val="22"/>
                <w:szCs w:val="22"/>
              </w:rPr>
              <w:t xml:space="preserve">, </w:t>
            </w:r>
            <w:r>
              <w:rPr>
                <w:sz w:val="22"/>
                <w:szCs w:val="22"/>
                <w:lang w:val="en-US"/>
              </w:rPr>
              <w:t>D</w:t>
            </w:r>
            <w:r>
              <w:rPr>
                <w:sz w:val="22"/>
                <w:szCs w:val="22"/>
              </w:rPr>
              <w:t xml:space="preserve">, </w:t>
            </w:r>
            <w:r>
              <w:rPr>
                <w:sz w:val="22"/>
                <w:szCs w:val="22"/>
                <w:lang w:val="en-US"/>
              </w:rPr>
              <w:t>BE</w:t>
            </w:r>
            <w:r>
              <w:rPr>
                <w:sz w:val="22"/>
                <w:szCs w:val="22"/>
              </w:rPr>
              <w:t xml:space="preserve">, </w:t>
            </w:r>
            <w:r>
              <w:rPr>
                <w:sz w:val="22"/>
                <w:szCs w:val="22"/>
                <w:lang w:val="en-US"/>
              </w:rPr>
              <w:t>CE</w:t>
            </w:r>
            <w:r>
              <w:rPr>
                <w:sz w:val="22"/>
                <w:szCs w:val="22"/>
              </w:rPr>
              <w:t xml:space="preserve">, </w:t>
            </w:r>
            <w:r>
              <w:rPr>
                <w:sz w:val="22"/>
                <w:szCs w:val="22"/>
                <w:lang w:val="en-US"/>
              </w:rPr>
              <w:t>DE</w:t>
            </w:r>
            <w:r>
              <w:rPr>
                <w:sz w:val="22"/>
                <w:szCs w:val="22"/>
              </w:rPr>
              <w:t xml:space="preserve">,  негабаритные транспортные средства </w:t>
            </w:r>
          </w:p>
        </w:tc>
        <w:tc>
          <w:tcPr>
            <w:tcW w:w="1860" w:type="dxa"/>
            <w:tcBorders>
              <w:top w:val="single" w:sz="4" w:space="0" w:color="auto"/>
              <w:left w:val="single" w:sz="4" w:space="0" w:color="auto"/>
              <w:bottom w:val="single" w:sz="4" w:space="0" w:color="auto"/>
              <w:right w:val="single" w:sz="4" w:space="0" w:color="auto"/>
            </w:tcBorders>
            <w:hideMark/>
          </w:tcPr>
          <w:p w:rsidR="005727C2" w:rsidRDefault="005727C2" w:rsidP="00B60A41">
            <w:pPr>
              <w:spacing w:after="0"/>
              <w:jc w:val="center"/>
            </w:pPr>
            <w:r>
              <w:rPr>
                <w:snapToGrid w:val="0"/>
                <w:sz w:val="22"/>
                <w:szCs w:val="22"/>
              </w:rPr>
              <w:t>5416,0</w:t>
            </w:r>
          </w:p>
        </w:tc>
      </w:tr>
    </w:tbl>
    <w:p w:rsidR="001E6715" w:rsidRDefault="001E6715" w:rsidP="005727C2">
      <w:pPr>
        <w:autoSpaceDE w:val="0"/>
        <w:autoSpaceDN w:val="0"/>
        <w:adjustRightInd w:val="0"/>
        <w:ind w:firstLine="540"/>
        <w:jc w:val="both"/>
        <w:rPr>
          <w:sz w:val="28"/>
          <w:szCs w:val="28"/>
        </w:rPr>
      </w:pPr>
    </w:p>
    <w:p w:rsidR="005727C2" w:rsidRDefault="005727C2" w:rsidP="005727C2">
      <w:pPr>
        <w:autoSpaceDE w:val="0"/>
        <w:autoSpaceDN w:val="0"/>
        <w:adjustRightInd w:val="0"/>
        <w:ind w:firstLine="540"/>
        <w:jc w:val="both"/>
        <w:rPr>
          <w:sz w:val="28"/>
          <w:szCs w:val="28"/>
        </w:rPr>
      </w:pPr>
      <w:r>
        <w:rPr>
          <w:sz w:val="28"/>
          <w:szCs w:val="28"/>
        </w:rPr>
        <w:t>Определенный постановлением Правительства Новосибирской области от 24.07.2017 № 283-п, базовый уровень тарифов на хранение задержанных транспортных средств (за исключением судна) на специализированной стоянке с учетом дифференциации по категориям транспортных средств в 2019 году не пересматривался и остается в размере–</w:t>
      </w:r>
    </w:p>
    <w:p w:rsidR="001E6715" w:rsidRDefault="001E6715" w:rsidP="005727C2">
      <w:pPr>
        <w:autoSpaceDE w:val="0"/>
        <w:autoSpaceDN w:val="0"/>
        <w:adjustRightInd w:val="0"/>
        <w:ind w:firstLine="540"/>
        <w:jc w:val="both"/>
        <w:rPr>
          <w:sz w:val="28"/>
          <w:szCs w:val="28"/>
        </w:rPr>
      </w:pPr>
    </w:p>
    <w:p w:rsidR="001E6715" w:rsidRDefault="001E6715" w:rsidP="005727C2">
      <w:pPr>
        <w:autoSpaceDE w:val="0"/>
        <w:autoSpaceDN w:val="0"/>
        <w:adjustRightInd w:val="0"/>
        <w:ind w:firstLine="540"/>
        <w:jc w:val="both"/>
        <w:rPr>
          <w:sz w:val="28"/>
          <w:szCs w:val="28"/>
        </w:rPr>
      </w:pPr>
    </w:p>
    <w:tbl>
      <w:tblPr>
        <w:tblW w:w="9660" w:type="dxa"/>
        <w:jc w:val="center"/>
        <w:tblInd w:w="-14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51"/>
        <w:gridCol w:w="6866"/>
        <w:gridCol w:w="1843"/>
      </w:tblGrid>
      <w:tr w:rsidR="005727C2" w:rsidTr="00B60A41">
        <w:trPr>
          <w:jc w:val="center"/>
        </w:trPr>
        <w:tc>
          <w:tcPr>
            <w:tcW w:w="951" w:type="dxa"/>
            <w:tcBorders>
              <w:top w:val="single" w:sz="4" w:space="0" w:color="auto"/>
              <w:left w:val="single" w:sz="4" w:space="0" w:color="auto"/>
              <w:bottom w:val="single" w:sz="4" w:space="0" w:color="auto"/>
              <w:right w:val="single" w:sz="4" w:space="0" w:color="auto"/>
            </w:tcBorders>
            <w:hideMark/>
          </w:tcPr>
          <w:p w:rsidR="005727C2" w:rsidRDefault="005727C2" w:rsidP="00B60A41">
            <w:pPr>
              <w:spacing w:after="0" w:line="240" w:lineRule="auto"/>
              <w:jc w:val="center"/>
              <w:rPr>
                <w:snapToGrid w:val="0"/>
              </w:rPr>
            </w:pPr>
            <w:r>
              <w:rPr>
                <w:snapToGrid w:val="0"/>
              </w:rPr>
              <w:lastRenderedPageBreak/>
              <w:t>№ п/п</w:t>
            </w:r>
          </w:p>
        </w:tc>
        <w:tc>
          <w:tcPr>
            <w:tcW w:w="6866" w:type="dxa"/>
            <w:tcBorders>
              <w:top w:val="single" w:sz="4" w:space="0" w:color="auto"/>
              <w:left w:val="single" w:sz="4" w:space="0" w:color="auto"/>
              <w:bottom w:val="single" w:sz="4" w:space="0" w:color="auto"/>
              <w:right w:val="single" w:sz="4" w:space="0" w:color="auto"/>
            </w:tcBorders>
            <w:hideMark/>
          </w:tcPr>
          <w:p w:rsidR="005727C2" w:rsidRDefault="005727C2" w:rsidP="00B60A41">
            <w:pPr>
              <w:spacing w:after="0" w:line="240" w:lineRule="auto"/>
              <w:jc w:val="center"/>
              <w:rPr>
                <w:snapToGrid w:val="0"/>
              </w:rPr>
            </w:pPr>
            <w:r>
              <w:rPr>
                <w:snapToGrid w:val="0"/>
              </w:rPr>
              <w:t>Категории транспортных средств</w:t>
            </w:r>
          </w:p>
        </w:tc>
        <w:tc>
          <w:tcPr>
            <w:tcW w:w="1843" w:type="dxa"/>
            <w:tcBorders>
              <w:top w:val="single" w:sz="4" w:space="0" w:color="auto"/>
              <w:left w:val="single" w:sz="4" w:space="0" w:color="auto"/>
              <w:bottom w:val="single" w:sz="4" w:space="0" w:color="auto"/>
              <w:right w:val="single" w:sz="4" w:space="0" w:color="auto"/>
            </w:tcBorders>
            <w:hideMark/>
          </w:tcPr>
          <w:p w:rsidR="005727C2" w:rsidRDefault="005727C2" w:rsidP="00B60A41">
            <w:pPr>
              <w:spacing w:after="0" w:line="240" w:lineRule="auto"/>
              <w:jc w:val="center"/>
              <w:rPr>
                <w:snapToGrid w:val="0"/>
                <w:sz w:val="20"/>
                <w:szCs w:val="20"/>
              </w:rPr>
            </w:pPr>
            <w:r>
              <w:rPr>
                <w:snapToGrid w:val="0"/>
                <w:sz w:val="20"/>
                <w:szCs w:val="20"/>
              </w:rPr>
              <w:t xml:space="preserve">Базовый уровень тарифов </w:t>
            </w:r>
          </w:p>
          <w:p w:rsidR="005727C2" w:rsidRDefault="005727C2" w:rsidP="00B60A41">
            <w:pPr>
              <w:spacing w:after="0" w:line="240" w:lineRule="auto"/>
              <w:jc w:val="center"/>
              <w:rPr>
                <w:snapToGrid w:val="0"/>
                <w:sz w:val="20"/>
                <w:szCs w:val="20"/>
              </w:rPr>
            </w:pPr>
            <w:r>
              <w:rPr>
                <w:snapToGrid w:val="0"/>
                <w:sz w:val="20"/>
                <w:szCs w:val="20"/>
              </w:rPr>
              <w:t xml:space="preserve">за полный час хранения, </w:t>
            </w:r>
          </w:p>
          <w:p w:rsidR="005727C2" w:rsidRDefault="005727C2" w:rsidP="00B60A41">
            <w:pPr>
              <w:spacing w:after="0" w:line="240" w:lineRule="auto"/>
              <w:jc w:val="center"/>
              <w:rPr>
                <w:snapToGrid w:val="0"/>
              </w:rPr>
            </w:pPr>
            <w:r>
              <w:rPr>
                <w:snapToGrid w:val="0"/>
                <w:sz w:val="20"/>
                <w:szCs w:val="20"/>
              </w:rPr>
              <w:t>руб.</w:t>
            </w:r>
          </w:p>
        </w:tc>
      </w:tr>
      <w:tr w:rsidR="005727C2" w:rsidTr="00B60A41">
        <w:trPr>
          <w:jc w:val="center"/>
        </w:trPr>
        <w:tc>
          <w:tcPr>
            <w:tcW w:w="951" w:type="dxa"/>
            <w:tcBorders>
              <w:top w:val="single" w:sz="4" w:space="0" w:color="auto"/>
              <w:left w:val="single" w:sz="4" w:space="0" w:color="auto"/>
              <w:bottom w:val="single" w:sz="4" w:space="0" w:color="auto"/>
              <w:right w:val="single" w:sz="4" w:space="0" w:color="auto"/>
            </w:tcBorders>
            <w:hideMark/>
          </w:tcPr>
          <w:p w:rsidR="005727C2" w:rsidRDefault="005727C2" w:rsidP="00B60A41">
            <w:pPr>
              <w:spacing w:after="0" w:line="240" w:lineRule="auto"/>
              <w:jc w:val="center"/>
              <w:rPr>
                <w:snapToGrid w:val="0"/>
              </w:rPr>
            </w:pPr>
            <w:r>
              <w:rPr>
                <w:snapToGrid w:val="0"/>
              </w:rPr>
              <w:t>1</w:t>
            </w:r>
          </w:p>
        </w:tc>
        <w:tc>
          <w:tcPr>
            <w:tcW w:w="6866" w:type="dxa"/>
            <w:tcBorders>
              <w:top w:val="single" w:sz="4" w:space="0" w:color="auto"/>
              <w:left w:val="single" w:sz="4" w:space="0" w:color="auto"/>
              <w:bottom w:val="single" w:sz="4" w:space="0" w:color="auto"/>
              <w:right w:val="single" w:sz="4" w:space="0" w:color="auto"/>
            </w:tcBorders>
          </w:tcPr>
          <w:p w:rsidR="005727C2" w:rsidRDefault="005727C2" w:rsidP="00B60A41">
            <w:pPr>
              <w:spacing w:after="0" w:line="240" w:lineRule="auto"/>
              <w:rPr>
                <w:snapToGrid w:val="0"/>
              </w:rPr>
            </w:pPr>
            <w:r>
              <w:rPr>
                <w:snapToGrid w:val="0"/>
              </w:rPr>
              <w:t>Транспортные средства категорий A и M</w:t>
            </w:r>
          </w:p>
        </w:tc>
        <w:tc>
          <w:tcPr>
            <w:tcW w:w="1843" w:type="dxa"/>
            <w:tcBorders>
              <w:top w:val="single" w:sz="4" w:space="0" w:color="auto"/>
              <w:left w:val="single" w:sz="4" w:space="0" w:color="auto"/>
              <w:bottom w:val="single" w:sz="4" w:space="0" w:color="auto"/>
              <w:right w:val="single" w:sz="4" w:space="0" w:color="auto"/>
            </w:tcBorders>
            <w:hideMark/>
          </w:tcPr>
          <w:p w:rsidR="005727C2" w:rsidRDefault="005727C2" w:rsidP="00B60A41">
            <w:pPr>
              <w:spacing w:after="0" w:line="240" w:lineRule="auto"/>
              <w:jc w:val="center"/>
              <w:rPr>
                <w:snapToGrid w:val="0"/>
              </w:rPr>
            </w:pPr>
            <w:r>
              <w:rPr>
                <w:snapToGrid w:val="0"/>
              </w:rPr>
              <w:t>22,40</w:t>
            </w:r>
          </w:p>
        </w:tc>
      </w:tr>
      <w:tr w:rsidR="005727C2" w:rsidTr="00B60A41">
        <w:trPr>
          <w:jc w:val="center"/>
        </w:trPr>
        <w:tc>
          <w:tcPr>
            <w:tcW w:w="951" w:type="dxa"/>
            <w:tcBorders>
              <w:top w:val="single" w:sz="4" w:space="0" w:color="auto"/>
              <w:left w:val="single" w:sz="4" w:space="0" w:color="auto"/>
              <w:bottom w:val="single" w:sz="4" w:space="0" w:color="auto"/>
              <w:right w:val="single" w:sz="4" w:space="0" w:color="auto"/>
            </w:tcBorders>
            <w:hideMark/>
          </w:tcPr>
          <w:p w:rsidR="005727C2" w:rsidRDefault="005727C2" w:rsidP="00B60A41">
            <w:pPr>
              <w:spacing w:after="0" w:line="240" w:lineRule="auto"/>
              <w:jc w:val="center"/>
              <w:rPr>
                <w:snapToGrid w:val="0"/>
              </w:rPr>
            </w:pPr>
            <w:r>
              <w:rPr>
                <w:snapToGrid w:val="0"/>
              </w:rPr>
              <w:t>2</w:t>
            </w:r>
          </w:p>
        </w:tc>
        <w:tc>
          <w:tcPr>
            <w:tcW w:w="6866" w:type="dxa"/>
            <w:tcBorders>
              <w:top w:val="single" w:sz="4" w:space="0" w:color="auto"/>
              <w:left w:val="single" w:sz="4" w:space="0" w:color="auto"/>
              <w:bottom w:val="single" w:sz="4" w:space="0" w:color="auto"/>
              <w:right w:val="single" w:sz="4" w:space="0" w:color="auto"/>
            </w:tcBorders>
            <w:hideMark/>
          </w:tcPr>
          <w:p w:rsidR="005727C2" w:rsidRDefault="005727C2" w:rsidP="00B60A41">
            <w:pPr>
              <w:spacing w:after="0" w:line="240" w:lineRule="auto"/>
              <w:rPr>
                <w:snapToGrid w:val="0"/>
              </w:rPr>
            </w:pPr>
            <w:r>
              <w:rPr>
                <w:snapToGrid w:val="0"/>
              </w:rPr>
              <w:t>Транспортные средства категорий B и D, разрешенная максимальная масса которых не превышает 3500 килограммов</w:t>
            </w:r>
          </w:p>
        </w:tc>
        <w:tc>
          <w:tcPr>
            <w:tcW w:w="1843" w:type="dxa"/>
            <w:tcBorders>
              <w:top w:val="single" w:sz="4" w:space="0" w:color="auto"/>
              <w:left w:val="single" w:sz="4" w:space="0" w:color="auto"/>
              <w:bottom w:val="single" w:sz="4" w:space="0" w:color="auto"/>
              <w:right w:val="single" w:sz="4" w:space="0" w:color="auto"/>
            </w:tcBorders>
            <w:hideMark/>
          </w:tcPr>
          <w:p w:rsidR="005727C2" w:rsidRDefault="005727C2" w:rsidP="00B60A41">
            <w:pPr>
              <w:spacing w:after="0" w:line="240" w:lineRule="auto"/>
              <w:jc w:val="center"/>
              <w:rPr>
                <w:snapToGrid w:val="0"/>
              </w:rPr>
            </w:pPr>
            <w:r>
              <w:rPr>
                <w:snapToGrid w:val="0"/>
              </w:rPr>
              <w:t>44,80</w:t>
            </w:r>
          </w:p>
        </w:tc>
      </w:tr>
      <w:tr w:rsidR="005727C2" w:rsidTr="00B60A41">
        <w:trPr>
          <w:jc w:val="center"/>
        </w:trPr>
        <w:tc>
          <w:tcPr>
            <w:tcW w:w="951" w:type="dxa"/>
            <w:tcBorders>
              <w:top w:val="single" w:sz="4" w:space="0" w:color="auto"/>
              <w:left w:val="single" w:sz="4" w:space="0" w:color="auto"/>
              <w:bottom w:val="single" w:sz="4" w:space="0" w:color="auto"/>
              <w:right w:val="single" w:sz="4" w:space="0" w:color="auto"/>
            </w:tcBorders>
            <w:hideMark/>
          </w:tcPr>
          <w:p w:rsidR="005727C2" w:rsidRDefault="005727C2" w:rsidP="00B60A41">
            <w:pPr>
              <w:spacing w:after="0" w:line="240" w:lineRule="auto"/>
              <w:jc w:val="center"/>
              <w:rPr>
                <w:snapToGrid w:val="0"/>
              </w:rPr>
            </w:pPr>
            <w:r>
              <w:rPr>
                <w:snapToGrid w:val="0"/>
              </w:rPr>
              <w:t>3</w:t>
            </w:r>
          </w:p>
        </w:tc>
        <w:tc>
          <w:tcPr>
            <w:tcW w:w="6866" w:type="dxa"/>
            <w:tcBorders>
              <w:top w:val="single" w:sz="4" w:space="0" w:color="auto"/>
              <w:left w:val="single" w:sz="4" w:space="0" w:color="auto"/>
              <w:bottom w:val="single" w:sz="4" w:space="0" w:color="auto"/>
              <w:right w:val="single" w:sz="4" w:space="0" w:color="auto"/>
            </w:tcBorders>
            <w:hideMark/>
          </w:tcPr>
          <w:p w:rsidR="005727C2" w:rsidRDefault="005727C2" w:rsidP="00B60A41">
            <w:pPr>
              <w:spacing w:after="0" w:line="240" w:lineRule="auto"/>
              <w:rPr>
                <w:snapToGrid w:val="0"/>
              </w:rPr>
            </w:pPr>
            <w:r>
              <w:rPr>
                <w:snapToGrid w:val="0"/>
              </w:rPr>
              <w:t>Транспортные средства категорий BE и D (разрешенная максимальная масса которых превышает 3500 килограммов), DE, C, CE</w:t>
            </w:r>
          </w:p>
        </w:tc>
        <w:tc>
          <w:tcPr>
            <w:tcW w:w="1843" w:type="dxa"/>
            <w:tcBorders>
              <w:top w:val="single" w:sz="4" w:space="0" w:color="auto"/>
              <w:left w:val="single" w:sz="4" w:space="0" w:color="auto"/>
              <w:bottom w:val="single" w:sz="4" w:space="0" w:color="auto"/>
              <w:right w:val="single" w:sz="4" w:space="0" w:color="auto"/>
            </w:tcBorders>
            <w:hideMark/>
          </w:tcPr>
          <w:p w:rsidR="005727C2" w:rsidRDefault="005727C2" w:rsidP="00B60A41">
            <w:pPr>
              <w:spacing w:after="0" w:line="240" w:lineRule="auto"/>
              <w:jc w:val="center"/>
              <w:rPr>
                <w:snapToGrid w:val="0"/>
              </w:rPr>
            </w:pPr>
            <w:r>
              <w:rPr>
                <w:snapToGrid w:val="0"/>
              </w:rPr>
              <w:t>89,60</w:t>
            </w:r>
          </w:p>
        </w:tc>
      </w:tr>
      <w:tr w:rsidR="005727C2" w:rsidTr="00B60A41">
        <w:trPr>
          <w:trHeight w:val="481"/>
          <w:jc w:val="center"/>
        </w:trPr>
        <w:tc>
          <w:tcPr>
            <w:tcW w:w="951" w:type="dxa"/>
            <w:tcBorders>
              <w:top w:val="single" w:sz="4" w:space="0" w:color="auto"/>
              <w:left w:val="single" w:sz="4" w:space="0" w:color="auto"/>
              <w:bottom w:val="single" w:sz="4" w:space="0" w:color="auto"/>
              <w:right w:val="single" w:sz="4" w:space="0" w:color="auto"/>
            </w:tcBorders>
            <w:hideMark/>
          </w:tcPr>
          <w:p w:rsidR="005727C2" w:rsidRDefault="005727C2" w:rsidP="00B60A41">
            <w:pPr>
              <w:spacing w:after="0" w:line="240" w:lineRule="auto"/>
              <w:jc w:val="center"/>
              <w:rPr>
                <w:snapToGrid w:val="0"/>
              </w:rPr>
            </w:pPr>
            <w:r>
              <w:rPr>
                <w:snapToGrid w:val="0"/>
              </w:rPr>
              <w:t>4</w:t>
            </w:r>
          </w:p>
        </w:tc>
        <w:tc>
          <w:tcPr>
            <w:tcW w:w="6866" w:type="dxa"/>
            <w:tcBorders>
              <w:top w:val="single" w:sz="4" w:space="0" w:color="auto"/>
              <w:left w:val="single" w:sz="4" w:space="0" w:color="auto"/>
              <w:bottom w:val="single" w:sz="4" w:space="0" w:color="auto"/>
              <w:right w:val="single" w:sz="4" w:space="0" w:color="auto"/>
            </w:tcBorders>
            <w:hideMark/>
          </w:tcPr>
          <w:p w:rsidR="005727C2" w:rsidRDefault="005727C2" w:rsidP="00B60A41">
            <w:pPr>
              <w:spacing w:after="0" w:line="240" w:lineRule="auto"/>
              <w:rPr>
                <w:snapToGrid w:val="0"/>
              </w:rPr>
            </w:pPr>
            <w:r>
              <w:rPr>
                <w:snapToGrid w:val="0"/>
              </w:rPr>
              <w:t>Негабаритные транспортные средства &lt;**&gt;</w:t>
            </w:r>
          </w:p>
        </w:tc>
        <w:tc>
          <w:tcPr>
            <w:tcW w:w="1843" w:type="dxa"/>
            <w:tcBorders>
              <w:top w:val="single" w:sz="4" w:space="0" w:color="auto"/>
              <w:left w:val="single" w:sz="4" w:space="0" w:color="auto"/>
              <w:bottom w:val="single" w:sz="4" w:space="0" w:color="auto"/>
              <w:right w:val="single" w:sz="4" w:space="0" w:color="auto"/>
            </w:tcBorders>
            <w:hideMark/>
          </w:tcPr>
          <w:p w:rsidR="005727C2" w:rsidRDefault="005727C2" w:rsidP="00B60A41">
            <w:pPr>
              <w:spacing w:after="0" w:line="240" w:lineRule="auto"/>
              <w:jc w:val="center"/>
              <w:rPr>
                <w:snapToGrid w:val="0"/>
              </w:rPr>
            </w:pPr>
            <w:r>
              <w:rPr>
                <w:snapToGrid w:val="0"/>
              </w:rPr>
              <w:t>134,40</w:t>
            </w:r>
          </w:p>
        </w:tc>
      </w:tr>
    </w:tbl>
    <w:p w:rsidR="001E6715" w:rsidRDefault="001E6715" w:rsidP="00B60A41">
      <w:pPr>
        <w:autoSpaceDE w:val="0"/>
        <w:autoSpaceDN w:val="0"/>
        <w:adjustRightInd w:val="0"/>
        <w:spacing w:after="0" w:line="240" w:lineRule="auto"/>
        <w:ind w:firstLine="709"/>
        <w:jc w:val="both"/>
        <w:rPr>
          <w:sz w:val="28"/>
          <w:szCs w:val="28"/>
        </w:rPr>
      </w:pPr>
    </w:p>
    <w:p w:rsidR="005727C2" w:rsidRDefault="005727C2" w:rsidP="00B60A41">
      <w:pPr>
        <w:autoSpaceDE w:val="0"/>
        <w:autoSpaceDN w:val="0"/>
        <w:adjustRightInd w:val="0"/>
        <w:spacing w:after="0" w:line="240" w:lineRule="auto"/>
        <w:ind w:firstLine="709"/>
        <w:jc w:val="both"/>
        <w:rPr>
          <w:sz w:val="28"/>
          <w:szCs w:val="28"/>
        </w:rPr>
      </w:pPr>
      <w:r>
        <w:rPr>
          <w:sz w:val="28"/>
          <w:szCs w:val="28"/>
        </w:rPr>
        <w:t>Определенный постановлением Правительства Новосибирской области от 24.07.2017 № 283-п, базовый уровень тарифов на перемещение задержанных транспортных средств (за исключением судна) на специализированную стоянку с учетом дифференциации по категориям транспортных средств в 2019 году не пересматривался и остается в размере –</w:t>
      </w:r>
    </w:p>
    <w:p w:rsidR="005727C2" w:rsidRDefault="005727C2" w:rsidP="00B60A41">
      <w:pPr>
        <w:autoSpaceDE w:val="0"/>
        <w:autoSpaceDN w:val="0"/>
        <w:adjustRightInd w:val="0"/>
        <w:spacing w:after="0" w:line="240" w:lineRule="auto"/>
        <w:ind w:firstLine="709"/>
        <w:jc w:val="both"/>
        <w:rPr>
          <w:b/>
          <w:sz w:val="28"/>
          <w:szCs w:val="28"/>
        </w:rPr>
      </w:pPr>
    </w:p>
    <w:tbl>
      <w:tblPr>
        <w:tblW w:w="9082" w:type="dxa"/>
        <w:jc w:val="center"/>
        <w:tblInd w:w="-3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43"/>
        <w:gridCol w:w="6379"/>
        <w:gridCol w:w="1860"/>
      </w:tblGrid>
      <w:tr w:rsidR="005727C2" w:rsidTr="001E6715">
        <w:trPr>
          <w:jc w:val="center"/>
        </w:trPr>
        <w:tc>
          <w:tcPr>
            <w:tcW w:w="843" w:type="dxa"/>
            <w:tcBorders>
              <w:top w:val="single" w:sz="4" w:space="0" w:color="auto"/>
              <w:left w:val="single" w:sz="4" w:space="0" w:color="auto"/>
              <w:bottom w:val="single" w:sz="4" w:space="0" w:color="auto"/>
              <w:right w:val="single" w:sz="4" w:space="0" w:color="auto"/>
            </w:tcBorders>
            <w:hideMark/>
          </w:tcPr>
          <w:p w:rsidR="005727C2" w:rsidRDefault="005727C2">
            <w:pPr>
              <w:jc w:val="center"/>
              <w:rPr>
                <w:snapToGrid w:val="0"/>
              </w:rPr>
            </w:pPr>
            <w:r>
              <w:rPr>
                <w:snapToGrid w:val="0"/>
              </w:rPr>
              <w:t>№ п/п</w:t>
            </w:r>
          </w:p>
        </w:tc>
        <w:tc>
          <w:tcPr>
            <w:tcW w:w="6379" w:type="dxa"/>
            <w:tcBorders>
              <w:top w:val="single" w:sz="4" w:space="0" w:color="auto"/>
              <w:left w:val="single" w:sz="4" w:space="0" w:color="auto"/>
              <w:bottom w:val="single" w:sz="4" w:space="0" w:color="auto"/>
              <w:right w:val="single" w:sz="4" w:space="0" w:color="auto"/>
            </w:tcBorders>
            <w:hideMark/>
          </w:tcPr>
          <w:p w:rsidR="005727C2" w:rsidRDefault="005727C2">
            <w:pPr>
              <w:jc w:val="center"/>
              <w:rPr>
                <w:snapToGrid w:val="0"/>
              </w:rPr>
            </w:pPr>
            <w:r>
              <w:rPr>
                <w:snapToGrid w:val="0"/>
              </w:rPr>
              <w:t>Категории транспортных средств</w:t>
            </w:r>
          </w:p>
        </w:tc>
        <w:tc>
          <w:tcPr>
            <w:tcW w:w="1860" w:type="dxa"/>
            <w:tcBorders>
              <w:top w:val="single" w:sz="4" w:space="0" w:color="auto"/>
              <w:left w:val="single" w:sz="4" w:space="0" w:color="auto"/>
              <w:bottom w:val="single" w:sz="4" w:space="0" w:color="auto"/>
              <w:right w:val="single" w:sz="4" w:space="0" w:color="auto"/>
            </w:tcBorders>
            <w:hideMark/>
          </w:tcPr>
          <w:p w:rsidR="005727C2" w:rsidRDefault="005727C2">
            <w:pPr>
              <w:jc w:val="center"/>
              <w:rPr>
                <w:snapToGrid w:val="0"/>
                <w:sz w:val="20"/>
                <w:szCs w:val="20"/>
              </w:rPr>
            </w:pPr>
            <w:r>
              <w:rPr>
                <w:snapToGrid w:val="0"/>
                <w:sz w:val="20"/>
                <w:szCs w:val="20"/>
              </w:rPr>
              <w:t>Базовый уровень тарифов на перемещение,</w:t>
            </w:r>
          </w:p>
          <w:p w:rsidR="005727C2" w:rsidRDefault="005727C2">
            <w:pPr>
              <w:jc w:val="center"/>
              <w:rPr>
                <w:snapToGrid w:val="0"/>
              </w:rPr>
            </w:pPr>
            <w:r>
              <w:rPr>
                <w:snapToGrid w:val="0"/>
                <w:sz w:val="20"/>
                <w:szCs w:val="20"/>
              </w:rPr>
              <w:t>руб.</w:t>
            </w:r>
            <w:r>
              <w:rPr>
                <w:snapToGrid w:val="0"/>
              </w:rPr>
              <w:t xml:space="preserve"> </w:t>
            </w:r>
          </w:p>
        </w:tc>
      </w:tr>
      <w:tr w:rsidR="005727C2" w:rsidTr="001E6715">
        <w:trPr>
          <w:trHeight w:val="539"/>
          <w:jc w:val="center"/>
        </w:trPr>
        <w:tc>
          <w:tcPr>
            <w:tcW w:w="843" w:type="dxa"/>
            <w:tcBorders>
              <w:top w:val="single" w:sz="4" w:space="0" w:color="auto"/>
              <w:left w:val="single" w:sz="4" w:space="0" w:color="auto"/>
              <w:bottom w:val="single" w:sz="4" w:space="0" w:color="auto"/>
              <w:right w:val="single" w:sz="4" w:space="0" w:color="auto"/>
            </w:tcBorders>
            <w:hideMark/>
          </w:tcPr>
          <w:p w:rsidR="005727C2" w:rsidRDefault="005727C2">
            <w:pPr>
              <w:jc w:val="center"/>
              <w:rPr>
                <w:snapToGrid w:val="0"/>
              </w:rPr>
            </w:pPr>
            <w:r>
              <w:rPr>
                <w:snapToGrid w:val="0"/>
              </w:rPr>
              <w:t>1</w:t>
            </w:r>
          </w:p>
        </w:tc>
        <w:tc>
          <w:tcPr>
            <w:tcW w:w="6379" w:type="dxa"/>
            <w:tcBorders>
              <w:top w:val="single" w:sz="4" w:space="0" w:color="auto"/>
              <w:left w:val="single" w:sz="4" w:space="0" w:color="auto"/>
              <w:bottom w:val="single" w:sz="4" w:space="0" w:color="auto"/>
              <w:right w:val="single" w:sz="4" w:space="0" w:color="auto"/>
            </w:tcBorders>
            <w:hideMark/>
          </w:tcPr>
          <w:p w:rsidR="005727C2" w:rsidRDefault="005727C2">
            <w:pPr>
              <w:rPr>
                <w:snapToGrid w:val="0"/>
              </w:rPr>
            </w:pPr>
            <w:r>
              <w:rPr>
                <w:snapToGrid w:val="0"/>
              </w:rPr>
              <w:t>Транспортные средства категорий A, В, M</w:t>
            </w:r>
          </w:p>
        </w:tc>
        <w:tc>
          <w:tcPr>
            <w:tcW w:w="1860" w:type="dxa"/>
            <w:tcBorders>
              <w:top w:val="single" w:sz="4" w:space="0" w:color="auto"/>
              <w:left w:val="single" w:sz="4" w:space="0" w:color="auto"/>
              <w:bottom w:val="single" w:sz="4" w:space="0" w:color="auto"/>
              <w:right w:val="single" w:sz="4" w:space="0" w:color="auto"/>
            </w:tcBorders>
            <w:hideMark/>
          </w:tcPr>
          <w:p w:rsidR="005727C2" w:rsidRDefault="005727C2">
            <w:pPr>
              <w:jc w:val="center"/>
              <w:rPr>
                <w:snapToGrid w:val="0"/>
              </w:rPr>
            </w:pPr>
            <w:r>
              <w:rPr>
                <w:snapToGrid w:val="0"/>
              </w:rPr>
              <w:t>1750,0</w:t>
            </w:r>
          </w:p>
        </w:tc>
      </w:tr>
      <w:tr w:rsidR="005727C2" w:rsidTr="001E6715">
        <w:trPr>
          <w:trHeight w:val="689"/>
          <w:jc w:val="center"/>
        </w:trPr>
        <w:tc>
          <w:tcPr>
            <w:tcW w:w="843" w:type="dxa"/>
            <w:tcBorders>
              <w:top w:val="single" w:sz="4" w:space="0" w:color="auto"/>
              <w:left w:val="single" w:sz="4" w:space="0" w:color="auto"/>
              <w:bottom w:val="single" w:sz="4" w:space="0" w:color="auto"/>
              <w:right w:val="single" w:sz="4" w:space="0" w:color="auto"/>
            </w:tcBorders>
            <w:hideMark/>
          </w:tcPr>
          <w:p w:rsidR="005727C2" w:rsidRDefault="005727C2">
            <w:pPr>
              <w:jc w:val="center"/>
              <w:rPr>
                <w:snapToGrid w:val="0"/>
              </w:rPr>
            </w:pPr>
            <w:r>
              <w:rPr>
                <w:snapToGrid w:val="0"/>
              </w:rPr>
              <w:t>2</w:t>
            </w:r>
          </w:p>
        </w:tc>
        <w:tc>
          <w:tcPr>
            <w:tcW w:w="6379" w:type="dxa"/>
            <w:tcBorders>
              <w:top w:val="single" w:sz="4" w:space="0" w:color="auto"/>
              <w:left w:val="single" w:sz="4" w:space="0" w:color="auto"/>
              <w:bottom w:val="single" w:sz="4" w:space="0" w:color="auto"/>
              <w:right w:val="single" w:sz="4" w:space="0" w:color="auto"/>
            </w:tcBorders>
            <w:hideMark/>
          </w:tcPr>
          <w:p w:rsidR="005727C2" w:rsidRDefault="005727C2">
            <w:pPr>
              <w:rPr>
                <w:snapToGrid w:val="0"/>
              </w:rPr>
            </w:pPr>
            <w:r>
              <w:rPr>
                <w:snapToGrid w:val="0"/>
              </w:rPr>
              <w:t>Транспортные средства категорий C, D, BE, CE, DE, негабаритные транспортные средства &lt;**&gt;</w:t>
            </w:r>
          </w:p>
        </w:tc>
        <w:tc>
          <w:tcPr>
            <w:tcW w:w="1860" w:type="dxa"/>
            <w:tcBorders>
              <w:top w:val="single" w:sz="4" w:space="0" w:color="auto"/>
              <w:left w:val="single" w:sz="4" w:space="0" w:color="auto"/>
              <w:bottom w:val="single" w:sz="4" w:space="0" w:color="auto"/>
              <w:right w:val="single" w:sz="4" w:space="0" w:color="auto"/>
            </w:tcBorders>
            <w:hideMark/>
          </w:tcPr>
          <w:p w:rsidR="005727C2" w:rsidRDefault="005727C2">
            <w:pPr>
              <w:jc w:val="center"/>
              <w:rPr>
                <w:snapToGrid w:val="0"/>
              </w:rPr>
            </w:pPr>
            <w:r>
              <w:rPr>
                <w:snapToGrid w:val="0"/>
              </w:rPr>
              <w:t>5450,0</w:t>
            </w:r>
          </w:p>
        </w:tc>
      </w:tr>
    </w:tbl>
    <w:p w:rsidR="001E6715" w:rsidRDefault="001E6715" w:rsidP="003546B2">
      <w:pPr>
        <w:autoSpaceDE w:val="0"/>
        <w:autoSpaceDN w:val="0"/>
        <w:adjustRightInd w:val="0"/>
        <w:spacing w:line="240" w:lineRule="auto"/>
        <w:ind w:firstLine="709"/>
        <w:jc w:val="both"/>
        <w:rPr>
          <w:sz w:val="28"/>
          <w:szCs w:val="28"/>
        </w:rPr>
      </w:pPr>
    </w:p>
    <w:p w:rsidR="005727C2" w:rsidRDefault="005727C2" w:rsidP="003546B2">
      <w:pPr>
        <w:autoSpaceDE w:val="0"/>
        <w:autoSpaceDN w:val="0"/>
        <w:adjustRightInd w:val="0"/>
        <w:spacing w:line="240" w:lineRule="auto"/>
        <w:ind w:firstLine="709"/>
        <w:jc w:val="both"/>
        <w:rPr>
          <w:sz w:val="28"/>
          <w:szCs w:val="28"/>
        </w:rPr>
      </w:pPr>
      <w:r>
        <w:rPr>
          <w:sz w:val="28"/>
          <w:szCs w:val="28"/>
        </w:rPr>
        <w:t>Определенный постановлением Правительства Новосибирской области от 11.07.2017 № 259-п, базовый уровень тарифов на перемещение задержанного судна на специализированную стоянку с учетом дифференциации по видам судна в 2019 году не пересматривался и остается в размере –</w:t>
      </w:r>
    </w:p>
    <w:tbl>
      <w:tblPr>
        <w:tblW w:w="9143" w:type="dxa"/>
        <w:jc w:val="center"/>
        <w:tblInd w:w="-5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63"/>
        <w:gridCol w:w="6122"/>
        <w:gridCol w:w="2158"/>
      </w:tblGrid>
      <w:tr w:rsidR="005727C2" w:rsidTr="001E6715">
        <w:trPr>
          <w:jc w:val="center"/>
        </w:trPr>
        <w:tc>
          <w:tcPr>
            <w:tcW w:w="863" w:type="dxa"/>
            <w:tcBorders>
              <w:top w:val="single" w:sz="4" w:space="0" w:color="auto"/>
              <w:left w:val="single" w:sz="4" w:space="0" w:color="auto"/>
              <w:bottom w:val="single" w:sz="4" w:space="0" w:color="auto"/>
              <w:right w:val="single" w:sz="4" w:space="0" w:color="auto"/>
            </w:tcBorders>
            <w:hideMark/>
          </w:tcPr>
          <w:p w:rsidR="005727C2" w:rsidRDefault="005727C2" w:rsidP="00B60A41">
            <w:pPr>
              <w:spacing w:after="0" w:line="240" w:lineRule="auto"/>
              <w:jc w:val="center"/>
            </w:pPr>
            <w:r>
              <w:rPr>
                <w:snapToGrid w:val="0"/>
              </w:rPr>
              <w:t>№ п/п</w:t>
            </w:r>
          </w:p>
        </w:tc>
        <w:tc>
          <w:tcPr>
            <w:tcW w:w="6122" w:type="dxa"/>
            <w:tcBorders>
              <w:top w:val="single" w:sz="4" w:space="0" w:color="auto"/>
              <w:left w:val="single" w:sz="4" w:space="0" w:color="auto"/>
              <w:bottom w:val="single" w:sz="4" w:space="0" w:color="auto"/>
              <w:right w:val="single" w:sz="4" w:space="0" w:color="auto"/>
            </w:tcBorders>
            <w:hideMark/>
          </w:tcPr>
          <w:p w:rsidR="005727C2" w:rsidRDefault="005727C2" w:rsidP="00B60A41">
            <w:pPr>
              <w:spacing w:after="0" w:line="240" w:lineRule="auto"/>
              <w:jc w:val="center"/>
            </w:pPr>
            <w:r>
              <w:t>Вид судна</w:t>
            </w:r>
          </w:p>
        </w:tc>
        <w:tc>
          <w:tcPr>
            <w:tcW w:w="2158" w:type="dxa"/>
            <w:tcBorders>
              <w:top w:val="single" w:sz="4" w:space="0" w:color="auto"/>
              <w:left w:val="single" w:sz="4" w:space="0" w:color="auto"/>
              <w:bottom w:val="single" w:sz="4" w:space="0" w:color="auto"/>
              <w:right w:val="single" w:sz="4" w:space="0" w:color="auto"/>
            </w:tcBorders>
            <w:hideMark/>
          </w:tcPr>
          <w:p w:rsidR="005727C2" w:rsidRDefault="005727C2" w:rsidP="00B60A41">
            <w:pPr>
              <w:spacing w:after="0" w:line="240" w:lineRule="auto"/>
              <w:ind w:left="-57" w:right="-57"/>
              <w:jc w:val="center"/>
              <w:rPr>
                <w:snapToGrid w:val="0"/>
                <w:sz w:val="20"/>
                <w:szCs w:val="20"/>
              </w:rPr>
            </w:pPr>
            <w:r>
              <w:rPr>
                <w:snapToGrid w:val="0"/>
                <w:sz w:val="20"/>
                <w:szCs w:val="20"/>
              </w:rPr>
              <w:t>Базовый уровень тарифов на перемещение</w:t>
            </w:r>
          </w:p>
          <w:p w:rsidR="005727C2" w:rsidRDefault="005727C2" w:rsidP="00B60A41">
            <w:pPr>
              <w:spacing w:after="0" w:line="240" w:lineRule="auto"/>
              <w:ind w:left="-57" w:right="-57"/>
              <w:jc w:val="center"/>
              <w:rPr>
                <w:snapToGrid w:val="0"/>
                <w:sz w:val="20"/>
                <w:szCs w:val="20"/>
              </w:rPr>
            </w:pPr>
            <w:r>
              <w:rPr>
                <w:snapToGrid w:val="0"/>
                <w:sz w:val="20"/>
                <w:szCs w:val="20"/>
              </w:rPr>
              <w:t>задержанного судна,</w:t>
            </w:r>
          </w:p>
          <w:p w:rsidR="005727C2" w:rsidRDefault="005727C2" w:rsidP="00B60A41">
            <w:pPr>
              <w:spacing w:after="0" w:line="240" w:lineRule="auto"/>
              <w:ind w:left="-57" w:right="-57"/>
              <w:jc w:val="center"/>
            </w:pPr>
            <w:r>
              <w:rPr>
                <w:snapToGrid w:val="0"/>
                <w:sz w:val="20"/>
                <w:szCs w:val="20"/>
              </w:rPr>
              <w:t>руб.</w:t>
            </w:r>
            <w:r>
              <w:t xml:space="preserve"> </w:t>
            </w:r>
          </w:p>
        </w:tc>
      </w:tr>
      <w:tr w:rsidR="005727C2" w:rsidTr="001E6715">
        <w:trPr>
          <w:trHeight w:val="571"/>
          <w:jc w:val="center"/>
        </w:trPr>
        <w:tc>
          <w:tcPr>
            <w:tcW w:w="863" w:type="dxa"/>
            <w:tcBorders>
              <w:top w:val="single" w:sz="4" w:space="0" w:color="auto"/>
              <w:left w:val="single" w:sz="4" w:space="0" w:color="auto"/>
              <w:bottom w:val="single" w:sz="4" w:space="0" w:color="auto"/>
              <w:right w:val="single" w:sz="4" w:space="0" w:color="auto"/>
            </w:tcBorders>
            <w:hideMark/>
          </w:tcPr>
          <w:p w:rsidR="005727C2" w:rsidRDefault="005727C2" w:rsidP="00B60A41">
            <w:pPr>
              <w:spacing w:after="0" w:line="240" w:lineRule="auto"/>
              <w:jc w:val="center"/>
            </w:pPr>
            <w:r>
              <w:t>1.</w:t>
            </w:r>
          </w:p>
        </w:tc>
        <w:tc>
          <w:tcPr>
            <w:tcW w:w="6122" w:type="dxa"/>
            <w:tcBorders>
              <w:top w:val="single" w:sz="4" w:space="0" w:color="auto"/>
              <w:left w:val="single" w:sz="4" w:space="0" w:color="auto"/>
              <w:bottom w:val="single" w:sz="4" w:space="0" w:color="auto"/>
              <w:right w:val="single" w:sz="4" w:space="0" w:color="auto"/>
            </w:tcBorders>
            <w:hideMark/>
          </w:tcPr>
          <w:p w:rsidR="005727C2" w:rsidRDefault="005727C2" w:rsidP="00B60A41">
            <w:pPr>
              <w:spacing w:after="0" w:line="240" w:lineRule="auto"/>
            </w:pPr>
            <w:r>
              <w:t>Судно длиной до 10 м</w:t>
            </w:r>
          </w:p>
        </w:tc>
        <w:tc>
          <w:tcPr>
            <w:tcW w:w="2158" w:type="dxa"/>
            <w:tcBorders>
              <w:top w:val="single" w:sz="4" w:space="0" w:color="auto"/>
              <w:left w:val="single" w:sz="4" w:space="0" w:color="auto"/>
              <w:bottom w:val="single" w:sz="4" w:space="0" w:color="auto"/>
              <w:right w:val="single" w:sz="4" w:space="0" w:color="auto"/>
            </w:tcBorders>
            <w:hideMark/>
          </w:tcPr>
          <w:p w:rsidR="005727C2" w:rsidRDefault="005727C2" w:rsidP="00B60A41">
            <w:pPr>
              <w:spacing w:after="0" w:line="240" w:lineRule="auto"/>
              <w:jc w:val="center"/>
              <w:rPr>
                <w:highlight w:val="yellow"/>
              </w:rPr>
            </w:pPr>
            <w:r>
              <w:t>3031,7</w:t>
            </w:r>
          </w:p>
        </w:tc>
      </w:tr>
      <w:tr w:rsidR="005727C2" w:rsidTr="001E6715">
        <w:trPr>
          <w:trHeight w:val="551"/>
          <w:jc w:val="center"/>
        </w:trPr>
        <w:tc>
          <w:tcPr>
            <w:tcW w:w="863" w:type="dxa"/>
            <w:tcBorders>
              <w:top w:val="single" w:sz="4" w:space="0" w:color="auto"/>
              <w:left w:val="single" w:sz="4" w:space="0" w:color="auto"/>
              <w:bottom w:val="single" w:sz="4" w:space="0" w:color="auto"/>
              <w:right w:val="single" w:sz="4" w:space="0" w:color="auto"/>
            </w:tcBorders>
            <w:hideMark/>
          </w:tcPr>
          <w:p w:rsidR="005727C2" w:rsidRDefault="005727C2" w:rsidP="00B60A41">
            <w:pPr>
              <w:spacing w:after="0" w:line="240" w:lineRule="auto"/>
              <w:jc w:val="center"/>
            </w:pPr>
            <w:r>
              <w:t>2.</w:t>
            </w:r>
          </w:p>
        </w:tc>
        <w:tc>
          <w:tcPr>
            <w:tcW w:w="6122" w:type="dxa"/>
            <w:tcBorders>
              <w:top w:val="single" w:sz="4" w:space="0" w:color="auto"/>
              <w:left w:val="single" w:sz="4" w:space="0" w:color="auto"/>
              <w:bottom w:val="single" w:sz="4" w:space="0" w:color="auto"/>
              <w:right w:val="single" w:sz="4" w:space="0" w:color="auto"/>
            </w:tcBorders>
            <w:hideMark/>
          </w:tcPr>
          <w:p w:rsidR="005727C2" w:rsidRDefault="005727C2" w:rsidP="00B60A41">
            <w:pPr>
              <w:spacing w:after="0" w:line="240" w:lineRule="auto"/>
            </w:pPr>
            <w:r>
              <w:t>Судно длиной более 10 м</w:t>
            </w:r>
          </w:p>
        </w:tc>
        <w:tc>
          <w:tcPr>
            <w:tcW w:w="2158" w:type="dxa"/>
            <w:tcBorders>
              <w:top w:val="single" w:sz="4" w:space="0" w:color="auto"/>
              <w:left w:val="single" w:sz="4" w:space="0" w:color="auto"/>
              <w:bottom w:val="single" w:sz="4" w:space="0" w:color="auto"/>
              <w:right w:val="single" w:sz="4" w:space="0" w:color="auto"/>
            </w:tcBorders>
            <w:hideMark/>
          </w:tcPr>
          <w:p w:rsidR="005727C2" w:rsidRDefault="005727C2" w:rsidP="00B60A41">
            <w:pPr>
              <w:spacing w:after="0" w:line="240" w:lineRule="auto"/>
              <w:jc w:val="center"/>
            </w:pPr>
            <w:r>
              <w:t>6063,5</w:t>
            </w:r>
          </w:p>
        </w:tc>
      </w:tr>
    </w:tbl>
    <w:p w:rsidR="001E6715" w:rsidRDefault="001E6715" w:rsidP="00B60A41">
      <w:pPr>
        <w:autoSpaceDE w:val="0"/>
        <w:autoSpaceDN w:val="0"/>
        <w:adjustRightInd w:val="0"/>
        <w:spacing w:line="240" w:lineRule="auto"/>
        <w:ind w:firstLine="709"/>
        <w:jc w:val="both"/>
        <w:rPr>
          <w:sz w:val="28"/>
          <w:szCs w:val="28"/>
        </w:rPr>
      </w:pPr>
    </w:p>
    <w:p w:rsidR="005727C2" w:rsidRDefault="005727C2" w:rsidP="00B60A41">
      <w:pPr>
        <w:autoSpaceDE w:val="0"/>
        <w:autoSpaceDN w:val="0"/>
        <w:adjustRightInd w:val="0"/>
        <w:spacing w:line="240" w:lineRule="auto"/>
        <w:ind w:firstLine="709"/>
        <w:jc w:val="both"/>
        <w:rPr>
          <w:sz w:val="28"/>
          <w:szCs w:val="28"/>
        </w:rPr>
      </w:pPr>
      <w:r>
        <w:rPr>
          <w:sz w:val="28"/>
          <w:szCs w:val="28"/>
        </w:rPr>
        <w:t>Определенный постановлением Правительства Новосибирской области от 11.07.2017 № 259-п, базовый уровень тарифов на хранение задержанного судна на специализированной стоянке с учетом дифференциации по видам судна в 2019 году не пересматривался и остается в размере -</w:t>
      </w:r>
    </w:p>
    <w:tbl>
      <w:tblPr>
        <w:tblW w:w="9332" w:type="dxa"/>
        <w:jc w:val="center"/>
        <w:tblInd w:w="-5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63"/>
        <w:gridCol w:w="6060"/>
        <w:gridCol w:w="2409"/>
      </w:tblGrid>
      <w:tr w:rsidR="005727C2" w:rsidTr="001E6715">
        <w:trPr>
          <w:jc w:val="center"/>
        </w:trPr>
        <w:tc>
          <w:tcPr>
            <w:tcW w:w="863" w:type="dxa"/>
            <w:tcBorders>
              <w:top w:val="single" w:sz="4" w:space="0" w:color="auto"/>
              <w:left w:val="single" w:sz="4" w:space="0" w:color="auto"/>
              <w:bottom w:val="single" w:sz="4" w:space="0" w:color="auto"/>
              <w:right w:val="single" w:sz="4" w:space="0" w:color="auto"/>
            </w:tcBorders>
            <w:hideMark/>
          </w:tcPr>
          <w:p w:rsidR="005727C2" w:rsidRDefault="005727C2" w:rsidP="00B60A41">
            <w:pPr>
              <w:spacing w:after="0" w:line="240" w:lineRule="auto"/>
              <w:jc w:val="center"/>
            </w:pPr>
            <w:r>
              <w:rPr>
                <w:snapToGrid w:val="0"/>
              </w:rPr>
              <w:lastRenderedPageBreak/>
              <w:t>№ п/п</w:t>
            </w:r>
          </w:p>
        </w:tc>
        <w:tc>
          <w:tcPr>
            <w:tcW w:w="6060" w:type="dxa"/>
            <w:tcBorders>
              <w:top w:val="single" w:sz="4" w:space="0" w:color="auto"/>
              <w:left w:val="single" w:sz="4" w:space="0" w:color="auto"/>
              <w:bottom w:val="single" w:sz="4" w:space="0" w:color="auto"/>
              <w:right w:val="single" w:sz="4" w:space="0" w:color="auto"/>
            </w:tcBorders>
            <w:hideMark/>
          </w:tcPr>
          <w:p w:rsidR="005727C2" w:rsidRDefault="005727C2" w:rsidP="00B60A41">
            <w:pPr>
              <w:spacing w:after="0" w:line="240" w:lineRule="auto"/>
              <w:jc w:val="center"/>
            </w:pPr>
            <w:r>
              <w:t>Вид судна</w:t>
            </w:r>
          </w:p>
        </w:tc>
        <w:tc>
          <w:tcPr>
            <w:tcW w:w="2409" w:type="dxa"/>
            <w:tcBorders>
              <w:top w:val="single" w:sz="4" w:space="0" w:color="auto"/>
              <w:left w:val="single" w:sz="4" w:space="0" w:color="auto"/>
              <w:bottom w:val="single" w:sz="4" w:space="0" w:color="auto"/>
              <w:right w:val="single" w:sz="4" w:space="0" w:color="auto"/>
            </w:tcBorders>
            <w:hideMark/>
          </w:tcPr>
          <w:p w:rsidR="005727C2" w:rsidRDefault="005727C2" w:rsidP="00B60A41">
            <w:pPr>
              <w:spacing w:after="0" w:line="240" w:lineRule="auto"/>
              <w:ind w:left="-57" w:right="-57"/>
              <w:jc w:val="center"/>
              <w:rPr>
                <w:snapToGrid w:val="0"/>
                <w:sz w:val="20"/>
                <w:szCs w:val="20"/>
              </w:rPr>
            </w:pPr>
            <w:r>
              <w:rPr>
                <w:snapToGrid w:val="0"/>
                <w:sz w:val="20"/>
                <w:szCs w:val="20"/>
              </w:rPr>
              <w:t xml:space="preserve">Базовый уровень тарифов </w:t>
            </w:r>
          </w:p>
          <w:p w:rsidR="005727C2" w:rsidRDefault="005727C2" w:rsidP="00B60A41">
            <w:pPr>
              <w:spacing w:after="0" w:line="240" w:lineRule="auto"/>
              <w:ind w:left="-57" w:right="-57"/>
              <w:jc w:val="center"/>
              <w:rPr>
                <w:snapToGrid w:val="0"/>
                <w:sz w:val="20"/>
                <w:szCs w:val="20"/>
              </w:rPr>
            </w:pPr>
            <w:r>
              <w:rPr>
                <w:snapToGrid w:val="0"/>
                <w:sz w:val="20"/>
                <w:szCs w:val="20"/>
              </w:rPr>
              <w:t xml:space="preserve">за полный час хранения задержанного судна, </w:t>
            </w:r>
          </w:p>
          <w:p w:rsidR="005727C2" w:rsidRDefault="005727C2" w:rsidP="00B60A41">
            <w:pPr>
              <w:spacing w:after="0" w:line="240" w:lineRule="auto"/>
              <w:ind w:left="-57" w:right="-57"/>
              <w:jc w:val="center"/>
              <w:rPr>
                <w:sz w:val="20"/>
                <w:szCs w:val="20"/>
              </w:rPr>
            </w:pPr>
            <w:r>
              <w:rPr>
                <w:snapToGrid w:val="0"/>
                <w:sz w:val="20"/>
                <w:szCs w:val="20"/>
              </w:rPr>
              <w:t>руб.</w:t>
            </w:r>
            <w:r>
              <w:rPr>
                <w:sz w:val="20"/>
                <w:szCs w:val="20"/>
              </w:rPr>
              <w:t xml:space="preserve"> </w:t>
            </w:r>
          </w:p>
        </w:tc>
      </w:tr>
      <w:tr w:rsidR="005727C2" w:rsidTr="001E6715">
        <w:trPr>
          <w:trHeight w:val="573"/>
          <w:jc w:val="center"/>
        </w:trPr>
        <w:tc>
          <w:tcPr>
            <w:tcW w:w="863" w:type="dxa"/>
            <w:tcBorders>
              <w:top w:val="single" w:sz="4" w:space="0" w:color="auto"/>
              <w:left w:val="single" w:sz="4" w:space="0" w:color="auto"/>
              <w:bottom w:val="single" w:sz="4" w:space="0" w:color="auto"/>
              <w:right w:val="single" w:sz="4" w:space="0" w:color="auto"/>
            </w:tcBorders>
            <w:hideMark/>
          </w:tcPr>
          <w:p w:rsidR="005727C2" w:rsidRDefault="005727C2" w:rsidP="00B60A41">
            <w:pPr>
              <w:spacing w:after="0" w:line="240" w:lineRule="auto"/>
              <w:jc w:val="center"/>
              <w:rPr>
                <w:snapToGrid w:val="0"/>
              </w:rPr>
            </w:pPr>
            <w:r>
              <w:rPr>
                <w:snapToGrid w:val="0"/>
              </w:rPr>
              <w:t>1.</w:t>
            </w:r>
          </w:p>
        </w:tc>
        <w:tc>
          <w:tcPr>
            <w:tcW w:w="6060" w:type="dxa"/>
            <w:tcBorders>
              <w:top w:val="single" w:sz="4" w:space="0" w:color="auto"/>
              <w:left w:val="single" w:sz="4" w:space="0" w:color="auto"/>
              <w:bottom w:val="single" w:sz="4" w:space="0" w:color="auto"/>
              <w:right w:val="single" w:sz="4" w:space="0" w:color="auto"/>
            </w:tcBorders>
            <w:hideMark/>
          </w:tcPr>
          <w:p w:rsidR="005727C2" w:rsidRDefault="005727C2" w:rsidP="00B60A41">
            <w:pPr>
              <w:spacing w:after="0" w:line="240" w:lineRule="auto"/>
              <w:rPr>
                <w:snapToGrid w:val="0"/>
              </w:rPr>
            </w:pPr>
            <w:r>
              <w:rPr>
                <w:snapToGrid w:val="0"/>
              </w:rPr>
              <w:t>Судно длиной до 10 м</w:t>
            </w:r>
          </w:p>
        </w:tc>
        <w:tc>
          <w:tcPr>
            <w:tcW w:w="2409" w:type="dxa"/>
            <w:tcBorders>
              <w:top w:val="single" w:sz="4" w:space="0" w:color="auto"/>
              <w:left w:val="single" w:sz="4" w:space="0" w:color="auto"/>
              <w:bottom w:val="single" w:sz="4" w:space="0" w:color="auto"/>
              <w:right w:val="single" w:sz="4" w:space="0" w:color="auto"/>
            </w:tcBorders>
            <w:hideMark/>
          </w:tcPr>
          <w:p w:rsidR="005727C2" w:rsidRDefault="005727C2" w:rsidP="00B60A41">
            <w:pPr>
              <w:spacing w:after="0" w:line="240" w:lineRule="auto"/>
              <w:jc w:val="center"/>
              <w:rPr>
                <w:snapToGrid w:val="0"/>
                <w:highlight w:val="yellow"/>
              </w:rPr>
            </w:pPr>
            <w:r>
              <w:rPr>
                <w:snapToGrid w:val="0"/>
              </w:rPr>
              <w:t>19,6</w:t>
            </w:r>
          </w:p>
        </w:tc>
      </w:tr>
      <w:tr w:rsidR="005727C2" w:rsidTr="001E6715">
        <w:trPr>
          <w:trHeight w:val="537"/>
          <w:jc w:val="center"/>
        </w:trPr>
        <w:tc>
          <w:tcPr>
            <w:tcW w:w="863" w:type="dxa"/>
            <w:tcBorders>
              <w:top w:val="single" w:sz="4" w:space="0" w:color="auto"/>
              <w:left w:val="single" w:sz="4" w:space="0" w:color="auto"/>
              <w:bottom w:val="single" w:sz="4" w:space="0" w:color="auto"/>
              <w:right w:val="single" w:sz="4" w:space="0" w:color="auto"/>
            </w:tcBorders>
            <w:hideMark/>
          </w:tcPr>
          <w:p w:rsidR="005727C2" w:rsidRDefault="005727C2" w:rsidP="00B60A41">
            <w:pPr>
              <w:spacing w:after="0" w:line="240" w:lineRule="auto"/>
              <w:jc w:val="center"/>
              <w:rPr>
                <w:snapToGrid w:val="0"/>
              </w:rPr>
            </w:pPr>
            <w:r>
              <w:rPr>
                <w:snapToGrid w:val="0"/>
              </w:rPr>
              <w:t>2.</w:t>
            </w:r>
          </w:p>
        </w:tc>
        <w:tc>
          <w:tcPr>
            <w:tcW w:w="6060" w:type="dxa"/>
            <w:tcBorders>
              <w:top w:val="single" w:sz="4" w:space="0" w:color="auto"/>
              <w:left w:val="single" w:sz="4" w:space="0" w:color="auto"/>
              <w:bottom w:val="single" w:sz="4" w:space="0" w:color="auto"/>
              <w:right w:val="single" w:sz="4" w:space="0" w:color="auto"/>
            </w:tcBorders>
            <w:hideMark/>
          </w:tcPr>
          <w:p w:rsidR="005727C2" w:rsidRDefault="005727C2" w:rsidP="00B60A41">
            <w:pPr>
              <w:spacing w:after="0" w:line="240" w:lineRule="auto"/>
              <w:rPr>
                <w:snapToGrid w:val="0"/>
              </w:rPr>
            </w:pPr>
            <w:r>
              <w:rPr>
                <w:snapToGrid w:val="0"/>
              </w:rPr>
              <w:t>Судно длиной более 10 м</w:t>
            </w:r>
          </w:p>
        </w:tc>
        <w:tc>
          <w:tcPr>
            <w:tcW w:w="2409" w:type="dxa"/>
            <w:tcBorders>
              <w:top w:val="single" w:sz="4" w:space="0" w:color="auto"/>
              <w:left w:val="single" w:sz="4" w:space="0" w:color="auto"/>
              <w:bottom w:val="single" w:sz="4" w:space="0" w:color="auto"/>
              <w:right w:val="single" w:sz="4" w:space="0" w:color="auto"/>
            </w:tcBorders>
          </w:tcPr>
          <w:p w:rsidR="005727C2" w:rsidRDefault="005727C2" w:rsidP="00B60A41">
            <w:pPr>
              <w:spacing w:after="0" w:line="240" w:lineRule="auto"/>
              <w:jc w:val="center"/>
              <w:rPr>
                <w:snapToGrid w:val="0"/>
              </w:rPr>
            </w:pPr>
            <w:r>
              <w:rPr>
                <w:snapToGrid w:val="0"/>
              </w:rPr>
              <w:t>39,2</w:t>
            </w:r>
          </w:p>
          <w:p w:rsidR="005727C2" w:rsidRDefault="005727C2" w:rsidP="00B60A41">
            <w:pPr>
              <w:spacing w:after="0" w:line="240" w:lineRule="auto"/>
              <w:jc w:val="center"/>
              <w:rPr>
                <w:snapToGrid w:val="0"/>
              </w:rPr>
            </w:pPr>
          </w:p>
        </w:tc>
      </w:tr>
    </w:tbl>
    <w:p w:rsidR="00B60A41" w:rsidRDefault="005727C2" w:rsidP="00B60A41">
      <w:pPr>
        <w:spacing w:after="0" w:line="240" w:lineRule="auto"/>
        <w:jc w:val="both"/>
        <w:rPr>
          <w:sz w:val="28"/>
          <w:szCs w:val="28"/>
        </w:rPr>
      </w:pPr>
      <w:r>
        <w:rPr>
          <w:sz w:val="28"/>
          <w:szCs w:val="28"/>
        </w:rPr>
        <w:t xml:space="preserve">      </w:t>
      </w:r>
    </w:p>
    <w:p w:rsidR="005727C2" w:rsidRDefault="00B60A41" w:rsidP="00B60A41">
      <w:pPr>
        <w:spacing w:after="0" w:line="240" w:lineRule="auto"/>
        <w:jc w:val="both"/>
        <w:rPr>
          <w:sz w:val="28"/>
          <w:szCs w:val="28"/>
          <w:u w:val="single"/>
        </w:rPr>
      </w:pPr>
      <w:r>
        <w:rPr>
          <w:sz w:val="28"/>
          <w:szCs w:val="28"/>
        </w:rPr>
        <w:t xml:space="preserve">      </w:t>
      </w:r>
      <w:r w:rsidR="005727C2">
        <w:rPr>
          <w:sz w:val="28"/>
          <w:szCs w:val="28"/>
        </w:rPr>
        <w:t xml:space="preserve"> С информацией по тарифам на перемещение и хранение задержанных транспортных средств на специализированную стоянку можно ознакомиться на официальном сайте департамента в информационно-телекоммуникационной сети «Интернет» </w:t>
      </w:r>
      <w:hyperlink r:id="rId92" w:history="1">
        <w:r w:rsidR="005727C2">
          <w:rPr>
            <w:rStyle w:val="af0"/>
          </w:rPr>
          <w:t>https://tarif.nso.ru/page/99</w:t>
        </w:r>
      </w:hyperlink>
      <w:r w:rsidR="005727C2">
        <w:rPr>
          <w:rStyle w:val="af0"/>
        </w:rPr>
        <w:t>.</w:t>
      </w:r>
    </w:p>
    <w:p w:rsidR="005727C2" w:rsidRPr="00B60A41" w:rsidRDefault="00B60A41" w:rsidP="005727C2">
      <w:pPr>
        <w:pStyle w:val="1"/>
        <w:rPr>
          <w:rFonts w:ascii="Times New Roman" w:hAnsi="Times New Roman" w:cs="Times New Roman"/>
          <w:color w:val="auto"/>
        </w:rPr>
      </w:pPr>
      <w:r w:rsidRPr="00B60A41">
        <w:rPr>
          <w:rFonts w:ascii="Times New Roman" w:hAnsi="Times New Roman" w:cs="Times New Roman"/>
          <w:color w:val="auto"/>
        </w:rPr>
        <w:t>2.</w:t>
      </w:r>
      <w:r w:rsidR="0061749D">
        <w:rPr>
          <w:rFonts w:ascii="Times New Roman" w:hAnsi="Times New Roman" w:cs="Times New Roman"/>
          <w:color w:val="auto"/>
        </w:rPr>
        <w:t>7</w:t>
      </w:r>
      <w:r w:rsidRPr="00B60A41">
        <w:rPr>
          <w:rFonts w:ascii="Times New Roman" w:hAnsi="Times New Roman" w:cs="Times New Roman"/>
          <w:color w:val="auto"/>
        </w:rPr>
        <w:t>.</w:t>
      </w:r>
      <w:r w:rsidR="001E6715">
        <w:rPr>
          <w:rFonts w:ascii="Times New Roman" w:hAnsi="Times New Roman" w:cs="Times New Roman"/>
          <w:color w:val="auto"/>
        </w:rPr>
        <w:t>4</w:t>
      </w:r>
      <w:r w:rsidRPr="00B60A41">
        <w:rPr>
          <w:rFonts w:ascii="Times New Roman" w:hAnsi="Times New Roman" w:cs="Times New Roman"/>
          <w:color w:val="auto"/>
        </w:rPr>
        <w:t xml:space="preserve">. </w:t>
      </w:r>
      <w:r w:rsidR="005727C2" w:rsidRPr="00B60A41">
        <w:rPr>
          <w:rFonts w:ascii="Times New Roman" w:hAnsi="Times New Roman" w:cs="Times New Roman"/>
          <w:color w:val="auto"/>
        </w:rPr>
        <w:t xml:space="preserve">Размеры платы за проведение технического осмотра транспортных средств </w:t>
      </w:r>
    </w:p>
    <w:p w:rsidR="005727C2" w:rsidRDefault="005727C2" w:rsidP="00B60A41">
      <w:pPr>
        <w:spacing w:after="0" w:line="240" w:lineRule="auto"/>
        <w:ind w:firstLine="709"/>
        <w:jc w:val="both"/>
        <w:rPr>
          <w:sz w:val="28"/>
          <w:szCs w:val="28"/>
        </w:rPr>
      </w:pPr>
      <w:r>
        <w:rPr>
          <w:sz w:val="28"/>
          <w:szCs w:val="28"/>
        </w:rPr>
        <w:t xml:space="preserve">Предельные размеры платы за проведение технического осмотра транспортных средств, установленные  постановлением Правительства Новосибирской области от 15.04.2013 № 168-п, в 2019 году не пересматривались и составляют: </w:t>
      </w:r>
    </w:p>
    <w:tbl>
      <w:tblPr>
        <w:tblW w:w="9182" w:type="dxa"/>
        <w:jc w:val="center"/>
        <w:tblInd w:w="30" w:type="dxa"/>
        <w:tblLayout w:type="fixed"/>
        <w:tblCellMar>
          <w:left w:w="30" w:type="dxa"/>
          <w:right w:w="30" w:type="dxa"/>
        </w:tblCellMar>
        <w:tblLook w:val="04A0" w:firstRow="1" w:lastRow="0" w:firstColumn="1" w:lastColumn="0" w:noHBand="0" w:noVBand="1"/>
      </w:tblPr>
      <w:tblGrid>
        <w:gridCol w:w="567"/>
        <w:gridCol w:w="4644"/>
        <w:gridCol w:w="1419"/>
        <w:gridCol w:w="2552"/>
      </w:tblGrid>
      <w:tr w:rsidR="005727C2" w:rsidRPr="00B60A41" w:rsidTr="00B60A41">
        <w:trPr>
          <w:trHeight w:val="644"/>
          <w:jc w:val="center"/>
        </w:trPr>
        <w:tc>
          <w:tcPr>
            <w:tcW w:w="567" w:type="dxa"/>
            <w:tcBorders>
              <w:top w:val="single" w:sz="6" w:space="0" w:color="auto"/>
              <w:left w:val="single" w:sz="6" w:space="0" w:color="auto"/>
              <w:bottom w:val="single" w:sz="2" w:space="0" w:color="000000"/>
              <w:right w:val="single" w:sz="6" w:space="0" w:color="auto"/>
            </w:tcBorders>
            <w:vAlign w:val="center"/>
            <w:hideMark/>
          </w:tcPr>
          <w:p w:rsidR="005727C2" w:rsidRPr="00B60A41" w:rsidRDefault="005727C2" w:rsidP="00B17B10">
            <w:pPr>
              <w:spacing w:after="0" w:line="240" w:lineRule="auto"/>
              <w:rPr>
                <w:sz w:val="28"/>
                <w:szCs w:val="28"/>
              </w:rPr>
            </w:pPr>
            <w:r w:rsidRPr="00B60A41">
              <w:rPr>
                <w:sz w:val="28"/>
                <w:szCs w:val="28"/>
              </w:rPr>
              <w:t>№№ п/п</w:t>
            </w:r>
          </w:p>
        </w:tc>
        <w:tc>
          <w:tcPr>
            <w:tcW w:w="4644" w:type="dxa"/>
            <w:tcBorders>
              <w:top w:val="single" w:sz="6" w:space="0" w:color="auto"/>
              <w:left w:val="single" w:sz="6" w:space="0" w:color="auto"/>
              <w:bottom w:val="single" w:sz="2" w:space="0" w:color="000000"/>
              <w:right w:val="single" w:sz="6" w:space="0" w:color="auto"/>
            </w:tcBorders>
            <w:vAlign w:val="center"/>
            <w:hideMark/>
          </w:tcPr>
          <w:p w:rsidR="005727C2" w:rsidRPr="00B60A41" w:rsidRDefault="005727C2" w:rsidP="00B17B10">
            <w:pPr>
              <w:pStyle w:val="2"/>
              <w:spacing w:line="240" w:lineRule="auto"/>
              <w:jc w:val="center"/>
              <w:rPr>
                <w:rFonts w:ascii="Times New Roman" w:eastAsia="MS Mincho" w:hAnsi="Times New Roman" w:cs="Times New Roman"/>
                <w:b w:val="0"/>
                <w:bCs w:val="0"/>
                <w:color w:val="auto"/>
                <w:sz w:val="28"/>
                <w:szCs w:val="28"/>
              </w:rPr>
            </w:pPr>
            <w:r w:rsidRPr="00B60A41">
              <w:rPr>
                <w:rFonts w:ascii="Times New Roman" w:eastAsia="MS Mincho" w:hAnsi="Times New Roman" w:cs="Times New Roman"/>
                <w:b w:val="0"/>
                <w:bCs w:val="0"/>
                <w:color w:val="auto"/>
                <w:sz w:val="28"/>
                <w:szCs w:val="28"/>
              </w:rPr>
              <w:t>Тип транспортного средства</w:t>
            </w:r>
          </w:p>
        </w:tc>
        <w:tc>
          <w:tcPr>
            <w:tcW w:w="1419" w:type="dxa"/>
            <w:tcBorders>
              <w:top w:val="single" w:sz="6" w:space="0" w:color="auto"/>
              <w:left w:val="single" w:sz="6" w:space="0" w:color="auto"/>
              <w:bottom w:val="single" w:sz="2" w:space="0" w:color="000000"/>
              <w:right w:val="single" w:sz="6" w:space="0" w:color="auto"/>
            </w:tcBorders>
            <w:vAlign w:val="center"/>
            <w:hideMark/>
          </w:tcPr>
          <w:p w:rsidR="005727C2" w:rsidRPr="00B60A41" w:rsidRDefault="005727C2" w:rsidP="00B17B10">
            <w:pPr>
              <w:spacing w:after="0" w:line="240" w:lineRule="auto"/>
              <w:jc w:val="center"/>
              <w:rPr>
                <w:sz w:val="28"/>
                <w:szCs w:val="28"/>
              </w:rPr>
            </w:pPr>
            <w:r w:rsidRPr="00B60A41">
              <w:rPr>
                <w:sz w:val="28"/>
                <w:szCs w:val="28"/>
              </w:rPr>
              <w:t>Категория транспортных средств</w:t>
            </w:r>
          </w:p>
        </w:tc>
        <w:tc>
          <w:tcPr>
            <w:tcW w:w="2552" w:type="dxa"/>
            <w:tcBorders>
              <w:top w:val="single" w:sz="6" w:space="0" w:color="auto"/>
              <w:left w:val="single" w:sz="6" w:space="0" w:color="auto"/>
              <w:bottom w:val="single" w:sz="2" w:space="0" w:color="000000"/>
              <w:right w:val="single" w:sz="6" w:space="0" w:color="auto"/>
            </w:tcBorders>
          </w:tcPr>
          <w:p w:rsidR="005727C2" w:rsidRPr="00B60A41" w:rsidRDefault="005727C2" w:rsidP="00B17B10">
            <w:pPr>
              <w:spacing w:after="0" w:line="240" w:lineRule="auto"/>
              <w:jc w:val="center"/>
              <w:rPr>
                <w:sz w:val="28"/>
                <w:szCs w:val="28"/>
              </w:rPr>
            </w:pPr>
          </w:p>
          <w:p w:rsidR="005727C2" w:rsidRPr="00B60A41" w:rsidRDefault="005727C2" w:rsidP="00B17B10">
            <w:pPr>
              <w:spacing w:after="0" w:line="240" w:lineRule="auto"/>
              <w:jc w:val="center"/>
              <w:rPr>
                <w:sz w:val="28"/>
                <w:szCs w:val="28"/>
              </w:rPr>
            </w:pPr>
            <w:r w:rsidRPr="00B60A41">
              <w:rPr>
                <w:sz w:val="28"/>
                <w:szCs w:val="28"/>
              </w:rPr>
              <w:t>Предельный размер платы,</w:t>
            </w:r>
          </w:p>
          <w:p w:rsidR="005727C2" w:rsidRPr="00B60A41" w:rsidRDefault="005727C2" w:rsidP="00B17B10">
            <w:pPr>
              <w:spacing w:after="0" w:line="240" w:lineRule="auto"/>
              <w:jc w:val="center"/>
              <w:rPr>
                <w:sz w:val="28"/>
                <w:szCs w:val="28"/>
              </w:rPr>
            </w:pPr>
            <w:r w:rsidRPr="00B60A41">
              <w:rPr>
                <w:sz w:val="28"/>
                <w:szCs w:val="28"/>
              </w:rPr>
              <w:t>руб.</w:t>
            </w:r>
          </w:p>
        </w:tc>
      </w:tr>
      <w:tr w:rsidR="005727C2" w:rsidRPr="00B60A41" w:rsidTr="00B60A41">
        <w:trPr>
          <w:trHeight w:val="567"/>
          <w:jc w:val="center"/>
        </w:trPr>
        <w:tc>
          <w:tcPr>
            <w:tcW w:w="567" w:type="dxa"/>
            <w:tcBorders>
              <w:top w:val="single" w:sz="6" w:space="0" w:color="auto"/>
              <w:left w:val="single" w:sz="6" w:space="0" w:color="auto"/>
              <w:bottom w:val="single" w:sz="2" w:space="0" w:color="000000"/>
              <w:right w:val="single" w:sz="6" w:space="0" w:color="auto"/>
            </w:tcBorders>
            <w:vAlign w:val="center"/>
            <w:hideMark/>
          </w:tcPr>
          <w:p w:rsidR="005727C2" w:rsidRPr="00B60A41" w:rsidRDefault="005727C2" w:rsidP="00B17B10">
            <w:pPr>
              <w:spacing w:after="0" w:line="240" w:lineRule="auto"/>
              <w:jc w:val="center"/>
              <w:rPr>
                <w:sz w:val="28"/>
                <w:szCs w:val="28"/>
              </w:rPr>
            </w:pPr>
            <w:r w:rsidRPr="00B60A41">
              <w:rPr>
                <w:sz w:val="28"/>
                <w:szCs w:val="28"/>
              </w:rPr>
              <w:t>1.</w:t>
            </w:r>
          </w:p>
        </w:tc>
        <w:tc>
          <w:tcPr>
            <w:tcW w:w="4644" w:type="dxa"/>
            <w:tcBorders>
              <w:top w:val="single" w:sz="6" w:space="0" w:color="auto"/>
              <w:left w:val="single" w:sz="6" w:space="0" w:color="auto"/>
              <w:bottom w:val="single" w:sz="2" w:space="0" w:color="000000"/>
              <w:right w:val="single" w:sz="6" w:space="0" w:color="auto"/>
            </w:tcBorders>
            <w:vAlign w:val="center"/>
            <w:hideMark/>
          </w:tcPr>
          <w:p w:rsidR="005727C2" w:rsidRPr="003546B2" w:rsidRDefault="005727C2" w:rsidP="00B17B10">
            <w:pPr>
              <w:pStyle w:val="2"/>
              <w:spacing w:before="0" w:line="240" w:lineRule="auto"/>
              <w:contextualSpacing/>
              <w:rPr>
                <w:rFonts w:ascii="Times New Roman" w:eastAsia="MS Mincho" w:hAnsi="Times New Roman" w:cs="Times New Roman"/>
                <w:bCs w:val="0"/>
                <w:color w:val="auto"/>
                <w:sz w:val="28"/>
                <w:szCs w:val="28"/>
              </w:rPr>
            </w:pPr>
            <w:r w:rsidRPr="003546B2">
              <w:rPr>
                <w:rFonts w:ascii="Times New Roman" w:eastAsia="MS Mincho" w:hAnsi="Times New Roman" w:cs="Times New Roman"/>
                <w:bCs w:val="0"/>
                <w:color w:val="auto"/>
                <w:sz w:val="28"/>
                <w:szCs w:val="28"/>
              </w:rPr>
              <w:t>Легковые автомобили</w:t>
            </w:r>
          </w:p>
        </w:tc>
        <w:tc>
          <w:tcPr>
            <w:tcW w:w="1419" w:type="dxa"/>
            <w:tcBorders>
              <w:top w:val="single" w:sz="6" w:space="0" w:color="auto"/>
              <w:left w:val="single" w:sz="6" w:space="0" w:color="auto"/>
              <w:bottom w:val="single" w:sz="2" w:space="0" w:color="000000"/>
              <w:right w:val="single" w:sz="6" w:space="0" w:color="auto"/>
            </w:tcBorders>
            <w:vAlign w:val="center"/>
            <w:hideMark/>
          </w:tcPr>
          <w:p w:rsidR="005727C2" w:rsidRPr="00B60A41" w:rsidRDefault="005727C2" w:rsidP="00B17B10">
            <w:pPr>
              <w:spacing w:after="0" w:line="240" w:lineRule="auto"/>
              <w:jc w:val="center"/>
              <w:rPr>
                <w:sz w:val="28"/>
                <w:szCs w:val="28"/>
              </w:rPr>
            </w:pPr>
            <w:r w:rsidRPr="00B60A41">
              <w:rPr>
                <w:sz w:val="28"/>
                <w:szCs w:val="28"/>
              </w:rPr>
              <w:t>M1</w:t>
            </w:r>
          </w:p>
        </w:tc>
        <w:tc>
          <w:tcPr>
            <w:tcW w:w="2552" w:type="dxa"/>
            <w:tcBorders>
              <w:top w:val="single" w:sz="6" w:space="0" w:color="auto"/>
              <w:left w:val="single" w:sz="6" w:space="0" w:color="auto"/>
              <w:bottom w:val="single" w:sz="2" w:space="0" w:color="000000"/>
              <w:right w:val="single" w:sz="6" w:space="0" w:color="auto"/>
            </w:tcBorders>
            <w:vAlign w:val="center"/>
            <w:hideMark/>
          </w:tcPr>
          <w:p w:rsidR="005727C2" w:rsidRPr="00B60A41" w:rsidRDefault="005727C2" w:rsidP="00B17B10">
            <w:pPr>
              <w:spacing w:after="0" w:line="240" w:lineRule="auto"/>
              <w:jc w:val="center"/>
              <w:rPr>
                <w:sz w:val="28"/>
                <w:szCs w:val="28"/>
              </w:rPr>
            </w:pPr>
            <w:r w:rsidRPr="00B60A41">
              <w:rPr>
                <w:sz w:val="28"/>
                <w:szCs w:val="28"/>
              </w:rPr>
              <w:t>435</w:t>
            </w:r>
          </w:p>
        </w:tc>
      </w:tr>
      <w:tr w:rsidR="005727C2" w:rsidRPr="00B60A41" w:rsidTr="00B60A41">
        <w:trPr>
          <w:trHeight w:val="567"/>
          <w:jc w:val="center"/>
        </w:trPr>
        <w:tc>
          <w:tcPr>
            <w:tcW w:w="567" w:type="dxa"/>
            <w:tcBorders>
              <w:top w:val="single" w:sz="2" w:space="0" w:color="000000"/>
              <w:left w:val="single" w:sz="6" w:space="0" w:color="auto"/>
              <w:bottom w:val="single" w:sz="2" w:space="0" w:color="000000"/>
              <w:right w:val="single" w:sz="6" w:space="0" w:color="auto"/>
            </w:tcBorders>
            <w:vAlign w:val="center"/>
            <w:hideMark/>
          </w:tcPr>
          <w:p w:rsidR="005727C2" w:rsidRPr="00B60A41" w:rsidRDefault="005727C2" w:rsidP="00B17B10">
            <w:pPr>
              <w:spacing w:after="0" w:line="240" w:lineRule="auto"/>
              <w:jc w:val="center"/>
              <w:rPr>
                <w:sz w:val="28"/>
                <w:szCs w:val="28"/>
              </w:rPr>
            </w:pPr>
            <w:r w:rsidRPr="00B60A41">
              <w:rPr>
                <w:sz w:val="28"/>
                <w:szCs w:val="28"/>
              </w:rPr>
              <w:t>2.</w:t>
            </w:r>
          </w:p>
        </w:tc>
        <w:tc>
          <w:tcPr>
            <w:tcW w:w="4644" w:type="dxa"/>
            <w:tcBorders>
              <w:top w:val="single" w:sz="2" w:space="0" w:color="000000"/>
              <w:left w:val="single" w:sz="6" w:space="0" w:color="auto"/>
              <w:bottom w:val="single" w:sz="2" w:space="0" w:color="000000"/>
              <w:right w:val="single" w:sz="6" w:space="0" w:color="auto"/>
            </w:tcBorders>
            <w:vAlign w:val="center"/>
            <w:hideMark/>
          </w:tcPr>
          <w:p w:rsidR="005727C2" w:rsidRPr="003546B2" w:rsidRDefault="005727C2" w:rsidP="00B17B10">
            <w:pPr>
              <w:spacing w:after="0" w:line="240" w:lineRule="auto"/>
              <w:rPr>
                <w:b/>
                <w:sz w:val="28"/>
                <w:szCs w:val="28"/>
              </w:rPr>
            </w:pPr>
            <w:r w:rsidRPr="003546B2">
              <w:rPr>
                <w:b/>
                <w:sz w:val="28"/>
                <w:szCs w:val="28"/>
              </w:rPr>
              <w:t xml:space="preserve">Автобусы, троллейбусы, трамваи, </w:t>
            </w:r>
          </w:p>
          <w:p w:rsidR="005727C2" w:rsidRPr="003546B2" w:rsidRDefault="005727C2" w:rsidP="00B17B10">
            <w:pPr>
              <w:spacing w:after="0" w:line="240" w:lineRule="auto"/>
              <w:jc w:val="both"/>
              <w:rPr>
                <w:b/>
                <w:sz w:val="28"/>
                <w:szCs w:val="28"/>
              </w:rPr>
            </w:pPr>
            <w:r w:rsidRPr="003546B2">
              <w:rPr>
                <w:b/>
                <w:sz w:val="28"/>
                <w:szCs w:val="28"/>
              </w:rPr>
              <w:t>в том числе:</w:t>
            </w:r>
          </w:p>
        </w:tc>
        <w:tc>
          <w:tcPr>
            <w:tcW w:w="1419" w:type="dxa"/>
            <w:tcBorders>
              <w:top w:val="single" w:sz="2" w:space="0" w:color="000000"/>
              <w:left w:val="single" w:sz="6" w:space="0" w:color="auto"/>
              <w:bottom w:val="single" w:sz="2" w:space="0" w:color="000000"/>
              <w:right w:val="single" w:sz="6" w:space="0" w:color="auto"/>
            </w:tcBorders>
            <w:vAlign w:val="center"/>
          </w:tcPr>
          <w:p w:rsidR="005727C2" w:rsidRPr="00B60A41" w:rsidRDefault="005727C2" w:rsidP="00B17B10">
            <w:pPr>
              <w:spacing w:after="0" w:line="240" w:lineRule="auto"/>
              <w:jc w:val="center"/>
              <w:rPr>
                <w:sz w:val="28"/>
                <w:szCs w:val="28"/>
              </w:rPr>
            </w:pPr>
          </w:p>
        </w:tc>
        <w:tc>
          <w:tcPr>
            <w:tcW w:w="2552" w:type="dxa"/>
            <w:tcBorders>
              <w:top w:val="single" w:sz="2" w:space="0" w:color="000000"/>
              <w:left w:val="single" w:sz="6" w:space="0" w:color="auto"/>
              <w:bottom w:val="single" w:sz="2" w:space="0" w:color="000000"/>
              <w:right w:val="single" w:sz="6" w:space="0" w:color="auto"/>
            </w:tcBorders>
            <w:vAlign w:val="center"/>
          </w:tcPr>
          <w:p w:rsidR="005727C2" w:rsidRPr="00B60A41" w:rsidRDefault="005727C2" w:rsidP="00B17B10">
            <w:pPr>
              <w:spacing w:after="0" w:line="240" w:lineRule="auto"/>
              <w:jc w:val="center"/>
              <w:rPr>
                <w:sz w:val="28"/>
                <w:szCs w:val="28"/>
              </w:rPr>
            </w:pPr>
          </w:p>
        </w:tc>
      </w:tr>
      <w:tr w:rsidR="005727C2" w:rsidRPr="00B60A41" w:rsidTr="00B60A41">
        <w:trPr>
          <w:trHeight w:val="567"/>
          <w:jc w:val="center"/>
        </w:trPr>
        <w:tc>
          <w:tcPr>
            <w:tcW w:w="567" w:type="dxa"/>
            <w:vMerge w:val="restart"/>
            <w:tcBorders>
              <w:top w:val="single" w:sz="2" w:space="0" w:color="000000"/>
              <w:left w:val="single" w:sz="6" w:space="0" w:color="auto"/>
              <w:bottom w:val="single" w:sz="2" w:space="0" w:color="000000"/>
              <w:right w:val="single" w:sz="6" w:space="0" w:color="auto"/>
            </w:tcBorders>
            <w:vAlign w:val="center"/>
          </w:tcPr>
          <w:p w:rsidR="005727C2" w:rsidRPr="00B60A41" w:rsidRDefault="005727C2" w:rsidP="00B17B10">
            <w:pPr>
              <w:spacing w:after="0" w:line="240" w:lineRule="auto"/>
              <w:jc w:val="center"/>
              <w:rPr>
                <w:sz w:val="28"/>
                <w:szCs w:val="28"/>
              </w:rPr>
            </w:pPr>
          </w:p>
        </w:tc>
        <w:tc>
          <w:tcPr>
            <w:tcW w:w="4644" w:type="dxa"/>
            <w:tcBorders>
              <w:top w:val="single" w:sz="2" w:space="0" w:color="000000"/>
              <w:left w:val="single" w:sz="6" w:space="0" w:color="auto"/>
              <w:bottom w:val="single" w:sz="2" w:space="0" w:color="000000"/>
              <w:right w:val="single" w:sz="6" w:space="0" w:color="auto"/>
            </w:tcBorders>
            <w:vAlign w:val="center"/>
            <w:hideMark/>
          </w:tcPr>
          <w:p w:rsidR="005727C2" w:rsidRPr="00B60A41" w:rsidRDefault="005727C2" w:rsidP="00B17B10">
            <w:pPr>
              <w:spacing w:after="0" w:line="240" w:lineRule="auto"/>
              <w:jc w:val="both"/>
              <w:rPr>
                <w:sz w:val="28"/>
                <w:szCs w:val="28"/>
              </w:rPr>
            </w:pPr>
            <w:r w:rsidRPr="00B60A41">
              <w:rPr>
                <w:sz w:val="28"/>
                <w:szCs w:val="28"/>
              </w:rPr>
              <w:t>максимальной массой не более 5 тонн</w:t>
            </w:r>
          </w:p>
        </w:tc>
        <w:tc>
          <w:tcPr>
            <w:tcW w:w="1419" w:type="dxa"/>
            <w:tcBorders>
              <w:top w:val="single" w:sz="2" w:space="0" w:color="000000"/>
              <w:left w:val="single" w:sz="6" w:space="0" w:color="auto"/>
              <w:bottom w:val="single" w:sz="2" w:space="0" w:color="000000"/>
              <w:right w:val="single" w:sz="6" w:space="0" w:color="auto"/>
            </w:tcBorders>
            <w:vAlign w:val="center"/>
            <w:hideMark/>
          </w:tcPr>
          <w:p w:rsidR="005727C2" w:rsidRPr="00B60A41" w:rsidRDefault="005727C2" w:rsidP="00B17B10">
            <w:pPr>
              <w:spacing w:after="0" w:line="240" w:lineRule="auto"/>
              <w:jc w:val="center"/>
              <w:rPr>
                <w:sz w:val="28"/>
                <w:szCs w:val="28"/>
              </w:rPr>
            </w:pPr>
            <w:r w:rsidRPr="00B60A41">
              <w:rPr>
                <w:sz w:val="28"/>
                <w:szCs w:val="28"/>
              </w:rPr>
              <w:t>M2</w:t>
            </w:r>
          </w:p>
        </w:tc>
        <w:tc>
          <w:tcPr>
            <w:tcW w:w="2552" w:type="dxa"/>
            <w:tcBorders>
              <w:top w:val="single" w:sz="2" w:space="0" w:color="000000"/>
              <w:left w:val="single" w:sz="6" w:space="0" w:color="auto"/>
              <w:bottom w:val="single" w:sz="2" w:space="0" w:color="000000"/>
              <w:right w:val="single" w:sz="6" w:space="0" w:color="auto"/>
            </w:tcBorders>
            <w:vAlign w:val="center"/>
            <w:hideMark/>
          </w:tcPr>
          <w:p w:rsidR="005727C2" w:rsidRPr="00B60A41" w:rsidRDefault="005727C2" w:rsidP="00B17B10">
            <w:pPr>
              <w:spacing w:after="0" w:line="240" w:lineRule="auto"/>
              <w:jc w:val="center"/>
              <w:rPr>
                <w:sz w:val="28"/>
                <w:szCs w:val="28"/>
              </w:rPr>
            </w:pPr>
            <w:r w:rsidRPr="00B60A41">
              <w:rPr>
                <w:sz w:val="28"/>
                <w:szCs w:val="28"/>
              </w:rPr>
              <w:t>783</w:t>
            </w:r>
          </w:p>
        </w:tc>
      </w:tr>
      <w:tr w:rsidR="005727C2" w:rsidRPr="00B60A41" w:rsidTr="00B60A41">
        <w:trPr>
          <w:trHeight w:val="567"/>
          <w:jc w:val="center"/>
        </w:trPr>
        <w:tc>
          <w:tcPr>
            <w:tcW w:w="567" w:type="dxa"/>
            <w:vMerge/>
            <w:tcBorders>
              <w:top w:val="single" w:sz="2" w:space="0" w:color="000000"/>
              <w:left w:val="single" w:sz="6" w:space="0" w:color="auto"/>
              <w:bottom w:val="single" w:sz="2" w:space="0" w:color="000000"/>
              <w:right w:val="single" w:sz="6" w:space="0" w:color="auto"/>
            </w:tcBorders>
            <w:vAlign w:val="center"/>
            <w:hideMark/>
          </w:tcPr>
          <w:p w:rsidR="005727C2" w:rsidRPr="00B60A41" w:rsidRDefault="005727C2" w:rsidP="00B17B10">
            <w:pPr>
              <w:spacing w:after="0" w:line="240" w:lineRule="auto"/>
              <w:rPr>
                <w:sz w:val="28"/>
                <w:szCs w:val="28"/>
              </w:rPr>
            </w:pPr>
          </w:p>
        </w:tc>
        <w:tc>
          <w:tcPr>
            <w:tcW w:w="4644" w:type="dxa"/>
            <w:tcBorders>
              <w:top w:val="single" w:sz="2" w:space="0" w:color="000000"/>
              <w:left w:val="single" w:sz="6" w:space="0" w:color="auto"/>
              <w:bottom w:val="single" w:sz="2" w:space="0" w:color="000000"/>
              <w:right w:val="single" w:sz="6" w:space="0" w:color="auto"/>
            </w:tcBorders>
            <w:vAlign w:val="center"/>
            <w:hideMark/>
          </w:tcPr>
          <w:p w:rsidR="005727C2" w:rsidRPr="00B60A41" w:rsidRDefault="005727C2" w:rsidP="00B17B10">
            <w:pPr>
              <w:spacing w:after="0" w:line="240" w:lineRule="auto"/>
              <w:jc w:val="both"/>
              <w:rPr>
                <w:sz w:val="28"/>
                <w:szCs w:val="28"/>
              </w:rPr>
            </w:pPr>
            <w:r w:rsidRPr="00B60A41">
              <w:rPr>
                <w:sz w:val="28"/>
                <w:szCs w:val="28"/>
              </w:rPr>
              <w:t>максимальной массой более 5 тонн, из них:</w:t>
            </w:r>
          </w:p>
        </w:tc>
        <w:tc>
          <w:tcPr>
            <w:tcW w:w="1419" w:type="dxa"/>
            <w:tcBorders>
              <w:top w:val="single" w:sz="2" w:space="0" w:color="000000"/>
              <w:left w:val="single" w:sz="6" w:space="0" w:color="auto"/>
              <w:bottom w:val="single" w:sz="2" w:space="0" w:color="000000"/>
              <w:right w:val="single" w:sz="6" w:space="0" w:color="auto"/>
            </w:tcBorders>
            <w:vAlign w:val="center"/>
          </w:tcPr>
          <w:p w:rsidR="005727C2" w:rsidRPr="00B60A41" w:rsidRDefault="005727C2" w:rsidP="00B17B10">
            <w:pPr>
              <w:spacing w:after="0" w:line="240" w:lineRule="auto"/>
              <w:jc w:val="center"/>
              <w:rPr>
                <w:sz w:val="28"/>
                <w:szCs w:val="28"/>
              </w:rPr>
            </w:pPr>
          </w:p>
        </w:tc>
        <w:tc>
          <w:tcPr>
            <w:tcW w:w="2552" w:type="dxa"/>
            <w:tcBorders>
              <w:top w:val="single" w:sz="2" w:space="0" w:color="000000"/>
              <w:left w:val="single" w:sz="6" w:space="0" w:color="auto"/>
              <w:bottom w:val="single" w:sz="2" w:space="0" w:color="000000"/>
              <w:right w:val="single" w:sz="6" w:space="0" w:color="auto"/>
            </w:tcBorders>
            <w:vAlign w:val="center"/>
          </w:tcPr>
          <w:p w:rsidR="005727C2" w:rsidRPr="00B60A41" w:rsidRDefault="005727C2" w:rsidP="00B17B10">
            <w:pPr>
              <w:spacing w:after="0" w:line="240" w:lineRule="auto"/>
              <w:jc w:val="center"/>
              <w:rPr>
                <w:sz w:val="28"/>
                <w:szCs w:val="28"/>
              </w:rPr>
            </w:pPr>
          </w:p>
        </w:tc>
      </w:tr>
      <w:tr w:rsidR="005727C2" w:rsidRPr="00B60A41" w:rsidTr="00B60A41">
        <w:trPr>
          <w:trHeight w:val="567"/>
          <w:jc w:val="center"/>
        </w:trPr>
        <w:tc>
          <w:tcPr>
            <w:tcW w:w="567" w:type="dxa"/>
            <w:vMerge/>
            <w:tcBorders>
              <w:top w:val="single" w:sz="2" w:space="0" w:color="000000"/>
              <w:left w:val="single" w:sz="6" w:space="0" w:color="auto"/>
              <w:bottom w:val="single" w:sz="2" w:space="0" w:color="000000"/>
              <w:right w:val="single" w:sz="6" w:space="0" w:color="auto"/>
            </w:tcBorders>
            <w:vAlign w:val="center"/>
            <w:hideMark/>
          </w:tcPr>
          <w:p w:rsidR="005727C2" w:rsidRPr="00B60A41" w:rsidRDefault="005727C2" w:rsidP="00B17B10">
            <w:pPr>
              <w:spacing w:after="0" w:line="240" w:lineRule="auto"/>
              <w:rPr>
                <w:sz w:val="28"/>
                <w:szCs w:val="28"/>
              </w:rPr>
            </w:pPr>
          </w:p>
        </w:tc>
        <w:tc>
          <w:tcPr>
            <w:tcW w:w="4644" w:type="dxa"/>
            <w:tcBorders>
              <w:top w:val="single" w:sz="2" w:space="0" w:color="000000"/>
              <w:left w:val="single" w:sz="6" w:space="0" w:color="auto"/>
              <w:bottom w:val="single" w:sz="2" w:space="0" w:color="000000"/>
              <w:right w:val="single" w:sz="6" w:space="0" w:color="auto"/>
            </w:tcBorders>
            <w:vAlign w:val="center"/>
            <w:hideMark/>
          </w:tcPr>
          <w:p w:rsidR="005727C2" w:rsidRPr="00B60A41" w:rsidRDefault="005727C2" w:rsidP="00B17B10">
            <w:pPr>
              <w:spacing w:after="0" w:line="240" w:lineRule="auto"/>
              <w:ind w:firstLine="26"/>
              <w:jc w:val="both"/>
              <w:rPr>
                <w:i/>
                <w:sz w:val="28"/>
                <w:szCs w:val="28"/>
              </w:rPr>
            </w:pPr>
            <w:r w:rsidRPr="00B60A41">
              <w:rPr>
                <w:i/>
                <w:sz w:val="28"/>
                <w:szCs w:val="28"/>
              </w:rPr>
              <w:t>автобусы</w:t>
            </w:r>
          </w:p>
        </w:tc>
        <w:tc>
          <w:tcPr>
            <w:tcW w:w="1419" w:type="dxa"/>
            <w:tcBorders>
              <w:top w:val="single" w:sz="2" w:space="0" w:color="000000"/>
              <w:left w:val="single" w:sz="6" w:space="0" w:color="auto"/>
              <w:bottom w:val="single" w:sz="2" w:space="0" w:color="000000"/>
              <w:right w:val="single" w:sz="6" w:space="0" w:color="auto"/>
            </w:tcBorders>
            <w:vAlign w:val="center"/>
            <w:hideMark/>
          </w:tcPr>
          <w:p w:rsidR="005727C2" w:rsidRPr="00B60A41" w:rsidRDefault="005727C2" w:rsidP="00B17B10">
            <w:pPr>
              <w:spacing w:after="0" w:line="240" w:lineRule="auto"/>
              <w:jc w:val="center"/>
              <w:rPr>
                <w:sz w:val="28"/>
                <w:szCs w:val="28"/>
              </w:rPr>
            </w:pPr>
            <w:r w:rsidRPr="00B60A41">
              <w:rPr>
                <w:sz w:val="28"/>
                <w:szCs w:val="28"/>
              </w:rPr>
              <w:t>M3</w:t>
            </w:r>
          </w:p>
        </w:tc>
        <w:tc>
          <w:tcPr>
            <w:tcW w:w="2552" w:type="dxa"/>
            <w:tcBorders>
              <w:top w:val="single" w:sz="2" w:space="0" w:color="000000"/>
              <w:left w:val="single" w:sz="6" w:space="0" w:color="auto"/>
              <w:bottom w:val="single" w:sz="2" w:space="0" w:color="000000"/>
              <w:right w:val="single" w:sz="6" w:space="0" w:color="auto"/>
            </w:tcBorders>
            <w:vAlign w:val="center"/>
            <w:hideMark/>
          </w:tcPr>
          <w:p w:rsidR="005727C2" w:rsidRPr="00B60A41" w:rsidRDefault="005727C2" w:rsidP="00B17B10">
            <w:pPr>
              <w:spacing w:after="0" w:line="240" w:lineRule="auto"/>
              <w:jc w:val="center"/>
              <w:rPr>
                <w:sz w:val="28"/>
                <w:szCs w:val="28"/>
              </w:rPr>
            </w:pPr>
            <w:r w:rsidRPr="00B60A41">
              <w:rPr>
                <w:sz w:val="28"/>
                <w:szCs w:val="28"/>
              </w:rPr>
              <w:t>943</w:t>
            </w:r>
          </w:p>
        </w:tc>
      </w:tr>
      <w:tr w:rsidR="005727C2" w:rsidRPr="00B60A41" w:rsidTr="00B60A41">
        <w:trPr>
          <w:trHeight w:val="567"/>
          <w:jc w:val="center"/>
        </w:trPr>
        <w:tc>
          <w:tcPr>
            <w:tcW w:w="567" w:type="dxa"/>
            <w:vMerge/>
            <w:tcBorders>
              <w:top w:val="single" w:sz="2" w:space="0" w:color="000000"/>
              <w:left w:val="single" w:sz="6" w:space="0" w:color="auto"/>
              <w:bottom w:val="single" w:sz="2" w:space="0" w:color="000000"/>
              <w:right w:val="single" w:sz="6" w:space="0" w:color="auto"/>
            </w:tcBorders>
            <w:vAlign w:val="center"/>
            <w:hideMark/>
          </w:tcPr>
          <w:p w:rsidR="005727C2" w:rsidRPr="00B60A41" w:rsidRDefault="005727C2" w:rsidP="00B17B10">
            <w:pPr>
              <w:spacing w:after="0" w:line="240" w:lineRule="auto"/>
              <w:rPr>
                <w:sz w:val="28"/>
                <w:szCs w:val="28"/>
              </w:rPr>
            </w:pPr>
          </w:p>
        </w:tc>
        <w:tc>
          <w:tcPr>
            <w:tcW w:w="4644" w:type="dxa"/>
            <w:tcBorders>
              <w:top w:val="single" w:sz="2" w:space="0" w:color="000000"/>
              <w:left w:val="single" w:sz="6" w:space="0" w:color="auto"/>
              <w:bottom w:val="single" w:sz="2" w:space="0" w:color="000000"/>
              <w:right w:val="single" w:sz="6" w:space="0" w:color="auto"/>
            </w:tcBorders>
            <w:vAlign w:val="center"/>
            <w:hideMark/>
          </w:tcPr>
          <w:p w:rsidR="005727C2" w:rsidRPr="00B60A41" w:rsidRDefault="005727C2" w:rsidP="00B17B10">
            <w:pPr>
              <w:spacing w:after="0" w:line="240" w:lineRule="auto"/>
              <w:jc w:val="both"/>
              <w:rPr>
                <w:i/>
                <w:sz w:val="28"/>
                <w:szCs w:val="28"/>
              </w:rPr>
            </w:pPr>
            <w:r w:rsidRPr="00B60A41">
              <w:rPr>
                <w:i/>
                <w:sz w:val="28"/>
                <w:szCs w:val="28"/>
              </w:rPr>
              <w:t>троллейбусы, трамваи</w:t>
            </w:r>
          </w:p>
        </w:tc>
        <w:tc>
          <w:tcPr>
            <w:tcW w:w="1419" w:type="dxa"/>
            <w:tcBorders>
              <w:top w:val="single" w:sz="2" w:space="0" w:color="000000"/>
              <w:left w:val="single" w:sz="6" w:space="0" w:color="auto"/>
              <w:bottom w:val="single" w:sz="2" w:space="0" w:color="000000"/>
              <w:right w:val="single" w:sz="6" w:space="0" w:color="auto"/>
            </w:tcBorders>
            <w:vAlign w:val="center"/>
            <w:hideMark/>
          </w:tcPr>
          <w:p w:rsidR="005727C2" w:rsidRPr="00B60A41" w:rsidRDefault="005727C2" w:rsidP="00B17B10">
            <w:pPr>
              <w:spacing w:after="0" w:line="240" w:lineRule="auto"/>
              <w:jc w:val="center"/>
              <w:rPr>
                <w:sz w:val="28"/>
                <w:szCs w:val="28"/>
              </w:rPr>
            </w:pPr>
            <w:r w:rsidRPr="00B60A41">
              <w:rPr>
                <w:sz w:val="28"/>
                <w:szCs w:val="28"/>
              </w:rPr>
              <w:t>M3</w:t>
            </w:r>
          </w:p>
        </w:tc>
        <w:tc>
          <w:tcPr>
            <w:tcW w:w="2552" w:type="dxa"/>
            <w:tcBorders>
              <w:top w:val="single" w:sz="2" w:space="0" w:color="000000"/>
              <w:left w:val="single" w:sz="6" w:space="0" w:color="auto"/>
              <w:bottom w:val="single" w:sz="2" w:space="0" w:color="000000"/>
              <w:right w:val="single" w:sz="6" w:space="0" w:color="auto"/>
            </w:tcBorders>
            <w:vAlign w:val="center"/>
            <w:hideMark/>
          </w:tcPr>
          <w:p w:rsidR="005727C2" w:rsidRPr="00B60A41" w:rsidRDefault="005727C2" w:rsidP="00B17B10">
            <w:pPr>
              <w:spacing w:after="0" w:line="240" w:lineRule="auto"/>
              <w:jc w:val="center"/>
              <w:rPr>
                <w:sz w:val="28"/>
                <w:szCs w:val="28"/>
              </w:rPr>
            </w:pPr>
            <w:r w:rsidRPr="00B60A41">
              <w:rPr>
                <w:sz w:val="28"/>
                <w:szCs w:val="28"/>
              </w:rPr>
              <w:t>657</w:t>
            </w:r>
          </w:p>
        </w:tc>
      </w:tr>
      <w:tr w:rsidR="005727C2" w:rsidRPr="00B60A41" w:rsidTr="00B60A41">
        <w:trPr>
          <w:trHeight w:val="567"/>
          <w:jc w:val="center"/>
        </w:trPr>
        <w:tc>
          <w:tcPr>
            <w:tcW w:w="567" w:type="dxa"/>
            <w:tcBorders>
              <w:top w:val="single" w:sz="2" w:space="0" w:color="000000"/>
              <w:left w:val="single" w:sz="6" w:space="0" w:color="auto"/>
              <w:bottom w:val="single" w:sz="2" w:space="0" w:color="000000"/>
              <w:right w:val="single" w:sz="6" w:space="0" w:color="auto"/>
            </w:tcBorders>
            <w:vAlign w:val="center"/>
            <w:hideMark/>
          </w:tcPr>
          <w:p w:rsidR="005727C2" w:rsidRPr="00B60A41" w:rsidRDefault="005727C2" w:rsidP="00B17B10">
            <w:pPr>
              <w:spacing w:after="0" w:line="240" w:lineRule="auto"/>
              <w:jc w:val="center"/>
              <w:rPr>
                <w:sz w:val="28"/>
                <w:szCs w:val="28"/>
              </w:rPr>
            </w:pPr>
            <w:r w:rsidRPr="00B60A41">
              <w:rPr>
                <w:sz w:val="28"/>
                <w:szCs w:val="28"/>
              </w:rPr>
              <w:t>3.</w:t>
            </w:r>
          </w:p>
        </w:tc>
        <w:tc>
          <w:tcPr>
            <w:tcW w:w="4644" w:type="dxa"/>
            <w:tcBorders>
              <w:top w:val="single" w:sz="2" w:space="0" w:color="000000"/>
              <w:left w:val="single" w:sz="6" w:space="0" w:color="auto"/>
              <w:bottom w:val="single" w:sz="2" w:space="0" w:color="000000"/>
              <w:right w:val="single" w:sz="6" w:space="0" w:color="auto"/>
            </w:tcBorders>
            <w:vAlign w:val="center"/>
            <w:hideMark/>
          </w:tcPr>
          <w:p w:rsidR="005727C2" w:rsidRPr="003546B2" w:rsidRDefault="005727C2" w:rsidP="00B17B10">
            <w:pPr>
              <w:spacing w:after="0" w:line="240" w:lineRule="auto"/>
              <w:jc w:val="both"/>
              <w:rPr>
                <w:b/>
                <w:sz w:val="28"/>
                <w:szCs w:val="28"/>
              </w:rPr>
            </w:pPr>
            <w:r w:rsidRPr="003546B2">
              <w:rPr>
                <w:b/>
                <w:sz w:val="28"/>
                <w:szCs w:val="28"/>
              </w:rPr>
              <w:t>Грузовые автомобили, в том числе:</w:t>
            </w:r>
          </w:p>
        </w:tc>
        <w:tc>
          <w:tcPr>
            <w:tcW w:w="1419" w:type="dxa"/>
            <w:tcBorders>
              <w:top w:val="single" w:sz="2" w:space="0" w:color="000000"/>
              <w:left w:val="single" w:sz="6" w:space="0" w:color="auto"/>
              <w:bottom w:val="single" w:sz="2" w:space="0" w:color="000000"/>
              <w:right w:val="single" w:sz="6" w:space="0" w:color="auto"/>
            </w:tcBorders>
            <w:vAlign w:val="center"/>
          </w:tcPr>
          <w:p w:rsidR="005727C2" w:rsidRPr="00B60A41" w:rsidRDefault="005727C2" w:rsidP="00B17B10">
            <w:pPr>
              <w:spacing w:after="0" w:line="240" w:lineRule="auto"/>
              <w:jc w:val="center"/>
              <w:rPr>
                <w:sz w:val="28"/>
                <w:szCs w:val="28"/>
              </w:rPr>
            </w:pPr>
          </w:p>
        </w:tc>
        <w:tc>
          <w:tcPr>
            <w:tcW w:w="2552" w:type="dxa"/>
            <w:tcBorders>
              <w:top w:val="single" w:sz="2" w:space="0" w:color="000000"/>
              <w:left w:val="single" w:sz="6" w:space="0" w:color="auto"/>
              <w:bottom w:val="single" w:sz="2" w:space="0" w:color="000000"/>
              <w:right w:val="single" w:sz="6" w:space="0" w:color="auto"/>
            </w:tcBorders>
            <w:vAlign w:val="center"/>
          </w:tcPr>
          <w:p w:rsidR="005727C2" w:rsidRPr="00B60A41" w:rsidRDefault="005727C2" w:rsidP="00B17B10">
            <w:pPr>
              <w:spacing w:after="0" w:line="240" w:lineRule="auto"/>
              <w:jc w:val="center"/>
              <w:rPr>
                <w:sz w:val="28"/>
                <w:szCs w:val="28"/>
              </w:rPr>
            </w:pPr>
          </w:p>
        </w:tc>
      </w:tr>
      <w:tr w:rsidR="005727C2" w:rsidRPr="00B60A41" w:rsidTr="00B60A41">
        <w:trPr>
          <w:trHeight w:val="567"/>
          <w:jc w:val="center"/>
        </w:trPr>
        <w:tc>
          <w:tcPr>
            <w:tcW w:w="567" w:type="dxa"/>
            <w:vMerge w:val="restart"/>
            <w:tcBorders>
              <w:top w:val="single" w:sz="2" w:space="0" w:color="000000"/>
              <w:left w:val="single" w:sz="6" w:space="0" w:color="auto"/>
              <w:bottom w:val="single" w:sz="2" w:space="0" w:color="000000"/>
              <w:right w:val="single" w:sz="6" w:space="0" w:color="auto"/>
            </w:tcBorders>
            <w:vAlign w:val="center"/>
          </w:tcPr>
          <w:p w:rsidR="005727C2" w:rsidRPr="00B60A41" w:rsidRDefault="005727C2" w:rsidP="00B17B10">
            <w:pPr>
              <w:spacing w:after="0" w:line="240" w:lineRule="auto"/>
              <w:jc w:val="center"/>
              <w:rPr>
                <w:sz w:val="28"/>
                <w:szCs w:val="28"/>
              </w:rPr>
            </w:pPr>
          </w:p>
        </w:tc>
        <w:tc>
          <w:tcPr>
            <w:tcW w:w="4644" w:type="dxa"/>
            <w:tcBorders>
              <w:top w:val="single" w:sz="2" w:space="0" w:color="000000"/>
              <w:left w:val="single" w:sz="6" w:space="0" w:color="auto"/>
              <w:bottom w:val="single" w:sz="2" w:space="0" w:color="000000"/>
              <w:right w:val="single" w:sz="6" w:space="0" w:color="auto"/>
            </w:tcBorders>
            <w:vAlign w:val="center"/>
            <w:hideMark/>
          </w:tcPr>
          <w:p w:rsidR="005727C2" w:rsidRPr="00B60A41" w:rsidRDefault="005727C2" w:rsidP="00B17B10">
            <w:pPr>
              <w:spacing w:after="0" w:line="240" w:lineRule="auto"/>
              <w:jc w:val="both"/>
              <w:rPr>
                <w:i/>
                <w:sz w:val="28"/>
                <w:szCs w:val="28"/>
              </w:rPr>
            </w:pPr>
            <w:r w:rsidRPr="00B60A41">
              <w:rPr>
                <w:i/>
                <w:sz w:val="28"/>
                <w:szCs w:val="28"/>
              </w:rPr>
              <w:t>максимальной массой не более 3,5 тонн</w:t>
            </w:r>
          </w:p>
        </w:tc>
        <w:tc>
          <w:tcPr>
            <w:tcW w:w="1419" w:type="dxa"/>
            <w:tcBorders>
              <w:top w:val="single" w:sz="2" w:space="0" w:color="000000"/>
              <w:left w:val="single" w:sz="6" w:space="0" w:color="auto"/>
              <w:bottom w:val="single" w:sz="2" w:space="0" w:color="000000"/>
              <w:right w:val="single" w:sz="6" w:space="0" w:color="auto"/>
            </w:tcBorders>
            <w:vAlign w:val="center"/>
            <w:hideMark/>
          </w:tcPr>
          <w:p w:rsidR="005727C2" w:rsidRPr="00B60A41" w:rsidRDefault="005727C2" w:rsidP="00B17B10">
            <w:pPr>
              <w:spacing w:after="0" w:line="240" w:lineRule="auto"/>
              <w:jc w:val="center"/>
              <w:rPr>
                <w:sz w:val="28"/>
                <w:szCs w:val="28"/>
              </w:rPr>
            </w:pPr>
            <w:r w:rsidRPr="00B60A41">
              <w:rPr>
                <w:sz w:val="28"/>
                <w:szCs w:val="28"/>
              </w:rPr>
              <w:t>N1</w:t>
            </w:r>
          </w:p>
        </w:tc>
        <w:tc>
          <w:tcPr>
            <w:tcW w:w="2552" w:type="dxa"/>
            <w:tcBorders>
              <w:top w:val="single" w:sz="2" w:space="0" w:color="000000"/>
              <w:left w:val="single" w:sz="6" w:space="0" w:color="auto"/>
              <w:bottom w:val="single" w:sz="2" w:space="0" w:color="000000"/>
              <w:right w:val="single" w:sz="6" w:space="0" w:color="auto"/>
            </w:tcBorders>
            <w:vAlign w:val="center"/>
            <w:hideMark/>
          </w:tcPr>
          <w:p w:rsidR="005727C2" w:rsidRPr="00B60A41" w:rsidRDefault="005727C2" w:rsidP="00B17B10">
            <w:pPr>
              <w:spacing w:after="0" w:line="240" w:lineRule="auto"/>
              <w:jc w:val="center"/>
              <w:rPr>
                <w:sz w:val="28"/>
                <w:szCs w:val="28"/>
              </w:rPr>
            </w:pPr>
            <w:r w:rsidRPr="00B60A41">
              <w:rPr>
                <w:sz w:val="28"/>
                <w:szCs w:val="28"/>
              </w:rPr>
              <w:t>464</w:t>
            </w:r>
          </w:p>
        </w:tc>
      </w:tr>
      <w:tr w:rsidR="005727C2" w:rsidRPr="00B60A41" w:rsidTr="00B60A41">
        <w:trPr>
          <w:trHeight w:val="567"/>
          <w:jc w:val="center"/>
        </w:trPr>
        <w:tc>
          <w:tcPr>
            <w:tcW w:w="567" w:type="dxa"/>
            <w:vMerge/>
            <w:tcBorders>
              <w:top w:val="single" w:sz="2" w:space="0" w:color="000000"/>
              <w:left w:val="single" w:sz="6" w:space="0" w:color="auto"/>
              <w:bottom w:val="single" w:sz="2" w:space="0" w:color="000000"/>
              <w:right w:val="single" w:sz="6" w:space="0" w:color="auto"/>
            </w:tcBorders>
            <w:vAlign w:val="center"/>
            <w:hideMark/>
          </w:tcPr>
          <w:p w:rsidR="005727C2" w:rsidRPr="00B60A41" w:rsidRDefault="005727C2" w:rsidP="00B17B10">
            <w:pPr>
              <w:spacing w:after="0" w:line="240" w:lineRule="auto"/>
              <w:rPr>
                <w:sz w:val="28"/>
                <w:szCs w:val="28"/>
              </w:rPr>
            </w:pPr>
          </w:p>
        </w:tc>
        <w:tc>
          <w:tcPr>
            <w:tcW w:w="4644" w:type="dxa"/>
            <w:tcBorders>
              <w:top w:val="single" w:sz="2" w:space="0" w:color="000000"/>
              <w:left w:val="single" w:sz="6" w:space="0" w:color="auto"/>
              <w:bottom w:val="single" w:sz="2" w:space="0" w:color="000000"/>
              <w:right w:val="single" w:sz="6" w:space="0" w:color="auto"/>
            </w:tcBorders>
            <w:vAlign w:val="center"/>
            <w:hideMark/>
          </w:tcPr>
          <w:p w:rsidR="005727C2" w:rsidRPr="00B60A41" w:rsidRDefault="005727C2" w:rsidP="00B17B10">
            <w:pPr>
              <w:spacing w:after="0" w:line="240" w:lineRule="auto"/>
              <w:jc w:val="both"/>
              <w:rPr>
                <w:i/>
                <w:sz w:val="28"/>
                <w:szCs w:val="28"/>
              </w:rPr>
            </w:pPr>
            <w:r w:rsidRPr="00B60A41">
              <w:rPr>
                <w:i/>
                <w:sz w:val="28"/>
                <w:szCs w:val="28"/>
              </w:rPr>
              <w:t>максимальной массой более 3,5 тонн, но не превышающей 12 тонн</w:t>
            </w:r>
          </w:p>
        </w:tc>
        <w:tc>
          <w:tcPr>
            <w:tcW w:w="1419" w:type="dxa"/>
            <w:tcBorders>
              <w:top w:val="single" w:sz="2" w:space="0" w:color="000000"/>
              <w:left w:val="single" w:sz="6" w:space="0" w:color="auto"/>
              <w:bottom w:val="single" w:sz="2" w:space="0" w:color="000000"/>
              <w:right w:val="single" w:sz="6" w:space="0" w:color="auto"/>
            </w:tcBorders>
            <w:vAlign w:val="center"/>
            <w:hideMark/>
          </w:tcPr>
          <w:p w:rsidR="005727C2" w:rsidRPr="00B60A41" w:rsidRDefault="005727C2" w:rsidP="00B17B10">
            <w:pPr>
              <w:spacing w:after="0" w:line="240" w:lineRule="auto"/>
              <w:jc w:val="center"/>
              <w:rPr>
                <w:sz w:val="28"/>
                <w:szCs w:val="28"/>
              </w:rPr>
            </w:pPr>
            <w:r w:rsidRPr="00B60A41">
              <w:rPr>
                <w:sz w:val="28"/>
                <w:szCs w:val="28"/>
              </w:rPr>
              <w:t>N2</w:t>
            </w:r>
          </w:p>
        </w:tc>
        <w:tc>
          <w:tcPr>
            <w:tcW w:w="2552" w:type="dxa"/>
            <w:tcBorders>
              <w:top w:val="single" w:sz="2" w:space="0" w:color="000000"/>
              <w:left w:val="single" w:sz="6" w:space="0" w:color="auto"/>
              <w:bottom w:val="single" w:sz="2" w:space="0" w:color="000000"/>
              <w:right w:val="single" w:sz="6" w:space="0" w:color="auto"/>
            </w:tcBorders>
            <w:vAlign w:val="center"/>
            <w:hideMark/>
          </w:tcPr>
          <w:p w:rsidR="005727C2" w:rsidRPr="00B60A41" w:rsidRDefault="005727C2" w:rsidP="00B17B10">
            <w:pPr>
              <w:spacing w:after="0" w:line="240" w:lineRule="auto"/>
              <w:jc w:val="center"/>
              <w:rPr>
                <w:sz w:val="28"/>
                <w:szCs w:val="28"/>
              </w:rPr>
            </w:pPr>
            <w:r w:rsidRPr="00B60A41">
              <w:rPr>
                <w:sz w:val="28"/>
                <w:szCs w:val="28"/>
              </w:rPr>
              <w:t>914</w:t>
            </w:r>
          </w:p>
        </w:tc>
      </w:tr>
      <w:tr w:rsidR="005727C2" w:rsidRPr="00B60A41" w:rsidTr="00B60A41">
        <w:trPr>
          <w:trHeight w:val="567"/>
          <w:jc w:val="center"/>
        </w:trPr>
        <w:tc>
          <w:tcPr>
            <w:tcW w:w="567" w:type="dxa"/>
            <w:vMerge/>
            <w:tcBorders>
              <w:top w:val="single" w:sz="2" w:space="0" w:color="000000"/>
              <w:left w:val="single" w:sz="6" w:space="0" w:color="auto"/>
              <w:bottom w:val="single" w:sz="2" w:space="0" w:color="000000"/>
              <w:right w:val="single" w:sz="6" w:space="0" w:color="auto"/>
            </w:tcBorders>
            <w:vAlign w:val="center"/>
            <w:hideMark/>
          </w:tcPr>
          <w:p w:rsidR="005727C2" w:rsidRPr="00B60A41" w:rsidRDefault="005727C2" w:rsidP="00B17B10">
            <w:pPr>
              <w:spacing w:after="0" w:line="240" w:lineRule="auto"/>
              <w:rPr>
                <w:sz w:val="28"/>
                <w:szCs w:val="28"/>
              </w:rPr>
            </w:pPr>
          </w:p>
        </w:tc>
        <w:tc>
          <w:tcPr>
            <w:tcW w:w="4644" w:type="dxa"/>
            <w:tcBorders>
              <w:top w:val="single" w:sz="2" w:space="0" w:color="000000"/>
              <w:left w:val="single" w:sz="6" w:space="0" w:color="auto"/>
              <w:bottom w:val="single" w:sz="2" w:space="0" w:color="000000"/>
              <w:right w:val="single" w:sz="6" w:space="0" w:color="auto"/>
            </w:tcBorders>
            <w:vAlign w:val="center"/>
            <w:hideMark/>
          </w:tcPr>
          <w:p w:rsidR="005727C2" w:rsidRPr="00B60A41" w:rsidRDefault="005727C2" w:rsidP="00B17B10">
            <w:pPr>
              <w:spacing w:after="0" w:line="240" w:lineRule="auto"/>
              <w:jc w:val="both"/>
              <w:rPr>
                <w:i/>
                <w:sz w:val="28"/>
                <w:szCs w:val="28"/>
              </w:rPr>
            </w:pPr>
            <w:r w:rsidRPr="00B60A41">
              <w:rPr>
                <w:i/>
                <w:sz w:val="28"/>
                <w:szCs w:val="28"/>
              </w:rPr>
              <w:t>максимальной массой более 12 тонн</w:t>
            </w:r>
          </w:p>
        </w:tc>
        <w:tc>
          <w:tcPr>
            <w:tcW w:w="1419" w:type="dxa"/>
            <w:tcBorders>
              <w:top w:val="single" w:sz="2" w:space="0" w:color="000000"/>
              <w:left w:val="single" w:sz="6" w:space="0" w:color="auto"/>
              <w:bottom w:val="single" w:sz="2" w:space="0" w:color="000000"/>
              <w:right w:val="single" w:sz="6" w:space="0" w:color="auto"/>
            </w:tcBorders>
            <w:vAlign w:val="center"/>
            <w:hideMark/>
          </w:tcPr>
          <w:p w:rsidR="005727C2" w:rsidRPr="00B60A41" w:rsidRDefault="005727C2" w:rsidP="00B17B10">
            <w:pPr>
              <w:spacing w:after="0" w:line="240" w:lineRule="auto"/>
              <w:jc w:val="center"/>
              <w:rPr>
                <w:sz w:val="28"/>
                <w:szCs w:val="28"/>
              </w:rPr>
            </w:pPr>
            <w:r w:rsidRPr="00B60A41">
              <w:rPr>
                <w:sz w:val="28"/>
                <w:szCs w:val="28"/>
              </w:rPr>
              <w:t>N3</w:t>
            </w:r>
          </w:p>
        </w:tc>
        <w:tc>
          <w:tcPr>
            <w:tcW w:w="2552" w:type="dxa"/>
            <w:tcBorders>
              <w:top w:val="single" w:sz="2" w:space="0" w:color="000000"/>
              <w:left w:val="single" w:sz="6" w:space="0" w:color="auto"/>
              <w:bottom w:val="single" w:sz="2" w:space="0" w:color="000000"/>
              <w:right w:val="single" w:sz="6" w:space="0" w:color="auto"/>
            </w:tcBorders>
            <w:vAlign w:val="center"/>
            <w:hideMark/>
          </w:tcPr>
          <w:p w:rsidR="005727C2" w:rsidRPr="00B60A41" w:rsidRDefault="005727C2" w:rsidP="00B17B10">
            <w:pPr>
              <w:spacing w:after="0" w:line="240" w:lineRule="auto"/>
              <w:jc w:val="center"/>
              <w:rPr>
                <w:sz w:val="28"/>
                <w:szCs w:val="28"/>
              </w:rPr>
            </w:pPr>
            <w:r w:rsidRPr="00B60A41">
              <w:rPr>
                <w:sz w:val="28"/>
                <w:szCs w:val="28"/>
              </w:rPr>
              <w:t>986</w:t>
            </w:r>
          </w:p>
        </w:tc>
      </w:tr>
      <w:tr w:rsidR="005727C2" w:rsidRPr="00B60A41" w:rsidTr="00B60A41">
        <w:trPr>
          <w:trHeight w:val="567"/>
          <w:jc w:val="center"/>
        </w:trPr>
        <w:tc>
          <w:tcPr>
            <w:tcW w:w="567" w:type="dxa"/>
            <w:tcBorders>
              <w:top w:val="single" w:sz="2" w:space="0" w:color="000000"/>
              <w:left w:val="single" w:sz="6" w:space="0" w:color="auto"/>
              <w:bottom w:val="single" w:sz="2" w:space="0" w:color="000000"/>
              <w:right w:val="single" w:sz="6" w:space="0" w:color="auto"/>
            </w:tcBorders>
            <w:vAlign w:val="center"/>
            <w:hideMark/>
          </w:tcPr>
          <w:p w:rsidR="005727C2" w:rsidRPr="00B60A41" w:rsidRDefault="005727C2" w:rsidP="00B17B10">
            <w:pPr>
              <w:spacing w:after="0" w:line="240" w:lineRule="auto"/>
              <w:jc w:val="center"/>
              <w:rPr>
                <w:sz w:val="28"/>
                <w:szCs w:val="28"/>
              </w:rPr>
            </w:pPr>
            <w:r w:rsidRPr="00B60A41">
              <w:rPr>
                <w:sz w:val="28"/>
                <w:szCs w:val="28"/>
              </w:rPr>
              <w:t>4.</w:t>
            </w:r>
          </w:p>
        </w:tc>
        <w:tc>
          <w:tcPr>
            <w:tcW w:w="4644" w:type="dxa"/>
            <w:tcBorders>
              <w:top w:val="single" w:sz="2" w:space="0" w:color="000000"/>
              <w:left w:val="single" w:sz="6" w:space="0" w:color="auto"/>
              <w:bottom w:val="single" w:sz="2" w:space="0" w:color="000000"/>
              <w:right w:val="single" w:sz="6" w:space="0" w:color="auto"/>
            </w:tcBorders>
            <w:vAlign w:val="center"/>
            <w:hideMark/>
          </w:tcPr>
          <w:p w:rsidR="005727C2" w:rsidRPr="003546B2" w:rsidRDefault="005727C2" w:rsidP="00B17B10">
            <w:pPr>
              <w:spacing w:after="0" w:line="240" w:lineRule="auto"/>
              <w:jc w:val="both"/>
              <w:rPr>
                <w:b/>
                <w:sz w:val="28"/>
                <w:szCs w:val="28"/>
              </w:rPr>
            </w:pPr>
            <w:r w:rsidRPr="003546B2">
              <w:rPr>
                <w:b/>
                <w:sz w:val="28"/>
                <w:szCs w:val="28"/>
              </w:rPr>
              <w:t>Прицепы, в том числе:</w:t>
            </w:r>
          </w:p>
        </w:tc>
        <w:tc>
          <w:tcPr>
            <w:tcW w:w="1419" w:type="dxa"/>
            <w:tcBorders>
              <w:top w:val="single" w:sz="2" w:space="0" w:color="000000"/>
              <w:left w:val="single" w:sz="6" w:space="0" w:color="auto"/>
              <w:bottom w:val="single" w:sz="2" w:space="0" w:color="000000"/>
              <w:right w:val="single" w:sz="6" w:space="0" w:color="auto"/>
            </w:tcBorders>
            <w:vAlign w:val="center"/>
          </w:tcPr>
          <w:p w:rsidR="005727C2" w:rsidRPr="00B60A41" w:rsidRDefault="005727C2" w:rsidP="00B17B10">
            <w:pPr>
              <w:spacing w:after="0" w:line="240" w:lineRule="auto"/>
              <w:jc w:val="center"/>
              <w:rPr>
                <w:sz w:val="28"/>
                <w:szCs w:val="28"/>
              </w:rPr>
            </w:pPr>
          </w:p>
        </w:tc>
        <w:tc>
          <w:tcPr>
            <w:tcW w:w="2552" w:type="dxa"/>
            <w:tcBorders>
              <w:top w:val="single" w:sz="2" w:space="0" w:color="000000"/>
              <w:left w:val="single" w:sz="6" w:space="0" w:color="auto"/>
              <w:bottom w:val="single" w:sz="2" w:space="0" w:color="000000"/>
              <w:right w:val="single" w:sz="6" w:space="0" w:color="auto"/>
            </w:tcBorders>
            <w:vAlign w:val="center"/>
          </w:tcPr>
          <w:p w:rsidR="005727C2" w:rsidRPr="00B60A41" w:rsidRDefault="005727C2" w:rsidP="00B17B10">
            <w:pPr>
              <w:spacing w:after="0" w:line="240" w:lineRule="auto"/>
              <w:jc w:val="center"/>
              <w:rPr>
                <w:sz w:val="28"/>
                <w:szCs w:val="28"/>
              </w:rPr>
            </w:pPr>
          </w:p>
        </w:tc>
      </w:tr>
      <w:tr w:rsidR="005727C2" w:rsidRPr="00B60A41" w:rsidTr="00B60A41">
        <w:trPr>
          <w:trHeight w:val="567"/>
          <w:jc w:val="center"/>
        </w:trPr>
        <w:tc>
          <w:tcPr>
            <w:tcW w:w="567" w:type="dxa"/>
            <w:vMerge w:val="restart"/>
            <w:tcBorders>
              <w:top w:val="single" w:sz="2" w:space="0" w:color="000000"/>
              <w:left w:val="single" w:sz="6" w:space="0" w:color="auto"/>
              <w:bottom w:val="single" w:sz="2" w:space="0" w:color="000000"/>
              <w:right w:val="single" w:sz="6" w:space="0" w:color="auto"/>
            </w:tcBorders>
            <w:vAlign w:val="center"/>
          </w:tcPr>
          <w:p w:rsidR="005727C2" w:rsidRPr="00B60A41" w:rsidRDefault="005727C2" w:rsidP="00B17B10">
            <w:pPr>
              <w:spacing w:after="0" w:line="240" w:lineRule="auto"/>
              <w:jc w:val="center"/>
              <w:rPr>
                <w:sz w:val="28"/>
                <w:szCs w:val="28"/>
              </w:rPr>
            </w:pPr>
          </w:p>
        </w:tc>
        <w:tc>
          <w:tcPr>
            <w:tcW w:w="4644" w:type="dxa"/>
            <w:tcBorders>
              <w:top w:val="single" w:sz="2" w:space="0" w:color="000000"/>
              <w:left w:val="single" w:sz="6" w:space="0" w:color="auto"/>
              <w:bottom w:val="single" w:sz="2" w:space="0" w:color="000000"/>
              <w:right w:val="single" w:sz="6" w:space="0" w:color="auto"/>
            </w:tcBorders>
            <w:vAlign w:val="center"/>
            <w:hideMark/>
          </w:tcPr>
          <w:p w:rsidR="005727C2" w:rsidRPr="00B60A41" w:rsidRDefault="005727C2" w:rsidP="00B17B10">
            <w:pPr>
              <w:spacing w:after="0" w:line="240" w:lineRule="auto"/>
              <w:jc w:val="both"/>
              <w:rPr>
                <w:i/>
                <w:sz w:val="28"/>
                <w:szCs w:val="28"/>
              </w:rPr>
            </w:pPr>
            <w:r w:rsidRPr="00B60A41">
              <w:rPr>
                <w:i/>
                <w:sz w:val="28"/>
                <w:szCs w:val="28"/>
              </w:rPr>
              <w:t>максимальной массой не более  0,75 тонн</w:t>
            </w:r>
          </w:p>
        </w:tc>
        <w:tc>
          <w:tcPr>
            <w:tcW w:w="1419" w:type="dxa"/>
            <w:tcBorders>
              <w:top w:val="single" w:sz="2" w:space="0" w:color="000000"/>
              <w:left w:val="single" w:sz="6" w:space="0" w:color="auto"/>
              <w:bottom w:val="single" w:sz="2" w:space="0" w:color="000000"/>
              <w:right w:val="single" w:sz="6" w:space="0" w:color="auto"/>
            </w:tcBorders>
            <w:vAlign w:val="center"/>
            <w:hideMark/>
          </w:tcPr>
          <w:p w:rsidR="005727C2" w:rsidRPr="00B60A41" w:rsidRDefault="005727C2" w:rsidP="00B17B10">
            <w:pPr>
              <w:spacing w:after="0" w:line="240" w:lineRule="auto"/>
              <w:jc w:val="center"/>
              <w:rPr>
                <w:sz w:val="28"/>
                <w:szCs w:val="28"/>
              </w:rPr>
            </w:pPr>
            <w:r w:rsidRPr="00B60A41">
              <w:rPr>
                <w:sz w:val="28"/>
                <w:szCs w:val="28"/>
              </w:rPr>
              <w:t>O1</w:t>
            </w:r>
          </w:p>
        </w:tc>
        <w:tc>
          <w:tcPr>
            <w:tcW w:w="2552" w:type="dxa"/>
            <w:tcBorders>
              <w:top w:val="single" w:sz="2" w:space="0" w:color="000000"/>
              <w:left w:val="single" w:sz="6" w:space="0" w:color="auto"/>
              <w:bottom w:val="single" w:sz="2" w:space="0" w:color="000000"/>
              <w:right w:val="single" w:sz="6" w:space="0" w:color="auto"/>
            </w:tcBorders>
            <w:vAlign w:val="center"/>
            <w:hideMark/>
          </w:tcPr>
          <w:p w:rsidR="005727C2" w:rsidRPr="00B60A41" w:rsidRDefault="005727C2" w:rsidP="00B17B10">
            <w:pPr>
              <w:spacing w:after="0" w:line="240" w:lineRule="auto"/>
              <w:jc w:val="center"/>
              <w:rPr>
                <w:sz w:val="28"/>
                <w:szCs w:val="28"/>
              </w:rPr>
            </w:pPr>
            <w:r w:rsidRPr="00B60A41">
              <w:rPr>
                <w:sz w:val="28"/>
                <w:szCs w:val="28"/>
              </w:rPr>
              <w:t>363</w:t>
            </w:r>
          </w:p>
        </w:tc>
      </w:tr>
      <w:tr w:rsidR="005727C2" w:rsidRPr="00B60A41" w:rsidTr="00B60A41">
        <w:trPr>
          <w:trHeight w:val="567"/>
          <w:jc w:val="center"/>
        </w:trPr>
        <w:tc>
          <w:tcPr>
            <w:tcW w:w="567" w:type="dxa"/>
            <w:vMerge/>
            <w:tcBorders>
              <w:top w:val="single" w:sz="2" w:space="0" w:color="000000"/>
              <w:left w:val="single" w:sz="6" w:space="0" w:color="auto"/>
              <w:bottom w:val="single" w:sz="2" w:space="0" w:color="000000"/>
              <w:right w:val="single" w:sz="6" w:space="0" w:color="auto"/>
            </w:tcBorders>
            <w:vAlign w:val="center"/>
            <w:hideMark/>
          </w:tcPr>
          <w:p w:rsidR="005727C2" w:rsidRPr="00B60A41" w:rsidRDefault="005727C2" w:rsidP="00B17B10">
            <w:pPr>
              <w:spacing w:after="0" w:line="240" w:lineRule="auto"/>
              <w:rPr>
                <w:sz w:val="28"/>
                <w:szCs w:val="28"/>
              </w:rPr>
            </w:pPr>
          </w:p>
        </w:tc>
        <w:tc>
          <w:tcPr>
            <w:tcW w:w="4644" w:type="dxa"/>
            <w:tcBorders>
              <w:top w:val="single" w:sz="2" w:space="0" w:color="000000"/>
              <w:left w:val="single" w:sz="6" w:space="0" w:color="auto"/>
              <w:bottom w:val="single" w:sz="2" w:space="0" w:color="000000"/>
              <w:right w:val="single" w:sz="6" w:space="0" w:color="auto"/>
            </w:tcBorders>
            <w:vAlign w:val="center"/>
            <w:hideMark/>
          </w:tcPr>
          <w:p w:rsidR="005727C2" w:rsidRPr="00B60A41" w:rsidRDefault="005727C2" w:rsidP="00B17B10">
            <w:pPr>
              <w:spacing w:after="0" w:line="240" w:lineRule="auto"/>
              <w:jc w:val="both"/>
              <w:rPr>
                <w:i/>
                <w:sz w:val="28"/>
                <w:szCs w:val="28"/>
              </w:rPr>
            </w:pPr>
            <w:r w:rsidRPr="00B60A41">
              <w:rPr>
                <w:i/>
                <w:sz w:val="28"/>
                <w:szCs w:val="28"/>
              </w:rPr>
              <w:t>максимальной массой более 0,75 тонн, но не превышающей 3,5 тонн</w:t>
            </w:r>
          </w:p>
        </w:tc>
        <w:tc>
          <w:tcPr>
            <w:tcW w:w="1419" w:type="dxa"/>
            <w:tcBorders>
              <w:top w:val="single" w:sz="2" w:space="0" w:color="000000"/>
              <w:left w:val="single" w:sz="6" w:space="0" w:color="auto"/>
              <w:bottom w:val="single" w:sz="2" w:space="0" w:color="000000"/>
              <w:right w:val="single" w:sz="6" w:space="0" w:color="auto"/>
            </w:tcBorders>
            <w:vAlign w:val="center"/>
            <w:hideMark/>
          </w:tcPr>
          <w:p w:rsidR="005727C2" w:rsidRPr="00B60A41" w:rsidRDefault="005727C2" w:rsidP="00B17B10">
            <w:pPr>
              <w:spacing w:after="0" w:line="240" w:lineRule="auto"/>
              <w:jc w:val="center"/>
              <w:rPr>
                <w:sz w:val="28"/>
                <w:szCs w:val="28"/>
              </w:rPr>
            </w:pPr>
            <w:r w:rsidRPr="00B60A41">
              <w:rPr>
                <w:sz w:val="28"/>
                <w:szCs w:val="28"/>
              </w:rPr>
              <w:t>O2</w:t>
            </w:r>
          </w:p>
        </w:tc>
        <w:tc>
          <w:tcPr>
            <w:tcW w:w="2552" w:type="dxa"/>
            <w:tcBorders>
              <w:top w:val="single" w:sz="2" w:space="0" w:color="000000"/>
              <w:left w:val="single" w:sz="6" w:space="0" w:color="auto"/>
              <w:bottom w:val="single" w:sz="2" w:space="0" w:color="000000"/>
              <w:right w:val="single" w:sz="6" w:space="0" w:color="auto"/>
            </w:tcBorders>
            <w:vAlign w:val="center"/>
            <w:hideMark/>
          </w:tcPr>
          <w:p w:rsidR="005727C2" w:rsidRPr="00B60A41" w:rsidRDefault="005727C2" w:rsidP="00B17B10">
            <w:pPr>
              <w:spacing w:after="0" w:line="240" w:lineRule="auto"/>
              <w:jc w:val="center"/>
              <w:rPr>
                <w:sz w:val="28"/>
                <w:szCs w:val="28"/>
              </w:rPr>
            </w:pPr>
            <w:r w:rsidRPr="00B60A41">
              <w:rPr>
                <w:sz w:val="28"/>
                <w:szCs w:val="28"/>
              </w:rPr>
              <w:t>363</w:t>
            </w:r>
          </w:p>
        </w:tc>
      </w:tr>
      <w:tr w:rsidR="005727C2" w:rsidRPr="00B60A41" w:rsidTr="00B60A41">
        <w:trPr>
          <w:trHeight w:val="567"/>
          <w:jc w:val="center"/>
        </w:trPr>
        <w:tc>
          <w:tcPr>
            <w:tcW w:w="567" w:type="dxa"/>
            <w:vMerge/>
            <w:tcBorders>
              <w:top w:val="single" w:sz="2" w:space="0" w:color="000000"/>
              <w:left w:val="single" w:sz="6" w:space="0" w:color="auto"/>
              <w:bottom w:val="single" w:sz="2" w:space="0" w:color="000000"/>
              <w:right w:val="single" w:sz="6" w:space="0" w:color="auto"/>
            </w:tcBorders>
            <w:vAlign w:val="center"/>
            <w:hideMark/>
          </w:tcPr>
          <w:p w:rsidR="005727C2" w:rsidRPr="00B60A41" w:rsidRDefault="005727C2" w:rsidP="00B17B10">
            <w:pPr>
              <w:spacing w:after="0" w:line="240" w:lineRule="auto"/>
              <w:rPr>
                <w:sz w:val="28"/>
                <w:szCs w:val="28"/>
              </w:rPr>
            </w:pPr>
          </w:p>
        </w:tc>
        <w:tc>
          <w:tcPr>
            <w:tcW w:w="4644" w:type="dxa"/>
            <w:tcBorders>
              <w:top w:val="single" w:sz="2" w:space="0" w:color="000000"/>
              <w:left w:val="single" w:sz="6" w:space="0" w:color="auto"/>
              <w:bottom w:val="single" w:sz="2" w:space="0" w:color="000000"/>
              <w:right w:val="single" w:sz="6" w:space="0" w:color="auto"/>
            </w:tcBorders>
            <w:vAlign w:val="center"/>
            <w:hideMark/>
          </w:tcPr>
          <w:p w:rsidR="005727C2" w:rsidRPr="00B60A41" w:rsidRDefault="005727C2" w:rsidP="00B17B10">
            <w:pPr>
              <w:spacing w:after="0" w:line="240" w:lineRule="auto"/>
              <w:jc w:val="both"/>
              <w:rPr>
                <w:i/>
                <w:sz w:val="28"/>
                <w:szCs w:val="28"/>
              </w:rPr>
            </w:pPr>
            <w:r w:rsidRPr="00B60A41">
              <w:rPr>
                <w:i/>
                <w:sz w:val="28"/>
                <w:szCs w:val="28"/>
              </w:rPr>
              <w:t>максимальной массой  более 3,5 тонн, но не превышающей 10 тонн</w:t>
            </w:r>
          </w:p>
        </w:tc>
        <w:tc>
          <w:tcPr>
            <w:tcW w:w="1419" w:type="dxa"/>
            <w:tcBorders>
              <w:top w:val="single" w:sz="2" w:space="0" w:color="000000"/>
              <w:left w:val="single" w:sz="6" w:space="0" w:color="auto"/>
              <w:bottom w:val="single" w:sz="2" w:space="0" w:color="000000"/>
              <w:right w:val="single" w:sz="6" w:space="0" w:color="auto"/>
            </w:tcBorders>
            <w:vAlign w:val="center"/>
            <w:hideMark/>
          </w:tcPr>
          <w:p w:rsidR="005727C2" w:rsidRPr="00B60A41" w:rsidRDefault="005727C2" w:rsidP="00B17B10">
            <w:pPr>
              <w:spacing w:after="0" w:line="240" w:lineRule="auto"/>
              <w:jc w:val="center"/>
              <w:rPr>
                <w:sz w:val="28"/>
                <w:szCs w:val="28"/>
              </w:rPr>
            </w:pPr>
            <w:r w:rsidRPr="00B60A41">
              <w:rPr>
                <w:sz w:val="28"/>
                <w:szCs w:val="28"/>
              </w:rPr>
              <w:t>O3</w:t>
            </w:r>
          </w:p>
        </w:tc>
        <w:tc>
          <w:tcPr>
            <w:tcW w:w="2552" w:type="dxa"/>
            <w:tcBorders>
              <w:top w:val="single" w:sz="2" w:space="0" w:color="000000"/>
              <w:left w:val="single" w:sz="6" w:space="0" w:color="auto"/>
              <w:bottom w:val="single" w:sz="2" w:space="0" w:color="000000"/>
              <w:right w:val="single" w:sz="6" w:space="0" w:color="auto"/>
            </w:tcBorders>
            <w:vAlign w:val="center"/>
            <w:hideMark/>
          </w:tcPr>
          <w:p w:rsidR="005727C2" w:rsidRPr="00B60A41" w:rsidRDefault="005727C2" w:rsidP="00B17B10">
            <w:pPr>
              <w:spacing w:after="0" w:line="240" w:lineRule="auto"/>
              <w:jc w:val="center"/>
              <w:rPr>
                <w:sz w:val="28"/>
                <w:szCs w:val="28"/>
              </w:rPr>
            </w:pPr>
            <w:r w:rsidRPr="00B60A41">
              <w:rPr>
                <w:sz w:val="28"/>
                <w:szCs w:val="28"/>
              </w:rPr>
              <w:t>638</w:t>
            </w:r>
          </w:p>
        </w:tc>
      </w:tr>
      <w:tr w:rsidR="005727C2" w:rsidRPr="00B60A41" w:rsidTr="003546B2">
        <w:trPr>
          <w:trHeight w:val="335"/>
          <w:jc w:val="center"/>
        </w:trPr>
        <w:tc>
          <w:tcPr>
            <w:tcW w:w="567" w:type="dxa"/>
            <w:vMerge/>
            <w:tcBorders>
              <w:top w:val="single" w:sz="2" w:space="0" w:color="000000"/>
              <w:left w:val="single" w:sz="6" w:space="0" w:color="auto"/>
              <w:bottom w:val="single" w:sz="2" w:space="0" w:color="000000"/>
              <w:right w:val="single" w:sz="6" w:space="0" w:color="auto"/>
            </w:tcBorders>
            <w:vAlign w:val="center"/>
            <w:hideMark/>
          </w:tcPr>
          <w:p w:rsidR="005727C2" w:rsidRPr="00B60A41" w:rsidRDefault="005727C2" w:rsidP="00B17B10">
            <w:pPr>
              <w:spacing w:after="0" w:line="240" w:lineRule="auto"/>
              <w:rPr>
                <w:sz w:val="28"/>
                <w:szCs w:val="28"/>
              </w:rPr>
            </w:pPr>
          </w:p>
        </w:tc>
        <w:tc>
          <w:tcPr>
            <w:tcW w:w="4644" w:type="dxa"/>
            <w:tcBorders>
              <w:top w:val="single" w:sz="2" w:space="0" w:color="000000"/>
              <w:left w:val="single" w:sz="6" w:space="0" w:color="auto"/>
              <w:bottom w:val="single" w:sz="2" w:space="0" w:color="000000"/>
              <w:right w:val="single" w:sz="6" w:space="0" w:color="auto"/>
            </w:tcBorders>
            <w:hideMark/>
          </w:tcPr>
          <w:p w:rsidR="005727C2" w:rsidRPr="00B60A41" w:rsidRDefault="00B60A41" w:rsidP="00B17B10">
            <w:pPr>
              <w:spacing w:after="0" w:line="240" w:lineRule="auto"/>
              <w:jc w:val="both"/>
              <w:rPr>
                <w:b/>
                <w:bCs/>
                <w:i/>
                <w:sz w:val="28"/>
                <w:szCs w:val="28"/>
              </w:rPr>
            </w:pPr>
            <w:r w:rsidRPr="003546B2">
              <w:rPr>
                <w:i/>
                <w:sz w:val="28"/>
                <w:szCs w:val="28"/>
              </w:rPr>
              <w:t>максимальной массой  более 10 тонн</w:t>
            </w:r>
          </w:p>
        </w:tc>
        <w:tc>
          <w:tcPr>
            <w:tcW w:w="1419" w:type="dxa"/>
            <w:tcBorders>
              <w:top w:val="single" w:sz="2" w:space="0" w:color="000000"/>
              <w:left w:val="single" w:sz="6" w:space="0" w:color="auto"/>
              <w:bottom w:val="single" w:sz="2" w:space="0" w:color="000000"/>
              <w:right w:val="single" w:sz="6" w:space="0" w:color="auto"/>
            </w:tcBorders>
            <w:hideMark/>
          </w:tcPr>
          <w:p w:rsidR="005727C2" w:rsidRPr="00B60A41" w:rsidRDefault="005727C2" w:rsidP="00B17B10">
            <w:pPr>
              <w:spacing w:after="0" w:line="240" w:lineRule="auto"/>
              <w:jc w:val="center"/>
              <w:rPr>
                <w:sz w:val="28"/>
                <w:szCs w:val="28"/>
              </w:rPr>
            </w:pPr>
            <w:r w:rsidRPr="00B60A41">
              <w:rPr>
                <w:sz w:val="28"/>
                <w:szCs w:val="28"/>
              </w:rPr>
              <w:t>O4</w:t>
            </w:r>
          </w:p>
        </w:tc>
        <w:tc>
          <w:tcPr>
            <w:tcW w:w="2552" w:type="dxa"/>
            <w:tcBorders>
              <w:top w:val="single" w:sz="2" w:space="0" w:color="000000"/>
              <w:left w:val="single" w:sz="6" w:space="0" w:color="auto"/>
              <w:bottom w:val="single" w:sz="2" w:space="0" w:color="000000"/>
              <w:right w:val="single" w:sz="6" w:space="0" w:color="auto"/>
            </w:tcBorders>
            <w:hideMark/>
          </w:tcPr>
          <w:p w:rsidR="005727C2" w:rsidRPr="00B60A41" w:rsidRDefault="005727C2" w:rsidP="00B17B10">
            <w:pPr>
              <w:spacing w:after="0" w:line="240" w:lineRule="auto"/>
              <w:jc w:val="center"/>
              <w:rPr>
                <w:sz w:val="28"/>
                <w:szCs w:val="28"/>
              </w:rPr>
            </w:pPr>
            <w:r w:rsidRPr="00B60A41">
              <w:rPr>
                <w:sz w:val="28"/>
                <w:szCs w:val="28"/>
              </w:rPr>
              <w:t>638</w:t>
            </w:r>
          </w:p>
        </w:tc>
      </w:tr>
      <w:tr w:rsidR="005727C2" w:rsidRPr="00B60A41" w:rsidTr="00B60A41">
        <w:trPr>
          <w:trHeight w:val="567"/>
          <w:jc w:val="center"/>
        </w:trPr>
        <w:tc>
          <w:tcPr>
            <w:tcW w:w="567" w:type="dxa"/>
            <w:tcBorders>
              <w:top w:val="single" w:sz="2" w:space="0" w:color="000000"/>
              <w:left w:val="single" w:sz="6" w:space="0" w:color="auto"/>
              <w:bottom w:val="single" w:sz="2" w:space="0" w:color="000000"/>
              <w:right w:val="single" w:sz="6" w:space="0" w:color="auto"/>
            </w:tcBorders>
            <w:vAlign w:val="center"/>
            <w:hideMark/>
          </w:tcPr>
          <w:p w:rsidR="005727C2" w:rsidRPr="00B60A41" w:rsidRDefault="005727C2" w:rsidP="00B17B10">
            <w:pPr>
              <w:spacing w:after="0" w:line="240" w:lineRule="auto"/>
              <w:jc w:val="center"/>
              <w:rPr>
                <w:sz w:val="28"/>
                <w:szCs w:val="28"/>
              </w:rPr>
            </w:pPr>
            <w:r w:rsidRPr="00B60A41">
              <w:rPr>
                <w:sz w:val="28"/>
                <w:szCs w:val="28"/>
              </w:rPr>
              <w:t>5.</w:t>
            </w:r>
          </w:p>
        </w:tc>
        <w:tc>
          <w:tcPr>
            <w:tcW w:w="4644" w:type="dxa"/>
            <w:tcBorders>
              <w:top w:val="single" w:sz="2" w:space="0" w:color="000000"/>
              <w:left w:val="single" w:sz="6" w:space="0" w:color="auto"/>
              <w:bottom w:val="single" w:sz="2" w:space="0" w:color="000000"/>
              <w:right w:val="single" w:sz="6" w:space="0" w:color="auto"/>
            </w:tcBorders>
            <w:hideMark/>
          </w:tcPr>
          <w:p w:rsidR="005727C2" w:rsidRPr="003546B2" w:rsidRDefault="005727C2" w:rsidP="00B17B10">
            <w:pPr>
              <w:spacing w:after="0" w:line="240" w:lineRule="auto"/>
              <w:rPr>
                <w:b/>
                <w:bCs/>
                <w:sz w:val="28"/>
                <w:szCs w:val="28"/>
              </w:rPr>
            </w:pPr>
            <w:r w:rsidRPr="003546B2">
              <w:rPr>
                <w:b/>
                <w:sz w:val="28"/>
                <w:szCs w:val="28"/>
              </w:rPr>
              <w:t>Полуприцепы, в том числе:</w:t>
            </w:r>
          </w:p>
        </w:tc>
        <w:tc>
          <w:tcPr>
            <w:tcW w:w="1419" w:type="dxa"/>
            <w:tcBorders>
              <w:top w:val="single" w:sz="2" w:space="0" w:color="000000"/>
              <w:left w:val="single" w:sz="6" w:space="0" w:color="auto"/>
              <w:bottom w:val="single" w:sz="2" w:space="0" w:color="000000"/>
              <w:right w:val="single" w:sz="6" w:space="0" w:color="auto"/>
            </w:tcBorders>
            <w:vAlign w:val="center"/>
          </w:tcPr>
          <w:p w:rsidR="005727C2" w:rsidRPr="00B60A41" w:rsidRDefault="005727C2" w:rsidP="00B17B10">
            <w:pPr>
              <w:spacing w:after="0" w:line="240" w:lineRule="auto"/>
              <w:jc w:val="center"/>
              <w:rPr>
                <w:sz w:val="28"/>
                <w:szCs w:val="28"/>
              </w:rPr>
            </w:pPr>
          </w:p>
        </w:tc>
        <w:tc>
          <w:tcPr>
            <w:tcW w:w="2552" w:type="dxa"/>
            <w:tcBorders>
              <w:top w:val="single" w:sz="2" w:space="0" w:color="000000"/>
              <w:left w:val="single" w:sz="6" w:space="0" w:color="auto"/>
              <w:bottom w:val="single" w:sz="2" w:space="0" w:color="000000"/>
              <w:right w:val="single" w:sz="6" w:space="0" w:color="auto"/>
            </w:tcBorders>
            <w:vAlign w:val="center"/>
          </w:tcPr>
          <w:p w:rsidR="005727C2" w:rsidRPr="00B60A41" w:rsidRDefault="005727C2" w:rsidP="00B17B10">
            <w:pPr>
              <w:spacing w:after="0" w:line="240" w:lineRule="auto"/>
              <w:jc w:val="center"/>
              <w:rPr>
                <w:sz w:val="28"/>
                <w:szCs w:val="28"/>
              </w:rPr>
            </w:pPr>
          </w:p>
        </w:tc>
      </w:tr>
      <w:tr w:rsidR="003546B2" w:rsidRPr="00B60A41" w:rsidTr="003546B2">
        <w:trPr>
          <w:trHeight w:val="567"/>
          <w:jc w:val="center"/>
        </w:trPr>
        <w:tc>
          <w:tcPr>
            <w:tcW w:w="567" w:type="dxa"/>
            <w:vMerge w:val="restart"/>
            <w:tcBorders>
              <w:top w:val="single" w:sz="2" w:space="0" w:color="000000"/>
              <w:left w:val="single" w:sz="6" w:space="0" w:color="auto"/>
              <w:bottom w:val="single" w:sz="2" w:space="0" w:color="000000"/>
              <w:right w:val="single" w:sz="6" w:space="0" w:color="auto"/>
            </w:tcBorders>
            <w:vAlign w:val="center"/>
          </w:tcPr>
          <w:p w:rsidR="003546B2" w:rsidRPr="00B60A41" w:rsidRDefault="003546B2" w:rsidP="00B17B10">
            <w:pPr>
              <w:spacing w:after="0" w:line="240" w:lineRule="auto"/>
              <w:jc w:val="center"/>
              <w:rPr>
                <w:sz w:val="28"/>
                <w:szCs w:val="28"/>
              </w:rPr>
            </w:pPr>
          </w:p>
        </w:tc>
        <w:tc>
          <w:tcPr>
            <w:tcW w:w="4644" w:type="dxa"/>
            <w:tcBorders>
              <w:top w:val="single" w:sz="2" w:space="0" w:color="000000"/>
              <w:left w:val="single" w:sz="6" w:space="0" w:color="auto"/>
              <w:bottom w:val="single" w:sz="2" w:space="0" w:color="000000"/>
              <w:right w:val="single" w:sz="6" w:space="0" w:color="auto"/>
            </w:tcBorders>
            <w:hideMark/>
          </w:tcPr>
          <w:p w:rsidR="003546B2" w:rsidRPr="003546B2" w:rsidRDefault="003546B2" w:rsidP="00B17B10">
            <w:pPr>
              <w:spacing w:after="0" w:line="240" w:lineRule="auto"/>
              <w:jc w:val="both"/>
              <w:rPr>
                <w:i/>
                <w:sz w:val="28"/>
                <w:szCs w:val="28"/>
              </w:rPr>
            </w:pPr>
            <w:r w:rsidRPr="003546B2">
              <w:rPr>
                <w:i/>
                <w:sz w:val="28"/>
                <w:szCs w:val="28"/>
              </w:rPr>
              <w:t>максимальной массой не более  0,75 тонн</w:t>
            </w:r>
          </w:p>
        </w:tc>
        <w:tc>
          <w:tcPr>
            <w:tcW w:w="1419" w:type="dxa"/>
            <w:tcBorders>
              <w:top w:val="single" w:sz="2" w:space="0" w:color="000000"/>
              <w:left w:val="single" w:sz="6" w:space="0" w:color="auto"/>
              <w:bottom w:val="single" w:sz="2" w:space="0" w:color="000000"/>
              <w:right w:val="single" w:sz="6" w:space="0" w:color="auto"/>
            </w:tcBorders>
          </w:tcPr>
          <w:p w:rsidR="003546B2" w:rsidRPr="00B60A41" w:rsidRDefault="003546B2" w:rsidP="00B17B10">
            <w:pPr>
              <w:spacing w:after="0" w:line="240" w:lineRule="auto"/>
              <w:jc w:val="center"/>
              <w:rPr>
                <w:sz w:val="28"/>
                <w:szCs w:val="28"/>
              </w:rPr>
            </w:pPr>
            <w:r w:rsidRPr="00B60A41">
              <w:rPr>
                <w:sz w:val="28"/>
                <w:szCs w:val="28"/>
              </w:rPr>
              <w:t>O1</w:t>
            </w:r>
          </w:p>
        </w:tc>
        <w:tc>
          <w:tcPr>
            <w:tcW w:w="2552" w:type="dxa"/>
            <w:tcBorders>
              <w:top w:val="single" w:sz="2" w:space="0" w:color="000000"/>
              <w:left w:val="single" w:sz="6" w:space="0" w:color="auto"/>
              <w:bottom w:val="single" w:sz="2" w:space="0" w:color="000000"/>
              <w:right w:val="single" w:sz="6" w:space="0" w:color="auto"/>
            </w:tcBorders>
          </w:tcPr>
          <w:p w:rsidR="003546B2" w:rsidRPr="00B60A41" w:rsidRDefault="003546B2" w:rsidP="00B17B10">
            <w:pPr>
              <w:spacing w:after="0" w:line="240" w:lineRule="auto"/>
              <w:jc w:val="center"/>
              <w:rPr>
                <w:sz w:val="28"/>
                <w:szCs w:val="28"/>
              </w:rPr>
            </w:pPr>
            <w:r w:rsidRPr="00B60A41">
              <w:rPr>
                <w:sz w:val="28"/>
                <w:szCs w:val="28"/>
              </w:rPr>
              <w:t>363</w:t>
            </w:r>
          </w:p>
        </w:tc>
      </w:tr>
      <w:tr w:rsidR="003546B2" w:rsidRPr="00B60A41" w:rsidTr="003546B2">
        <w:trPr>
          <w:trHeight w:val="567"/>
          <w:jc w:val="center"/>
        </w:trPr>
        <w:tc>
          <w:tcPr>
            <w:tcW w:w="567" w:type="dxa"/>
            <w:vMerge/>
            <w:tcBorders>
              <w:top w:val="single" w:sz="2" w:space="0" w:color="000000"/>
              <w:left w:val="single" w:sz="6" w:space="0" w:color="auto"/>
              <w:bottom w:val="single" w:sz="2" w:space="0" w:color="000000"/>
              <w:right w:val="single" w:sz="6" w:space="0" w:color="auto"/>
            </w:tcBorders>
            <w:vAlign w:val="center"/>
            <w:hideMark/>
          </w:tcPr>
          <w:p w:rsidR="003546B2" w:rsidRPr="00B60A41" w:rsidRDefault="003546B2" w:rsidP="00B17B10">
            <w:pPr>
              <w:spacing w:after="0" w:line="240" w:lineRule="auto"/>
              <w:rPr>
                <w:sz w:val="28"/>
                <w:szCs w:val="28"/>
              </w:rPr>
            </w:pPr>
          </w:p>
        </w:tc>
        <w:tc>
          <w:tcPr>
            <w:tcW w:w="4644" w:type="dxa"/>
            <w:tcBorders>
              <w:top w:val="single" w:sz="2" w:space="0" w:color="000000"/>
              <w:left w:val="single" w:sz="6" w:space="0" w:color="auto"/>
              <w:bottom w:val="single" w:sz="2" w:space="0" w:color="000000"/>
              <w:right w:val="single" w:sz="6" w:space="0" w:color="auto"/>
            </w:tcBorders>
            <w:vAlign w:val="center"/>
            <w:hideMark/>
          </w:tcPr>
          <w:p w:rsidR="003546B2" w:rsidRPr="003546B2" w:rsidRDefault="003546B2" w:rsidP="00B17B10">
            <w:pPr>
              <w:spacing w:after="0" w:line="240" w:lineRule="auto"/>
              <w:jc w:val="both"/>
              <w:rPr>
                <w:i/>
                <w:sz w:val="28"/>
                <w:szCs w:val="28"/>
              </w:rPr>
            </w:pPr>
            <w:r w:rsidRPr="003546B2">
              <w:rPr>
                <w:i/>
                <w:sz w:val="28"/>
                <w:szCs w:val="28"/>
              </w:rPr>
              <w:t>максимальной массой более 0,75 тонн, но не превышающей 3,5 тонн</w:t>
            </w:r>
          </w:p>
        </w:tc>
        <w:tc>
          <w:tcPr>
            <w:tcW w:w="1419" w:type="dxa"/>
            <w:tcBorders>
              <w:top w:val="single" w:sz="2" w:space="0" w:color="000000"/>
              <w:left w:val="single" w:sz="6" w:space="0" w:color="auto"/>
              <w:bottom w:val="single" w:sz="2" w:space="0" w:color="000000"/>
              <w:right w:val="single" w:sz="6" w:space="0" w:color="auto"/>
            </w:tcBorders>
            <w:hideMark/>
          </w:tcPr>
          <w:p w:rsidR="003546B2" w:rsidRPr="003546B2" w:rsidRDefault="003546B2" w:rsidP="00B17B10">
            <w:pPr>
              <w:spacing w:after="0" w:line="240" w:lineRule="auto"/>
              <w:jc w:val="center"/>
              <w:rPr>
                <w:sz w:val="28"/>
                <w:szCs w:val="28"/>
              </w:rPr>
            </w:pPr>
            <w:r w:rsidRPr="003546B2">
              <w:rPr>
                <w:sz w:val="28"/>
                <w:szCs w:val="28"/>
              </w:rPr>
              <w:t>O2</w:t>
            </w:r>
          </w:p>
        </w:tc>
        <w:tc>
          <w:tcPr>
            <w:tcW w:w="2552" w:type="dxa"/>
            <w:tcBorders>
              <w:top w:val="single" w:sz="2" w:space="0" w:color="000000"/>
              <w:left w:val="single" w:sz="6" w:space="0" w:color="auto"/>
              <w:bottom w:val="single" w:sz="2" w:space="0" w:color="000000"/>
              <w:right w:val="single" w:sz="6" w:space="0" w:color="auto"/>
            </w:tcBorders>
            <w:hideMark/>
          </w:tcPr>
          <w:p w:rsidR="003546B2" w:rsidRPr="003546B2" w:rsidRDefault="003546B2" w:rsidP="00B17B10">
            <w:pPr>
              <w:spacing w:after="0" w:line="240" w:lineRule="auto"/>
              <w:jc w:val="center"/>
              <w:rPr>
                <w:sz w:val="28"/>
                <w:szCs w:val="28"/>
              </w:rPr>
            </w:pPr>
            <w:r w:rsidRPr="003546B2">
              <w:rPr>
                <w:sz w:val="28"/>
                <w:szCs w:val="28"/>
              </w:rPr>
              <w:t>363</w:t>
            </w:r>
          </w:p>
        </w:tc>
      </w:tr>
      <w:tr w:rsidR="003546B2" w:rsidRPr="00B60A41" w:rsidTr="00B60A41">
        <w:trPr>
          <w:trHeight w:val="567"/>
          <w:jc w:val="center"/>
        </w:trPr>
        <w:tc>
          <w:tcPr>
            <w:tcW w:w="567" w:type="dxa"/>
            <w:vMerge/>
            <w:tcBorders>
              <w:top w:val="single" w:sz="2" w:space="0" w:color="000000"/>
              <w:left w:val="single" w:sz="6" w:space="0" w:color="auto"/>
              <w:bottom w:val="single" w:sz="2" w:space="0" w:color="000000"/>
              <w:right w:val="single" w:sz="6" w:space="0" w:color="auto"/>
            </w:tcBorders>
            <w:vAlign w:val="center"/>
            <w:hideMark/>
          </w:tcPr>
          <w:p w:rsidR="003546B2" w:rsidRPr="00B60A41" w:rsidRDefault="003546B2" w:rsidP="00B17B10">
            <w:pPr>
              <w:spacing w:after="0" w:line="240" w:lineRule="auto"/>
              <w:rPr>
                <w:snapToGrid w:val="0"/>
                <w:spacing w:val="-20"/>
              </w:rPr>
            </w:pPr>
          </w:p>
        </w:tc>
        <w:tc>
          <w:tcPr>
            <w:tcW w:w="4644" w:type="dxa"/>
            <w:tcBorders>
              <w:top w:val="single" w:sz="2" w:space="0" w:color="000000"/>
              <w:left w:val="single" w:sz="6" w:space="0" w:color="auto"/>
              <w:bottom w:val="single" w:sz="2" w:space="0" w:color="000000"/>
              <w:right w:val="single" w:sz="6" w:space="0" w:color="auto"/>
            </w:tcBorders>
            <w:vAlign w:val="center"/>
            <w:hideMark/>
          </w:tcPr>
          <w:p w:rsidR="003546B2" w:rsidRPr="003546B2" w:rsidRDefault="003546B2" w:rsidP="00B17B10">
            <w:pPr>
              <w:spacing w:after="0" w:line="240" w:lineRule="auto"/>
              <w:jc w:val="both"/>
              <w:rPr>
                <w:i/>
                <w:sz w:val="28"/>
                <w:szCs w:val="28"/>
              </w:rPr>
            </w:pPr>
            <w:r w:rsidRPr="003546B2">
              <w:rPr>
                <w:i/>
                <w:sz w:val="28"/>
                <w:szCs w:val="28"/>
              </w:rPr>
              <w:t>максимальной массой  более 3,5 тонн, но не превышающей 10 тонн</w:t>
            </w:r>
          </w:p>
        </w:tc>
        <w:tc>
          <w:tcPr>
            <w:tcW w:w="1419" w:type="dxa"/>
            <w:tcBorders>
              <w:top w:val="single" w:sz="2" w:space="0" w:color="000000"/>
              <w:left w:val="single" w:sz="6" w:space="0" w:color="auto"/>
              <w:bottom w:val="single" w:sz="2" w:space="0" w:color="000000"/>
              <w:right w:val="single" w:sz="6" w:space="0" w:color="auto"/>
            </w:tcBorders>
            <w:vAlign w:val="center"/>
            <w:hideMark/>
          </w:tcPr>
          <w:p w:rsidR="003546B2" w:rsidRPr="003546B2" w:rsidRDefault="003546B2" w:rsidP="00B17B10">
            <w:pPr>
              <w:spacing w:after="0" w:line="240" w:lineRule="auto"/>
              <w:jc w:val="center"/>
              <w:rPr>
                <w:sz w:val="28"/>
                <w:szCs w:val="28"/>
              </w:rPr>
            </w:pPr>
            <w:r w:rsidRPr="003546B2">
              <w:rPr>
                <w:sz w:val="28"/>
                <w:szCs w:val="28"/>
              </w:rPr>
              <w:t>O3</w:t>
            </w:r>
          </w:p>
        </w:tc>
        <w:tc>
          <w:tcPr>
            <w:tcW w:w="2552" w:type="dxa"/>
            <w:tcBorders>
              <w:top w:val="single" w:sz="2" w:space="0" w:color="000000"/>
              <w:left w:val="single" w:sz="6" w:space="0" w:color="auto"/>
              <w:bottom w:val="single" w:sz="2" w:space="0" w:color="000000"/>
              <w:right w:val="single" w:sz="6" w:space="0" w:color="auto"/>
            </w:tcBorders>
            <w:vAlign w:val="center"/>
            <w:hideMark/>
          </w:tcPr>
          <w:p w:rsidR="003546B2" w:rsidRPr="003546B2" w:rsidRDefault="003546B2" w:rsidP="00B17B10">
            <w:pPr>
              <w:spacing w:after="0" w:line="240" w:lineRule="auto"/>
              <w:jc w:val="center"/>
              <w:rPr>
                <w:sz w:val="28"/>
                <w:szCs w:val="28"/>
              </w:rPr>
            </w:pPr>
            <w:r w:rsidRPr="003546B2">
              <w:rPr>
                <w:sz w:val="28"/>
                <w:szCs w:val="28"/>
              </w:rPr>
              <w:t>638</w:t>
            </w:r>
          </w:p>
        </w:tc>
      </w:tr>
      <w:tr w:rsidR="003546B2" w:rsidRPr="00B60A41" w:rsidTr="00B60A41">
        <w:trPr>
          <w:trHeight w:val="567"/>
          <w:jc w:val="center"/>
        </w:trPr>
        <w:tc>
          <w:tcPr>
            <w:tcW w:w="567" w:type="dxa"/>
            <w:vMerge/>
            <w:tcBorders>
              <w:top w:val="single" w:sz="2" w:space="0" w:color="000000"/>
              <w:left w:val="single" w:sz="6" w:space="0" w:color="auto"/>
              <w:bottom w:val="single" w:sz="2" w:space="0" w:color="000000"/>
              <w:right w:val="single" w:sz="6" w:space="0" w:color="auto"/>
            </w:tcBorders>
            <w:vAlign w:val="center"/>
            <w:hideMark/>
          </w:tcPr>
          <w:p w:rsidR="003546B2" w:rsidRPr="00B60A41" w:rsidRDefault="003546B2" w:rsidP="00B17B10">
            <w:pPr>
              <w:spacing w:after="0" w:line="240" w:lineRule="auto"/>
              <w:rPr>
                <w:snapToGrid w:val="0"/>
                <w:spacing w:val="-20"/>
              </w:rPr>
            </w:pPr>
          </w:p>
        </w:tc>
        <w:tc>
          <w:tcPr>
            <w:tcW w:w="4644" w:type="dxa"/>
            <w:tcBorders>
              <w:top w:val="single" w:sz="2" w:space="0" w:color="000000"/>
              <w:left w:val="single" w:sz="6" w:space="0" w:color="auto"/>
              <w:bottom w:val="single" w:sz="2" w:space="0" w:color="000000"/>
              <w:right w:val="single" w:sz="6" w:space="0" w:color="auto"/>
            </w:tcBorders>
            <w:vAlign w:val="center"/>
            <w:hideMark/>
          </w:tcPr>
          <w:p w:rsidR="003546B2" w:rsidRPr="003546B2" w:rsidRDefault="003546B2" w:rsidP="00B17B10">
            <w:pPr>
              <w:spacing w:after="0" w:line="240" w:lineRule="auto"/>
              <w:jc w:val="both"/>
              <w:rPr>
                <w:i/>
                <w:sz w:val="28"/>
                <w:szCs w:val="28"/>
              </w:rPr>
            </w:pPr>
            <w:r w:rsidRPr="003546B2">
              <w:rPr>
                <w:i/>
                <w:sz w:val="28"/>
                <w:szCs w:val="28"/>
              </w:rPr>
              <w:t>максимальной  массой  более 10 тонн</w:t>
            </w:r>
          </w:p>
        </w:tc>
        <w:tc>
          <w:tcPr>
            <w:tcW w:w="1419" w:type="dxa"/>
            <w:tcBorders>
              <w:top w:val="single" w:sz="2" w:space="0" w:color="000000"/>
              <w:left w:val="single" w:sz="6" w:space="0" w:color="auto"/>
              <w:bottom w:val="single" w:sz="2" w:space="0" w:color="000000"/>
              <w:right w:val="single" w:sz="6" w:space="0" w:color="auto"/>
            </w:tcBorders>
            <w:vAlign w:val="center"/>
            <w:hideMark/>
          </w:tcPr>
          <w:p w:rsidR="003546B2" w:rsidRPr="003546B2" w:rsidRDefault="003546B2" w:rsidP="00B17B10">
            <w:pPr>
              <w:spacing w:after="0" w:line="240" w:lineRule="auto"/>
              <w:jc w:val="center"/>
              <w:rPr>
                <w:sz w:val="28"/>
                <w:szCs w:val="28"/>
              </w:rPr>
            </w:pPr>
            <w:r w:rsidRPr="003546B2">
              <w:rPr>
                <w:sz w:val="28"/>
                <w:szCs w:val="28"/>
              </w:rPr>
              <w:t>O4</w:t>
            </w:r>
          </w:p>
        </w:tc>
        <w:tc>
          <w:tcPr>
            <w:tcW w:w="2552" w:type="dxa"/>
            <w:tcBorders>
              <w:top w:val="single" w:sz="2" w:space="0" w:color="000000"/>
              <w:left w:val="single" w:sz="6" w:space="0" w:color="auto"/>
              <w:bottom w:val="single" w:sz="2" w:space="0" w:color="000000"/>
              <w:right w:val="single" w:sz="6" w:space="0" w:color="auto"/>
            </w:tcBorders>
            <w:vAlign w:val="center"/>
            <w:hideMark/>
          </w:tcPr>
          <w:p w:rsidR="003546B2" w:rsidRPr="003546B2" w:rsidRDefault="003546B2" w:rsidP="00B17B10">
            <w:pPr>
              <w:spacing w:after="0" w:line="240" w:lineRule="auto"/>
              <w:jc w:val="center"/>
              <w:rPr>
                <w:sz w:val="28"/>
                <w:szCs w:val="28"/>
              </w:rPr>
            </w:pPr>
            <w:r w:rsidRPr="003546B2">
              <w:rPr>
                <w:sz w:val="28"/>
                <w:szCs w:val="28"/>
              </w:rPr>
              <w:t>638</w:t>
            </w:r>
          </w:p>
        </w:tc>
      </w:tr>
      <w:tr w:rsidR="003546B2" w:rsidRPr="00B60A41" w:rsidTr="00B60A41">
        <w:trPr>
          <w:trHeight w:val="567"/>
          <w:jc w:val="center"/>
        </w:trPr>
        <w:tc>
          <w:tcPr>
            <w:tcW w:w="567" w:type="dxa"/>
            <w:tcBorders>
              <w:top w:val="single" w:sz="2" w:space="0" w:color="000000"/>
              <w:left w:val="single" w:sz="6" w:space="0" w:color="auto"/>
              <w:bottom w:val="single" w:sz="2" w:space="0" w:color="000000"/>
              <w:right w:val="single" w:sz="6" w:space="0" w:color="auto"/>
            </w:tcBorders>
            <w:vAlign w:val="center"/>
            <w:hideMark/>
          </w:tcPr>
          <w:p w:rsidR="003546B2" w:rsidRPr="00B60A41" w:rsidRDefault="003546B2" w:rsidP="00B17B10">
            <w:pPr>
              <w:spacing w:after="0" w:line="240" w:lineRule="auto"/>
              <w:jc w:val="center"/>
              <w:rPr>
                <w:snapToGrid w:val="0"/>
                <w:spacing w:val="-20"/>
              </w:rPr>
            </w:pPr>
            <w:r w:rsidRPr="00B60A41">
              <w:rPr>
                <w:snapToGrid w:val="0"/>
                <w:spacing w:val="-20"/>
              </w:rPr>
              <w:t>6.</w:t>
            </w:r>
          </w:p>
        </w:tc>
        <w:tc>
          <w:tcPr>
            <w:tcW w:w="4644" w:type="dxa"/>
            <w:tcBorders>
              <w:top w:val="single" w:sz="2" w:space="0" w:color="000000"/>
              <w:left w:val="single" w:sz="6" w:space="0" w:color="auto"/>
              <w:bottom w:val="single" w:sz="2" w:space="0" w:color="000000"/>
              <w:right w:val="single" w:sz="6" w:space="0" w:color="auto"/>
            </w:tcBorders>
            <w:vAlign w:val="center"/>
            <w:hideMark/>
          </w:tcPr>
          <w:p w:rsidR="003546B2" w:rsidRPr="003546B2" w:rsidRDefault="003546B2" w:rsidP="00B17B10">
            <w:pPr>
              <w:spacing w:after="0" w:line="240" w:lineRule="auto"/>
              <w:jc w:val="both"/>
              <w:rPr>
                <w:b/>
                <w:i/>
                <w:sz w:val="28"/>
                <w:szCs w:val="28"/>
              </w:rPr>
            </w:pPr>
            <w:r w:rsidRPr="003546B2">
              <w:rPr>
                <w:b/>
                <w:i/>
                <w:sz w:val="28"/>
                <w:szCs w:val="28"/>
              </w:rPr>
              <w:t>Мотороллеры и мотоциклы</w:t>
            </w:r>
          </w:p>
        </w:tc>
        <w:tc>
          <w:tcPr>
            <w:tcW w:w="1419" w:type="dxa"/>
            <w:tcBorders>
              <w:top w:val="single" w:sz="2" w:space="0" w:color="000000"/>
              <w:left w:val="single" w:sz="6" w:space="0" w:color="auto"/>
              <w:bottom w:val="single" w:sz="2" w:space="0" w:color="000000"/>
              <w:right w:val="single" w:sz="6" w:space="0" w:color="auto"/>
            </w:tcBorders>
            <w:vAlign w:val="center"/>
            <w:hideMark/>
          </w:tcPr>
          <w:p w:rsidR="003546B2" w:rsidRPr="00B60A41" w:rsidRDefault="003546B2" w:rsidP="00B17B10">
            <w:pPr>
              <w:spacing w:after="0" w:line="240" w:lineRule="auto"/>
              <w:jc w:val="center"/>
              <w:rPr>
                <w:sz w:val="28"/>
                <w:szCs w:val="28"/>
              </w:rPr>
            </w:pPr>
            <w:r w:rsidRPr="00B60A41">
              <w:rPr>
                <w:sz w:val="28"/>
                <w:szCs w:val="28"/>
              </w:rPr>
              <w:t>L3</w:t>
            </w:r>
          </w:p>
        </w:tc>
        <w:tc>
          <w:tcPr>
            <w:tcW w:w="2552" w:type="dxa"/>
            <w:tcBorders>
              <w:top w:val="single" w:sz="2" w:space="0" w:color="000000"/>
              <w:left w:val="single" w:sz="6" w:space="0" w:color="auto"/>
              <w:bottom w:val="single" w:sz="2" w:space="0" w:color="000000"/>
              <w:right w:val="single" w:sz="6" w:space="0" w:color="auto"/>
            </w:tcBorders>
            <w:vAlign w:val="center"/>
            <w:hideMark/>
          </w:tcPr>
          <w:p w:rsidR="003546B2" w:rsidRPr="00B60A41" w:rsidRDefault="003546B2" w:rsidP="00B17B10">
            <w:pPr>
              <w:spacing w:after="0" w:line="240" w:lineRule="auto"/>
              <w:jc w:val="center"/>
              <w:rPr>
                <w:sz w:val="28"/>
                <w:szCs w:val="28"/>
              </w:rPr>
            </w:pPr>
            <w:r w:rsidRPr="00B60A41">
              <w:rPr>
                <w:sz w:val="28"/>
                <w:szCs w:val="28"/>
              </w:rPr>
              <w:t>145</w:t>
            </w:r>
          </w:p>
        </w:tc>
      </w:tr>
      <w:tr w:rsidR="003546B2" w:rsidRPr="00B60A41" w:rsidTr="00B60A41">
        <w:trPr>
          <w:trHeight w:val="567"/>
          <w:jc w:val="center"/>
        </w:trPr>
        <w:tc>
          <w:tcPr>
            <w:tcW w:w="567" w:type="dxa"/>
            <w:tcBorders>
              <w:top w:val="single" w:sz="2" w:space="0" w:color="000000"/>
              <w:left w:val="single" w:sz="6" w:space="0" w:color="auto"/>
              <w:bottom w:val="single" w:sz="2" w:space="0" w:color="000000"/>
              <w:right w:val="single" w:sz="6" w:space="0" w:color="auto"/>
            </w:tcBorders>
            <w:vAlign w:val="center"/>
            <w:hideMark/>
          </w:tcPr>
          <w:p w:rsidR="003546B2" w:rsidRPr="00B60A41" w:rsidRDefault="003546B2" w:rsidP="00B17B10">
            <w:pPr>
              <w:spacing w:after="0" w:line="240" w:lineRule="auto"/>
              <w:jc w:val="center"/>
              <w:rPr>
                <w:snapToGrid w:val="0"/>
                <w:spacing w:val="-20"/>
              </w:rPr>
            </w:pPr>
            <w:r w:rsidRPr="00B60A41">
              <w:rPr>
                <w:snapToGrid w:val="0"/>
                <w:spacing w:val="-20"/>
              </w:rPr>
              <w:t>7.</w:t>
            </w:r>
          </w:p>
        </w:tc>
        <w:tc>
          <w:tcPr>
            <w:tcW w:w="4644" w:type="dxa"/>
            <w:tcBorders>
              <w:top w:val="single" w:sz="2" w:space="0" w:color="000000"/>
              <w:left w:val="single" w:sz="6" w:space="0" w:color="auto"/>
              <w:bottom w:val="single" w:sz="2" w:space="0" w:color="000000"/>
              <w:right w:val="single" w:sz="6" w:space="0" w:color="auto"/>
            </w:tcBorders>
            <w:vAlign w:val="center"/>
            <w:hideMark/>
          </w:tcPr>
          <w:p w:rsidR="003546B2" w:rsidRPr="003546B2" w:rsidRDefault="003546B2" w:rsidP="00B17B10">
            <w:pPr>
              <w:spacing w:after="0" w:line="240" w:lineRule="auto"/>
              <w:jc w:val="both"/>
              <w:rPr>
                <w:b/>
                <w:i/>
                <w:sz w:val="28"/>
                <w:szCs w:val="28"/>
              </w:rPr>
            </w:pPr>
            <w:r w:rsidRPr="003546B2">
              <w:rPr>
                <w:b/>
                <w:i/>
                <w:sz w:val="28"/>
                <w:szCs w:val="28"/>
              </w:rPr>
              <w:t>Мотоциклы с коляской</w:t>
            </w:r>
          </w:p>
        </w:tc>
        <w:tc>
          <w:tcPr>
            <w:tcW w:w="1419" w:type="dxa"/>
            <w:tcBorders>
              <w:top w:val="single" w:sz="2" w:space="0" w:color="000000"/>
              <w:left w:val="single" w:sz="6" w:space="0" w:color="auto"/>
              <w:bottom w:val="single" w:sz="2" w:space="0" w:color="000000"/>
              <w:right w:val="single" w:sz="6" w:space="0" w:color="auto"/>
            </w:tcBorders>
            <w:vAlign w:val="center"/>
            <w:hideMark/>
          </w:tcPr>
          <w:p w:rsidR="003546B2" w:rsidRPr="00B60A41" w:rsidRDefault="003546B2" w:rsidP="00B17B10">
            <w:pPr>
              <w:spacing w:after="0" w:line="240" w:lineRule="auto"/>
              <w:jc w:val="center"/>
              <w:rPr>
                <w:sz w:val="28"/>
                <w:szCs w:val="28"/>
              </w:rPr>
            </w:pPr>
            <w:r w:rsidRPr="00B60A41">
              <w:rPr>
                <w:sz w:val="28"/>
                <w:szCs w:val="28"/>
              </w:rPr>
              <w:t>L4, L5</w:t>
            </w:r>
          </w:p>
        </w:tc>
        <w:tc>
          <w:tcPr>
            <w:tcW w:w="2552" w:type="dxa"/>
            <w:tcBorders>
              <w:top w:val="single" w:sz="2" w:space="0" w:color="000000"/>
              <w:left w:val="single" w:sz="6" w:space="0" w:color="auto"/>
              <w:bottom w:val="single" w:sz="2" w:space="0" w:color="000000"/>
              <w:right w:val="single" w:sz="6" w:space="0" w:color="auto"/>
            </w:tcBorders>
            <w:vAlign w:val="center"/>
            <w:hideMark/>
          </w:tcPr>
          <w:p w:rsidR="003546B2" w:rsidRPr="00B60A41" w:rsidRDefault="003546B2" w:rsidP="00B17B10">
            <w:pPr>
              <w:spacing w:after="0" w:line="240" w:lineRule="auto"/>
              <w:jc w:val="center"/>
              <w:rPr>
                <w:sz w:val="28"/>
                <w:szCs w:val="28"/>
              </w:rPr>
            </w:pPr>
            <w:r w:rsidRPr="00B60A41">
              <w:rPr>
                <w:sz w:val="28"/>
                <w:szCs w:val="28"/>
              </w:rPr>
              <w:t>145</w:t>
            </w:r>
          </w:p>
        </w:tc>
      </w:tr>
    </w:tbl>
    <w:p w:rsidR="005727C2" w:rsidRPr="003546B2" w:rsidRDefault="003546B2" w:rsidP="003546B2">
      <w:pPr>
        <w:pStyle w:val="a8"/>
        <w:tabs>
          <w:tab w:val="left" w:pos="708"/>
        </w:tabs>
        <w:jc w:val="both"/>
        <w:rPr>
          <w:rFonts w:eastAsia="MS Mincho"/>
          <w:sz w:val="28"/>
        </w:rPr>
      </w:pPr>
      <w:r>
        <w:rPr>
          <w:rFonts w:eastAsia="MS Mincho"/>
          <w:sz w:val="28"/>
          <w:szCs w:val="28"/>
        </w:rPr>
        <w:t xml:space="preserve">         </w:t>
      </w:r>
      <w:r w:rsidR="005727C2" w:rsidRPr="003546B2">
        <w:rPr>
          <w:rFonts w:eastAsia="MS Mincho"/>
          <w:sz w:val="28"/>
          <w:szCs w:val="28"/>
        </w:rPr>
        <w:t xml:space="preserve">С информацией по предельным размерам платы за проведение технического осмотра транспортных средств, установленным  постановлением Правительства Новосибирской области можно ознакомиться на официальном сайте департамента в информационно-телекоммуникационной сети «Интернет» </w:t>
      </w:r>
      <w:hyperlink r:id="rId93" w:history="1">
        <w:r w:rsidR="005727C2" w:rsidRPr="003546B2">
          <w:rPr>
            <w:rFonts w:eastAsia="MS Mincho"/>
            <w:sz w:val="28"/>
            <w:szCs w:val="28"/>
          </w:rPr>
          <w:t>https://tarif.nso.ru/page/97</w:t>
        </w:r>
      </w:hyperlink>
      <w:r w:rsidR="005727C2" w:rsidRPr="003546B2">
        <w:rPr>
          <w:rFonts w:eastAsia="MS Mincho"/>
          <w:sz w:val="28"/>
          <w:szCs w:val="28"/>
        </w:rPr>
        <w:t>.</w:t>
      </w:r>
    </w:p>
    <w:p w:rsidR="005727C2" w:rsidRPr="003546B2" w:rsidRDefault="003546B2" w:rsidP="00B17B10">
      <w:pPr>
        <w:pStyle w:val="3"/>
        <w:ind w:firstLine="567"/>
        <w:rPr>
          <w:sz w:val="32"/>
          <w:szCs w:val="32"/>
        </w:rPr>
      </w:pPr>
      <w:r w:rsidRPr="003546B2">
        <w:rPr>
          <w:sz w:val="32"/>
          <w:szCs w:val="32"/>
        </w:rPr>
        <w:t>2.</w:t>
      </w:r>
      <w:r w:rsidR="00B17B10">
        <w:rPr>
          <w:sz w:val="32"/>
          <w:szCs w:val="32"/>
        </w:rPr>
        <w:t>8</w:t>
      </w:r>
      <w:r w:rsidRPr="003546B2">
        <w:rPr>
          <w:sz w:val="32"/>
          <w:szCs w:val="32"/>
        </w:rPr>
        <w:t xml:space="preserve">. </w:t>
      </w:r>
      <w:r w:rsidR="005727C2" w:rsidRPr="003546B2">
        <w:rPr>
          <w:sz w:val="32"/>
          <w:szCs w:val="32"/>
        </w:rPr>
        <w:t>Тарифы на социальные услуги</w:t>
      </w:r>
    </w:p>
    <w:p w:rsidR="005727C2" w:rsidRDefault="005727C2" w:rsidP="003546B2">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Тарифы на социальные услуги, установленные приказом департамента от 29.12.2014 № 502-ТС «Об установлении предельных максимальных тарифов на социальные услуги, предоставляемые поставщиками социальных услуг получателям социальных услуг на территории Новосибирской области» в 2019 году не пересматривались.</w:t>
      </w:r>
    </w:p>
    <w:p w:rsidR="005727C2" w:rsidRDefault="005727C2" w:rsidP="003546B2">
      <w:pPr>
        <w:pStyle w:val="a8"/>
        <w:tabs>
          <w:tab w:val="left" w:pos="708"/>
        </w:tabs>
        <w:ind w:firstLine="709"/>
        <w:jc w:val="both"/>
        <w:rPr>
          <w:rFonts w:eastAsia="Calibri"/>
          <w:sz w:val="28"/>
          <w:szCs w:val="28"/>
          <w:lang w:eastAsia="en-US"/>
        </w:rPr>
      </w:pPr>
      <w:r w:rsidRPr="003546B2">
        <w:rPr>
          <w:rFonts w:eastAsia="Calibri"/>
          <w:sz w:val="28"/>
          <w:szCs w:val="28"/>
          <w:lang w:eastAsia="en-US"/>
        </w:rPr>
        <w:t xml:space="preserve">С информацией о тарифах на социальные услуги можно ознакомиться на официальном сайте департамента в информационно-телекоммуникационной сети «Интернет» </w:t>
      </w:r>
      <w:hyperlink r:id="rId94" w:history="1">
        <w:r w:rsidRPr="003546B2">
          <w:rPr>
            <w:rFonts w:eastAsia="Calibri"/>
            <w:sz w:val="28"/>
            <w:szCs w:val="28"/>
            <w:lang w:eastAsia="en-US"/>
          </w:rPr>
          <w:t>https://tarif.nso.ru/page/102</w:t>
        </w:r>
      </w:hyperlink>
      <w:r w:rsidRPr="003546B2">
        <w:rPr>
          <w:rFonts w:eastAsia="Calibri"/>
          <w:sz w:val="28"/>
          <w:szCs w:val="28"/>
          <w:lang w:eastAsia="en-US"/>
        </w:rPr>
        <w:t>.</w:t>
      </w:r>
    </w:p>
    <w:p w:rsidR="003546B2" w:rsidRPr="003546B2" w:rsidRDefault="003546B2" w:rsidP="003546B2">
      <w:pPr>
        <w:pStyle w:val="a8"/>
        <w:tabs>
          <w:tab w:val="left" w:pos="708"/>
        </w:tabs>
        <w:ind w:firstLine="709"/>
        <w:jc w:val="both"/>
        <w:rPr>
          <w:rFonts w:eastAsia="Calibri"/>
          <w:sz w:val="28"/>
          <w:lang w:eastAsia="en-US"/>
        </w:rPr>
      </w:pPr>
    </w:p>
    <w:p w:rsidR="003546B2" w:rsidRDefault="00B17B10" w:rsidP="0061749D">
      <w:pPr>
        <w:pStyle w:val="a3"/>
      </w:pPr>
      <w:r>
        <w:t xml:space="preserve">  </w:t>
      </w:r>
      <w:r w:rsidR="003546B2" w:rsidRPr="0061749D">
        <w:t>2.</w:t>
      </w:r>
      <w:r w:rsidRPr="0061749D">
        <w:t>8</w:t>
      </w:r>
      <w:r w:rsidR="003546B2" w:rsidRPr="0061749D">
        <w:t>.1. Размеры предельных оптовых и предельных розничных надбавок к фактическим отпускным ценам производителей на жизненно необходимые и важнейшие лекарственные препараты</w:t>
      </w:r>
    </w:p>
    <w:p w:rsidR="0061749D" w:rsidRPr="0061749D" w:rsidRDefault="0061749D" w:rsidP="0061749D">
      <w:pPr>
        <w:pStyle w:val="a3"/>
      </w:pPr>
    </w:p>
    <w:p w:rsidR="005727C2" w:rsidRDefault="005727C2" w:rsidP="008248F9">
      <w:pPr>
        <w:spacing w:line="240" w:lineRule="auto"/>
        <w:ind w:firstLine="709"/>
        <w:jc w:val="both"/>
        <w:rPr>
          <w:sz w:val="28"/>
          <w:szCs w:val="28"/>
        </w:rPr>
      </w:pPr>
      <w:r>
        <w:rPr>
          <w:sz w:val="28"/>
          <w:szCs w:val="28"/>
        </w:rPr>
        <w:t xml:space="preserve">Действующие на территории Новосибирской области в 2019 году предельные размеры оптовых надбавок и предельные размеры розничных надбавок к фактическим отпускным ценам, установленным производителями лекарственных препаратов, на лекарственные препараты, включенные в </w:t>
      </w:r>
      <w:r>
        <w:rPr>
          <w:sz w:val="28"/>
          <w:szCs w:val="28"/>
        </w:rPr>
        <w:lastRenderedPageBreak/>
        <w:t>перечень жизненно необходимых и важнейших лекарственных препаратов, были установлены постановлением Администрации Новосибирской области от 17.02.2010 № 57-па в следующих размерах:</w:t>
      </w:r>
    </w:p>
    <w:tbl>
      <w:tblPr>
        <w:tblW w:w="9347" w:type="dxa"/>
        <w:tblInd w:w="70" w:type="dxa"/>
        <w:tblCellMar>
          <w:left w:w="70" w:type="dxa"/>
          <w:right w:w="70" w:type="dxa"/>
        </w:tblCellMar>
        <w:tblLook w:val="04A0" w:firstRow="1" w:lastRow="0" w:firstColumn="1" w:lastColumn="0" w:noHBand="0" w:noVBand="1"/>
      </w:tblPr>
      <w:tblGrid>
        <w:gridCol w:w="502"/>
        <w:gridCol w:w="1911"/>
        <w:gridCol w:w="3399"/>
        <w:gridCol w:w="3535"/>
      </w:tblGrid>
      <w:tr w:rsidR="005727C2" w:rsidRPr="008248F9" w:rsidTr="008248F9">
        <w:trPr>
          <w:cantSplit/>
          <w:trHeight w:val="240"/>
        </w:trPr>
        <w:tc>
          <w:tcPr>
            <w:tcW w:w="0" w:type="auto"/>
            <w:tcBorders>
              <w:top w:val="single" w:sz="6" w:space="0" w:color="auto"/>
              <w:left w:val="single" w:sz="6" w:space="0" w:color="auto"/>
              <w:bottom w:val="single" w:sz="6" w:space="0" w:color="auto"/>
              <w:right w:val="single" w:sz="6" w:space="0" w:color="auto"/>
            </w:tcBorders>
            <w:hideMark/>
          </w:tcPr>
          <w:p w:rsidR="005727C2" w:rsidRPr="008248F9" w:rsidRDefault="005727C2" w:rsidP="008248F9">
            <w:pPr>
              <w:pStyle w:val="ConsPlusCell"/>
              <w:rPr>
                <w:rFonts w:ascii="Times New Roman" w:hAnsi="Times New Roman" w:cs="Times New Roman"/>
                <w:sz w:val="22"/>
                <w:szCs w:val="22"/>
              </w:rPr>
            </w:pPr>
            <w:r w:rsidRPr="008248F9">
              <w:rPr>
                <w:rFonts w:ascii="Times New Roman" w:hAnsi="Times New Roman" w:cs="Times New Roman"/>
                <w:sz w:val="22"/>
                <w:szCs w:val="22"/>
              </w:rPr>
              <w:t>№ п/п</w:t>
            </w:r>
          </w:p>
        </w:tc>
        <w:tc>
          <w:tcPr>
            <w:tcW w:w="1911" w:type="dxa"/>
            <w:tcBorders>
              <w:top w:val="single" w:sz="6" w:space="0" w:color="auto"/>
              <w:left w:val="single" w:sz="6" w:space="0" w:color="auto"/>
              <w:bottom w:val="single" w:sz="6" w:space="0" w:color="auto"/>
              <w:right w:val="single" w:sz="6" w:space="0" w:color="auto"/>
            </w:tcBorders>
            <w:hideMark/>
          </w:tcPr>
          <w:p w:rsidR="005727C2" w:rsidRPr="008248F9" w:rsidRDefault="005727C2" w:rsidP="008248F9">
            <w:pPr>
              <w:pStyle w:val="ConsPlusCell"/>
              <w:jc w:val="center"/>
              <w:rPr>
                <w:rFonts w:ascii="Times New Roman" w:hAnsi="Times New Roman" w:cs="Times New Roman"/>
                <w:sz w:val="22"/>
                <w:szCs w:val="22"/>
              </w:rPr>
            </w:pPr>
            <w:r w:rsidRPr="008248F9">
              <w:rPr>
                <w:rFonts w:ascii="Times New Roman" w:hAnsi="Times New Roman" w:cs="Times New Roman"/>
                <w:sz w:val="22"/>
                <w:szCs w:val="22"/>
              </w:rPr>
              <w:t>Ценовые группы</w:t>
            </w:r>
          </w:p>
        </w:tc>
        <w:tc>
          <w:tcPr>
            <w:tcW w:w="3399" w:type="dxa"/>
            <w:tcBorders>
              <w:top w:val="single" w:sz="6" w:space="0" w:color="auto"/>
              <w:left w:val="single" w:sz="6" w:space="0" w:color="auto"/>
              <w:bottom w:val="single" w:sz="6" w:space="0" w:color="auto"/>
              <w:right w:val="single" w:sz="6" w:space="0" w:color="auto"/>
            </w:tcBorders>
            <w:hideMark/>
          </w:tcPr>
          <w:p w:rsidR="005727C2" w:rsidRPr="008248F9" w:rsidRDefault="005727C2" w:rsidP="008248F9">
            <w:pPr>
              <w:pStyle w:val="ConsPlusCell"/>
              <w:jc w:val="center"/>
              <w:rPr>
                <w:rFonts w:ascii="Times New Roman" w:hAnsi="Times New Roman" w:cs="Times New Roman"/>
                <w:sz w:val="22"/>
                <w:szCs w:val="22"/>
              </w:rPr>
            </w:pPr>
            <w:r w:rsidRPr="008248F9">
              <w:rPr>
                <w:rFonts w:ascii="Times New Roman" w:hAnsi="Times New Roman" w:cs="Times New Roman"/>
                <w:sz w:val="22"/>
                <w:szCs w:val="22"/>
              </w:rPr>
              <w:t>Предельные оптовые надбавки к фактическим отпускным ценам производителей (без НДС), %</w:t>
            </w:r>
          </w:p>
        </w:tc>
        <w:tc>
          <w:tcPr>
            <w:tcW w:w="0" w:type="auto"/>
            <w:tcBorders>
              <w:top w:val="single" w:sz="6" w:space="0" w:color="auto"/>
              <w:left w:val="single" w:sz="6" w:space="0" w:color="auto"/>
              <w:bottom w:val="single" w:sz="6" w:space="0" w:color="auto"/>
              <w:right w:val="single" w:sz="6" w:space="0" w:color="auto"/>
            </w:tcBorders>
            <w:hideMark/>
          </w:tcPr>
          <w:p w:rsidR="005727C2" w:rsidRPr="008248F9" w:rsidRDefault="005727C2" w:rsidP="008248F9">
            <w:pPr>
              <w:pStyle w:val="ConsPlusCell"/>
              <w:jc w:val="center"/>
              <w:rPr>
                <w:rFonts w:ascii="Times New Roman" w:hAnsi="Times New Roman" w:cs="Times New Roman"/>
                <w:sz w:val="22"/>
                <w:szCs w:val="22"/>
              </w:rPr>
            </w:pPr>
            <w:r w:rsidRPr="008248F9">
              <w:rPr>
                <w:rFonts w:ascii="Times New Roman" w:hAnsi="Times New Roman" w:cs="Times New Roman"/>
                <w:sz w:val="22"/>
                <w:szCs w:val="22"/>
              </w:rPr>
              <w:t>Предельные розничные надбавки к фактическим отпускным ценам производителей (без НДС), %</w:t>
            </w:r>
          </w:p>
        </w:tc>
      </w:tr>
      <w:tr w:rsidR="005727C2" w:rsidRPr="008248F9" w:rsidTr="008248F9">
        <w:trPr>
          <w:cantSplit/>
          <w:trHeight w:val="624"/>
        </w:trPr>
        <w:tc>
          <w:tcPr>
            <w:tcW w:w="0" w:type="auto"/>
            <w:tcBorders>
              <w:top w:val="single" w:sz="6" w:space="0" w:color="auto"/>
              <w:left w:val="single" w:sz="6" w:space="0" w:color="auto"/>
              <w:bottom w:val="single" w:sz="6" w:space="0" w:color="auto"/>
              <w:right w:val="single" w:sz="6" w:space="0" w:color="auto"/>
            </w:tcBorders>
            <w:hideMark/>
          </w:tcPr>
          <w:p w:rsidR="005727C2" w:rsidRPr="008248F9" w:rsidRDefault="005727C2" w:rsidP="008248F9">
            <w:pPr>
              <w:pStyle w:val="ConsPlusCell"/>
              <w:jc w:val="center"/>
              <w:rPr>
                <w:rFonts w:ascii="Times New Roman" w:hAnsi="Times New Roman" w:cs="Times New Roman"/>
                <w:sz w:val="22"/>
                <w:szCs w:val="22"/>
              </w:rPr>
            </w:pPr>
            <w:r w:rsidRPr="008248F9">
              <w:rPr>
                <w:rFonts w:ascii="Times New Roman" w:hAnsi="Times New Roman" w:cs="Times New Roman"/>
                <w:sz w:val="22"/>
                <w:szCs w:val="22"/>
              </w:rPr>
              <w:t>1</w:t>
            </w:r>
          </w:p>
        </w:tc>
        <w:tc>
          <w:tcPr>
            <w:tcW w:w="1911" w:type="dxa"/>
            <w:tcBorders>
              <w:top w:val="single" w:sz="6" w:space="0" w:color="auto"/>
              <w:left w:val="single" w:sz="6" w:space="0" w:color="auto"/>
              <w:bottom w:val="single" w:sz="6" w:space="0" w:color="auto"/>
              <w:right w:val="single" w:sz="6" w:space="0" w:color="auto"/>
            </w:tcBorders>
            <w:hideMark/>
          </w:tcPr>
          <w:p w:rsidR="005727C2" w:rsidRPr="008248F9" w:rsidRDefault="005727C2" w:rsidP="008248F9">
            <w:pPr>
              <w:pStyle w:val="ConsPlusCell"/>
              <w:rPr>
                <w:rFonts w:ascii="Times New Roman" w:hAnsi="Times New Roman" w:cs="Times New Roman"/>
                <w:sz w:val="22"/>
                <w:szCs w:val="22"/>
              </w:rPr>
            </w:pPr>
            <w:r w:rsidRPr="008248F9">
              <w:rPr>
                <w:rFonts w:ascii="Times New Roman" w:hAnsi="Times New Roman" w:cs="Times New Roman"/>
                <w:sz w:val="22"/>
                <w:szCs w:val="22"/>
              </w:rPr>
              <w:t xml:space="preserve">До 50 руб. включительно  </w:t>
            </w:r>
          </w:p>
        </w:tc>
        <w:tc>
          <w:tcPr>
            <w:tcW w:w="3399" w:type="dxa"/>
            <w:tcBorders>
              <w:top w:val="single" w:sz="6" w:space="0" w:color="auto"/>
              <w:left w:val="single" w:sz="6" w:space="0" w:color="auto"/>
              <w:bottom w:val="single" w:sz="6" w:space="0" w:color="auto"/>
              <w:right w:val="single" w:sz="6" w:space="0" w:color="auto"/>
            </w:tcBorders>
            <w:hideMark/>
          </w:tcPr>
          <w:p w:rsidR="005727C2" w:rsidRPr="008248F9" w:rsidRDefault="005727C2" w:rsidP="008248F9">
            <w:pPr>
              <w:pStyle w:val="ConsPlusCell"/>
              <w:jc w:val="center"/>
              <w:rPr>
                <w:rFonts w:ascii="Times New Roman" w:hAnsi="Times New Roman" w:cs="Times New Roman"/>
                <w:sz w:val="22"/>
                <w:szCs w:val="22"/>
              </w:rPr>
            </w:pPr>
            <w:r w:rsidRPr="008248F9">
              <w:rPr>
                <w:rFonts w:ascii="Times New Roman" w:hAnsi="Times New Roman" w:cs="Times New Roman"/>
                <w:sz w:val="22"/>
                <w:szCs w:val="22"/>
              </w:rPr>
              <w:t>20</w:t>
            </w:r>
          </w:p>
        </w:tc>
        <w:tc>
          <w:tcPr>
            <w:tcW w:w="0" w:type="auto"/>
            <w:tcBorders>
              <w:top w:val="single" w:sz="6" w:space="0" w:color="auto"/>
              <w:left w:val="single" w:sz="6" w:space="0" w:color="auto"/>
              <w:bottom w:val="single" w:sz="6" w:space="0" w:color="auto"/>
              <w:right w:val="single" w:sz="6" w:space="0" w:color="auto"/>
            </w:tcBorders>
            <w:hideMark/>
          </w:tcPr>
          <w:p w:rsidR="005727C2" w:rsidRPr="008248F9" w:rsidRDefault="005727C2" w:rsidP="008248F9">
            <w:pPr>
              <w:pStyle w:val="ConsPlusCell"/>
              <w:jc w:val="center"/>
              <w:rPr>
                <w:rFonts w:ascii="Times New Roman" w:hAnsi="Times New Roman" w:cs="Times New Roman"/>
                <w:sz w:val="22"/>
                <w:szCs w:val="22"/>
              </w:rPr>
            </w:pPr>
            <w:r w:rsidRPr="008248F9">
              <w:rPr>
                <w:rFonts w:ascii="Times New Roman" w:hAnsi="Times New Roman" w:cs="Times New Roman"/>
                <w:sz w:val="22"/>
                <w:szCs w:val="22"/>
              </w:rPr>
              <w:t>25</w:t>
            </w:r>
          </w:p>
        </w:tc>
      </w:tr>
      <w:tr w:rsidR="005727C2" w:rsidRPr="008248F9" w:rsidTr="008248F9">
        <w:trPr>
          <w:cantSplit/>
          <w:trHeight w:val="624"/>
        </w:trPr>
        <w:tc>
          <w:tcPr>
            <w:tcW w:w="0" w:type="auto"/>
            <w:tcBorders>
              <w:top w:val="single" w:sz="6" w:space="0" w:color="auto"/>
              <w:left w:val="single" w:sz="6" w:space="0" w:color="auto"/>
              <w:bottom w:val="single" w:sz="4" w:space="0" w:color="auto"/>
              <w:right w:val="single" w:sz="6" w:space="0" w:color="auto"/>
            </w:tcBorders>
            <w:hideMark/>
          </w:tcPr>
          <w:p w:rsidR="005727C2" w:rsidRPr="008248F9" w:rsidRDefault="005727C2" w:rsidP="008248F9">
            <w:pPr>
              <w:pStyle w:val="ConsPlusCell"/>
              <w:jc w:val="center"/>
              <w:rPr>
                <w:rFonts w:ascii="Times New Roman" w:hAnsi="Times New Roman" w:cs="Times New Roman"/>
                <w:sz w:val="22"/>
                <w:szCs w:val="22"/>
              </w:rPr>
            </w:pPr>
            <w:r w:rsidRPr="008248F9">
              <w:rPr>
                <w:rFonts w:ascii="Times New Roman" w:hAnsi="Times New Roman" w:cs="Times New Roman"/>
                <w:sz w:val="22"/>
                <w:szCs w:val="22"/>
              </w:rPr>
              <w:t>2</w:t>
            </w:r>
          </w:p>
        </w:tc>
        <w:tc>
          <w:tcPr>
            <w:tcW w:w="1911" w:type="dxa"/>
            <w:tcBorders>
              <w:top w:val="single" w:sz="6" w:space="0" w:color="auto"/>
              <w:left w:val="single" w:sz="6" w:space="0" w:color="auto"/>
              <w:bottom w:val="single" w:sz="4" w:space="0" w:color="auto"/>
              <w:right w:val="single" w:sz="6" w:space="0" w:color="auto"/>
            </w:tcBorders>
            <w:hideMark/>
          </w:tcPr>
          <w:p w:rsidR="005727C2" w:rsidRPr="008248F9" w:rsidRDefault="005727C2" w:rsidP="008248F9">
            <w:pPr>
              <w:pStyle w:val="ConsPlusCell"/>
              <w:rPr>
                <w:rFonts w:ascii="Times New Roman" w:hAnsi="Times New Roman" w:cs="Times New Roman"/>
                <w:sz w:val="22"/>
                <w:szCs w:val="22"/>
              </w:rPr>
            </w:pPr>
            <w:r w:rsidRPr="008248F9">
              <w:rPr>
                <w:rFonts w:ascii="Times New Roman" w:hAnsi="Times New Roman" w:cs="Times New Roman"/>
                <w:sz w:val="22"/>
                <w:szCs w:val="22"/>
              </w:rPr>
              <w:t>Свыше 50 руб. до 500 руб.</w:t>
            </w:r>
            <w:r w:rsidR="008248F9" w:rsidRPr="008248F9">
              <w:rPr>
                <w:rFonts w:ascii="Times New Roman" w:hAnsi="Times New Roman" w:cs="Times New Roman"/>
                <w:sz w:val="22"/>
                <w:szCs w:val="22"/>
              </w:rPr>
              <w:t xml:space="preserve"> </w:t>
            </w:r>
            <w:r w:rsidRPr="008248F9">
              <w:rPr>
                <w:rFonts w:ascii="Times New Roman" w:hAnsi="Times New Roman" w:cs="Times New Roman"/>
                <w:sz w:val="22"/>
                <w:szCs w:val="22"/>
              </w:rPr>
              <w:t xml:space="preserve">включительно            </w:t>
            </w:r>
          </w:p>
        </w:tc>
        <w:tc>
          <w:tcPr>
            <w:tcW w:w="3399" w:type="dxa"/>
            <w:tcBorders>
              <w:top w:val="single" w:sz="6" w:space="0" w:color="auto"/>
              <w:left w:val="single" w:sz="6" w:space="0" w:color="auto"/>
              <w:bottom w:val="single" w:sz="4" w:space="0" w:color="auto"/>
              <w:right w:val="single" w:sz="6" w:space="0" w:color="auto"/>
            </w:tcBorders>
            <w:hideMark/>
          </w:tcPr>
          <w:p w:rsidR="005727C2" w:rsidRPr="008248F9" w:rsidRDefault="005727C2" w:rsidP="008248F9">
            <w:pPr>
              <w:pStyle w:val="ConsPlusCell"/>
              <w:jc w:val="center"/>
              <w:rPr>
                <w:rFonts w:ascii="Times New Roman" w:hAnsi="Times New Roman" w:cs="Times New Roman"/>
                <w:sz w:val="22"/>
                <w:szCs w:val="22"/>
              </w:rPr>
            </w:pPr>
            <w:r w:rsidRPr="008248F9">
              <w:rPr>
                <w:rFonts w:ascii="Times New Roman" w:hAnsi="Times New Roman" w:cs="Times New Roman"/>
                <w:sz w:val="22"/>
                <w:szCs w:val="22"/>
              </w:rPr>
              <w:t>15</w:t>
            </w:r>
          </w:p>
        </w:tc>
        <w:tc>
          <w:tcPr>
            <w:tcW w:w="0" w:type="auto"/>
            <w:tcBorders>
              <w:top w:val="single" w:sz="6" w:space="0" w:color="auto"/>
              <w:left w:val="single" w:sz="6" w:space="0" w:color="auto"/>
              <w:bottom w:val="single" w:sz="4" w:space="0" w:color="auto"/>
              <w:right w:val="single" w:sz="6" w:space="0" w:color="auto"/>
            </w:tcBorders>
            <w:hideMark/>
          </w:tcPr>
          <w:p w:rsidR="005727C2" w:rsidRPr="008248F9" w:rsidRDefault="005727C2" w:rsidP="008248F9">
            <w:pPr>
              <w:pStyle w:val="ConsPlusCell"/>
              <w:jc w:val="center"/>
              <w:rPr>
                <w:rFonts w:ascii="Times New Roman" w:hAnsi="Times New Roman" w:cs="Times New Roman"/>
                <w:sz w:val="22"/>
                <w:szCs w:val="22"/>
              </w:rPr>
            </w:pPr>
            <w:r w:rsidRPr="008248F9">
              <w:rPr>
                <w:rFonts w:ascii="Times New Roman" w:hAnsi="Times New Roman" w:cs="Times New Roman"/>
                <w:sz w:val="22"/>
                <w:szCs w:val="22"/>
              </w:rPr>
              <w:t>23</w:t>
            </w:r>
          </w:p>
        </w:tc>
      </w:tr>
      <w:tr w:rsidR="005727C2" w:rsidRPr="008248F9" w:rsidTr="008248F9">
        <w:trPr>
          <w:cantSplit/>
          <w:trHeight w:val="624"/>
        </w:trPr>
        <w:tc>
          <w:tcPr>
            <w:tcW w:w="0" w:type="auto"/>
            <w:tcBorders>
              <w:top w:val="single" w:sz="4" w:space="0" w:color="auto"/>
              <w:left w:val="single" w:sz="4" w:space="0" w:color="auto"/>
              <w:bottom w:val="single" w:sz="4" w:space="0" w:color="auto"/>
              <w:right w:val="single" w:sz="4" w:space="0" w:color="auto"/>
            </w:tcBorders>
            <w:hideMark/>
          </w:tcPr>
          <w:p w:rsidR="005727C2" w:rsidRPr="008248F9" w:rsidRDefault="005727C2" w:rsidP="008248F9">
            <w:pPr>
              <w:pStyle w:val="ConsPlusCell"/>
              <w:jc w:val="center"/>
              <w:rPr>
                <w:rFonts w:ascii="Times New Roman" w:hAnsi="Times New Roman" w:cs="Times New Roman"/>
                <w:sz w:val="22"/>
                <w:szCs w:val="22"/>
              </w:rPr>
            </w:pPr>
            <w:r w:rsidRPr="008248F9">
              <w:rPr>
                <w:rFonts w:ascii="Times New Roman" w:hAnsi="Times New Roman" w:cs="Times New Roman"/>
                <w:sz w:val="22"/>
                <w:szCs w:val="22"/>
              </w:rPr>
              <w:t>3</w:t>
            </w:r>
          </w:p>
        </w:tc>
        <w:tc>
          <w:tcPr>
            <w:tcW w:w="1911" w:type="dxa"/>
            <w:tcBorders>
              <w:top w:val="single" w:sz="4" w:space="0" w:color="auto"/>
              <w:left w:val="single" w:sz="4" w:space="0" w:color="auto"/>
              <w:bottom w:val="single" w:sz="4" w:space="0" w:color="auto"/>
              <w:right w:val="single" w:sz="4" w:space="0" w:color="auto"/>
            </w:tcBorders>
            <w:hideMark/>
          </w:tcPr>
          <w:p w:rsidR="005727C2" w:rsidRPr="008248F9" w:rsidRDefault="005727C2" w:rsidP="008248F9">
            <w:pPr>
              <w:pStyle w:val="ConsPlusCell"/>
              <w:rPr>
                <w:rFonts w:ascii="Times New Roman" w:hAnsi="Times New Roman" w:cs="Times New Roman"/>
                <w:sz w:val="22"/>
                <w:szCs w:val="22"/>
              </w:rPr>
            </w:pPr>
            <w:r w:rsidRPr="008248F9">
              <w:rPr>
                <w:rFonts w:ascii="Times New Roman" w:hAnsi="Times New Roman" w:cs="Times New Roman"/>
                <w:sz w:val="22"/>
                <w:szCs w:val="22"/>
              </w:rPr>
              <w:t xml:space="preserve">Свыше 500 руб.           </w:t>
            </w:r>
          </w:p>
        </w:tc>
        <w:tc>
          <w:tcPr>
            <w:tcW w:w="3399" w:type="dxa"/>
            <w:tcBorders>
              <w:top w:val="single" w:sz="4" w:space="0" w:color="auto"/>
              <w:left w:val="single" w:sz="4" w:space="0" w:color="auto"/>
              <w:bottom w:val="single" w:sz="4" w:space="0" w:color="auto"/>
              <w:right w:val="single" w:sz="4" w:space="0" w:color="auto"/>
            </w:tcBorders>
            <w:hideMark/>
          </w:tcPr>
          <w:p w:rsidR="005727C2" w:rsidRPr="008248F9" w:rsidRDefault="005727C2" w:rsidP="008248F9">
            <w:pPr>
              <w:pStyle w:val="ConsPlusCell"/>
              <w:jc w:val="center"/>
              <w:rPr>
                <w:rFonts w:ascii="Times New Roman" w:hAnsi="Times New Roman" w:cs="Times New Roman"/>
                <w:sz w:val="22"/>
                <w:szCs w:val="22"/>
              </w:rPr>
            </w:pPr>
            <w:r w:rsidRPr="008248F9">
              <w:rPr>
                <w:rFonts w:ascii="Times New Roman" w:hAnsi="Times New Roman" w:cs="Times New Roman"/>
                <w:sz w:val="22"/>
                <w:szCs w:val="22"/>
              </w:rPr>
              <w:t>12</w:t>
            </w:r>
          </w:p>
        </w:tc>
        <w:tc>
          <w:tcPr>
            <w:tcW w:w="0" w:type="auto"/>
            <w:tcBorders>
              <w:top w:val="single" w:sz="4" w:space="0" w:color="auto"/>
              <w:left w:val="single" w:sz="4" w:space="0" w:color="auto"/>
              <w:bottom w:val="single" w:sz="4" w:space="0" w:color="auto"/>
              <w:right w:val="single" w:sz="4" w:space="0" w:color="auto"/>
            </w:tcBorders>
            <w:hideMark/>
          </w:tcPr>
          <w:p w:rsidR="005727C2" w:rsidRPr="008248F9" w:rsidRDefault="005727C2" w:rsidP="008248F9">
            <w:pPr>
              <w:pStyle w:val="ConsPlusCell"/>
              <w:jc w:val="center"/>
              <w:rPr>
                <w:rFonts w:ascii="Times New Roman" w:hAnsi="Times New Roman" w:cs="Times New Roman"/>
                <w:sz w:val="22"/>
                <w:szCs w:val="22"/>
              </w:rPr>
            </w:pPr>
            <w:r w:rsidRPr="008248F9">
              <w:rPr>
                <w:rFonts w:ascii="Times New Roman" w:hAnsi="Times New Roman" w:cs="Times New Roman"/>
                <w:sz w:val="22"/>
                <w:szCs w:val="22"/>
              </w:rPr>
              <w:t>15</w:t>
            </w:r>
          </w:p>
        </w:tc>
      </w:tr>
    </w:tbl>
    <w:p w:rsidR="005727C2" w:rsidRPr="008248F9" w:rsidRDefault="005727C2" w:rsidP="008248F9">
      <w:pPr>
        <w:pStyle w:val="a8"/>
        <w:tabs>
          <w:tab w:val="left" w:pos="708"/>
        </w:tabs>
        <w:ind w:firstLine="709"/>
        <w:jc w:val="both"/>
        <w:rPr>
          <w:rStyle w:val="af0"/>
          <w:sz w:val="28"/>
          <w:szCs w:val="28"/>
        </w:rPr>
      </w:pPr>
      <w:r w:rsidRPr="008248F9">
        <w:rPr>
          <w:sz w:val="28"/>
          <w:szCs w:val="28"/>
        </w:rPr>
        <w:t xml:space="preserve">С информацией о предельных размерах оптовых надбавок и предельных размерах розничных надбавок к фактическим отпускным ценам, установленным производителями лекарственных препаратов, на лекарственные препараты, включенные в перечень жизненно необходимых и важнейших лекарственных препаратов, можно ознакомиться </w:t>
      </w:r>
      <w:r w:rsidRPr="008248F9">
        <w:rPr>
          <w:rFonts w:ascii="Times New Roman CYR" w:hAnsi="Times New Roman CYR" w:cs="Times New Roman CYR"/>
          <w:sz w:val="28"/>
          <w:szCs w:val="28"/>
        </w:rPr>
        <w:t>на официальном сайте департамента в информационно-телекоммуникационной сети «Интернет»</w:t>
      </w:r>
      <w:r w:rsidRPr="008248F9">
        <w:rPr>
          <w:sz w:val="28"/>
          <w:szCs w:val="28"/>
        </w:rPr>
        <w:t xml:space="preserve"> </w:t>
      </w:r>
      <w:hyperlink r:id="rId95" w:history="1">
        <w:r w:rsidRPr="008248F9">
          <w:rPr>
            <w:rStyle w:val="af0"/>
            <w:sz w:val="28"/>
            <w:szCs w:val="28"/>
          </w:rPr>
          <w:t>https://tarif.nso.ru/page/10</w:t>
        </w:r>
      </w:hyperlink>
      <w:r w:rsidRPr="008248F9">
        <w:rPr>
          <w:rStyle w:val="af0"/>
          <w:sz w:val="28"/>
          <w:szCs w:val="28"/>
        </w:rPr>
        <w:t>1.</w:t>
      </w:r>
    </w:p>
    <w:p w:rsidR="005727C2" w:rsidRPr="008248F9" w:rsidRDefault="005727C2" w:rsidP="008248F9">
      <w:pPr>
        <w:spacing w:after="0" w:line="240" w:lineRule="auto"/>
        <w:ind w:firstLine="709"/>
        <w:jc w:val="both"/>
        <w:rPr>
          <w:sz w:val="28"/>
          <w:szCs w:val="28"/>
        </w:rPr>
      </w:pPr>
      <w:r w:rsidRPr="008248F9">
        <w:rPr>
          <w:sz w:val="28"/>
          <w:szCs w:val="28"/>
        </w:rPr>
        <w:t xml:space="preserve">По результатам ежегодно проводимого анализа отчетного шаблона </w:t>
      </w:r>
      <w:r w:rsidRPr="008248F9">
        <w:rPr>
          <w:sz w:val="28"/>
          <w:szCs w:val="28"/>
          <w:lang w:val="en-US"/>
        </w:rPr>
        <w:t>NADB</w:t>
      </w:r>
      <w:r w:rsidRPr="008248F9">
        <w:rPr>
          <w:sz w:val="28"/>
          <w:szCs w:val="28"/>
        </w:rPr>
        <w:t>.</w:t>
      </w:r>
      <w:r w:rsidRPr="008248F9">
        <w:rPr>
          <w:sz w:val="28"/>
          <w:szCs w:val="28"/>
          <w:lang w:val="en-US"/>
        </w:rPr>
        <w:t>JNVLP</w:t>
      </w:r>
      <w:r w:rsidRPr="008248F9">
        <w:rPr>
          <w:sz w:val="28"/>
          <w:szCs w:val="28"/>
        </w:rPr>
        <w:t>.</w:t>
      </w:r>
      <w:r w:rsidRPr="008248F9">
        <w:rPr>
          <w:sz w:val="28"/>
          <w:szCs w:val="28"/>
          <w:lang w:val="en-US"/>
        </w:rPr>
        <w:t>APTEKA</w:t>
      </w:r>
      <w:r w:rsidRPr="008248F9">
        <w:rPr>
          <w:color w:val="0000FF"/>
          <w:sz w:val="28"/>
          <w:szCs w:val="28"/>
        </w:rPr>
        <w:t xml:space="preserve"> </w:t>
      </w:r>
      <w:r w:rsidRPr="008248F9">
        <w:rPr>
          <w:sz w:val="28"/>
          <w:szCs w:val="28"/>
        </w:rPr>
        <w:t>«Методика определения предельных оптовых и предельных розничных надбавок к фактическим отпускным ценам производителей на жизненно необходимые и важнейшие лекарственные препараты (ЖНВЛП)» по Новосибирской области за отчетный период регулирования (2018 год) и на плановый период регулирования (2019 год), действующие торговые надбавки на ЖНВЛП на очередной период регулирования не пересматривались.</w:t>
      </w:r>
    </w:p>
    <w:p w:rsidR="005727C2" w:rsidRDefault="005727C2" w:rsidP="008248F9">
      <w:pPr>
        <w:spacing w:line="240" w:lineRule="auto"/>
        <w:ind w:firstLine="709"/>
        <w:jc w:val="both"/>
        <w:rPr>
          <w:sz w:val="28"/>
          <w:szCs w:val="28"/>
        </w:rPr>
      </w:pPr>
      <w:r w:rsidRPr="008248F9">
        <w:rPr>
          <w:sz w:val="28"/>
          <w:szCs w:val="28"/>
        </w:rPr>
        <w:t xml:space="preserve">Реестр предельных оптовых и предельных розничных цен на ЖНВЛП, действующий на территории Новосибирской области, публикуется на официальном сайте </w:t>
      </w:r>
      <w:r w:rsidR="008248F9">
        <w:rPr>
          <w:sz w:val="28"/>
          <w:szCs w:val="28"/>
        </w:rPr>
        <w:t>Д</w:t>
      </w:r>
      <w:r w:rsidRPr="008248F9">
        <w:rPr>
          <w:sz w:val="28"/>
          <w:szCs w:val="28"/>
        </w:rPr>
        <w:t>епартамента и обновляется с 01 ноября 2010 года ежедневно.</w:t>
      </w:r>
    </w:p>
    <w:p w:rsidR="00862D81" w:rsidRPr="00862D81" w:rsidRDefault="00862D81" w:rsidP="0061749D">
      <w:pPr>
        <w:spacing w:line="240" w:lineRule="auto"/>
        <w:ind w:firstLine="709"/>
        <w:jc w:val="both"/>
        <w:rPr>
          <w:b/>
        </w:rPr>
      </w:pPr>
      <w:r w:rsidRPr="00862D81">
        <w:rPr>
          <w:b/>
          <w:sz w:val="28"/>
          <w:szCs w:val="28"/>
        </w:rPr>
        <w:t>2.</w:t>
      </w:r>
      <w:r w:rsidR="00B17B10">
        <w:rPr>
          <w:b/>
          <w:sz w:val="28"/>
          <w:szCs w:val="28"/>
        </w:rPr>
        <w:t>8</w:t>
      </w:r>
      <w:r w:rsidRPr="00862D81">
        <w:rPr>
          <w:b/>
          <w:sz w:val="28"/>
          <w:szCs w:val="28"/>
        </w:rPr>
        <w:t>.2. Предельные размеры оптовых надбавок к фактическим отпускным ценам на медицинские изделия, включенные в утвержденный Правительством Российской Федерации перечень медицинских изделий, имплантируемых в организм человека при оказании медицинской помощи в рамках программы государственных гарантий бесплатного оказания гражданам медицинской помощи</w:t>
      </w:r>
    </w:p>
    <w:p w:rsidR="00862D81" w:rsidRDefault="00862D81" w:rsidP="00862D81">
      <w:pPr>
        <w:spacing w:line="240" w:lineRule="auto"/>
        <w:ind w:firstLine="708"/>
        <w:jc w:val="both"/>
        <w:rPr>
          <w:sz w:val="28"/>
          <w:szCs w:val="28"/>
        </w:rPr>
      </w:pPr>
      <w:r>
        <w:rPr>
          <w:sz w:val="28"/>
          <w:szCs w:val="28"/>
        </w:rPr>
        <w:t xml:space="preserve">Установленные приказом департамента от 22.09.2017 № 309-ТС </w:t>
      </w:r>
      <w:r>
        <w:rPr>
          <w:rFonts w:eastAsia="Calibri"/>
          <w:sz w:val="28"/>
          <w:szCs w:val="28"/>
          <w:lang w:eastAsia="en-US"/>
        </w:rPr>
        <w:t xml:space="preserve">"Об установлении предельных размеров оптовых надбавок к фактическим отпускным ценам на медицинские изделия, включенные в утвержденный Правительством Российской Федерации перечень медицинских изделий, имплантируемых в организм человека при оказании медицинской помощи в рамках программы государственных гарантий бесплатного оказания гражданам медицинской помощи" </w:t>
      </w:r>
      <w:r>
        <w:rPr>
          <w:sz w:val="28"/>
          <w:szCs w:val="28"/>
        </w:rPr>
        <w:t xml:space="preserve">предельные размеры оптовых надбавок к </w:t>
      </w:r>
      <w:r>
        <w:rPr>
          <w:sz w:val="28"/>
          <w:szCs w:val="28"/>
        </w:rPr>
        <w:lastRenderedPageBreak/>
        <w:t>фактическим отпускным ценам на медицинские изделия в 2019 году не пересматривались и составляют:</w:t>
      </w:r>
    </w:p>
    <w:tbl>
      <w:tblPr>
        <w:tblW w:w="4914"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540"/>
        <w:gridCol w:w="6001"/>
        <w:gridCol w:w="2865"/>
      </w:tblGrid>
      <w:tr w:rsidR="00862D81" w:rsidTr="00BD58BF">
        <w:tc>
          <w:tcPr>
            <w:tcW w:w="287" w:type="pct"/>
            <w:tcBorders>
              <w:top w:val="single" w:sz="4" w:space="0" w:color="000000"/>
              <w:left w:val="single" w:sz="4" w:space="0" w:color="000000"/>
              <w:bottom w:val="single" w:sz="4" w:space="0" w:color="000000"/>
              <w:right w:val="single" w:sz="4" w:space="0" w:color="000000"/>
            </w:tcBorders>
            <w:hideMark/>
          </w:tcPr>
          <w:p w:rsidR="00862D81" w:rsidRDefault="00862D81" w:rsidP="00862D81">
            <w:pPr>
              <w:spacing w:after="0" w:line="240" w:lineRule="auto"/>
              <w:jc w:val="center"/>
              <w:rPr>
                <w:lang w:eastAsia="en-US"/>
              </w:rPr>
            </w:pPr>
            <w:r>
              <w:rPr>
                <w:szCs w:val="22"/>
                <w:lang w:eastAsia="en-US"/>
              </w:rPr>
              <w:t>№ п/п</w:t>
            </w:r>
          </w:p>
        </w:tc>
        <w:tc>
          <w:tcPr>
            <w:tcW w:w="3190" w:type="pct"/>
            <w:tcBorders>
              <w:top w:val="single" w:sz="4" w:space="0" w:color="000000"/>
              <w:left w:val="single" w:sz="4" w:space="0" w:color="000000"/>
              <w:bottom w:val="single" w:sz="4" w:space="0" w:color="000000"/>
              <w:right w:val="single" w:sz="4" w:space="0" w:color="000000"/>
            </w:tcBorders>
            <w:hideMark/>
          </w:tcPr>
          <w:p w:rsidR="00862D81" w:rsidRDefault="00862D81" w:rsidP="00862D81">
            <w:pPr>
              <w:tabs>
                <w:tab w:val="left" w:pos="1750"/>
              </w:tabs>
              <w:spacing w:after="0" w:line="240" w:lineRule="auto"/>
              <w:ind w:right="-45"/>
              <w:jc w:val="center"/>
              <w:rPr>
                <w:lang w:eastAsia="en-US"/>
              </w:rPr>
            </w:pPr>
            <w:r>
              <w:rPr>
                <w:szCs w:val="22"/>
                <w:lang w:eastAsia="en-US"/>
              </w:rPr>
              <w:t xml:space="preserve">Фактические отпускные цены на медицинские изделия </w:t>
            </w:r>
            <w:r>
              <w:rPr>
                <w:szCs w:val="22"/>
                <w:lang w:eastAsia="en-US"/>
              </w:rPr>
              <w:br/>
              <w:t>(без учета НДС), рублей</w:t>
            </w:r>
          </w:p>
        </w:tc>
        <w:tc>
          <w:tcPr>
            <w:tcW w:w="1523" w:type="pct"/>
            <w:tcBorders>
              <w:top w:val="single" w:sz="4" w:space="0" w:color="000000"/>
              <w:left w:val="single" w:sz="4" w:space="0" w:color="000000"/>
              <w:bottom w:val="single" w:sz="4" w:space="0" w:color="000000"/>
              <w:right w:val="single" w:sz="4" w:space="0" w:color="000000"/>
            </w:tcBorders>
            <w:hideMark/>
          </w:tcPr>
          <w:p w:rsidR="00862D81" w:rsidRDefault="00862D81" w:rsidP="00862D81">
            <w:pPr>
              <w:spacing w:after="0" w:line="240" w:lineRule="auto"/>
              <w:jc w:val="center"/>
              <w:rPr>
                <w:lang w:eastAsia="en-US"/>
              </w:rPr>
            </w:pPr>
            <w:r>
              <w:rPr>
                <w:szCs w:val="22"/>
                <w:lang w:eastAsia="en-US"/>
              </w:rPr>
              <w:t xml:space="preserve">Предельные размеры оптовых надбавок </w:t>
            </w:r>
            <w:r>
              <w:rPr>
                <w:bCs/>
                <w:szCs w:val="22"/>
                <w:lang w:eastAsia="en-US"/>
              </w:rPr>
              <w:t>к фактическим отпускным ценам на медицинские изделия</w:t>
            </w:r>
            <w:r>
              <w:rPr>
                <w:szCs w:val="22"/>
                <w:lang w:eastAsia="en-US"/>
              </w:rPr>
              <w:t xml:space="preserve">, </w:t>
            </w:r>
            <w:r>
              <w:rPr>
                <w:rFonts w:eastAsia="Calibri"/>
                <w:szCs w:val="22"/>
                <w:lang w:eastAsia="en-US"/>
              </w:rPr>
              <w:t>не более, %</w:t>
            </w:r>
          </w:p>
        </w:tc>
      </w:tr>
      <w:tr w:rsidR="00862D81" w:rsidTr="00BD58BF">
        <w:trPr>
          <w:trHeight w:val="454"/>
        </w:trPr>
        <w:tc>
          <w:tcPr>
            <w:tcW w:w="287" w:type="pct"/>
            <w:tcBorders>
              <w:top w:val="single" w:sz="4" w:space="0" w:color="000000"/>
              <w:left w:val="single" w:sz="4" w:space="0" w:color="000000"/>
              <w:bottom w:val="single" w:sz="4" w:space="0" w:color="000000"/>
              <w:right w:val="single" w:sz="4" w:space="0" w:color="000000"/>
            </w:tcBorders>
            <w:vAlign w:val="center"/>
            <w:hideMark/>
          </w:tcPr>
          <w:p w:rsidR="00862D81" w:rsidRDefault="00862D81" w:rsidP="00862D81">
            <w:pPr>
              <w:spacing w:after="0" w:line="240" w:lineRule="auto"/>
              <w:rPr>
                <w:lang w:eastAsia="en-US"/>
              </w:rPr>
            </w:pPr>
            <w:r>
              <w:rPr>
                <w:szCs w:val="22"/>
                <w:lang w:eastAsia="en-US"/>
              </w:rPr>
              <w:t>1.</w:t>
            </w:r>
          </w:p>
        </w:tc>
        <w:tc>
          <w:tcPr>
            <w:tcW w:w="3190" w:type="pct"/>
            <w:tcBorders>
              <w:top w:val="single" w:sz="4" w:space="0" w:color="000000"/>
              <w:left w:val="single" w:sz="4" w:space="0" w:color="000000"/>
              <w:bottom w:val="single" w:sz="4" w:space="0" w:color="000000"/>
              <w:right w:val="single" w:sz="4" w:space="0" w:color="000000"/>
            </w:tcBorders>
            <w:vAlign w:val="center"/>
            <w:hideMark/>
          </w:tcPr>
          <w:p w:rsidR="00862D81" w:rsidRDefault="00862D81" w:rsidP="00862D81">
            <w:pPr>
              <w:spacing w:after="0" w:line="240" w:lineRule="auto"/>
              <w:rPr>
                <w:lang w:eastAsia="en-US"/>
              </w:rPr>
            </w:pPr>
            <w:r>
              <w:rPr>
                <w:szCs w:val="22"/>
                <w:lang w:eastAsia="en-US"/>
              </w:rPr>
              <w:t>От 0 до 5 000 включительно</w:t>
            </w:r>
          </w:p>
        </w:tc>
        <w:tc>
          <w:tcPr>
            <w:tcW w:w="1523" w:type="pct"/>
            <w:tcBorders>
              <w:top w:val="single" w:sz="4" w:space="0" w:color="000000"/>
              <w:left w:val="single" w:sz="4" w:space="0" w:color="000000"/>
              <w:bottom w:val="single" w:sz="4" w:space="0" w:color="000000"/>
              <w:right w:val="single" w:sz="4" w:space="0" w:color="000000"/>
            </w:tcBorders>
            <w:vAlign w:val="center"/>
            <w:hideMark/>
          </w:tcPr>
          <w:p w:rsidR="00862D81" w:rsidRDefault="00862D81" w:rsidP="00862D81">
            <w:pPr>
              <w:spacing w:after="0" w:line="240" w:lineRule="auto"/>
              <w:jc w:val="center"/>
              <w:rPr>
                <w:lang w:eastAsia="en-US"/>
              </w:rPr>
            </w:pPr>
            <w:r>
              <w:rPr>
                <w:szCs w:val="22"/>
                <w:lang w:eastAsia="en-US"/>
              </w:rPr>
              <w:t>24</w:t>
            </w:r>
          </w:p>
        </w:tc>
      </w:tr>
      <w:tr w:rsidR="00862D81" w:rsidTr="00BD58BF">
        <w:trPr>
          <w:trHeight w:val="454"/>
        </w:trPr>
        <w:tc>
          <w:tcPr>
            <w:tcW w:w="287" w:type="pct"/>
            <w:tcBorders>
              <w:top w:val="single" w:sz="4" w:space="0" w:color="000000"/>
              <w:left w:val="single" w:sz="4" w:space="0" w:color="000000"/>
              <w:bottom w:val="single" w:sz="4" w:space="0" w:color="000000"/>
              <w:right w:val="single" w:sz="4" w:space="0" w:color="000000"/>
            </w:tcBorders>
            <w:vAlign w:val="center"/>
            <w:hideMark/>
          </w:tcPr>
          <w:p w:rsidR="00862D81" w:rsidRDefault="00862D81" w:rsidP="00862D81">
            <w:pPr>
              <w:spacing w:after="0" w:line="240" w:lineRule="auto"/>
              <w:rPr>
                <w:lang w:eastAsia="en-US"/>
              </w:rPr>
            </w:pPr>
            <w:r>
              <w:rPr>
                <w:szCs w:val="22"/>
                <w:lang w:eastAsia="en-US"/>
              </w:rPr>
              <w:t>2.</w:t>
            </w:r>
          </w:p>
        </w:tc>
        <w:tc>
          <w:tcPr>
            <w:tcW w:w="3190" w:type="pct"/>
            <w:tcBorders>
              <w:top w:val="single" w:sz="4" w:space="0" w:color="000000"/>
              <w:left w:val="single" w:sz="4" w:space="0" w:color="000000"/>
              <w:bottom w:val="single" w:sz="4" w:space="0" w:color="000000"/>
              <w:right w:val="single" w:sz="4" w:space="0" w:color="000000"/>
            </w:tcBorders>
            <w:vAlign w:val="center"/>
            <w:hideMark/>
          </w:tcPr>
          <w:p w:rsidR="00862D81" w:rsidRDefault="00862D81" w:rsidP="00862D81">
            <w:pPr>
              <w:spacing w:after="0" w:line="240" w:lineRule="auto"/>
              <w:rPr>
                <w:lang w:eastAsia="en-US"/>
              </w:rPr>
            </w:pPr>
            <w:r>
              <w:rPr>
                <w:szCs w:val="22"/>
                <w:lang w:eastAsia="en-US"/>
              </w:rPr>
              <w:t>Свыше</w:t>
            </w:r>
            <w:r>
              <w:rPr>
                <w:bCs/>
                <w:szCs w:val="22"/>
                <w:lang w:eastAsia="en-US"/>
              </w:rPr>
              <w:t xml:space="preserve"> </w:t>
            </w:r>
            <w:r>
              <w:rPr>
                <w:szCs w:val="22"/>
                <w:lang w:eastAsia="en-US"/>
              </w:rPr>
              <w:t>5 000</w:t>
            </w:r>
            <w:r>
              <w:rPr>
                <w:bCs/>
                <w:szCs w:val="22"/>
                <w:lang w:eastAsia="en-US"/>
              </w:rPr>
              <w:t xml:space="preserve"> </w:t>
            </w:r>
            <w:r>
              <w:rPr>
                <w:szCs w:val="22"/>
                <w:lang w:eastAsia="en-US"/>
              </w:rPr>
              <w:t>до</w:t>
            </w:r>
            <w:r>
              <w:rPr>
                <w:bCs/>
                <w:szCs w:val="22"/>
                <w:lang w:eastAsia="en-US"/>
              </w:rPr>
              <w:t xml:space="preserve"> 10 000 </w:t>
            </w:r>
            <w:r>
              <w:rPr>
                <w:szCs w:val="22"/>
                <w:lang w:eastAsia="en-US"/>
              </w:rPr>
              <w:t>включительно</w:t>
            </w:r>
          </w:p>
        </w:tc>
        <w:tc>
          <w:tcPr>
            <w:tcW w:w="1523" w:type="pct"/>
            <w:tcBorders>
              <w:top w:val="single" w:sz="4" w:space="0" w:color="000000"/>
              <w:left w:val="single" w:sz="4" w:space="0" w:color="000000"/>
              <w:bottom w:val="single" w:sz="4" w:space="0" w:color="000000"/>
              <w:right w:val="single" w:sz="4" w:space="0" w:color="000000"/>
            </w:tcBorders>
            <w:vAlign w:val="center"/>
            <w:hideMark/>
          </w:tcPr>
          <w:p w:rsidR="00862D81" w:rsidRDefault="00862D81" w:rsidP="00862D81">
            <w:pPr>
              <w:spacing w:after="0" w:line="240" w:lineRule="auto"/>
              <w:jc w:val="center"/>
              <w:rPr>
                <w:lang w:eastAsia="en-US"/>
              </w:rPr>
            </w:pPr>
            <w:r>
              <w:rPr>
                <w:szCs w:val="22"/>
                <w:lang w:eastAsia="en-US"/>
              </w:rPr>
              <w:t>21</w:t>
            </w:r>
          </w:p>
        </w:tc>
      </w:tr>
      <w:tr w:rsidR="00862D81" w:rsidTr="00BD58BF">
        <w:trPr>
          <w:trHeight w:val="454"/>
        </w:trPr>
        <w:tc>
          <w:tcPr>
            <w:tcW w:w="287" w:type="pct"/>
            <w:tcBorders>
              <w:top w:val="single" w:sz="4" w:space="0" w:color="000000"/>
              <w:left w:val="single" w:sz="4" w:space="0" w:color="000000"/>
              <w:bottom w:val="single" w:sz="4" w:space="0" w:color="000000"/>
              <w:right w:val="single" w:sz="4" w:space="0" w:color="000000"/>
            </w:tcBorders>
            <w:vAlign w:val="center"/>
            <w:hideMark/>
          </w:tcPr>
          <w:p w:rsidR="00862D81" w:rsidRDefault="00862D81" w:rsidP="00862D81">
            <w:pPr>
              <w:spacing w:after="0" w:line="240" w:lineRule="auto"/>
              <w:rPr>
                <w:lang w:eastAsia="en-US"/>
              </w:rPr>
            </w:pPr>
            <w:r>
              <w:rPr>
                <w:szCs w:val="22"/>
                <w:lang w:eastAsia="en-US"/>
              </w:rPr>
              <w:t>3.</w:t>
            </w:r>
          </w:p>
        </w:tc>
        <w:tc>
          <w:tcPr>
            <w:tcW w:w="3190" w:type="pct"/>
            <w:tcBorders>
              <w:top w:val="single" w:sz="4" w:space="0" w:color="000000"/>
              <w:left w:val="single" w:sz="4" w:space="0" w:color="000000"/>
              <w:bottom w:val="single" w:sz="4" w:space="0" w:color="000000"/>
              <w:right w:val="single" w:sz="4" w:space="0" w:color="000000"/>
            </w:tcBorders>
            <w:vAlign w:val="center"/>
            <w:hideMark/>
          </w:tcPr>
          <w:p w:rsidR="00862D81" w:rsidRDefault="00862D81" w:rsidP="00862D81">
            <w:pPr>
              <w:spacing w:after="0" w:line="240" w:lineRule="auto"/>
              <w:rPr>
                <w:lang w:eastAsia="en-US"/>
              </w:rPr>
            </w:pPr>
            <w:r>
              <w:rPr>
                <w:szCs w:val="22"/>
                <w:lang w:eastAsia="en-US"/>
              </w:rPr>
              <w:t>Свыше</w:t>
            </w:r>
            <w:r>
              <w:rPr>
                <w:bCs/>
                <w:szCs w:val="22"/>
                <w:lang w:eastAsia="en-US"/>
              </w:rPr>
              <w:t xml:space="preserve"> 10 000 </w:t>
            </w:r>
            <w:r>
              <w:rPr>
                <w:szCs w:val="22"/>
                <w:lang w:eastAsia="en-US"/>
              </w:rPr>
              <w:t>до</w:t>
            </w:r>
            <w:r>
              <w:rPr>
                <w:bCs/>
                <w:szCs w:val="22"/>
                <w:lang w:eastAsia="en-US"/>
              </w:rPr>
              <w:t xml:space="preserve"> 50 000 </w:t>
            </w:r>
            <w:r>
              <w:rPr>
                <w:szCs w:val="22"/>
                <w:lang w:eastAsia="en-US"/>
              </w:rPr>
              <w:t>включительно</w:t>
            </w:r>
          </w:p>
        </w:tc>
        <w:tc>
          <w:tcPr>
            <w:tcW w:w="1523" w:type="pct"/>
            <w:tcBorders>
              <w:top w:val="single" w:sz="4" w:space="0" w:color="000000"/>
              <w:left w:val="single" w:sz="4" w:space="0" w:color="000000"/>
              <w:bottom w:val="single" w:sz="4" w:space="0" w:color="000000"/>
              <w:right w:val="single" w:sz="4" w:space="0" w:color="000000"/>
            </w:tcBorders>
            <w:vAlign w:val="center"/>
            <w:hideMark/>
          </w:tcPr>
          <w:p w:rsidR="00862D81" w:rsidRDefault="00862D81" w:rsidP="00862D81">
            <w:pPr>
              <w:spacing w:after="0" w:line="240" w:lineRule="auto"/>
              <w:jc w:val="center"/>
              <w:rPr>
                <w:lang w:eastAsia="en-US"/>
              </w:rPr>
            </w:pPr>
            <w:r>
              <w:rPr>
                <w:szCs w:val="22"/>
                <w:lang w:eastAsia="en-US"/>
              </w:rPr>
              <w:t>21</w:t>
            </w:r>
          </w:p>
        </w:tc>
      </w:tr>
      <w:tr w:rsidR="00862D81" w:rsidTr="00BD58BF">
        <w:trPr>
          <w:trHeight w:val="454"/>
        </w:trPr>
        <w:tc>
          <w:tcPr>
            <w:tcW w:w="287" w:type="pct"/>
            <w:tcBorders>
              <w:top w:val="single" w:sz="4" w:space="0" w:color="000000"/>
              <w:left w:val="single" w:sz="4" w:space="0" w:color="000000"/>
              <w:bottom w:val="single" w:sz="4" w:space="0" w:color="000000"/>
              <w:right w:val="single" w:sz="4" w:space="0" w:color="000000"/>
            </w:tcBorders>
            <w:vAlign w:val="center"/>
            <w:hideMark/>
          </w:tcPr>
          <w:p w:rsidR="00862D81" w:rsidRDefault="00862D81" w:rsidP="00862D81">
            <w:pPr>
              <w:spacing w:after="0" w:line="240" w:lineRule="auto"/>
              <w:rPr>
                <w:lang w:eastAsia="en-US"/>
              </w:rPr>
            </w:pPr>
            <w:r>
              <w:rPr>
                <w:szCs w:val="22"/>
                <w:lang w:eastAsia="en-US"/>
              </w:rPr>
              <w:t>4.</w:t>
            </w:r>
          </w:p>
        </w:tc>
        <w:tc>
          <w:tcPr>
            <w:tcW w:w="3190" w:type="pct"/>
            <w:tcBorders>
              <w:top w:val="single" w:sz="4" w:space="0" w:color="000000"/>
              <w:left w:val="single" w:sz="4" w:space="0" w:color="000000"/>
              <w:bottom w:val="single" w:sz="4" w:space="0" w:color="000000"/>
              <w:right w:val="single" w:sz="4" w:space="0" w:color="000000"/>
            </w:tcBorders>
            <w:vAlign w:val="center"/>
            <w:hideMark/>
          </w:tcPr>
          <w:p w:rsidR="00862D81" w:rsidRDefault="00862D81" w:rsidP="00862D81">
            <w:pPr>
              <w:spacing w:after="0" w:line="240" w:lineRule="auto"/>
              <w:rPr>
                <w:lang w:eastAsia="en-US"/>
              </w:rPr>
            </w:pPr>
            <w:r>
              <w:rPr>
                <w:szCs w:val="22"/>
                <w:lang w:eastAsia="en-US"/>
              </w:rPr>
              <w:t>Свыше</w:t>
            </w:r>
            <w:r>
              <w:rPr>
                <w:bCs/>
                <w:szCs w:val="22"/>
                <w:lang w:eastAsia="en-US"/>
              </w:rPr>
              <w:t xml:space="preserve"> </w:t>
            </w:r>
            <w:r>
              <w:rPr>
                <w:szCs w:val="22"/>
                <w:lang w:eastAsia="en-US"/>
              </w:rPr>
              <w:t>50 000</w:t>
            </w:r>
            <w:r>
              <w:rPr>
                <w:bCs/>
                <w:szCs w:val="22"/>
                <w:lang w:eastAsia="en-US"/>
              </w:rPr>
              <w:t xml:space="preserve"> </w:t>
            </w:r>
            <w:r>
              <w:rPr>
                <w:szCs w:val="22"/>
                <w:lang w:eastAsia="en-US"/>
              </w:rPr>
              <w:t>до</w:t>
            </w:r>
            <w:r>
              <w:rPr>
                <w:bCs/>
                <w:szCs w:val="22"/>
                <w:lang w:eastAsia="en-US"/>
              </w:rPr>
              <w:t xml:space="preserve"> 100 000 </w:t>
            </w:r>
            <w:r>
              <w:rPr>
                <w:szCs w:val="22"/>
                <w:lang w:eastAsia="en-US"/>
              </w:rPr>
              <w:t>включительно</w:t>
            </w:r>
          </w:p>
        </w:tc>
        <w:tc>
          <w:tcPr>
            <w:tcW w:w="1523" w:type="pct"/>
            <w:tcBorders>
              <w:top w:val="single" w:sz="4" w:space="0" w:color="000000"/>
              <w:left w:val="single" w:sz="4" w:space="0" w:color="000000"/>
              <w:bottom w:val="single" w:sz="4" w:space="0" w:color="000000"/>
              <w:right w:val="single" w:sz="4" w:space="0" w:color="000000"/>
            </w:tcBorders>
            <w:vAlign w:val="center"/>
            <w:hideMark/>
          </w:tcPr>
          <w:p w:rsidR="00862D81" w:rsidRDefault="00862D81" w:rsidP="00862D81">
            <w:pPr>
              <w:spacing w:after="0" w:line="240" w:lineRule="auto"/>
              <w:jc w:val="center"/>
              <w:rPr>
                <w:lang w:eastAsia="en-US"/>
              </w:rPr>
            </w:pPr>
            <w:r>
              <w:rPr>
                <w:szCs w:val="22"/>
                <w:lang w:eastAsia="en-US"/>
              </w:rPr>
              <w:t>14</w:t>
            </w:r>
          </w:p>
        </w:tc>
      </w:tr>
      <w:tr w:rsidR="00862D81" w:rsidTr="00BD58BF">
        <w:trPr>
          <w:trHeight w:val="454"/>
        </w:trPr>
        <w:tc>
          <w:tcPr>
            <w:tcW w:w="287" w:type="pct"/>
            <w:tcBorders>
              <w:top w:val="single" w:sz="4" w:space="0" w:color="000000"/>
              <w:left w:val="single" w:sz="4" w:space="0" w:color="000000"/>
              <w:bottom w:val="single" w:sz="4" w:space="0" w:color="000000"/>
              <w:right w:val="single" w:sz="4" w:space="0" w:color="000000"/>
            </w:tcBorders>
            <w:vAlign w:val="center"/>
            <w:hideMark/>
          </w:tcPr>
          <w:p w:rsidR="00862D81" w:rsidRDefault="00862D81" w:rsidP="00862D81">
            <w:pPr>
              <w:spacing w:after="0" w:line="240" w:lineRule="auto"/>
              <w:rPr>
                <w:lang w:eastAsia="en-US"/>
              </w:rPr>
            </w:pPr>
            <w:r>
              <w:rPr>
                <w:szCs w:val="22"/>
                <w:lang w:eastAsia="en-US"/>
              </w:rPr>
              <w:t>5.</w:t>
            </w:r>
          </w:p>
        </w:tc>
        <w:tc>
          <w:tcPr>
            <w:tcW w:w="3190" w:type="pct"/>
            <w:tcBorders>
              <w:top w:val="single" w:sz="4" w:space="0" w:color="000000"/>
              <w:left w:val="single" w:sz="4" w:space="0" w:color="000000"/>
              <w:bottom w:val="single" w:sz="4" w:space="0" w:color="000000"/>
              <w:right w:val="single" w:sz="4" w:space="0" w:color="000000"/>
            </w:tcBorders>
            <w:vAlign w:val="center"/>
            <w:hideMark/>
          </w:tcPr>
          <w:p w:rsidR="00862D81" w:rsidRDefault="00862D81" w:rsidP="00862D81">
            <w:pPr>
              <w:spacing w:after="0" w:line="240" w:lineRule="auto"/>
              <w:rPr>
                <w:lang w:eastAsia="en-US"/>
              </w:rPr>
            </w:pPr>
            <w:r>
              <w:rPr>
                <w:szCs w:val="22"/>
                <w:lang w:eastAsia="en-US"/>
              </w:rPr>
              <w:t>Свыше</w:t>
            </w:r>
            <w:r>
              <w:rPr>
                <w:bCs/>
                <w:szCs w:val="22"/>
                <w:lang w:eastAsia="en-US"/>
              </w:rPr>
              <w:t xml:space="preserve"> 100 000 </w:t>
            </w:r>
            <w:r>
              <w:rPr>
                <w:szCs w:val="22"/>
                <w:lang w:eastAsia="en-US"/>
              </w:rPr>
              <w:t>до</w:t>
            </w:r>
            <w:r>
              <w:rPr>
                <w:bCs/>
                <w:szCs w:val="22"/>
                <w:lang w:eastAsia="en-US"/>
              </w:rPr>
              <w:t xml:space="preserve"> 500 000 </w:t>
            </w:r>
            <w:r>
              <w:rPr>
                <w:szCs w:val="22"/>
                <w:lang w:eastAsia="en-US"/>
              </w:rPr>
              <w:t>включительно</w:t>
            </w:r>
          </w:p>
        </w:tc>
        <w:tc>
          <w:tcPr>
            <w:tcW w:w="1523" w:type="pct"/>
            <w:tcBorders>
              <w:top w:val="single" w:sz="4" w:space="0" w:color="000000"/>
              <w:left w:val="single" w:sz="4" w:space="0" w:color="000000"/>
              <w:bottom w:val="single" w:sz="4" w:space="0" w:color="000000"/>
              <w:right w:val="single" w:sz="4" w:space="0" w:color="000000"/>
            </w:tcBorders>
            <w:vAlign w:val="center"/>
            <w:hideMark/>
          </w:tcPr>
          <w:p w:rsidR="00862D81" w:rsidRDefault="00862D81" w:rsidP="00862D81">
            <w:pPr>
              <w:spacing w:after="0" w:line="240" w:lineRule="auto"/>
              <w:jc w:val="center"/>
              <w:rPr>
                <w:lang w:eastAsia="en-US"/>
              </w:rPr>
            </w:pPr>
            <w:r>
              <w:rPr>
                <w:szCs w:val="22"/>
                <w:lang w:eastAsia="en-US"/>
              </w:rPr>
              <w:t>7</w:t>
            </w:r>
          </w:p>
        </w:tc>
      </w:tr>
      <w:tr w:rsidR="00862D81" w:rsidTr="00BD58BF">
        <w:trPr>
          <w:trHeight w:val="454"/>
        </w:trPr>
        <w:tc>
          <w:tcPr>
            <w:tcW w:w="287" w:type="pct"/>
            <w:tcBorders>
              <w:top w:val="single" w:sz="4" w:space="0" w:color="000000"/>
              <w:left w:val="single" w:sz="4" w:space="0" w:color="000000"/>
              <w:bottom w:val="single" w:sz="4" w:space="0" w:color="000000"/>
              <w:right w:val="single" w:sz="4" w:space="0" w:color="000000"/>
            </w:tcBorders>
            <w:vAlign w:val="center"/>
            <w:hideMark/>
          </w:tcPr>
          <w:p w:rsidR="00862D81" w:rsidRDefault="00862D81" w:rsidP="00862D81">
            <w:pPr>
              <w:spacing w:after="0" w:line="240" w:lineRule="auto"/>
              <w:rPr>
                <w:lang w:eastAsia="en-US"/>
              </w:rPr>
            </w:pPr>
            <w:r>
              <w:rPr>
                <w:szCs w:val="22"/>
                <w:lang w:eastAsia="en-US"/>
              </w:rPr>
              <w:t>6.</w:t>
            </w:r>
          </w:p>
        </w:tc>
        <w:tc>
          <w:tcPr>
            <w:tcW w:w="3190" w:type="pct"/>
            <w:tcBorders>
              <w:top w:val="single" w:sz="4" w:space="0" w:color="000000"/>
              <w:left w:val="single" w:sz="4" w:space="0" w:color="000000"/>
              <w:bottom w:val="single" w:sz="4" w:space="0" w:color="000000"/>
              <w:right w:val="single" w:sz="4" w:space="0" w:color="000000"/>
            </w:tcBorders>
            <w:vAlign w:val="center"/>
            <w:hideMark/>
          </w:tcPr>
          <w:p w:rsidR="00862D81" w:rsidRDefault="00862D81" w:rsidP="00862D81">
            <w:pPr>
              <w:spacing w:after="0" w:line="240" w:lineRule="auto"/>
              <w:rPr>
                <w:lang w:eastAsia="en-US"/>
              </w:rPr>
            </w:pPr>
            <w:r>
              <w:rPr>
                <w:szCs w:val="22"/>
                <w:lang w:eastAsia="en-US"/>
              </w:rPr>
              <w:t>Свыше</w:t>
            </w:r>
            <w:r>
              <w:rPr>
                <w:bCs/>
                <w:szCs w:val="22"/>
                <w:lang w:eastAsia="en-US"/>
              </w:rPr>
              <w:t xml:space="preserve"> </w:t>
            </w:r>
            <w:r>
              <w:rPr>
                <w:szCs w:val="22"/>
                <w:lang w:eastAsia="en-US"/>
              </w:rPr>
              <w:t>500 000</w:t>
            </w:r>
            <w:r>
              <w:rPr>
                <w:bCs/>
                <w:szCs w:val="22"/>
                <w:lang w:eastAsia="en-US"/>
              </w:rPr>
              <w:t xml:space="preserve"> </w:t>
            </w:r>
            <w:r>
              <w:rPr>
                <w:szCs w:val="22"/>
                <w:lang w:eastAsia="en-US"/>
              </w:rPr>
              <w:t>рублей</w:t>
            </w:r>
          </w:p>
        </w:tc>
        <w:tc>
          <w:tcPr>
            <w:tcW w:w="1523" w:type="pct"/>
            <w:tcBorders>
              <w:top w:val="single" w:sz="4" w:space="0" w:color="000000"/>
              <w:left w:val="single" w:sz="4" w:space="0" w:color="000000"/>
              <w:bottom w:val="single" w:sz="4" w:space="0" w:color="000000"/>
              <w:right w:val="single" w:sz="4" w:space="0" w:color="000000"/>
            </w:tcBorders>
            <w:vAlign w:val="center"/>
            <w:hideMark/>
          </w:tcPr>
          <w:p w:rsidR="00862D81" w:rsidRDefault="00862D81" w:rsidP="00862D81">
            <w:pPr>
              <w:spacing w:after="0" w:line="240" w:lineRule="auto"/>
              <w:jc w:val="center"/>
              <w:rPr>
                <w:lang w:eastAsia="en-US"/>
              </w:rPr>
            </w:pPr>
            <w:r>
              <w:rPr>
                <w:szCs w:val="22"/>
                <w:lang w:eastAsia="en-US"/>
              </w:rPr>
              <w:t>3</w:t>
            </w:r>
          </w:p>
        </w:tc>
      </w:tr>
    </w:tbl>
    <w:p w:rsidR="00862D81" w:rsidRDefault="00862D81" w:rsidP="00862D81">
      <w:pPr>
        <w:autoSpaceDE w:val="0"/>
        <w:autoSpaceDN w:val="0"/>
        <w:adjustRightInd w:val="0"/>
        <w:spacing w:line="240" w:lineRule="auto"/>
        <w:ind w:firstLine="567"/>
        <w:jc w:val="both"/>
        <w:rPr>
          <w:rFonts w:ascii="Times New Roman CYR" w:hAnsi="Times New Roman CYR" w:cs="Times New Roman CYR"/>
          <w:sz w:val="28"/>
          <w:szCs w:val="28"/>
        </w:rPr>
      </w:pPr>
      <w:r>
        <w:rPr>
          <w:rFonts w:ascii="Times New Roman CYR" w:hAnsi="Times New Roman CYR" w:cs="Times New Roman CYR"/>
          <w:sz w:val="28"/>
          <w:szCs w:val="28"/>
        </w:rPr>
        <w:t xml:space="preserve">С информацией о предельных размерах оптовых надбавок к фактическим отпускным ценам на медицинские изделия, включенные в утвержденный Правительством Российской Федерации перечень медицинских изделий, имплантируемых в организм человека при оказании медицинской помощи в рамках программы государственных гарантий бесплатного оказания гражданам медицинской помощи  можно ознакомиться на официальном сайте департамента в информационно-телекоммуникационной сети «Интернет» </w:t>
      </w:r>
      <w:hyperlink r:id="rId96" w:history="1">
        <w:r>
          <w:rPr>
            <w:rStyle w:val="af0"/>
            <w:rFonts w:ascii="Times New Roman CYR" w:hAnsi="Times New Roman CYR" w:cs="Times New Roman CYR"/>
          </w:rPr>
          <w:t>https://tarif.nso.ru/page/334</w:t>
        </w:r>
      </w:hyperlink>
      <w:r>
        <w:rPr>
          <w:rFonts w:ascii="Times New Roman CYR" w:hAnsi="Times New Roman CYR" w:cs="Times New Roman CYR"/>
          <w:sz w:val="28"/>
          <w:szCs w:val="28"/>
        </w:rPr>
        <w:t>.</w:t>
      </w:r>
    </w:p>
    <w:p w:rsidR="00862D81" w:rsidRDefault="00862D81" w:rsidP="00862D81">
      <w:pPr>
        <w:pStyle w:val="af7"/>
        <w:spacing w:after="0" w:line="240" w:lineRule="auto"/>
        <w:ind w:left="0"/>
        <w:jc w:val="both"/>
        <w:rPr>
          <w:b/>
          <w:sz w:val="28"/>
          <w:szCs w:val="28"/>
        </w:rPr>
      </w:pPr>
    </w:p>
    <w:p w:rsidR="00862D81" w:rsidRDefault="00862D81" w:rsidP="0061749D">
      <w:pPr>
        <w:pStyle w:val="af7"/>
        <w:spacing w:after="0" w:line="240" w:lineRule="auto"/>
        <w:ind w:left="0" w:firstLine="426"/>
        <w:jc w:val="both"/>
        <w:rPr>
          <w:b/>
          <w:sz w:val="28"/>
          <w:szCs w:val="28"/>
        </w:rPr>
      </w:pPr>
      <w:r w:rsidRPr="00862D81">
        <w:rPr>
          <w:b/>
          <w:sz w:val="28"/>
          <w:szCs w:val="28"/>
        </w:rPr>
        <w:t>2.</w:t>
      </w:r>
      <w:r w:rsidR="00B17B10">
        <w:rPr>
          <w:b/>
          <w:sz w:val="28"/>
          <w:szCs w:val="28"/>
        </w:rPr>
        <w:t>8</w:t>
      </w:r>
      <w:r w:rsidRPr="00862D81">
        <w:rPr>
          <w:b/>
          <w:sz w:val="28"/>
          <w:szCs w:val="28"/>
        </w:rPr>
        <w:t>.3 Стоимость услуг, предоставляемых согласно гарантированному перечню услуг по погребению</w:t>
      </w:r>
    </w:p>
    <w:p w:rsidR="00862D81" w:rsidRDefault="00862D81" w:rsidP="00862D81">
      <w:pPr>
        <w:spacing w:after="0" w:line="240" w:lineRule="auto"/>
        <w:ind w:firstLine="709"/>
        <w:jc w:val="both"/>
        <w:rPr>
          <w:rFonts w:eastAsia="Calibri"/>
          <w:sz w:val="28"/>
          <w:szCs w:val="28"/>
        </w:rPr>
      </w:pPr>
      <w:r>
        <w:rPr>
          <w:sz w:val="28"/>
          <w:szCs w:val="28"/>
        </w:rPr>
        <w:t>В соответствии с частью 3 статьи 9 Федерального закона от 12.01.1996 № 8-ФЗ «</w:t>
      </w:r>
      <w:r>
        <w:rPr>
          <w:rFonts w:eastAsia="Calibri"/>
          <w:sz w:val="28"/>
          <w:szCs w:val="28"/>
        </w:rPr>
        <w:t xml:space="preserve">О погребении и похоронном деле» в 2019 году решением заседания Правления департамента (протокол от 15.02.2019 № 5) по 420 муниципальным образованиям Новосибирской области посредством сбора и анализа информации в формате шаблона SOC.POGR.RAS.6.54 «Расчет стоимости услуг по погребению, </w:t>
      </w:r>
      <w:r>
        <w:rPr>
          <w:sz w:val="28"/>
          <w:szCs w:val="28"/>
        </w:rPr>
        <w:t>предоставляемых согласно гарантированному перечню услуг по погребению умершего</w:t>
      </w:r>
      <w:r>
        <w:rPr>
          <w:rFonts w:eastAsia="Calibri"/>
          <w:sz w:val="28"/>
          <w:szCs w:val="28"/>
        </w:rPr>
        <w:t>» в части регионального сегмента ФГИС ЕИАС ФСТ России проведено согласование стоимости услуг:</w:t>
      </w:r>
    </w:p>
    <w:p w:rsidR="00862D81" w:rsidRDefault="00862D81" w:rsidP="00862D81">
      <w:pPr>
        <w:spacing w:after="0" w:line="240" w:lineRule="auto"/>
        <w:ind w:firstLine="709"/>
        <w:jc w:val="both"/>
        <w:rPr>
          <w:rFonts w:eastAsia="Times New Roman"/>
          <w:sz w:val="28"/>
          <w:szCs w:val="28"/>
        </w:rPr>
      </w:pPr>
      <w:r>
        <w:rPr>
          <w:sz w:val="28"/>
          <w:szCs w:val="28"/>
        </w:rPr>
        <w:t>предоставляемых согласно гарантированному перечню услуг по погребению умершего, не имеющего супруга, близких родственников, законного представителя и иных лиц, взявших на себя обязанности по погребению умершего;</w:t>
      </w:r>
    </w:p>
    <w:p w:rsidR="00862D81" w:rsidRDefault="00862D81" w:rsidP="00862D81">
      <w:pPr>
        <w:spacing w:after="0" w:line="240" w:lineRule="auto"/>
        <w:ind w:firstLine="709"/>
        <w:jc w:val="both"/>
        <w:rPr>
          <w:sz w:val="28"/>
          <w:szCs w:val="28"/>
        </w:rPr>
      </w:pPr>
      <w:r>
        <w:rPr>
          <w:sz w:val="28"/>
          <w:szCs w:val="28"/>
        </w:rPr>
        <w:t>предоставляемых согласно гарантированному перечню услуг по погребению умерших (в том числе реабилитированных) лиц.</w:t>
      </w:r>
    </w:p>
    <w:p w:rsidR="00862D81" w:rsidRPr="008248F9" w:rsidRDefault="00862D81" w:rsidP="008248F9">
      <w:pPr>
        <w:spacing w:line="240" w:lineRule="auto"/>
        <w:ind w:firstLine="709"/>
        <w:jc w:val="both"/>
        <w:rPr>
          <w:sz w:val="28"/>
          <w:szCs w:val="28"/>
        </w:rPr>
      </w:pPr>
    </w:p>
    <w:p w:rsidR="005727C2" w:rsidRDefault="008248F9" w:rsidP="0061749D">
      <w:pPr>
        <w:spacing w:line="240" w:lineRule="auto"/>
        <w:jc w:val="center"/>
        <w:rPr>
          <w:b/>
          <w:sz w:val="32"/>
          <w:szCs w:val="32"/>
        </w:rPr>
      </w:pPr>
      <w:r w:rsidRPr="00AC77C2">
        <w:rPr>
          <w:b/>
          <w:sz w:val="32"/>
          <w:szCs w:val="32"/>
        </w:rPr>
        <w:lastRenderedPageBreak/>
        <w:t xml:space="preserve">2.9. </w:t>
      </w:r>
      <w:r w:rsidR="005727C2" w:rsidRPr="00AC77C2">
        <w:rPr>
          <w:b/>
          <w:sz w:val="32"/>
          <w:szCs w:val="32"/>
        </w:rPr>
        <w:t>Регулирование розничных цен на топливо твердое, топливо печное бытовое</w:t>
      </w:r>
    </w:p>
    <w:p w:rsidR="005727C2" w:rsidRDefault="005727C2" w:rsidP="008248F9">
      <w:pPr>
        <w:spacing w:line="240" w:lineRule="auto"/>
        <w:ind w:firstLine="709"/>
        <w:rPr>
          <w:b/>
          <w:snapToGrid w:val="0"/>
          <w:sz w:val="27"/>
          <w:szCs w:val="27"/>
          <w:u w:val="single"/>
        </w:rPr>
      </w:pPr>
      <w:r>
        <w:rPr>
          <w:b/>
          <w:snapToGrid w:val="0"/>
          <w:sz w:val="27"/>
          <w:szCs w:val="27"/>
          <w:u w:val="single"/>
        </w:rPr>
        <w:t>Дрова</w:t>
      </w:r>
    </w:p>
    <w:p w:rsidR="005727C2" w:rsidRDefault="005727C2" w:rsidP="008248F9">
      <w:pPr>
        <w:spacing w:line="240" w:lineRule="auto"/>
        <w:ind w:firstLine="709"/>
        <w:jc w:val="both"/>
        <w:rPr>
          <w:sz w:val="28"/>
          <w:szCs w:val="28"/>
        </w:rPr>
      </w:pPr>
      <w:r>
        <w:rPr>
          <w:sz w:val="28"/>
          <w:szCs w:val="28"/>
        </w:rPr>
        <w:t>Приказом департамента по тарифам Новосибирской области от 17.10.2019 № 303-ТС «Об установлении розничных предельных максимальных ценах на дрова, реализуемые гражданам, управляющим организациям, товариществам собственников жилья, жилищным, жилищно-строительным или иным специализированным потребительским кооперативам, созданным в целях удовлетворения потребностей граждан в жилье, и  о признании утратившим силу приказа департамента по тарифам Новосибирской области от 11.09.2018 № 228-ТС» с учетом дифференциации:</w:t>
      </w:r>
      <w:r>
        <w:rPr>
          <w:snapToGrid w:val="0"/>
          <w:sz w:val="28"/>
          <w:szCs w:val="28"/>
        </w:rPr>
        <w:t xml:space="preserve"> по двум лесорастительным зонам</w:t>
      </w:r>
      <w:r>
        <w:rPr>
          <w:sz w:val="28"/>
          <w:szCs w:val="28"/>
        </w:rPr>
        <w:t xml:space="preserve">, </w:t>
      </w:r>
      <w:r>
        <w:rPr>
          <w:snapToGrid w:val="0"/>
          <w:sz w:val="28"/>
          <w:szCs w:val="28"/>
        </w:rPr>
        <w:t xml:space="preserve">двум группам в зависимости от франко-границы реализации дров (верхний и нижний склад), степени технологической разделки дров, способа погрузки </w:t>
      </w:r>
      <w:r>
        <w:rPr>
          <w:sz w:val="28"/>
          <w:szCs w:val="28"/>
        </w:rPr>
        <w:t>дров в транспортное средство (вручную и механизированным способом) установлены с введением в действие с 01ноября 2019 года розничные предельные максимальные цены на дрова, реализуемые населению на территории Новосибирской области, в следующих размерах:</w:t>
      </w:r>
    </w:p>
    <w:tbl>
      <w:tblPr>
        <w:tblW w:w="9682" w:type="dxa"/>
        <w:tblInd w:w="91" w:type="dxa"/>
        <w:tblLayout w:type="fixed"/>
        <w:tblLook w:val="04A0" w:firstRow="1" w:lastRow="0" w:firstColumn="1" w:lastColumn="0" w:noHBand="0" w:noVBand="1"/>
      </w:tblPr>
      <w:tblGrid>
        <w:gridCol w:w="531"/>
        <w:gridCol w:w="1053"/>
        <w:gridCol w:w="1268"/>
        <w:gridCol w:w="1001"/>
        <w:gridCol w:w="1550"/>
        <w:gridCol w:w="1135"/>
        <w:gridCol w:w="1018"/>
        <w:gridCol w:w="1134"/>
        <w:gridCol w:w="992"/>
      </w:tblGrid>
      <w:tr w:rsidR="005727C2" w:rsidTr="008248F9">
        <w:trPr>
          <w:trHeight w:val="675"/>
        </w:trPr>
        <w:tc>
          <w:tcPr>
            <w:tcW w:w="531" w:type="dxa"/>
            <w:vMerge w:val="restart"/>
            <w:tcBorders>
              <w:top w:val="single" w:sz="4" w:space="0" w:color="auto"/>
              <w:left w:val="single" w:sz="4" w:space="0" w:color="auto"/>
              <w:bottom w:val="single" w:sz="4" w:space="0" w:color="auto"/>
              <w:right w:val="single" w:sz="4" w:space="0" w:color="auto"/>
            </w:tcBorders>
            <w:vAlign w:val="center"/>
            <w:hideMark/>
          </w:tcPr>
          <w:p w:rsidR="005727C2" w:rsidRDefault="005727C2" w:rsidP="0061749D">
            <w:pPr>
              <w:spacing w:after="0" w:line="240" w:lineRule="auto"/>
              <w:jc w:val="center"/>
            </w:pPr>
            <w:r>
              <w:rPr>
                <w:sz w:val="22"/>
                <w:szCs w:val="22"/>
              </w:rPr>
              <w:t>№ п/п</w:t>
            </w:r>
          </w:p>
        </w:tc>
        <w:tc>
          <w:tcPr>
            <w:tcW w:w="4872" w:type="dxa"/>
            <w:gridSpan w:val="4"/>
            <w:tcBorders>
              <w:top w:val="single" w:sz="4" w:space="0" w:color="auto"/>
              <w:left w:val="nil"/>
              <w:bottom w:val="single" w:sz="4" w:space="0" w:color="auto"/>
              <w:right w:val="single" w:sz="4" w:space="0" w:color="auto"/>
            </w:tcBorders>
            <w:vAlign w:val="center"/>
          </w:tcPr>
          <w:p w:rsidR="005727C2" w:rsidRDefault="005727C2" w:rsidP="0061749D">
            <w:pPr>
              <w:spacing w:after="0" w:line="240" w:lineRule="auto"/>
              <w:jc w:val="center"/>
            </w:pPr>
            <w:r>
              <w:rPr>
                <w:sz w:val="22"/>
                <w:szCs w:val="22"/>
              </w:rPr>
              <w:t>ДРОВА:</w:t>
            </w:r>
          </w:p>
          <w:p w:rsidR="005727C2" w:rsidRDefault="005727C2" w:rsidP="0061749D">
            <w:pPr>
              <w:spacing w:after="0" w:line="240" w:lineRule="auto"/>
              <w:jc w:val="center"/>
            </w:pPr>
          </w:p>
        </w:tc>
        <w:tc>
          <w:tcPr>
            <w:tcW w:w="1135" w:type="dxa"/>
            <w:vMerge w:val="restart"/>
            <w:tcBorders>
              <w:top w:val="single" w:sz="4" w:space="0" w:color="auto"/>
              <w:left w:val="single" w:sz="4" w:space="0" w:color="auto"/>
              <w:bottom w:val="single" w:sz="4" w:space="0" w:color="auto"/>
              <w:right w:val="single" w:sz="4" w:space="0" w:color="auto"/>
            </w:tcBorders>
            <w:vAlign w:val="center"/>
            <w:hideMark/>
          </w:tcPr>
          <w:p w:rsidR="005727C2" w:rsidRDefault="005727C2" w:rsidP="0061749D">
            <w:pPr>
              <w:spacing w:after="0" w:line="240" w:lineRule="auto"/>
              <w:jc w:val="center"/>
            </w:pPr>
            <w:r>
              <w:rPr>
                <w:sz w:val="22"/>
                <w:szCs w:val="22"/>
              </w:rPr>
              <w:t>Бревна, исполь-зуемые в качестве топлива                      (2,1 м - 6,5 м)</w:t>
            </w:r>
          </w:p>
        </w:tc>
        <w:tc>
          <w:tcPr>
            <w:tcW w:w="3144" w:type="dxa"/>
            <w:gridSpan w:val="3"/>
            <w:tcBorders>
              <w:top w:val="single" w:sz="4" w:space="0" w:color="auto"/>
              <w:left w:val="nil"/>
              <w:bottom w:val="single" w:sz="4" w:space="0" w:color="auto"/>
              <w:right w:val="single" w:sz="4" w:space="0" w:color="auto"/>
            </w:tcBorders>
            <w:vAlign w:val="center"/>
            <w:hideMark/>
          </w:tcPr>
          <w:p w:rsidR="005727C2" w:rsidRDefault="005727C2" w:rsidP="0061749D">
            <w:pPr>
              <w:spacing w:after="0" w:line="240" w:lineRule="auto"/>
              <w:jc w:val="center"/>
            </w:pPr>
            <w:r>
              <w:rPr>
                <w:sz w:val="22"/>
                <w:szCs w:val="22"/>
              </w:rPr>
              <w:t>Дрова разделанные в виде поленьев всех пород:</w:t>
            </w:r>
          </w:p>
        </w:tc>
      </w:tr>
      <w:tr w:rsidR="005727C2" w:rsidTr="008248F9">
        <w:trPr>
          <w:trHeight w:val="1200"/>
        </w:trPr>
        <w:tc>
          <w:tcPr>
            <w:tcW w:w="531" w:type="dxa"/>
            <w:vMerge/>
            <w:tcBorders>
              <w:top w:val="single" w:sz="4" w:space="0" w:color="auto"/>
              <w:left w:val="single" w:sz="4" w:space="0" w:color="auto"/>
              <w:bottom w:val="single" w:sz="4" w:space="0" w:color="auto"/>
              <w:right w:val="single" w:sz="4" w:space="0" w:color="auto"/>
            </w:tcBorders>
            <w:vAlign w:val="center"/>
            <w:hideMark/>
          </w:tcPr>
          <w:p w:rsidR="005727C2" w:rsidRDefault="005727C2" w:rsidP="0061749D">
            <w:pPr>
              <w:spacing w:line="240" w:lineRule="auto"/>
            </w:pPr>
          </w:p>
        </w:tc>
        <w:tc>
          <w:tcPr>
            <w:tcW w:w="1053" w:type="dxa"/>
            <w:tcBorders>
              <w:top w:val="nil"/>
              <w:left w:val="nil"/>
              <w:bottom w:val="single" w:sz="4" w:space="0" w:color="auto"/>
              <w:right w:val="single" w:sz="4" w:space="0" w:color="auto"/>
            </w:tcBorders>
            <w:vAlign w:val="center"/>
            <w:hideMark/>
          </w:tcPr>
          <w:p w:rsidR="005727C2" w:rsidRDefault="005727C2" w:rsidP="0061749D">
            <w:pPr>
              <w:spacing w:line="240" w:lineRule="auto"/>
              <w:jc w:val="center"/>
            </w:pPr>
            <w:r>
              <w:rPr>
                <w:sz w:val="22"/>
                <w:szCs w:val="22"/>
              </w:rPr>
              <w:t>реализу-емые:</w:t>
            </w:r>
          </w:p>
        </w:tc>
        <w:tc>
          <w:tcPr>
            <w:tcW w:w="1268" w:type="dxa"/>
            <w:tcBorders>
              <w:top w:val="nil"/>
              <w:left w:val="nil"/>
              <w:bottom w:val="single" w:sz="4" w:space="0" w:color="auto"/>
              <w:right w:val="single" w:sz="4" w:space="0" w:color="auto"/>
            </w:tcBorders>
            <w:vAlign w:val="center"/>
            <w:hideMark/>
          </w:tcPr>
          <w:p w:rsidR="005727C2" w:rsidRDefault="005727C2" w:rsidP="0061749D">
            <w:pPr>
              <w:spacing w:line="240" w:lineRule="auto"/>
              <w:jc w:val="center"/>
            </w:pPr>
            <w:r>
              <w:rPr>
                <w:sz w:val="22"/>
                <w:szCs w:val="22"/>
              </w:rPr>
              <w:t>лесорасти-тельная зона</w:t>
            </w:r>
          </w:p>
        </w:tc>
        <w:tc>
          <w:tcPr>
            <w:tcW w:w="2551" w:type="dxa"/>
            <w:gridSpan w:val="2"/>
            <w:tcBorders>
              <w:top w:val="single" w:sz="4" w:space="0" w:color="auto"/>
              <w:left w:val="nil"/>
              <w:bottom w:val="single" w:sz="4" w:space="0" w:color="auto"/>
              <w:right w:val="single" w:sz="4" w:space="0" w:color="auto"/>
            </w:tcBorders>
            <w:vAlign w:val="center"/>
            <w:hideMark/>
          </w:tcPr>
          <w:p w:rsidR="005727C2" w:rsidRDefault="005727C2" w:rsidP="0061749D">
            <w:pPr>
              <w:spacing w:line="240" w:lineRule="auto"/>
              <w:jc w:val="center"/>
            </w:pPr>
            <w:r>
              <w:rPr>
                <w:sz w:val="22"/>
                <w:szCs w:val="22"/>
              </w:rPr>
              <w:t>погрузка в транспортное средство</w:t>
            </w:r>
          </w:p>
        </w:tc>
        <w:tc>
          <w:tcPr>
            <w:tcW w:w="1135" w:type="dxa"/>
            <w:vMerge/>
            <w:tcBorders>
              <w:top w:val="single" w:sz="4" w:space="0" w:color="auto"/>
              <w:left w:val="single" w:sz="4" w:space="0" w:color="auto"/>
              <w:bottom w:val="single" w:sz="4" w:space="0" w:color="auto"/>
              <w:right w:val="single" w:sz="4" w:space="0" w:color="auto"/>
            </w:tcBorders>
            <w:vAlign w:val="center"/>
            <w:hideMark/>
          </w:tcPr>
          <w:p w:rsidR="005727C2" w:rsidRDefault="005727C2" w:rsidP="0061749D">
            <w:pPr>
              <w:spacing w:line="240" w:lineRule="auto"/>
            </w:pPr>
          </w:p>
        </w:tc>
        <w:tc>
          <w:tcPr>
            <w:tcW w:w="1018" w:type="dxa"/>
            <w:tcBorders>
              <w:top w:val="nil"/>
              <w:left w:val="nil"/>
              <w:bottom w:val="single" w:sz="4" w:space="0" w:color="auto"/>
              <w:right w:val="single" w:sz="4" w:space="0" w:color="auto"/>
            </w:tcBorders>
            <w:vAlign w:val="center"/>
            <w:hideMark/>
          </w:tcPr>
          <w:p w:rsidR="005727C2" w:rsidRDefault="005727C2" w:rsidP="0061749D">
            <w:pPr>
              <w:spacing w:line="240" w:lineRule="auto"/>
              <w:jc w:val="center"/>
            </w:pPr>
            <w:r>
              <w:rPr>
                <w:sz w:val="22"/>
                <w:szCs w:val="22"/>
              </w:rPr>
              <w:t>Разделанные до 2,0 м</w:t>
            </w:r>
          </w:p>
        </w:tc>
        <w:tc>
          <w:tcPr>
            <w:tcW w:w="1134" w:type="dxa"/>
            <w:tcBorders>
              <w:top w:val="nil"/>
              <w:left w:val="nil"/>
              <w:bottom w:val="single" w:sz="4" w:space="0" w:color="auto"/>
              <w:right w:val="single" w:sz="4" w:space="0" w:color="auto"/>
            </w:tcBorders>
            <w:vAlign w:val="center"/>
            <w:hideMark/>
          </w:tcPr>
          <w:p w:rsidR="005727C2" w:rsidRDefault="005727C2" w:rsidP="0061749D">
            <w:pPr>
              <w:spacing w:line="240" w:lineRule="auto"/>
              <w:jc w:val="center"/>
            </w:pPr>
            <w:r>
              <w:rPr>
                <w:sz w:val="22"/>
                <w:szCs w:val="22"/>
              </w:rPr>
              <w:t>Разделан-</w:t>
            </w:r>
          </w:p>
          <w:p w:rsidR="005727C2" w:rsidRDefault="005727C2" w:rsidP="0061749D">
            <w:pPr>
              <w:spacing w:line="240" w:lineRule="auto"/>
              <w:jc w:val="center"/>
            </w:pPr>
            <w:r>
              <w:rPr>
                <w:sz w:val="22"/>
                <w:szCs w:val="22"/>
              </w:rPr>
              <w:t>ные до 0,5 м</w:t>
            </w:r>
          </w:p>
        </w:tc>
        <w:tc>
          <w:tcPr>
            <w:tcW w:w="992" w:type="dxa"/>
            <w:tcBorders>
              <w:top w:val="nil"/>
              <w:left w:val="nil"/>
              <w:bottom w:val="single" w:sz="4" w:space="0" w:color="auto"/>
              <w:right w:val="single" w:sz="4" w:space="0" w:color="auto"/>
            </w:tcBorders>
            <w:vAlign w:val="center"/>
            <w:hideMark/>
          </w:tcPr>
          <w:p w:rsidR="005727C2" w:rsidRDefault="005727C2" w:rsidP="0061749D">
            <w:pPr>
              <w:spacing w:line="240" w:lineRule="auto"/>
              <w:jc w:val="center"/>
            </w:pPr>
            <w:r>
              <w:rPr>
                <w:sz w:val="22"/>
                <w:szCs w:val="22"/>
              </w:rPr>
              <w:t>Разделанные до 0,5 м, колотые</w:t>
            </w:r>
          </w:p>
        </w:tc>
      </w:tr>
      <w:tr w:rsidR="005727C2" w:rsidTr="008248F9">
        <w:trPr>
          <w:trHeight w:val="495"/>
        </w:trPr>
        <w:tc>
          <w:tcPr>
            <w:tcW w:w="531" w:type="dxa"/>
            <w:vMerge w:val="restart"/>
            <w:tcBorders>
              <w:top w:val="nil"/>
              <w:left w:val="single" w:sz="4" w:space="0" w:color="auto"/>
              <w:bottom w:val="single" w:sz="4" w:space="0" w:color="auto"/>
              <w:right w:val="single" w:sz="4" w:space="0" w:color="auto"/>
            </w:tcBorders>
            <w:vAlign w:val="center"/>
            <w:hideMark/>
          </w:tcPr>
          <w:p w:rsidR="005727C2" w:rsidRDefault="005727C2" w:rsidP="0061749D">
            <w:pPr>
              <w:spacing w:line="240" w:lineRule="auto"/>
              <w:jc w:val="center"/>
            </w:pPr>
            <w:r>
              <w:rPr>
                <w:sz w:val="22"/>
                <w:szCs w:val="22"/>
              </w:rPr>
              <w:t>1</w:t>
            </w:r>
          </w:p>
        </w:tc>
        <w:tc>
          <w:tcPr>
            <w:tcW w:w="1053" w:type="dxa"/>
            <w:vMerge w:val="restart"/>
            <w:tcBorders>
              <w:top w:val="nil"/>
              <w:left w:val="single" w:sz="4" w:space="0" w:color="auto"/>
              <w:bottom w:val="single" w:sz="4" w:space="0" w:color="auto"/>
              <w:right w:val="single" w:sz="4" w:space="0" w:color="auto"/>
            </w:tcBorders>
            <w:vAlign w:val="center"/>
            <w:hideMark/>
          </w:tcPr>
          <w:p w:rsidR="005727C2" w:rsidRDefault="005727C2" w:rsidP="0061749D">
            <w:pPr>
              <w:spacing w:line="240" w:lineRule="auto"/>
              <w:jc w:val="center"/>
            </w:pPr>
            <w:r>
              <w:rPr>
                <w:sz w:val="22"/>
                <w:szCs w:val="22"/>
              </w:rPr>
              <w:t>с верхнего склада</w:t>
            </w:r>
          </w:p>
        </w:tc>
        <w:tc>
          <w:tcPr>
            <w:tcW w:w="1268" w:type="dxa"/>
            <w:vMerge w:val="restart"/>
            <w:tcBorders>
              <w:top w:val="nil"/>
              <w:left w:val="single" w:sz="4" w:space="0" w:color="auto"/>
              <w:bottom w:val="single" w:sz="4" w:space="0" w:color="auto"/>
              <w:right w:val="single" w:sz="4" w:space="0" w:color="auto"/>
            </w:tcBorders>
            <w:vAlign w:val="center"/>
            <w:hideMark/>
          </w:tcPr>
          <w:p w:rsidR="005727C2" w:rsidRDefault="005727C2" w:rsidP="0061749D">
            <w:pPr>
              <w:spacing w:line="240" w:lineRule="auto"/>
              <w:jc w:val="center"/>
            </w:pPr>
            <w:r>
              <w:rPr>
                <w:sz w:val="22"/>
                <w:szCs w:val="22"/>
              </w:rPr>
              <w:t>приобско-боровая зона</w:t>
            </w:r>
          </w:p>
        </w:tc>
        <w:tc>
          <w:tcPr>
            <w:tcW w:w="2551" w:type="dxa"/>
            <w:gridSpan w:val="2"/>
            <w:tcBorders>
              <w:top w:val="single" w:sz="4" w:space="0" w:color="auto"/>
              <w:left w:val="nil"/>
              <w:bottom w:val="single" w:sz="4" w:space="0" w:color="auto"/>
              <w:right w:val="single" w:sz="4" w:space="0" w:color="auto"/>
            </w:tcBorders>
            <w:vAlign w:val="center"/>
            <w:hideMark/>
          </w:tcPr>
          <w:p w:rsidR="005727C2" w:rsidRDefault="005727C2" w:rsidP="0061749D">
            <w:pPr>
              <w:spacing w:line="240" w:lineRule="auto"/>
              <w:jc w:val="center"/>
            </w:pPr>
            <w:r>
              <w:rPr>
                <w:sz w:val="22"/>
                <w:szCs w:val="22"/>
              </w:rPr>
              <w:t xml:space="preserve">без погрузки </w:t>
            </w:r>
          </w:p>
        </w:tc>
        <w:tc>
          <w:tcPr>
            <w:tcW w:w="1135" w:type="dxa"/>
            <w:tcBorders>
              <w:top w:val="nil"/>
              <w:left w:val="nil"/>
              <w:bottom w:val="single" w:sz="4" w:space="0" w:color="auto"/>
              <w:right w:val="single" w:sz="4" w:space="0" w:color="auto"/>
            </w:tcBorders>
            <w:vAlign w:val="center"/>
            <w:hideMark/>
          </w:tcPr>
          <w:p w:rsidR="005727C2" w:rsidRDefault="005727C2" w:rsidP="0061749D">
            <w:pPr>
              <w:spacing w:line="240" w:lineRule="auto"/>
              <w:jc w:val="center"/>
            </w:pPr>
            <w:r>
              <w:rPr>
                <w:sz w:val="22"/>
                <w:szCs w:val="22"/>
              </w:rPr>
              <w:t>261</w:t>
            </w:r>
          </w:p>
        </w:tc>
        <w:tc>
          <w:tcPr>
            <w:tcW w:w="1018" w:type="dxa"/>
            <w:tcBorders>
              <w:top w:val="nil"/>
              <w:left w:val="nil"/>
              <w:bottom w:val="single" w:sz="4" w:space="0" w:color="auto"/>
              <w:right w:val="single" w:sz="4" w:space="0" w:color="auto"/>
            </w:tcBorders>
            <w:vAlign w:val="center"/>
            <w:hideMark/>
          </w:tcPr>
          <w:p w:rsidR="005727C2" w:rsidRDefault="005727C2" w:rsidP="0061749D">
            <w:pPr>
              <w:spacing w:line="240" w:lineRule="auto"/>
              <w:jc w:val="center"/>
            </w:pPr>
            <w:r>
              <w:rPr>
                <w:sz w:val="22"/>
                <w:szCs w:val="22"/>
              </w:rPr>
              <w:t>288</w:t>
            </w:r>
          </w:p>
        </w:tc>
        <w:tc>
          <w:tcPr>
            <w:tcW w:w="1134" w:type="dxa"/>
            <w:tcBorders>
              <w:top w:val="nil"/>
              <w:left w:val="nil"/>
              <w:bottom w:val="single" w:sz="4" w:space="0" w:color="auto"/>
              <w:right w:val="single" w:sz="4" w:space="0" w:color="auto"/>
            </w:tcBorders>
            <w:vAlign w:val="center"/>
            <w:hideMark/>
          </w:tcPr>
          <w:p w:rsidR="005727C2" w:rsidRDefault="005727C2" w:rsidP="0061749D">
            <w:pPr>
              <w:spacing w:line="240" w:lineRule="auto"/>
              <w:jc w:val="center"/>
            </w:pPr>
            <w:r>
              <w:rPr>
                <w:sz w:val="22"/>
                <w:szCs w:val="22"/>
              </w:rPr>
              <w:t>307</w:t>
            </w:r>
          </w:p>
        </w:tc>
        <w:tc>
          <w:tcPr>
            <w:tcW w:w="992" w:type="dxa"/>
            <w:tcBorders>
              <w:top w:val="nil"/>
              <w:left w:val="nil"/>
              <w:bottom w:val="single" w:sz="4" w:space="0" w:color="auto"/>
              <w:right w:val="single" w:sz="4" w:space="0" w:color="auto"/>
            </w:tcBorders>
            <w:vAlign w:val="center"/>
            <w:hideMark/>
          </w:tcPr>
          <w:p w:rsidR="005727C2" w:rsidRDefault="005727C2" w:rsidP="0061749D">
            <w:pPr>
              <w:spacing w:line="240" w:lineRule="auto"/>
              <w:jc w:val="center"/>
            </w:pPr>
            <w:r>
              <w:rPr>
                <w:sz w:val="22"/>
                <w:szCs w:val="22"/>
              </w:rPr>
              <w:t>374</w:t>
            </w:r>
          </w:p>
        </w:tc>
      </w:tr>
      <w:tr w:rsidR="005727C2" w:rsidTr="008248F9">
        <w:trPr>
          <w:trHeight w:val="402"/>
        </w:trPr>
        <w:tc>
          <w:tcPr>
            <w:tcW w:w="531" w:type="dxa"/>
            <w:vMerge/>
            <w:tcBorders>
              <w:top w:val="nil"/>
              <w:left w:val="single" w:sz="4" w:space="0" w:color="auto"/>
              <w:bottom w:val="single" w:sz="4" w:space="0" w:color="auto"/>
              <w:right w:val="single" w:sz="4" w:space="0" w:color="auto"/>
            </w:tcBorders>
            <w:vAlign w:val="center"/>
            <w:hideMark/>
          </w:tcPr>
          <w:p w:rsidR="005727C2" w:rsidRDefault="005727C2" w:rsidP="0061749D">
            <w:pPr>
              <w:spacing w:line="240" w:lineRule="auto"/>
            </w:pPr>
          </w:p>
        </w:tc>
        <w:tc>
          <w:tcPr>
            <w:tcW w:w="1053" w:type="dxa"/>
            <w:vMerge/>
            <w:tcBorders>
              <w:top w:val="nil"/>
              <w:left w:val="single" w:sz="4" w:space="0" w:color="auto"/>
              <w:bottom w:val="single" w:sz="4" w:space="0" w:color="auto"/>
              <w:right w:val="single" w:sz="4" w:space="0" w:color="auto"/>
            </w:tcBorders>
            <w:vAlign w:val="center"/>
            <w:hideMark/>
          </w:tcPr>
          <w:p w:rsidR="005727C2" w:rsidRDefault="005727C2" w:rsidP="0061749D">
            <w:pPr>
              <w:spacing w:line="240" w:lineRule="auto"/>
            </w:pPr>
          </w:p>
        </w:tc>
        <w:tc>
          <w:tcPr>
            <w:tcW w:w="1268" w:type="dxa"/>
            <w:vMerge/>
            <w:tcBorders>
              <w:top w:val="nil"/>
              <w:left w:val="single" w:sz="4" w:space="0" w:color="auto"/>
              <w:bottom w:val="single" w:sz="4" w:space="0" w:color="auto"/>
              <w:right w:val="single" w:sz="4" w:space="0" w:color="auto"/>
            </w:tcBorders>
            <w:vAlign w:val="center"/>
            <w:hideMark/>
          </w:tcPr>
          <w:p w:rsidR="005727C2" w:rsidRDefault="005727C2" w:rsidP="0061749D">
            <w:pPr>
              <w:spacing w:line="240" w:lineRule="auto"/>
            </w:pPr>
          </w:p>
        </w:tc>
        <w:tc>
          <w:tcPr>
            <w:tcW w:w="1001" w:type="dxa"/>
            <w:vMerge w:val="restart"/>
            <w:tcBorders>
              <w:top w:val="nil"/>
              <w:left w:val="single" w:sz="4" w:space="0" w:color="auto"/>
              <w:bottom w:val="single" w:sz="4" w:space="0" w:color="auto"/>
              <w:right w:val="single" w:sz="4" w:space="0" w:color="auto"/>
            </w:tcBorders>
            <w:vAlign w:val="center"/>
            <w:hideMark/>
          </w:tcPr>
          <w:p w:rsidR="005727C2" w:rsidRDefault="005727C2" w:rsidP="0061749D">
            <w:pPr>
              <w:spacing w:line="240" w:lineRule="auto"/>
              <w:jc w:val="center"/>
            </w:pPr>
            <w:r>
              <w:rPr>
                <w:sz w:val="22"/>
                <w:szCs w:val="22"/>
              </w:rPr>
              <w:t xml:space="preserve">с погрузкой </w:t>
            </w:r>
          </w:p>
        </w:tc>
        <w:tc>
          <w:tcPr>
            <w:tcW w:w="1550" w:type="dxa"/>
            <w:tcBorders>
              <w:top w:val="nil"/>
              <w:left w:val="nil"/>
              <w:bottom w:val="single" w:sz="4" w:space="0" w:color="auto"/>
              <w:right w:val="single" w:sz="4" w:space="0" w:color="auto"/>
            </w:tcBorders>
            <w:vAlign w:val="center"/>
            <w:hideMark/>
          </w:tcPr>
          <w:p w:rsidR="005727C2" w:rsidRDefault="005727C2" w:rsidP="0061749D">
            <w:pPr>
              <w:spacing w:line="240" w:lineRule="auto"/>
              <w:jc w:val="center"/>
            </w:pPr>
            <w:r>
              <w:rPr>
                <w:sz w:val="22"/>
                <w:szCs w:val="22"/>
              </w:rPr>
              <w:t>вручную</w:t>
            </w:r>
          </w:p>
        </w:tc>
        <w:tc>
          <w:tcPr>
            <w:tcW w:w="1135" w:type="dxa"/>
            <w:tcBorders>
              <w:top w:val="nil"/>
              <w:left w:val="nil"/>
              <w:bottom w:val="single" w:sz="4" w:space="0" w:color="auto"/>
              <w:right w:val="single" w:sz="4" w:space="0" w:color="auto"/>
            </w:tcBorders>
            <w:vAlign w:val="center"/>
            <w:hideMark/>
          </w:tcPr>
          <w:p w:rsidR="005727C2" w:rsidRDefault="005727C2" w:rsidP="0061749D">
            <w:pPr>
              <w:spacing w:line="240" w:lineRule="auto"/>
              <w:jc w:val="center"/>
            </w:pPr>
            <w:r>
              <w:rPr>
                <w:sz w:val="22"/>
                <w:szCs w:val="22"/>
              </w:rPr>
              <w:t>326</w:t>
            </w:r>
          </w:p>
        </w:tc>
        <w:tc>
          <w:tcPr>
            <w:tcW w:w="1018" w:type="dxa"/>
            <w:tcBorders>
              <w:top w:val="nil"/>
              <w:left w:val="nil"/>
              <w:bottom w:val="single" w:sz="4" w:space="0" w:color="auto"/>
              <w:right w:val="single" w:sz="4" w:space="0" w:color="auto"/>
            </w:tcBorders>
            <w:vAlign w:val="center"/>
            <w:hideMark/>
          </w:tcPr>
          <w:p w:rsidR="005727C2" w:rsidRDefault="005727C2" w:rsidP="0061749D">
            <w:pPr>
              <w:spacing w:line="240" w:lineRule="auto"/>
              <w:jc w:val="center"/>
            </w:pPr>
            <w:r>
              <w:rPr>
                <w:sz w:val="22"/>
                <w:szCs w:val="22"/>
              </w:rPr>
              <w:t>353</w:t>
            </w:r>
          </w:p>
        </w:tc>
        <w:tc>
          <w:tcPr>
            <w:tcW w:w="1134" w:type="dxa"/>
            <w:tcBorders>
              <w:top w:val="nil"/>
              <w:left w:val="nil"/>
              <w:bottom w:val="single" w:sz="4" w:space="0" w:color="auto"/>
              <w:right w:val="single" w:sz="4" w:space="0" w:color="auto"/>
            </w:tcBorders>
            <w:vAlign w:val="center"/>
            <w:hideMark/>
          </w:tcPr>
          <w:p w:rsidR="005727C2" w:rsidRDefault="005727C2" w:rsidP="0061749D">
            <w:pPr>
              <w:spacing w:line="240" w:lineRule="auto"/>
              <w:jc w:val="center"/>
            </w:pPr>
            <w:r>
              <w:rPr>
                <w:sz w:val="22"/>
                <w:szCs w:val="22"/>
              </w:rPr>
              <w:t>372</w:t>
            </w:r>
          </w:p>
        </w:tc>
        <w:tc>
          <w:tcPr>
            <w:tcW w:w="992" w:type="dxa"/>
            <w:tcBorders>
              <w:top w:val="nil"/>
              <w:left w:val="nil"/>
              <w:bottom w:val="single" w:sz="4" w:space="0" w:color="auto"/>
              <w:right w:val="single" w:sz="4" w:space="0" w:color="auto"/>
            </w:tcBorders>
            <w:vAlign w:val="center"/>
            <w:hideMark/>
          </w:tcPr>
          <w:p w:rsidR="005727C2" w:rsidRDefault="005727C2" w:rsidP="0061749D">
            <w:pPr>
              <w:spacing w:line="240" w:lineRule="auto"/>
              <w:jc w:val="center"/>
            </w:pPr>
            <w:r>
              <w:rPr>
                <w:sz w:val="22"/>
                <w:szCs w:val="22"/>
              </w:rPr>
              <w:t>439</w:t>
            </w:r>
          </w:p>
        </w:tc>
      </w:tr>
      <w:tr w:rsidR="005727C2" w:rsidTr="008248F9">
        <w:trPr>
          <w:trHeight w:val="402"/>
        </w:trPr>
        <w:tc>
          <w:tcPr>
            <w:tcW w:w="531" w:type="dxa"/>
            <w:vMerge/>
            <w:tcBorders>
              <w:top w:val="nil"/>
              <w:left w:val="single" w:sz="4" w:space="0" w:color="auto"/>
              <w:bottom w:val="single" w:sz="4" w:space="0" w:color="auto"/>
              <w:right w:val="single" w:sz="4" w:space="0" w:color="auto"/>
            </w:tcBorders>
            <w:vAlign w:val="center"/>
            <w:hideMark/>
          </w:tcPr>
          <w:p w:rsidR="005727C2" w:rsidRDefault="005727C2" w:rsidP="0061749D">
            <w:pPr>
              <w:spacing w:line="240" w:lineRule="auto"/>
            </w:pPr>
          </w:p>
        </w:tc>
        <w:tc>
          <w:tcPr>
            <w:tcW w:w="1053" w:type="dxa"/>
            <w:vMerge/>
            <w:tcBorders>
              <w:top w:val="nil"/>
              <w:left w:val="single" w:sz="4" w:space="0" w:color="auto"/>
              <w:bottom w:val="single" w:sz="4" w:space="0" w:color="auto"/>
              <w:right w:val="single" w:sz="4" w:space="0" w:color="auto"/>
            </w:tcBorders>
            <w:vAlign w:val="center"/>
            <w:hideMark/>
          </w:tcPr>
          <w:p w:rsidR="005727C2" w:rsidRDefault="005727C2" w:rsidP="0061749D">
            <w:pPr>
              <w:spacing w:line="240" w:lineRule="auto"/>
            </w:pPr>
          </w:p>
        </w:tc>
        <w:tc>
          <w:tcPr>
            <w:tcW w:w="1268" w:type="dxa"/>
            <w:vMerge/>
            <w:tcBorders>
              <w:top w:val="nil"/>
              <w:left w:val="single" w:sz="4" w:space="0" w:color="auto"/>
              <w:bottom w:val="single" w:sz="4" w:space="0" w:color="auto"/>
              <w:right w:val="single" w:sz="4" w:space="0" w:color="auto"/>
            </w:tcBorders>
            <w:vAlign w:val="center"/>
            <w:hideMark/>
          </w:tcPr>
          <w:p w:rsidR="005727C2" w:rsidRDefault="005727C2" w:rsidP="0061749D">
            <w:pPr>
              <w:spacing w:line="240" w:lineRule="auto"/>
            </w:pPr>
          </w:p>
        </w:tc>
        <w:tc>
          <w:tcPr>
            <w:tcW w:w="1001" w:type="dxa"/>
            <w:vMerge/>
            <w:tcBorders>
              <w:top w:val="nil"/>
              <w:left w:val="single" w:sz="4" w:space="0" w:color="auto"/>
              <w:bottom w:val="single" w:sz="4" w:space="0" w:color="auto"/>
              <w:right w:val="single" w:sz="4" w:space="0" w:color="auto"/>
            </w:tcBorders>
            <w:vAlign w:val="center"/>
            <w:hideMark/>
          </w:tcPr>
          <w:p w:rsidR="005727C2" w:rsidRDefault="005727C2" w:rsidP="0061749D">
            <w:pPr>
              <w:spacing w:line="240" w:lineRule="auto"/>
            </w:pPr>
          </w:p>
        </w:tc>
        <w:tc>
          <w:tcPr>
            <w:tcW w:w="1550" w:type="dxa"/>
            <w:tcBorders>
              <w:top w:val="nil"/>
              <w:left w:val="nil"/>
              <w:bottom w:val="single" w:sz="4" w:space="0" w:color="auto"/>
              <w:right w:val="single" w:sz="4" w:space="0" w:color="auto"/>
            </w:tcBorders>
            <w:vAlign w:val="center"/>
            <w:hideMark/>
          </w:tcPr>
          <w:p w:rsidR="005727C2" w:rsidRDefault="005727C2" w:rsidP="0061749D">
            <w:pPr>
              <w:spacing w:line="240" w:lineRule="auto"/>
              <w:jc w:val="center"/>
            </w:pPr>
            <w:r>
              <w:rPr>
                <w:sz w:val="22"/>
                <w:szCs w:val="22"/>
              </w:rPr>
              <w:t>механизированным способом</w:t>
            </w:r>
          </w:p>
        </w:tc>
        <w:tc>
          <w:tcPr>
            <w:tcW w:w="1135" w:type="dxa"/>
            <w:tcBorders>
              <w:top w:val="nil"/>
              <w:left w:val="nil"/>
              <w:bottom w:val="single" w:sz="4" w:space="0" w:color="auto"/>
              <w:right w:val="single" w:sz="4" w:space="0" w:color="auto"/>
            </w:tcBorders>
            <w:vAlign w:val="center"/>
            <w:hideMark/>
          </w:tcPr>
          <w:p w:rsidR="005727C2" w:rsidRDefault="005727C2" w:rsidP="0061749D">
            <w:pPr>
              <w:spacing w:line="240" w:lineRule="auto"/>
              <w:jc w:val="center"/>
            </w:pPr>
            <w:r>
              <w:rPr>
                <w:sz w:val="22"/>
                <w:szCs w:val="22"/>
              </w:rPr>
              <w:t>306</w:t>
            </w:r>
          </w:p>
        </w:tc>
        <w:tc>
          <w:tcPr>
            <w:tcW w:w="1018" w:type="dxa"/>
            <w:tcBorders>
              <w:top w:val="nil"/>
              <w:left w:val="nil"/>
              <w:bottom w:val="single" w:sz="4" w:space="0" w:color="auto"/>
              <w:right w:val="single" w:sz="4" w:space="0" w:color="auto"/>
            </w:tcBorders>
            <w:vAlign w:val="center"/>
            <w:hideMark/>
          </w:tcPr>
          <w:p w:rsidR="005727C2" w:rsidRDefault="005727C2" w:rsidP="0061749D">
            <w:pPr>
              <w:spacing w:line="240" w:lineRule="auto"/>
              <w:jc w:val="center"/>
            </w:pPr>
            <w:r>
              <w:rPr>
                <w:sz w:val="22"/>
                <w:szCs w:val="22"/>
              </w:rPr>
              <w:t>333</w:t>
            </w:r>
          </w:p>
        </w:tc>
        <w:tc>
          <w:tcPr>
            <w:tcW w:w="1134" w:type="dxa"/>
            <w:tcBorders>
              <w:top w:val="nil"/>
              <w:left w:val="nil"/>
              <w:bottom w:val="single" w:sz="4" w:space="0" w:color="auto"/>
              <w:right w:val="single" w:sz="4" w:space="0" w:color="auto"/>
            </w:tcBorders>
            <w:vAlign w:val="center"/>
            <w:hideMark/>
          </w:tcPr>
          <w:p w:rsidR="005727C2" w:rsidRDefault="005727C2" w:rsidP="0061749D">
            <w:pPr>
              <w:spacing w:line="240" w:lineRule="auto"/>
              <w:jc w:val="center"/>
            </w:pPr>
            <w:r>
              <w:rPr>
                <w:sz w:val="22"/>
                <w:szCs w:val="22"/>
              </w:rPr>
              <w:t>352</w:t>
            </w:r>
          </w:p>
        </w:tc>
        <w:tc>
          <w:tcPr>
            <w:tcW w:w="992" w:type="dxa"/>
            <w:tcBorders>
              <w:top w:val="nil"/>
              <w:left w:val="nil"/>
              <w:bottom w:val="single" w:sz="4" w:space="0" w:color="auto"/>
              <w:right w:val="single" w:sz="4" w:space="0" w:color="auto"/>
            </w:tcBorders>
            <w:vAlign w:val="center"/>
            <w:hideMark/>
          </w:tcPr>
          <w:p w:rsidR="005727C2" w:rsidRDefault="005727C2" w:rsidP="0061749D">
            <w:pPr>
              <w:spacing w:line="240" w:lineRule="auto"/>
              <w:jc w:val="center"/>
            </w:pPr>
            <w:r>
              <w:rPr>
                <w:sz w:val="22"/>
                <w:szCs w:val="22"/>
              </w:rPr>
              <w:t>419</w:t>
            </w:r>
          </w:p>
        </w:tc>
      </w:tr>
      <w:tr w:rsidR="005727C2" w:rsidTr="008248F9">
        <w:trPr>
          <w:trHeight w:val="402"/>
        </w:trPr>
        <w:tc>
          <w:tcPr>
            <w:tcW w:w="531" w:type="dxa"/>
            <w:vMerge/>
            <w:tcBorders>
              <w:top w:val="nil"/>
              <w:left w:val="single" w:sz="4" w:space="0" w:color="auto"/>
              <w:bottom w:val="single" w:sz="4" w:space="0" w:color="auto"/>
              <w:right w:val="single" w:sz="4" w:space="0" w:color="auto"/>
            </w:tcBorders>
            <w:vAlign w:val="center"/>
            <w:hideMark/>
          </w:tcPr>
          <w:p w:rsidR="005727C2" w:rsidRDefault="005727C2" w:rsidP="0061749D">
            <w:pPr>
              <w:spacing w:line="240" w:lineRule="auto"/>
            </w:pPr>
          </w:p>
        </w:tc>
        <w:tc>
          <w:tcPr>
            <w:tcW w:w="1053" w:type="dxa"/>
            <w:vMerge/>
            <w:tcBorders>
              <w:top w:val="nil"/>
              <w:left w:val="single" w:sz="4" w:space="0" w:color="auto"/>
              <w:bottom w:val="single" w:sz="4" w:space="0" w:color="auto"/>
              <w:right w:val="single" w:sz="4" w:space="0" w:color="auto"/>
            </w:tcBorders>
            <w:vAlign w:val="center"/>
            <w:hideMark/>
          </w:tcPr>
          <w:p w:rsidR="005727C2" w:rsidRDefault="005727C2" w:rsidP="0061749D">
            <w:pPr>
              <w:spacing w:line="240" w:lineRule="auto"/>
            </w:pPr>
          </w:p>
        </w:tc>
        <w:tc>
          <w:tcPr>
            <w:tcW w:w="1268" w:type="dxa"/>
            <w:vMerge w:val="restart"/>
            <w:tcBorders>
              <w:top w:val="nil"/>
              <w:left w:val="single" w:sz="4" w:space="0" w:color="auto"/>
              <w:bottom w:val="single" w:sz="4" w:space="0" w:color="auto"/>
              <w:right w:val="single" w:sz="4" w:space="0" w:color="auto"/>
            </w:tcBorders>
            <w:vAlign w:val="center"/>
            <w:hideMark/>
          </w:tcPr>
          <w:p w:rsidR="005727C2" w:rsidRDefault="005727C2" w:rsidP="0061749D">
            <w:pPr>
              <w:spacing w:line="240" w:lineRule="auto"/>
              <w:jc w:val="center"/>
            </w:pPr>
            <w:r>
              <w:rPr>
                <w:sz w:val="22"/>
                <w:szCs w:val="22"/>
              </w:rPr>
              <w:t>степная и лесостепная, таежная зоны</w:t>
            </w:r>
          </w:p>
        </w:tc>
        <w:tc>
          <w:tcPr>
            <w:tcW w:w="2551" w:type="dxa"/>
            <w:gridSpan w:val="2"/>
            <w:tcBorders>
              <w:top w:val="single" w:sz="4" w:space="0" w:color="auto"/>
              <w:left w:val="nil"/>
              <w:bottom w:val="single" w:sz="4" w:space="0" w:color="auto"/>
              <w:right w:val="single" w:sz="4" w:space="0" w:color="auto"/>
            </w:tcBorders>
            <w:vAlign w:val="center"/>
            <w:hideMark/>
          </w:tcPr>
          <w:p w:rsidR="005727C2" w:rsidRDefault="005727C2" w:rsidP="0061749D">
            <w:pPr>
              <w:spacing w:line="240" w:lineRule="auto"/>
              <w:jc w:val="center"/>
            </w:pPr>
            <w:r>
              <w:rPr>
                <w:sz w:val="22"/>
                <w:szCs w:val="22"/>
              </w:rPr>
              <w:t xml:space="preserve">без погрузки </w:t>
            </w:r>
          </w:p>
        </w:tc>
        <w:tc>
          <w:tcPr>
            <w:tcW w:w="1135" w:type="dxa"/>
            <w:tcBorders>
              <w:top w:val="nil"/>
              <w:left w:val="nil"/>
              <w:bottom w:val="single" w:sz="4" w:space="0" w:color="auto"/>
              <w:right w:val="single" w:sz="4" w:space="0" w:color="auto"/>
            </w:tcBorders>
            <w:vAlign w:val="center"/>
            <w:hideMark/>
          </w:tcPr>
          <w:p w:rsidR="005727C2" w:rsidRDefault="005727C2" w:rsidP="0061749D">
            <w:pPr>
              <w:spacing w:line="240" w:lineRule="auto"/>
              <w:jc w:val="center"/>
            </w:pPr>
            <w:r>
              <w:rPr>
                <w:sz w:val="22"/>
                <w:szCs w:val="22"/>
              </w:rPr>
              <w:t>360</w:t>
            </w:r>
          </w:p>
        </w:tc>
        <w:tc>
          <w:tcPr>
            <w:tcW w:w="1018" w:type="dxa"/>
            <w:tcBorders>
              <w:top w:val="nil"/>
              <w:left w:val="nil"/>
              <w:bottom w:val="single" w:sz="4" w:space="0" w:color="auto"/>
              <w:right w:val="single" w:sz="4" w:space="0" w:color="auto"/>
            </w:tcBorders>
            <w:vAlign w:val="center"/>
            <w:hideMark/>
          </w:tcPr>
          <w:p w:rsidR="005727C2" w:rsidRDefault="005727C2" w:rsidP="0061749D">
            <w:pPr>
              <w:spacing w:line="240" w:lineRule="auto"/>
              <w:jc w:val="center"/>
            </w:pPr>
            <w:r>
              <w:rPr>
                <w:sz w:val="22"/>
                <w:szCs w:val="22"/>
              </w:rPr>
              <w:t>397</w:t>
            </w:r>
          </w:p>
        </w:tc>
        <w:tc>
          <w:tcPr>
            <w:tcW w:w="1134" w:type="dxa"/>
            <w:tcBorders>
              <w:top w:val="nil"/>
              <w:left w:val="nil"/>
              <w:bottom w:val="single" w:sz="4" w:space="0" w:color="auto"/>
              <w:right w:val="single" w:sz="4" w:space="0" w:color="auto"/>
            </w:tcBorders>
            <w:vAlign w:val="center"/>
            <w:hideMark/>
          </w:tcPr>
          <w:p w:rsidR="005727C2" w:rsidRDefault="005727C2" w:rsidP="0061749D">
            <w:pPr>
              <w:spacing w:line="240" w:lineRule="auto"/>
              <w:jc w:val="center"/>
            </w:pPr>
            <w:r>
              <w:rPr>
                <w:sz w:val="22"/>
                <w:szCs w:val="22"/>
              </w:rPr>
              <w:t>422</w:t>
            </w:r>
          </w:p>
        </w:tc>
        <w:tc>
          <w:tcPr>
            <w:tcW w:w="992" w:type="dxa"/>
            <w:tcBorders>
              <w:top w:val="nil"/>
              <w:left w:val="nil"/>
              <w:bottom w:val="single" w:sz="4" w:space="0" w:color="auto"/>
              <w:right w:val="single" w:sz="4" w:space="0" w:color="auto"/>
            </w:tcBorders>
            <w:vAlign w:val="center"/>
            <w:hideMark/>
          </w:tcPr>
          <w:p w:rsidR="005727C2" w:rsidRDefault="005727C2" w:rsidP="0061749D">
            <w:pPr>
              <w:spacing w:line="240" w:lineRule="auto"/>
              <w:jc w:val="center"/>
            </w:pPr>
            <w:r>
              <w:rPr>
                <w:sz w:val="22"/>
                <w:szCs w:val="22"/>
              </w:rPr>
              <w:t>515</w:t>
            </w:r>
          </w:p>
        </w:tc>
      </w:tr>
      <w:tr w:rsidR="005727C2" w:rsidTr="008248F9">
        <w:trPr>
          <w:trHeight w:val="402"/>
        </w:trPr>
        <w:tc>
          <w:tcPr>
            <w:tcW w:w="531" w:type="dxa"/>
            <w:vMerge/>
            <w:tcBorders>
              <w:top w:val="nil"/>
              <w:left w:val="single" w:sz="4" w:space="0" w:color="auto"/>
              <w:bottom w:val="single" w:sz="4" w:space="0" w:color="auto"/>
              <w:right w:val="single" w:sz="4" w:space="0" w:color="auto"/>
            </w:tcBorders>
            <w:vAlign w:val="center"/>
            <w:hideMark/>
          </w:tcPr>
          <w:p w:rsidR="005727C2" w:rsidRDefault="005727C2" w:rsidP="0061749D">
            <w:pPr>
              <w:spacing w:line="240" w:lineRule="auto"/>
            </w:pPr>
          </w:p>
        </w:tc>
        <w:tc>
          <w:tcPr>
            <w:tcW w:w="1053" w:type="dxa"/>
            <w:vMerge/>
            <w:tcBorders>
              <w:top w:val="nil"/>
              <w:left w:val="single" w:sz="4" w:space="0" w:color="auto"/>
              <w:bottom w:val="single" w:sz="4" w:space="0" w:color="auto"/>
              <w:right w:val="single" w:sz="4" w:space="0" w:color="auto"/>
            </w:tcBorders>
            <w:vAlign w:val="center"/>
            <w:hideMark/>
          </w:tcPr>
          <w:p w:rsidR="005727C2" w:rsidRDefault="005727C2" w:rsidP="0061749D">
            <w:pPr>
              <w:spacing w:line="240" w:lineRule="auto"/>
            </w:pPr>
          </w:p>
        </w:tc>
        <w:tc>
          <w:tcPr>
            <w:tcW w:w="1268" w:type="dxa"/>
            <w:vMerge/>
            <w:tcBorders>
              <w:top w:val="nil"/>
              <w:left w:val="single" w:sz="4" w:space="0" w:color="auto"/>
              <w:bottom w:val="single" w:sz="4" w:space="0" w:color="auto"/>
              <w:right w:val="single" w:sz="4" w:space="0" w:color="auto"/>
            </w:tcBorders>
            <w:vAlign w:val="center"/>
            <w:hideMark/>
          </w:tcPr>
          <w:p w:rsidR="005727C2" w:rsidRDefault="005727C2" w:rsidP="0061749D">
            <w:pPr>
              <w:spacing w:line="240" w:lineRule="auto"/>
            </w:pPr>
          </w:p>
        </w:tc>
        <w:tc>
          <w:tcPr>
            <w:tcW w:w="1001" w:type="dxa"/>
            <w:vMerge w:val="restart"/>
            <w:tcBorders>
              <w:top w:val="nil"/>
              <w:left w:val="single" w:sz="4" w:space="0" w:color="auto"/>
              <w:bottom w:val="single" w:sz="4" w:space="0" w:color="auto"/>
              <w:right w:val="single" w:sz="4" w:space="0" w:color="auto"/>
            </w:tcBorders>
            <w:vAlign w:val="center"/>
            <w:hideMark/>
          </w:tcPr>
          <w:p w:rsidR="005727C2" w:rsidRDefault="005727C2" w:rsidP="0061749D">
            <w:pPr>
              <w:spacing w:line="240" w:lineRule="auto"/>
              <w:jc w:val="center"/>
            </w:pPr>
            <w:r>
              <w:rPr>
                <w:sz w:val="22"/>
                <w:szCs w:val="22"/>
              </w:rPr>
              <w:t xml:space="preserve">с погрузкой </w:t>
            </w:r>
          </w:p>
        </w:tc>
        <w:tc>
          <w:tcPr>
            <w:tcW w:w="1550" w:type="dxa"/>
            <w:tcBorders>
              <w:top w:val="nil"/>
              <w:left w:val="nil"/>
              <w:bottom w:val="single" w:sz="4" w:space="0" w:color="auto"/>
              <w:right w:val="single" w:sz="4" w:space="0" w:color="auto"/>
            </w:tcBorders>
            <w:vAlign w:val="center"/>
            <w:hideMark/>
          </w:tcPr>
          <w:p w:rsidR="005727C2" w:rsidRDefault="005727C2" w:rsidP="0061749D">
            <w:pPr>
              <w:spacing w:line="240" w:lineRule="auto"/>
              <w:jc w:val="center"/>
            </w:pPr>
            <w:r>
              <w:rPr>
                <w:sz w:val="22"/>
                <w:szCs w:val="22"/>
              </w:rPr>
              <w:t>вручную</w:t>
            </w:r>
          </w:p>
        </w:tc>
        <w:tc>
          <w:tcPr>
            <w:tcW w:w="1135" w:type="dxa"/>
            <w:tcBorders>
              <w:top w:val="nil"/>
              <w:left w:val="nil"/>
              <w:bottom w:val="single" w:sz="4" w:space="0" w:color="auto"/>
              <w:right w:val="single" w:sz="4" w:space="0" w:color="auto"/>
            </w:tcBorders>
            <w:vAlign w:val="center"/>
            <w:hideMark/>
          </w:tcPr>
          <w:p w:rsidR="005727C2" w:rsidRDefault="005727C2" w:rsidP="0061749D">
            <w:pPr>
              <w:spacing w:line="240" w:lineRule="auto"/>
              <w:jc w:val="center"/>
            </w:pPr>
            <w:r>
              <w:rPr>
                <w:sz w:val="22"/>
                <w:szCs w:val="22"/>
              </w:rPr>
              <w:t>425</w:t>
            </w:r>
          </w:p>
        </w:tc>
        <w:tc>
          <w:tcPr>
            <w:tcW w:w="1018" w:type="dxa"/>
            <w:tcBorders>
              <w:top w:val="nil"/>
              <w:left w:val="nil"/>
              <w:bottom w:val="single" w:sz="4" w:space="0" w:color="auto"/>
              <w:right w:val="single" w:sz="4" w:space="0" w:color="auto"/>
            </w:tcBorders>
            <w:vAlign w:val="center"/>
            <w:hideMark/>
          </w:tcPr>
          <w:p w:rsidR="005727C2" w:rsidRDefault="005727C2" w:rsidP="0061749D">
            <w:pPr>
              <w:spacing w:line="240" w:lineRule="auto"/>
              <w:jc w:val="center"/>
            </w:pPr>
            <w:r>
              <w:rPr>
                <w:sz w:val="22"/>
                <w:szCs w:val="22"/>
              </w:rPr>
              <w:t>462</w:t>
            </w:r>
          </w:p>
        </w:tc>
        <w:tc>
          <w:tcPr>
            <w:tcW w:w="1134" w:type="dxa"/>
            <w:tcBorders>
              <w:top w:val="nil"/>
              <w:left w:val="nil"/>
              <w:bottom w:val="single" w:sz="4" w:space="0" w:color="auto"/>
              <w:right w:val="single" w:sz="4" w:space="0" w:color="auto"/>
            </w:tcBorders>
            <w:vAlign w:val="center"/>
            <w:hideMark/>
          </w:tcPr>
          <w:p w:rsidR="005727C2" w:rsidRDefault="005727C2" w:rsidP="0061749D">
            <w:pPr>
              <w:spacing w:line="240" w:lineRule="auto"/>
              <w:jc w:val="center"/>
            </w:pPr>
            <w:r>
              <w:rPr>
                <w:sz w:val="22"/>
                <w:szCs w:val="22"/>
              </w:rPr>
              <w:t>487</w:t>
            </w:r>
          </w:p>
        </w:tc>
        <w:tc>
          <w:tcPr>
            <w:tcW w:w="992" w:type="dxa"/>
            <w:tcBorders>
              <w:top w:val="nil"/>
              <w:left w:val="nil"/>
              <w:bottom w:val="single" w:sz="4" w:space="0" w:color="auto"/>
              <w:right w:val="single" w:sz="4" w:space="0" w:color="auto"/>
            </w:tcBorders>
            <w:vAlign w:val="center"/>
            <w:hideMark/>
          </w:tcPr>
          <w:p w:rsidR="005727C2" w:rsidRDefault="005727C2" w:rsidP="0061749D">
            <w:pPr>
              <w:spacing w:line="240" w:lineRule="auto"/>
              <w:jc w:val="center"/>
            </w:pPr>
            <w:r>
              <w:rPr>
                <w:sz w:val="22"/>
                <w:szCs w:val="22"/>
              </w:rPr>
              <w:t>580</w:t>
            </w:r>
          </w:p>
        </w:tc>
      </w:tr>
      <w:tr w:rsidR="005727C2" w:rsidTr="008248F9">
        <w:trPr>
          <w:trHeight w:val="402"/>
        </w:trPr>
        <w:tc>
          <w:tcPr>
            <w:tcW w:w="531" w:type="dxa"/>
            <w:vMerge/>
            <w:tcBorders>
              <w:top w:val="nil"/>
              <w:left w:val="single" w:sz="4" w:space="0" w:color="auto"/>
              <w:bottom w:val="single" w:sz="4" w:space="0" w:color="auto"/>
              <w:right w:val="single" w:sz="4" w:space="0" w:color="auto"/>
            </w:tcBorders>
            <w:vAlign w:val="center"/>
            <w:hideMark/>
          </w:tcPr>
          <w:p w:rsidR="005727C2" w:rsidRDefault="005727C2" w:rsidP="0061749D">
            <w:pPr>
              <w:spacing w:line="240" w:lineRule="auto"/>
            </w:pPr>
          </w:p>
        </w:tc>
        <w:tc>
          <w:tcPr>
            <w:tcW w:w="1053" w:type="dxa"/>
            <w:vMerge/>
            <w:tcBorders>
              <w:top w:val="nil"/>
              <w:left w:val="single" w:sz="4" w:space="0" w:color="auto"/>
              <w:bottom w:val="single" w:sz="4" w:space="0" w:color="auto"/>
              <w:right w:val="single" w:sz="4" w:space="0" w:color="auto"/>
            </w:tcBorders>
            <w:vAlign w:val="center"/>
            <w:hideMark/>
          </w:tcPr>
          <w:p w:rsidR="005727C2" w:rsidRDefault="005727C2" w:rsidP="0061749D">
            <w:pPr>
              <w:spacing w:line="240" w:lineRule="auto"/>
            </w:pPr>
          </w:p>
        </w:tc>
        <w:tc>
          <w:tcPr>
            <w:tcW w:w="1268" w:type="dxa"/>
            <w:vMerge/>
            <w:tcBorders>
              <w:top w:val="nil"/>
              <w:left w:val="single" w:sz="4" w:space="0" w:color="auto"/>
              <w:bottom w:val="single" w:sz="4" w:space="0" w:color="auto"/>
              <w:right w:val="single" w:sz="4" w:space="0" w:color="auto"/>
            </w:tcBorders>
            <w:vAlign w:val="center"/>
            <w:hideMark/>
          </w:tcPr>
          <w:p w:rsidR="005727C2" w:rsidRDefault="005727C2" w:rsidP="0061749D">
            <w:pPr>
              <w:spacing w:line="240" w:lineRule="auto"/>
            </w:pPr>
          </w:p>
        </w:tc>
        <w:tc>
          <w:tcPr>
            <w:tcW w:w="1001" w:type="dxa"/>
            <w:vMerge/>
            <w:tcBorders>
              <w:top w:val="nil"/>
              <w:left w:val="single" w:sz="4" w:space="0" w:color="auto"/>
              <w:bottom w:val="single" w:sz="4" w:space="0" w:color="auto"/>
              <w:right w:val="single" w:sz="4" w:space="0" w:color="auto"/>
            </w:tcBorders>
            <w:vAlign w:val="center"/>
            <w:hideMark/>
          </w:tcPr>
          <w:p w:rsidR="005727C2" w:rsidRDefault="005727C2" w:rsidP="0061749D">
            <w:pPr>
              <w:spacing w:line="240" w:lineRule="auto"/>
            </w:pPr>
          </w:p>
        </w:tc>
        <w:tc>
          <w:tcPr>
            <w:tcW w:w="1550" w:type="dxa"/>
            <w:tcBorders>
              <w:top w:val="nil"/>
              <w:left w:val="nil"/>
              <w:bottom w:val="single" w:sz="4" w:space="0" w:color="auto"/>
              <w:right w:val="single" w:sz="4" w:space="0" w:color="auto"/>
            </w:tcBorders>
            <w:vAlign w:val="center"/>
            <w:hideMark/>
          </w:tcPr>
          <w:p w:rsidR="005727C2" w:rsidRDefault="005727C2" w:rsidP="0061749D">
            <w:pPr>
              <w:spacing w:line="240" w:lineRule="auto"/>
              <w:jc w:val="center"/>
            </w:pPr>
            <w:r>
              <w:rPr>
                <w:sz w:val="22"/>
                <w:szCs w:val="22"/>
              </w:rPr>
              <w:t>механизированным способом</w:t>
            </w:r>
          </w:p>
        </w:tc>
        <w:tc>
          <w:tcPr>
            <w:tcW w:w="1135" w:type="dxa"/>
            <w:tcBorders>
              <w:top w:val="nil"/>
              <w:left w:val="nil"/>
              <w:bottom w:val="single" w:sz="4" w:space="0" w:color="auto"/>
              <w:right w:val="single" w:sz="4" w:space="0" w:color="auto"/>
            </w:tcBorders>
            <w:vAlign w:val="center"/>
            <w:hideMark/>
          </w:tcPr>
          <w:p w:rsidR="005727C2" w:rsidRDefault="005727C2" w:rsidP="0061749D">
            <w:pPr>
              <w:spacing w:line="240" w:lineRule="auto"/>
              <w:jc w:val="center"/>
            </w:pPr>
            <w:r>
              <w:rPr>
                <w:sz w:val="22"/>
                <w:szCs w:val="22"/>
              </w:rPr>
              <w:t>405</w:t>
            </w:r>
          </w:p>
        </w:tc>
        <w:tc>
          <w:tcPr>
            <w:tcW w:w="1018" w:type="dxa"/>
            <w:tcBorders>
              <w:top w:val="nil"/>
              <w:left w:val="nil"/>
              <w:bottom w:val="single" w:sz="4" w:space="0" w:color="auto"/>
              <w:right w:val="single" w:sz="4" w:space="0" w:color="auto"/>
            </w:tcBorders>
            <w:vAlign w:val="center"/>
            <w:hideMark/>
          </w:tcPr>
          <w:p w:rsidR="005727C2" w:rsidRDefault="005727C2" w:rsidP="0061749D">
            <w:pPr>
              <w:spacing w:line="240" w:lineRule="auto"/>
              <w:jc w:val="center"/>
            </w:pPr>
            <w:r>
              <w:rPr>
                <w:sz w:val="22"/>
                <w:szCs w:val="22"/>
              </w:rPr>
              <w:t>442</w:t>
            </w:r>
          </w:p>
        </w:tc>
        <w:tc>
          <w:tcPr>
            <w:tcW w:w="1134" w:type="dxa"/>
            <w:tcBorders>
              <w:top w:val="nil"/>
              <w:left w:val="nil"/>
              <w:bottom w:val="single" w:sz="4" w:space="0" w:color="auto"/>
              <w:right w:val="single" w:sz="4" w:space="0" w:color="auto"/>
            </w:tcBorders>
            <w:vAlign w:val="center"/>
            <w:hideMark/>
          </w:tcPr>
          <w:p w:rsidR="005727C2" w:rsidRDefault="005727C2" w:rsidP="0061749D">
            <w:pPr>
              <w:spacing w:line="240" w:lineRule="auto"/>
              <w:jc w:val="center"/>
            </w:pPr>
            <w:r>
              <w:rPr>
                <w:sz w:val="22"/>
                <w:szCs w:val="22"/>
              </w:rPr>
              <w:t>467</w:t>
            </w:r>
          </w:p>
        </w:tc>
        <w:tc>
          <w:tcPr>
            <w:tcW w:w="992" w:type="dxa"/>
            <w:tcBorders>
              <w:top w:val="nil"/>
              <w:left w:val="nil"/>
              <w:bottom w:val="single" w:sz="4" w:space="0" w:color="auto"/>
              <w:right w:val="single" w:sz="4" w:space="0" w:color="auto"/>
            </w:tcBorders>
            <w:vAlign w:val="center"/>
            <w:hideMark/>
          </w:tcPr>
          <w:p w:rsidR="005727C2" w:rsidRDefault="005727C2" w:rsidP="0061749D">
            <w:pPr>
              <w:spacing w:line="240" w:lineRule="auto"/>
              <w:jc w:val="center"/>
            </w:pPr>
            <w:r>
              <w:rPr>
                <w:sz w:val="22"/>
                <w:szCs w:val="22"/>
              </w:rPr>
              <w:t>560</w:t>
            </w:r>
          </w:p>
        </w:tc>
      </w:tr>
      <w:tr w:rsidR="005727C2" w:rsidTr="008248F9">
        <w:trPr>
          <w:trHeight w:val="402"/>
        </w:trPr>
        <w:tc>
          <w:tcPr>
            <w:tcW w:w="531" w:type="dxa"/>
            <w:vMerge w:val="restart"/>
            <w:tcBorders>
              <w:top w:val="nil"/>
              <w:left w:val="single" w:sz="4" w:space="0" w:color="auto"/>
              <w:bottom w:val="single" w:sz="4" w:space="0" w:color="auto"/>
              <w:right w:val="single" w:sz="4" w:space="0" w:color="auto"/>
            </w:tcBorders>
            <w:vAlign w:val="center"/>
            <w:hideMark/>
          </w:tcPr>
          <w:p w:rsidR="005727C2" w:rsidRDefault="005727C2" w:rsidP="0061749D">
            <w:pPr>
              <w:spacing w:line="240" w:lineRule="auto"/>
              <w:jc w:val="center"/>
            </w:pPr>
            <w:r>
              <w:rPr>
                <w:sz w:val="22"/>
                <w:szCs w:val="22"/>
              </w:rPr>
              <w:t>2</w:t>
            </w:r>
          </w:p>
        </w:tc>
        <w:tc>
          <w:tcPr>
            <w:tcW w:w="1053" w:type="dxa"/>
            <w:vMerge w:val="restart"/>
            <w:tcBorders>
              <w:top w:val="nil"/>
              <w:left w:val="single" w:sz="4" w:space="0" w:color="auto"/>
              <w:bottom w:val="single" w:sz="4" w:space="0" w:color="auto"/>
              <w:right w:val="single" w:sz="4" w:space="0" w:color="auto"/>
            </w:tcBorders>
            <w:vAlign w:val="center"/>
            <w:hideMark/>
          </w:tcPr>
          <w:p w:rsidR="005727C2" w:rsidRDefault="005727C2" w:rsidP="0061749D">
            <w:pPr>
              <w:spacing w:line="240" w:lineRule="auto"/>
              <w:jc w:val="center"/>
            </w:pPr>
            <w:r>
              <w:rPr>
                <w:sz w:val="22"/>
                <w:szCs w:val="22"/>
              </w:rPr>
              <w:t xml:space="preserve"> с нижнего склада</w:t>
            </w:r>
          </w:p>
        </w:tc>
        <w:tc>
          <w:tcPr>
            <w:tcW w:w="1268" w:type="dxa"/>
            <w:vMerge w:val="restart"/>
            <w:tcBorders>
              <w:top w:val="nil"/>
              <w:left w:val="single" w:sz="4" w:space="0" w:color="auto"/>
              <w:bottom w:val="single" w:sz="4" w:space="0" w:color="auto"/>
              <w:right w:val="single" w:sz="4" w:space="0" w:color="auto"/>
            </w:tcBorders>
            <w:vAlign w:val="center"/>
            <w:hideMark/>
          </w:tcPr>
          <w:p w:rsidR="005727C2" w:rsidRDefault="005727C2" w:rsidP="0061749D">
            <w:pPr>
              <w:spacing w:line="240" w:lineRule="auto"/>
              <w:jc w:val="center"/>
            </w:pPr>
            <w:r>
              <w:rPr>
                <w:sz w:val="22"/>
                <w:szCs w:val="22"/>
              </w:rPr>
              <w:t>приобско-боровая зона</w:t>
            </w:r>
          </w:p>
        </w:tc>
        <w:tc>
          <w:tcPr>
            <w:tcW w:w="2551" w:type="dxa"/>
            <w:gridSpan w:val="2"/>
            <w:tcBorders>
              <w:top w:val="single" w:sz="4" w:space="0" w:color="auto"/>
              <w:left w:val="nil"/>
              <w:bottom w:val="single" w:sz="4" w:space="0" w:color="auto"/>
              <w:right w:val="single" w:sz="4" w:space="0" w:color="auto"/>
            </w:tcBorders>
            <w:vAlign w:val="center"/>
            <w:hideMark/>
          </w:tcPr>
          <w:p w:rsidR="005727C2" w:rsidRDefault="005727C2" w:rsidP="0061749D">
            <w:pPr>
              <w:spacing w:line="240" w:lineRule="auto"/>
              <w:jc w:val="center"/>
            </w:pPr>
            <w:r>
              <w:rPr>
                <w:sz w:val="22"/>
                <w:szCs w:val="22"/>
              </w:rPr>
              <w:t xml:space="preserve">без погрузки </w:t>
            </w:r>
          </w:p>
        </w:tc>
        <w:tc>
          <w:tcPr>
            <w:tcW w:w="1135" w:type="dxa"/>
            <w:tcBorders>
              <w:top w:val="nil"/>
              <w:left w:val="nil"/>
              <w:bottom w:val="single" w:sz="4" w:space="0" w:color="auto"/>
              <w:right w:val="single" w:sz="4" w:space="0" w:color="auto"/>
            </w:tcBorders>
            <w:vAlign w:val="center"/>
            <w:hideMark/>
          </w:tcPr>
          <w:p w:rsidR="005727C2" w:rsidRDefault="005727C2" w:rsidP="0061749D">
            <w:pPr>
              <w:spacing w:line="240" w:lineRule="auto"/>
              <w:jc w:val="center"/>
            </w:pPr>
            <w:r>
              <w:rPr>
                <w:sz w:val="22"/>
                <w:szCs w:val="22"/>
              </w:rPr>
              <w:t>398</w:t>
            </w:r>
          </w:p>
        </w:tc>
        <w:tc>
          <w:tcPr>
            <w:tcW w:w="1018" w:type="dxa"/>
            <w:tcBorders>
              <w:top w:val="nil"/>
              <w:left w:val="nil"/>
              <w:bottom w:val="single" w:sz="4" w:space="0" w:color="auto"/>
              <w:right w:val="single" w:sz="4" w:space="0" w:color="auto"/>
            </w:tcBorders>
            <w:vAlign w:val="center"/>
            <w:hideMark/>
          </w:tcPr>
          <w:p w:rsidR="005727C2" w:rsidRDefault="005727C2" w:rsidP="0061749D">
            <w:pPr>
              <w:spacing w:line="240" w:lineRule="auto"/>
              <w:jc w:val="center"/>
            </w:pPr>
            <w:r>
              <w:rPr>
                <w:sz w:val="22"/>
                <w:szCs w:val="22"/>
              </w:rPr>
              <w:t>425</w:t>
            </w:r>
          </w:p>
        </w:tc>
        <w:tc>
          <w:tcPr>
            <w:tcW w:w="1134" w:type="dxa"/>
            <w:tcBorders>
              <w:top w:val="nil"/>
              <w:left w:val="nil"/>
              <w:bottom w:val="single" w:sz="4" w:space="0" w:color="auto"/>
              <w:right w:val="single" w:sz="4" w:space="0" w:color="auto"/>
            </w:tcBorders>
            <w:vAlign w:val="center"/>
            <w:hideMark/>
          </w:tcPr>
          <w:p w:rsidR="005727C2" w:rsidRDefault="005727C2" w:rsidP="0061749D">
            <w:pPr>
              <w:spacing w:line="240" w:lineRule="auto"/>
              <w:jc w:val="center"/>
            </w:pPr>
            <w:r>
              <w:rPr>
                <w:sz w:val="22"/>
                <w:szCs w:val="22"/>
              </w:rPr>
              <w:t>442</w:t>
            </w:r>
          </w:p>
        </w:tc>
        <w:tc>
          <w:tcPr>
            <w:tcW w:w="992" w:type="dxa"/>
            <w:tcBorders>
              <w:top w:val="nil"/>
              <w:left w:val="nil"/>
              <w:bottom w:val="single" w:sz="4" w:space="0" w:color="auto"/>
              <w:right w:val="single" w:sz="4" w:space="0" w:color="auto"/>
            </w:tcBorders>
            <w:vAlign w:val="center"/>
            <w:hideMark/>
          </w:tcPr>
          <w:p w:rsidR="005727C2" w:rsidRDefault="005727C2" w:rsidP="0061749D">
            <w:pPr>
              <w:spacing w:line="240" w:lineRule="auto"/>
              <w:jc w:val="center"/>
            </w:pPr>
            <w:r>
              <w:rPr>
                <w:sz w:val="22"/>
                <w:szCs w:val="22"/>
              </w:rPr>
              <w:t>510</w:t>
            </w:r>
          </w:p>
        </w:tc>
      </w:tr>
      <w:tr w:rsidR="005727C2" w:rsidTr="008248F9">
        <w:trPr>
          <w:trHeight w:val="402"/>
        </w:trPr>
        <w:tc>
          <w:tcPr>
            <w:tcW w:w="531" w:type="dxa"/>
            <w:vMerge/>
            <w:tcBorders>
              <w:top w:val="nil"/>
              <w:left w:val="single" w:sz="4" w:space="0" w:color="auto"/>
              <w:bottom w:val="single" w:sz="4" w:space="0" w:color="auto"/>
              <w:right w:val="single" w:sz="4" w:space="0" w:color="auto"/>
            </w:tcBorders>
            <w:vAlign w:val="center"/>
            <w:hideMark/>
          </w:tcPr>
          <w:p w:rsidR="005727C2" w:rsidRDefault="005727C2" w:rsidP="0061749D">
            <w:pPr>
              <w:spacing w:line="240" w:lineRule="auto"/>
            </w:pPr>
          </w:p>
        </w:tc>
        <w:tc>
          <w:tcPr>
            <w:tcW w:w="1053" w:type="dxa"/>
            <w:vMerge/>
            <w:tcBorders>
              <w:top w:val="nil"/>
              <w:left w:val="single" w:sz="4" w:space="0" w:color="auto"/>
              <w:bottom w:val="single" w:sz="4" w:space="0" w:color="auto"/>
              <w:right w:val="single" w:sz="4" w:space="0" w:color="auto"/>
            </w:tcBorders>
            <w:vAlign w:val="center"/>
            <w:hideMark/>
          </w:tcPr>
          <w:p w:rsidR="005727C2" w:rsidRDefault="005727C2" w:rsidP="0061749D">
            <w:pPr>
              <w:spacing w:line="240" w:lineRule="auto"/>
            </w:pPr>
          </w:p>
        </w:tc>
        <w:tc>
          <w:tcPr>
            <w:tcW w:w="1268" w:type="dxa"/>
            <w:vMerge/>
            <w:tcBorders>
              <w:top w:val="nil"/>
              <w:left w:val="single" w:sz="4" w:space="0" w:color="auto"/>
              <w:bottom w:val="single" w:sz="4" w:space="0" w:color="auto"/>
              <w:right w:val="single" w:sz="4" w:space="0" w:color="auto"/>
            </w:tcBorders>
            <w:vAlign w:val="center"/>
            <w:hideMark/>
          </w:tcPr>
          <w:p w:rsidR="005727C2" w:rsidRDefault="005727C2" w:rsidP="0061749D">
            <w:pPr>
              <w:spacing w:line="240" w:lineRule="auto"/>
            </w:pPr>
          </w:p>
        </w:tc>
        <w:tc>
          <w:tcPr>
            <w:tcW w:w="1001" w:type="dxa"/>
            <w:vMerge w:val="restart"/>
            <w:tcBorders>
              <w:top w:val="nil"/>
              <w:left w:val="single" w:sz="4" w:space="0" w:color="auto"/>
              <w:bottom w:val="single" w:sz="4" w:space="0" w:color="auto"/>
              <w:right w:val="single" w:sz="4" w:space="0" w:color="auto"/>
            </w:tcBorders>
            <w:vAlign w:val="center"/>
            <w:hideMark/>
          </w:tcPr>
          <w:p w:rsidR="005727C2" w:rsidRDefault="005727C2" w:rsidP="0061749D">
            <w:pPr>
              <w:spacing w:line="240" w:lineRule="auto"/>
              <w:jc w:val="center"/>
            </w:pPr>
            <w:r>
              <w:rPr>
                <w:sz w:val="22"/>
                <w:szCs w:val="22"/>
              </w:rPr>
              <w:t xml:space="preserve">с погрузкой </w:t>
            </w:r>
          </w:p>
        </w:tc>
        <w:tc>
          <w:tcPr>
            <w:tcW w:w="1550" w:type="dxa"/>
            <w:tcBorders>
              <w:top w:val="nil"/>
              <w:left w:val="nil"/>
              <w:bottom w:val="single" w:sz="4" w:space="0" w:color="auto"/>
              <w:right w:val="single" w:sz="4" w:space="0" w:color="auto"/>
            </w:tcBorders>
            <w:vAlign w:val="center"/>
            <w:hideMark/>
          </w:tcPr>
          <w:p w:rsidR="005727C2" w:rsidRDefault="005727C2" w:rsidP="0061749D">
            <w:pPr>
              <w:spacing w:line="240" w:lineRule="auto"/>
              <w:jc w:val="center"/>
            </w:pPr>
            <w:r>
              <w:rPr>
                <w:sz w:val="22"/>
                <w:szCs w:val="22"/>
              </w:rPr>
              <w:t>вручную</w:t>
            </w:r>
          </w:p>
        </w:tc>
        <w:tc>
          <w:tcPr>
            <w:tcW w:w="1135" w:type="dxa"/>
            <w:tcBorders>
              <w:top w:val="nil"/>
              <w:left w:val="nil"/>
              <w:bottom w:val="single" w:sz="4" w:space="0" w:color="auto"/>
              <w:right w:val="single" w:sz="4" w:space="0" w:color="auto"/>
            </w:tcBorders>
            <w:vAlign w:val="center"/>
            <w:hideMark/>
          </w:tcPr>
          <w:p w:rsidR="005727C2" w:rsidRDefault="005727C2" w:rsidP="0061749D">
            <w:pPr>
              <w:spacing w:line="240" w:lineRule="auto"/>
              <w:jc w:val="center"/>
            </w:pPr>
            <w:r>
              <w:rPr>
                <w:sz w:val="22"/>
                <w:szCs w:val="22"/>
              </w:rPr>
              <w:t>463</w:t>
            </w:r>
          </w:p>
        </w:tc>
        <w:tc>
          <w:tcPr>
            <w:tcW w:w="1018" w:type="dxa"/>
            <w:tcBorders>
              <w:top w:val="nil"/>
              <w:left w:val="nil"/>
              <w:bottom w:val="single" w:sz="4" w:space="0" w:color="auto"/>
              <w:right w:val="single" w:sz="4" w:space="0" w:color="auto"/>
            </w:tcBorders>
            <w:vAlign w:val="center"/>
            <w:hideMark/>
          </w:tcPr>
          <w:p w:rsidR="005727C2" w:rsidRDefault="005727C2" w:rsidP="0061749D">
            <w:pPr>
              <w:spacing w:line="240" w:lineRule="auto"/>
              <w:jc w:val="center"/>
            </w:pPr>
            <w:r>
              <w:rPr>
                <w:sz w:val="22"/>
                <w:szCs w:val="22"/>
              </w:rPr>
              <w:t>490</w:t>
            </w:r>
          </w:p>
        </w:tc>
        <w:tc>
          <w:tcPr>
            <w:tcW w:w="1134" w:type="dxa"/>
            <w:tcBorders>
              <w:top w:val="nil"/>
              <w:left w:val="nil"/>
              <w:bottom w:val="single" w:sz="4" w:space="0" w:color="auto"/>
              <w:right w:val="single" w:sz="4" w:space="0" w:color="auto"/>
            </w:tcBorders>
            <w:vAlign w:val="center"/>
            <w:hideMark/>
          </w:tcPr>
          <w:p w:rsidR="005727C2" w:rsidRDefault="005727C2" w:rsidP="0061749D">
            <w:pPr>
              <w:spacing w:line="240" w:lineRule="auto"/>
              <w:jc w:val="center"/>
            </w:pPr>
            <w:r>
              <w:rPr>
                <w:sz w:val="22"/>
                <w:szCs w:val="22"/>
              </w:rPr>
              <w:t>507</w:t>
            </w:r>
          </w:p>
        </w:tc>
        <w:tc>
          <w:tcPr>
            <w:tcW w:w="992" w:type="dxa"/>
            <w:tcBorders>
              <w:top w:val="nil"/>
              <w:left w:val="nil"/>
              <w:bottom w:val="single" w:sz="4" w:space="0" w:color="auto"/>
              <w:right w:val="single" w:sz="4" w:space="0" w:color="auto"/>
            </w:tcBorders>
            <w:vAlign w:val="center"/>
            <w:hideMark/>
          </w:tcPr>
          <w:p w:rsidR="005727C2" w:rsidRDefault="005727C2" w:rsidP="0061749D">
            <w:pPr>
              <w:spacing w:line="240" w:lineRule="auto"/>
              <w:jc w:val="center"/>
            </w:pPr>
            <w:r>
              <w:rPr>
                <w:sz w:val="22"/>
                <w:szCs w:val="22"/>
              </w:rPr>
              <w:t>575</w:t>
            </w:r>
          </w:p>
        </w:tc>
      </w:tr>
      <w:tr w:rsidR="005727C2" w:rsidTr="008248F9">
        <w:trPr>
          <w:trHeight w:val="619"/>
        </w:trPr>
        <w:tc>
          <w:tcPr>
            <w:tcW w:w="531" w:type="dxa"/>
            <w:vMerge/>
            <w:tcBorders>
              <w:top w:val="nil"/>
              <w:left w:val="single" w:sz="4" w:space="0" w:color="auto"/>
              <w:bottom w:val="single" w:sz="4" w:space="0" w:color="auto"/>
              <w:right w:val="single" w:sz="4" w:space="0" w:color="auto"/>
            </w:tcBorders>
            <w:vAlign w:val="center"/>
            <w:hideMark/>
          </w:tcPr>
          <w:p w:rsidR="005727C2" w:rsidRDefault="005727C2" w:rsidP="0061749D">
            <w:pPr>
              <w:spacing w:line="240" w:lineRule="auto"/>
            </w:pPr>
          </w:p>
        </w:tc>
        <w:tc>
          <w:tcPr>
            <w:tcW w:w="1053" w:type="dxa"/>
            <w:vMerge/>
            <w:tcBorders>
              <w:top w:val="nil"/>
              <w:left w:val="single" w:sz="4" w:space="0" w:color="auto"/>
              <w:bottom w:val="single" w:sz="4" w:space="0" w:color="auto"/>
              <w:right w:val="single" w:sz="4" w:space="0" w:color="auto"/>
            </w:tcBorders>
            <w:vAlign w:val="center"/>
            <w:hideMark/>
          </w:tcPr>
          <w:p w:rsidR="005727C2" w:rsidRDefault="005727C2" w:rsidP="0061749D">
            <w:pPr>
              <w:spacing w:line="240" w:lineRule="auto"/>
            </w:pPr>
          </w:p>
        </w:tc>
        <w:tc>
          <w:tcPr>
            <w:tcW w:w="1268" w:type="dxa"/>
            <w:vMerge/>
            <w:tcBorders>
              <w:top w:val="nil"/>
              <w:left w:val="single" w:sz="4" w:space="0" w:color="auto"/>
              <w:bottom w:val="single" w:sz="4" w:space="0" w:color="auto"/>
              <w:right w:val="single" w:sz="4" w:space="0" w:color="auto"/>
            </w:tcBorders>
            <w:vAlign w:val="center"/>
            <w:hideMark/>
          </w:tcPr>
          <w:p w:rsidR="005727C2" w:rsidRDefault="005727C2" w:rsidP="0061749D">
            <w:pPr>
              <w:spacing w:line="240" w:lineRule="auto"/>
            </w:pPr>
          </w:p>
        </w:tc>
        <w:tc>
          <w:tcPr>
            <w:tcW w:w="1001" w:type="dxa"/>
            <w:vMerge/>
            <w:tcBorders>
              <w:top w:val="nil"/>
              <w:left w:val="single" w:sz="4" w:space="0" w:color="auto"/>
              <w:bottom w:val="single" w:sz="4" w:space="0" w:color="auto"/>
              <w:right w:val="single" w:sz="4" w:space="0" w:color="auto"/>
            </w:tcBorders>
            <w:vAlign w:val="center"/>
            <w:hideMark/>
          </w:tcPr>
          <w:p w:rsidR="005727C2" w:rsidRDefault="005727C2" w:rsidP="0061749D">
            <w:pPr>
              <w:spacing w:line="240" w:lineRule="auto"/>
            </w:pPr>
          </w:p>
        </w:tc>
        <w:tc>
          <w:tcPr>
            <w:tcW w:w="1550" w:type="dxa"/>
            <w:tcBorders>
              <w:top w:val="nil"/>
              <w:left w:val="nil"/>
              <w:bottom w:val="single" w:sz="4" w:space="0" w:color="auto"/>
              <w:right w:val="single" w:sz="4" w:space="0" w:color="auto"/>
            </w:tcBorders>
            <w:vAlign w:val="center"/>
            <w:hideMark/>
          </w:tcPr>
          <w:p w:rsidR="005727C2" w:rsidRDefault="005727C2" w:rsidP="0061749D">
            <w:pPr>
              <w:spacing w:line="240" w:lineRule="auto"/>
              <w:jc w:val="center"/>
            </w:pPr>
            <w:r>
              <w:rPr>
                <w:sz w:val="22"/>
                <w:szCs w:val="22"/>
              </w:rPr>
              <w:t>механизированным способом</w:t>
            </w:r>
          </w:p>
        </w:tc>
        <w:tc>
          <w:tcPr>
            <w:tcW w:w="1135" w:type="dxa"/>
            <w:tcBorders>
              <w:top w:val="nil"/>
              <w:left w:val="nil"/>
              <w:bottom w:val="single" w:sz="4" w:space="0" w:color="auto"/>
              <w:right w:val="single" w:sz="4" w:space="0" w:color="auto"/>
            </w:tcBorders>
            <w:vAlign w:val="center"/>
            <w:hideMark/>
          </w:tcPr>
          <w:p w:rsidR="005727C2" w:rsidRDefault="005727C2" w:rsidP="0061749D">
            <w:pPr>
              <w:spacing w:line="240" w:lineRule="auto"/>
              <w:jc w:val="center"/>
            </w:pPr>
            <w:r>
              <w:rPr>
                <w:sz w:val="22"/>
                <w:szCs w:val="22"/>
              </w:rPr>
              <w:t>443</w:t>
            </w:r>
          </w:p>
        </w:tc>
        <w:tc>
          <w:tcPr>
            <w:tcW w:w="1018" w:type="dxa"/>
            <w:tcBorders>
              <w:top w:val="nil"/>
              <w:left w:val="nil"/>
              <w:bottom w:val="single" w:sz="4" w:space="0" w:color="auto"/>
              <w:right w:val="single" w:sz="4" w:space="0" w:color="auto"/>
            </w:tcBorders>
            <w:vAlign w:val="center"/>
            <w:hideMark/>
          </w:tcPr>
          <w:p w:rsidR="005727C2" w:rsidRDefault="005727C2" w:rsidP="0061749D">
            <w:pPr>
              <w:spacing w:line="240" w:lineRule="auto"/>
              <w:jc w:val="center"/>
            </w:pPr>
            <w:r>
              <w:rPr>
                <w:sz w:val="22"/>
                <w:szCs w:val="22"/>
              </w:rPr>
              <w:t>470</w:t>
            </w:r>
          </w:p>
        </w:tc>
        <w:tc>
          <w:tcPr>
            <w:tcW w:w="1134" w:type="dxa"/>
            <w:tcBorders>
              <w:top w:val="nil"/>
              <w:left w:val="nil"/>
              <w:bottom w:val="single" w:sz="4" w:space="0" w:color="auto"/>
              <w:right w:val="single" w:sz="4" w:space="0" w:color="auto"/>
            </w:tcBorders>
            <w:vAlign w:val="center"/>
            <w:hideMark/>
          </w:tcPr>
          <w:p w:rsidR="005727C2" w:rsidRDefault="005727C2" w:rsidP="0061749D">
            <w:pPr>
              <w:spacing w:line="240" w:lineRule="auto"/>
              <w:jc w:val="center"/>
            </w:pPr>
            <w:r>
              <w:rPr>
                <w:sz w:val="22"/>
                <w:szCs w:val="22"/>
              </w:rPr>
              <w:t>487</w:t>
            </w:r>
          </w:p>
        </w:tc>
        <w:tc>
          <w:tcPr>
            <w:tcW w:w="992" w:type="dxa"/>
            <w:tcBorders>
              <w:top w:val="nil"/>
              <w:left w:val="nil"/>
              <w:bottom w:val="single" w:sz="4" w:space="0" w:color="auto"/>
              <w:right w:val="single" w:sz="4" w:space="0" w:color="auto"/>
            </w:tcBorders>
            <w:vAlign w:val="center"/>
            <w:hideMark/>
          </w:tcPr>
          <w:p w:rsidR="005727C2" w:rsidRDefault="005727C2" w:rsidP="0061749D">
            <w:pPr>
              <w:spacing w:line="240" w:lineRule="auto"/>
              <w:jc w:val="center"/>
            </w:pPr>
            <w:r>
              <w:rPr>
                <w:sz w:val="22"/>
                <w:szCs w:val="22"/>
              </w:rPr>
              <w:t>555</w:t>
            </w:r>
          </w:p>
        </w:tc>
      </w:tr>
      <w:tr w:rsidR="005727C2" w:rsidTr="008248F9">
        <w:trPr>
          <w:trHeight w:val="402"/>
        </w:trPr>
        <w:tc>
          <w:tcPr>
            <w:tcW w:w="531" w:type="dxa"/>
            <w:vMerge/>
            <w:tcBorders>
              <w:top w:val="nil"/>
              <w:left w:val="single" w:sz="4" w:space="0" w:color="auto"/>
              <w:bottom w:val="single" w:sz="4" w:space="0" w:color="auto"/>
              <w:right w:val="single" w:sz="4" w:space="0" w:color="auto"/>
            </w:tcBorders>
            <w:vAlign w:val="center"/>
            <w:hideMark/>
          </w:tcPr>
          <w:p w:rsidR="005727C2" w:rsidRDefault="005727C2" w:rsidP="0061749D">
            <w:pPr>
              <w:spacing w:line="240" w:lineRule="auto"/>
            </w:pPr>
          </w:p>
        </w:tc>
        <w:tc>
          <w:tcPr>
            <w:tcW w:w="1053" w:type="dxa"/>
            <w:vMerge/>
            <w:tcBorders>
              <w:top w:val="nil"/>
              <w:left w:val="single" w:sz="4" w:space="0" w:color="auto"/>
              <w:bottom w:val="single" w:sz="4" w:space="0" w:color="auto"/>
              <w:right w:val="single" w:sz="4" w:space="0" w:color="auto"/>
            </w:tcBorders>
            <w:vAlign w:val="center"/>
            <w:hideMark/>
          </w:tcPr>
          <w:p w:rsidR="005727C2" w:rsidRDefault="005727C2" w:rsidP="0061749D">
            <w:pPr>
              <w:spacing w:line="240" w:lineRule="auto"/>
            </w:pPr>
          </w:p>
        </w:tc>
        <w:tc>
          <w:tcPr>
            <w:tcW w:w="1268" w:type="dxa"/>
            <w:vMerge w:val="restart"/>
            <w:tcBorders>
              <w:top w:val="nil"/>
              <w:left w:val="single" w:sz="4" w:space="0" w:color="auto"/>
              <w:bottom w:val="single" w:sz="4" w:space="0" w:color="auto"/>
              <w:right w:val="single" w:sz="4" w:space="0" w:color="auto"/>
            </w:tcBorders>
            <w:vAlign w:val="center"/>
            <w:hideMark/>
          </w:tcPr>
          <w:p w:rsidR="005727C2" w:rsidRDefault="005727C2" w:rsidP="0061749D">
            <w:pPr>
              <w:spacing w:line="240" w:lineRule="auto"/>
              <w:jc w:val="center"/>
            </w:pPr>
            <w:r>
              <w:rPr>
                <w:sz w:val="22"/>
                <w:szCs w:val="22"/>
              </w:rPr>
              <w:t xml:space="preserve">степная и лесостепная, таежная </w:t>
            </w:r>
            <w:r>
              <w:rPr>
                <w:sz w:val="22"/>
                <w:szCs w:val="22"/>
              </w:rPr>
              <w:lastRenderedPageBreak/>
              <w:t>зоны</w:t>
            </w:r>
          </w:p>
        </w:tc>
        <w:tc>
          <w:tcPr>
            <w:tcW w:w="2551" w:type="dxa"/>
            <w:gridSpan w:val="2"/>
            <w:tcBorders>
              <w:top w:val="single" w:sz="4" w:space="0" w:color="auto"/>
              <w:left w:val="nil"/>
              <w:bottom w:val="single" w:sz="4" w:space="0" w:color="auto"/>
              <w:right w:val="single" w:sz="4" w:space="0" w:color="auto"/>
            </w:tcBorders>
            <w:vAlign w:val="center"/>
            <w:hideMark/>
          </w:tcPr>
          <w:p w:rsidR="005727C2" w:rsidRDefault="005727C2" w:rsidP="0061749D">
            <w:pPr>
              <w:spacing w:line="240" w:lineRule="auto"/>
              <w:jc w:val="center"/>
            </w:pPr>
            <w:r>
              <w:rPr>
                <w:sz w:val="22"/>
                <w:szCs w:val="22"/>
              </w:rPr>
              <w:lastRenderedPageBreak/>
              <w:t xml:space="preserve">без погрузки </w:t>
            </w:r>
          </w:p>
        </w:tc>
        <w:tc>
          <w:tcPr>
            <w:tcW w:w="1135" w:type="dxa"/>
            <w:tcBorders>
              <w:top w:val="nil"/>
              <w:left w:val="nil"/>
              <w:bottom w:val="single" w:sz="4" w:space="0" w:color="auto"/>
              <w:right w:val="single" w:sz="4" w:space="0" w:color="auto"/>
            </w:tcBorders>
            <w:vAlign w:val="center"/>
            <w:hideMark/>
          </w:tcPr>
          <w:p w:rsidR="005727C2" w:rsidRDefault="005727C2" w:rsidP="0061749D">
            <w:pPr>
              <w:spacing w:line="240" w:lineRule="auto"/>
              <w:jc w:val="center"/>
            </w:pPr>
            <w:r>
              <w:rPr>
                <w:sz w:val="22"/>
                <w:szCs w:val="22"/>
              </w:rPr>
              <w:t>551</w:t>
            </w:r>
          </w:p>
        </w:tc>
        <w:tc>
          <w:tcPr>
            <w:tcW w:w="1018" w:type="dxa"/>
            <w:tcBorders>
              <w:top w:val="nil"/>
              <w:left w:val="nil"/>
              <w:bottom w:val="single" w:sz="4" w:space="0" w:color="auto"/>
              <w:right w:val="single" w:sz="4" w:space="0" w:color="auto"/>
            </w:tcBorders>
            <w:vAlign w:val="center"/>
            <w:hideMark/>
          </w:tcPr>
          <w:p w:rsidR="005727C2" w:rsidRDefault="005727C2" w:rsidP="0061749D">
            <w:pPr>
              <w:spacing w:line="240" w:lineRule="auto"/>
              <w:jc w:val="center"/>
            </w:pPr>
            <w:r>
              <w:rPr>
                <w:sz w:val="22"/>
                <w:szCs w:val="22"/>
              </w:rPr>
              <w:t>587</w:t>
            </w:r>
          </w:p>
        </w:tc>
        <w:tc>
          <w:tcPr>
            <w:tcW w:w="1134" w:type="dxa"/>
            <w:tcBorders>
              <w:top w:val="nil"/>
              <w:left w:val="nil"/>
              <w:bottom w:val="single" w:sz="4" w:space="0" w:color="auto"/>
              <w:right w:val="single" w:sz="4" w:space="0" w:color="auto"/>
            </w:tcBorders>
            <w:vAlign w:val="center"/>
            <w:hideMark/>
          </w:tcPr>
          <w:p w:rsidR="005727C2" w:rsidRDefault="005727C2" w:rsidP="0061749D">
            <w:pPr>
              <w:spacing w:line="240" w:lineRule="auto"/>
              <w:jc w:val="center"/>
            </w:pPr>
            <w:r>
              <w:rPr>
                <w:sz w:val="22"/>
                <w:szCs w:val="22"/>
              </w:rPr>
              <w:t>612</w:t>
            </w:r>
          </w:p>
        </w:tc>
        <w:tc>
          <w:tcPr>
            <w:tcW w:w="992" w:type="dxa"/>
            <w:tcBorders>
              <w:top w:val="nil"/>
              <w:left w:val="nil"/>
              <w:bottom w:val="single" w:sz="4" w:space="0" w:color="auto"/>
              <w:right w:val="single" w:sz="4" w:space="0" w:color="auto"/>
            </w:tcBorders>
            <w:vAlign w:val="center"/>
            <w:hideMark/>
          </w:tcPr>
          <w:p w:rsidR="005727C2" w:rsidRDefault="005727C2" w:rsidP="0061749D">
            <w:pPr>
              <w:spacing w:line="240" w:lineRule="auto"/>
              <w:jc w:val="center"/>
            </w:pPr>
            <w:r>
              <w:rPr>
                <w:sz w:val="22"/>
                <w:szCs w:val="22"/>
              </w:rPr>
              <w:t>704</w:t>
            </w:r>
          </w:p>
        </w:tc>
      </w:tr>
      <w:tr w:rsidR="005727C2" w:rsidTr="008248F9">
        <w:trPr>
          <w:trHeight w:val="402"/>
        </w:trPr>
        <w:tc>
          <w:tcPr>
            <w:tcW w:w="531" w:type="dxa"/>
            <w:vMerge/>
            <w:tcBorders>
              <w:top w:val="nil"/>
              <w:left w:val="single" w:sz="4" w:space="0" w:color="auto"/>
              <w:bottom w:val="single" w:sz="4" w:space="0" w:color="auto"/>
              <w:right w:val="single" w:sz="4" w:space="0" w:color="auto"/>
            </w:tcBorders>
            <w:vAlign w:val="center"/>
            <w:hideMark/>
          </w:tcPr>
          <w:p w:rsidR="005727C2" w:rsidRDefault="005727C2" w:rsidP="0061749D">
            <w:pPr>
              <w:spacing w:line="240" w:lineRule="auto"/>
            </w:pPr>
          </w:p>
        </w:tc>
        <w:tc>
          <w:tcPr>
            <w:tcW w:w="1053" w:type="dxa"/>
            <w:vMerge/>
            <w:tcBorders>
              <w:top w:val="nil"/>
              <w:left w:val="single" w:sz="4" w:space="0" w:color="auto"/>
              <w:bottom w:val="single" w:sz="4" w:space="0" w:color="auto"/>
              <w:right w:val="single" w:sz="4" w:space="0" w:color="auto"/>
            </w:tcBorders>
            <w:vAlign w:val="center"/>
            <w:hideMark/>
          </w:tcPr>
          <w:p w:rsidR="005727C2" w:rsidRDefault="005727C2" w:rsidP="0061749D">
            <w:pPr>
              <w:spacing w:line="240" w:lineRule="auto"/>
            </w:pPr>
          </w:p>
        </w:tc>
        <w:tc>
          <w:tcPr>
            <w:tcW w:w="1268" w:type="dxa"/>
            <w:vMerge/>
            <w:tcBorders>
              <w:top w:val="nil"/>
              <w:left w:val="single" w:sz="4" w:space="0" w:color="auto"/>
              <w:bottom w:val="single" w:sz="4" w:space="0" w:color="auto"/>
              <w:right w:val="single" w:sz="4" w:space="0" w:color="auto"/>
            </w:tcBorders>
            <w:vAlign w:val="center"/>
            <w:hideMark/>
          </w:tcPr>
          <w:p w:rsidR="005727C2" w:rsidRDefault="005727C2" w:rsidP="0061749D">
            <w:pPr>
              <w:spacing w:line="240" w:lineRule="auto"/>
            </w:pPr>
          </w:p>
        </w:tc>
        <w:tc>
          <w:tcPr>
            <w:tcW w:w="1001" w:type="dxa"/>
            <w:vMerge w:val="restart"/>
            <w:tcBorders>
              <w:top w:val="nil"/>
              <w:left w:val="single" w:sz="4" w:space="0" w:color="auto"/>
              <w:bottom w:val="single" w:sz="4" w:space="0" w:color="auto"/>
              <w:right w:val="single" w:sz="4" w:space="0" w:color="auto"/>
            </w:tcBorders>
            <w:vAlign w:val="center"/>
            <w:hideMark/>
          </w:tcPr>
          <w:p w:rsidR="005727C2" w:rsidRDefault="005727C2" w:rsidP="0061749D">
            <w:pPr>
              <w:spacing w:line="240" w:lineRule="auto"/>
              <w:jc w:val="center"/>
            </w:pPr>
            <w:r>
              <w:rPr>
                <w:sz w:val="22"/>
                <w:szCs w:val="22"/>
              </w:rPr>
              <w:t xml:space="preserve">с </w:t>
            </w:r>
            <w:r>
              <w:rPr>
                <w:sz w:val="22"/>
                <w:szCs w:val="22"/>
              </w:rPr>
              <w:lastRenderedPageBreak/>
              <w:t xml:space="preserve">погрузкой </w:t>
            </w:r>
          </w:p>
        </w:tc>
        <w:tc>
          <w:tcPr>
            <w:tcW w:w="1550" w:type="dxa"/>
            <w:tcBorders>
              <w:top w:val="nil"/>
              <w:left w:val="nil"/>
              <w:bottom w:val="single" w:sz="4" w:space="0" w:color="auto"/>
              <w:right w:val="single" w:sz="4" w:space="0" w:color="auto"/>
            </w:tcBorders>
            <w:vAlign w:val="center"/>
            <w:hideMark/>
          </w:tcPr>
          <w:p w:rsidR="005727C2" w:rsidRDefault="005727C2" w:rsidP="0061749D">
            <w:pPr>
              <w:spacing w:line="240" w:lineRule="auto"/>
              <w:jc w:val="center"/>
            </w:pPr>
            <w:r>
              <w:rPr>
                <w:sz w:val="22"/>
                <w:szCs w:val="22"/>
              </w:rPr>
              <w:lastRenderedPageBreak/>
              <w:t>вручную</w:t>
            </w:r>
          </w:p>
        </w:tc>
        <w:tc>
          <w:tcPr>
            <w:tcW w:w="1135" w:type="dxa"/>
            <w:tcBorders>
              <w:top w:val="nil"/>
              <w:left w:val="nil"/>
              <w:bottom w:val="single" w:sz="4" w:space="0" w:color="auto"/>
              <w:right w:val="single" w:sz="4" w:space="0" w:color="auto"/>
            </w:tcBorders>
            <w:vAlign w:val="center"/>
            <w:hideMark/>
          </w:tcPr>
          <w:p w:rsidR="005727C2" w:rsidRDefault="005727C2" w:rsidP="0061749D">
            <w:pPr>
              <w:spacing w:line="240" w:lineRule="auto"/>
              <w:jc w:val="center"/>
            </w:pPr>
            <w:r>
              <w:rPr>
                <w:sz w:val="22"/>
                <w:szCs w:val="22"/>
              </w:rPr>
              <w:t>616</w:t>
            </w:r>
          </w:p>
        </w:tc>
        <w:tc>
          <w:tcPr>
            <w:tcW w:w="1018" w:type="dxa"/>
            <w:tcBorders>
              <w:top w:val="nil"/>
              <w:left w:val="nil"/>
              <w:bottom w:val="single" w:sz="4" w:space="0" w:color="auto"/>
              <w:right w:val="single" w:sz="4" w:space="0" w:color="auto"/>
            </w:tcBorders>
            <w:vAlign w:val="center"/>
            <w:hideMark/>
          </w:tcPr>
          <w:p w:rsidR="005727C2" w:rsidRDefault="005727C2" w:rsidP="0061749D">
            <w:pPr>
              <w:spacing w:line="240" w:lineRule="auto"/>
              <w:jc w:val="center"/>
            </w:pPr>
            <w:r>
              <w:rPr>
                <w:sz w:val="22"/>
                <w:szCs w:val="22"/>
              </w:rPr>
              <w:t>652</w:t>
            </w:r>
          </w:p>
        </w:tc>
        <w:tc>
          <w:tcPr>
            <w:tcW w:w="1134" w:type="dxa"/>
            <w:tcBorders>
              <w:top w:val="nil"/>
              <w:left w:val="nil"/>
              <w:bottom w:val="single" w:sz="4" w:space="0" w:color="auto"/>
              <w:right w:val="single" w:sz="4" w:space="0" w:color="auto"/>
            </w:tcBorders>
            <w:vAlign w:val="center"/>
            <w:hideMark/>
          </w:tcPr>
          <w:p w:rsidR="005727C2" w:rsidRDefault="005727C2" w:rsidP="0061749D">
            <w:pPr>
              <w:spacing w:line="240" w:lineRule="auto"/>
              <w:jc w:val="center"/>
            </w:pPr>
            <w:r>
              <w:rPr>
                <w:sz w:val="22"/>
                <w:szCs w:val="22"/>
              </w:rPr>
              <w:t>677</w:t>
            </w:r>
          </w:p>
        </w:tc>
        <w:tc>
          <w:tcPr>
            <w:tcW w:w="992" w:type="dxa"/>
            <w:tcBorders>
              <w:top w:val="nil"/>
              <w:left w:val="nil"/>
              <w:bottom w:val="single" w:sz="4" w:space="0" w:color="auto"/>
              <w:right w:val="single" w:sz="4" w:space="0" w:color="auto"/>
            </w:tcBorders>
            <w:vAlign w:val="center"/>
            <w:hideMark/>
          </w:tcPr>
          <w:p w:rsidR="005727C2" w:rsidRDefault="005727C2" w:rsidP="0061749D">
            <w:pPr>
              <w:spacing w:line="240" w:lineRule="auto"/>
              <w:jc w:val="center"/>
            </w:pPr>
            <w:r>
              <w:rPr>
                <w:sz w:val="22"/>
                <w:szCs w:val="22"/>
              </w:rPr>
              <w:t>769</w:t>
            </w:r>
          </w:p>
        </w:tc>
      </w:tr>
      <w:tr w:rsidR="005727C2" w:rsidTr="008248F9">
        <w:trPr>
          <w:trHeight w:val="402"/>
        </w:trPr>
        <w:tc>
          <w:tcPr>
            <w:tcW w:w="531" w:type="dxa"/>
            <w:vMerge/>
            <w:tcBorders>
              <w:top w:val="nil"/>
              <w:left w:val="single" w:sz="4" w:space="0" w:color="auto"/>
              <w:bottom w:val="single" w:sz="4" w:space="0" w:color="auto"/>
              <w:right w:val="single" w:sz="4" w:space="0" w:color="auto"/>
            </w:tcBorders>
            <w:vAlign w:val="center"/>
            <w:hideMark/>
          </w:tcPr>
          <w:p w:rsidR="005727C2" w:rsidRDefault="005727C2" w:rsidP="0061749D">
            <w:pPr>
              <w:spacing w:line="240" w:lineRule="auto"/>
            </w:pPr>
          </w:p>
        </w:tc>
        <w:tc>
          <w:tcPr>
            <w:tcW w:w="1053" w:type="dxa"/>
            <w:vMerge/>
            <w:tcBorders>
              <w:top w:val="nil"/>
              <w:left w:val="single" w:sz="4" w:space="0" w:color="auto"/>
              <w:bottom w:val="single" w:sz="4" w:space="0" w:color="auto"/>
              <w:right w:val="single" w:sz="4" w:space="0" w:color="auto"/>
            </w:tcBorders>
            <w:vAlign w:val="center"/>
            <w:hideMark/>
          </w:tcPr>
          <w:p w:rsidR="005727C2" w:rsidRDefault="005727C2" w:rsidP="0061749D">
            <w:pPr>
              <w:spacing w:line="240" w:lineRule="auto"/>
            </w:pPr>
          </w:p>
        </w:tc>
        <w:tc>
          <w:tcPr>
            <w:tcW w:w="1268" w:type="dxa"/>
            <w:vMerge/>
            <w:tcBorders>
              <w:top w:val="nil"/>
              <w:left w:val="single" w:sz="4" w:space="0" w:color="auto"/>
              <w:bottom w:val="single" w:sz="4" w:space="0" w:color="auto"/>
              <w:right w:val="single" w:sz="4" w:space="0" w:color="auto"/>
            </w:tcBorders>
            <w:vAlign w:val="center"/>
            <w:hideMark/>
          </w:tcPr>
          <w:p w:rsidR="005727C2" w:rsidRDefault="005727C2" w:rsidP="0061749D">
            <w:pPr>
              <w:spacing w:line="240" w:lineRule="auto"/>
            </w:pPr>
          </w:p>
        </w:tc>
        <w:tc>
          <w:tcPr>
            <w:tcW w:w="1001" w:type="dxa"/>
            <w:vMerge/>
            <w:tcBorders>
              <w:top w:val="nil"/>
              <w:left w:val="single" w:sz="4" w:space="0" w:color="auto"/>
              <w:bottom w:val="single" w:sz="4" w:space="0" w:color="auto"/>
              <w:right w:val="single" w:sz="4" w:space="0" w:color="auto"/>
            </w:tcBorders>
            <w:vAlign w:val="center"/>
            <w:hideMark/>
          </w:tcPr>
          <w:p w:rsidR="005727C2" w:rsidRDefault="005727C2" w:rsidP="0061749D">
            <w:pPr>
              <w:spacing w:line="240" w:lineRule="auto"/>
            </w:pPr>
          </w:p>
        </w:tc>
        <w:tc>
          <w:tcPr>
            <w:tcW w:w="1550" w:type="dxa"/>
            <w:tcBorders>
              <w:top w:val="nil"/>
              <w:left w:val="nil"/>
              <w:bottom w:val="single" w:sz="4" w:space="0" w:color="auto"/>
              <w:right w:val="single" w:sz="4" w:space="0" w:color="auto"/>
            </w:tcBorders>
            <w:vAlign w:val="center"/>
            <w:hideMark/>
          </w:tcPr>
          <w:p w:rsidR="005727C2" w:rsidRDefault="005727C2" w:rsidP="0061749D">
            <w:pPr>
              <w:spacing w:line="240" w:lineRule="auto"/>
              <w:jc w:val="center"/>
            </w:pPr>
            <w:r>
              <w:rPr>
                <w:sz w:val="22"/>
                <w:szCs w:val="22"/>
              </w:rPr>
              <w:t>механизированным способом</w:t>
            </w:r>
          </w:p>
        </w:tc>
        <w:tc>
          <w:tcPr>
            <w:tcW w:w="1135" w:type="dxa"/>
            <w:tcBorders>
              <w:top w:val="nil"/>
              <w:left w:val="nil"/>
              <w:bottom w:val="single" w:sz="4" w:space="0" w:color="auto"/>
              <w:right w:val="single" w:sz="4" w:space="0" w:color="auto"/>
            </w:tcBorders>
            <w:vAlign w:val="center"/>
            <w:hideMark/>
          </w:tcPr>
          <w:p w:rsidR="005727C2" w:rsidRDefault="005727C2" w:rsidP="0061749D">
            <w:pPr>
              <w:spacing w:line="240" w:lineRule="auto"/>
              <w:jc w:val="center"/>
            </w:pPr>
            <w:r>
              <w:rPr>
                <w:sz w:val="22"/>
                <w:szCs w:val="22"/>
              </w:rPr>
              <w:t>596</w:t>
            </w:r>
          </w:p>
        </w:tc>
        <w:tc>
          <w:tcPr>
            <w:tcW w:w="1018" w:type="dxa"/>
            <w:tcBorders>
              <w:top w:val="nil"/>
              <w:left w:val="nil"/>
              <w:bottom w:val="single" w:sz="4" w:space="0" w:color="auto"/>
              <w:right w:val="single" w:sz="4" w:space="0" w:color="auto"/>
            </w:tcBorders>
            <w:vAlign w:val="center"/>
            <w:hideMark/>
          </w:tcPr>
          <w:p w:rsidR="005727C2" w:rsidRDefault="005727C2" w:rsidP="0061749D">
            <w:pPr>
              <w:spacing w:line="240" w:lineRule="auto"/>
              <w:jc w:val="center"/>
            </w:pPr>
            <w:r>
              <w:rPr>
                <w:sz w:val="22"/>
                <w:szCs w:val="22"/>
              </w:rPr>
              <w:t>632</w:t>
            </w:r>
          </w:p>
        </w:tc>
        <w:tc>
          <w:tcPr>
            <w:tcW w:w="1134" w:type="dxa"/>
            <w:tcBorders>
              <w:top w:val="nil"/>
              <w:left w:val="nil"/>
              <w:bottom w:val="single" w:sz="4" w:space="0" w:color="auto"/>
              <w:right w:val="single" w:sz="4" w:space="0" w:color="auto"/>
            </w:tcBorders>
            <w:vAlign w:val="center"/>
            <w:hideMark/>
          </w:tcPr>
          <w:p w:rsidR="005727C2" w:rsidRDefault="005727C2" w:rsidP="0061749D">
            <w:pPr>
              <w:spacing w:line="240" w:lineRule="auto"/>
              <w:jc w:val="center"/>
            </w:pPr>
            <w:r>
              <w:rPr>
                <w:sz w:val="22"/>
                <w:szCs w:val="22"/>
              </w:rPr>
              <w:t>657</w:t>
            </w:r>
          </w:p>
        </w:tc>
        <w:tc>
          <w:tcPr>
            <w:tcW w:w="992" w:type="dxa"/>
            <w:tcBorders>
              <w:top w:val="nil"/>
              <w:left w:val="nil"/>
              <w:bottom w:val="single" w:sz="4" w:space="0" w:color="auto"/>
              <w:right w:val="single" w:sz="4" w:space="0" w:color="auto"/>
            </w:tcBorders>
            <w:vAlign w:val="center"/>
            <w:hideMark/>
          </w:tcPr>
          <w:p w:rsidR="005727C2" w:rsidRDefault="005727C2" w:rsidP="0061749D">
            <w:pPr>
              <w:spacing w:line="240" w:lineRule="auto"/>
              <w:jc w:val="center"/>
            </w:pPr>
            <w:r>
              <w:rPr>
                <w:sz w:val="22"/>
                <w:szCs w:val="22"/>
              </w:rPr>
              <w:t>749</w:t>
            </w:r>
          </w:p>
        </w:tc>
      </w:tr>
    </w:tbl>
    <w:p w:rsidR="005727C2" w:rsidRDefault="005727C2" w:rsidP="005727C2">
      <w:pPr>
        <w:pStyle w:val="afa"/>
        <w:ind w:left="10490"/>
        <w:jc w:val="center"/>
        <w:rPr>
          <w:rFonts w:ascii="Times New Roman" w:hAnsi="Times New Roman"/>
          <w:color w:val="0000FF"/>
          <w:sz w:val="28"/>
          <w:szCs w:val="28"/>
          <w:lang w:val="en-US"/>
        </w:rPr>
      </w:pPr>
    </w:p>
    <w:p w:rsidR="005727C2" w:rsidRDefault="005727C2" w:rsidP="008248F9">
      <w:pPr>
        <w:spacing w:after="0" w:line="240" w:lineRule="auto"/>
        <w:ind w:firstLine="709"/>
        <w:rPr>
          <w:b/>
          <w:sz w:val="28"/>
          <w:szCs w:val="28"/>
          <w:u w:val="single"/>
        </w:rPr>
      </w:pPr>
      <w:r>
        <w:rPr>
          <w:b/>
          <w:sz w:val="28"/>
          <w:szCs w:val="28"/>
          <w:u w:val="single"/>
        </w:rPr>
        <w:t>Уголь</w:t>
      </w:r>
    </w:p>
    <w:p w:rsidR="008248F9" w:rsidRDefault="005727C2" w:rsidP="008248F9">
      <w:pPr>
        <w:spacing w:after="0" w:line="240" w:lineRule="auto"/>
        <w:ind w:firstLine="709"/>
        <w:jc w:val="both"/>
        <w:rPr>
          <w:snapToGrid w:val="0"/>
          <w:sz w:val="28"/>
          <w:szCs w:val="28"/>
        </w:rPr>
      </w:pPr>
      <w:r>
        <w:rPr>
          <w:sz w:val="28"/>
          <w:szCs w:val="28"/>
        </w:rPr>
        <w:t xml:space="preserve">Приказом департамента по тарифам Новосибирской области от 08.08.2019 № 214-ТС «О розничных предельных максимальных ценах на уголь необогащенный, реализуемый </w:t>
      </w:r>
      <w:r>
        <w:rPr>
          <w:snapToGrid w:val="0"/>
          <w:sz w:val="28"/>
          <w:szCs w:val="28"/>
        </w:rPr>
        <w:t>гражданам, управляющим организациям, товариществам собственников жилья, жилищным, жилищно-строительным или иным специализированным потребительским кооперативам, созданным в целях удовлетворения потребностей граждан в жилье» с дифференциацией по трем зонам</w:t>
      </w:r>
      <w:r>
        <w:rPr>
          <w:sz w:val="28"/>
          <w:szCs w:val="28"/>
        </w:rPr>
        <w:t xml:space="preserve"> установлены предельные максимальные розничные цены на уголь  </w:t>
      </w:r>
      <w:r>
        <w:rPr>
          <w:snapToGrid w:val="0"/>
          <w:sz w:val="28"/>
          <w:szCs w:val="28"/>
        </w:rPr>
        <w:t xml:space="preserve">марок Д, ДГ, Г класса Р (рядовой уголь) и марок Д, ДГ, Г классов П, К, О, М (сортовой) с введением в действие с 01 октября 2019 года. </w:t>
      </w:r>
    </w:p>
    <w:p w:rsidR="005727C2" w:rsidRDefault="005727C2" w:rsidP="008248F9">
      <w:pPr>
        <w:spacing w:after="0" w:line="240" w:lineRule="auto"/>
        <w:ind w:firstLine="709"/>
        <w:jc w:val="both"/>
        <w:rPr>
          <w:sz w:val="28"/>
          <w:szCs w:val="28"/>
        </w:rPr>
      </w:pPr>
      <w:r>
        <w:rPr>
          <w:snapToGrid w:val="0"/>
          <w:sz w:val="28"/>
          <w:szCs w:val="28"/>
        </w:rPr>
        <w:t xml:space="preserve">Формирование розничных цен на уголь произведено с использованием </w:t>
      </w:r>
      <w:r>
        <w:rPr>
          <w:sz w:val="28"/>
          <w:szCs w:val="28"/>
        </w:rPr>
        <w:t xml:space="preserve">шаблона </w:t>
      </w:r>
      <w:r>
        <w:rPr>
          <w:sz w:val="28"/>
          <w:szCs w:val="28"/>
          <w:lang w:val="en-US"/>
        </w:rPr>
        <w:t>PRIL</w:t>
      </w:r>
      <w:r>
        <w:rPr>
          <w:sz w:val="28"/>
          <w:szCs w:val="28"/>
        </w:rPr>
        <w:t>.</w:t>
      </w:r>
      <w:r>
        <w:rPr>
          <w:sz w:val="28"/>
          <w:szCs w:val="28"/>
          <w:lang w:val="en-US"/>
        </w:rPr>
        <w:t>TV</w:t>
      </w:r>
      <w:r>
        <w:rPr>
          <w:sz w:val="28"/>
          <w:szCs w:val="28"/>
        </w:rPr>
        <w:t>.</w:t>
      </w:r>
      <w:r>
        <w:rPr>
          <w:sz w:val="28"/>
          <w:szCs w:val="28"/>
          <w:lang w:val="en-US"/>
        </w:rPr>
        <w:t>TOP</w:t>
      </w:r>
      <w:r>
        <w:rPr>
          <w:sz w:val="28"/>
          <w:szCs w:val="28"/>
        </w:rPr>
        <w:t>.</w:t>
      </w:r>
      <w:r>
        <w:rPr>
          <w:sz w:val="28"/>
          <w:szCs w:val="28"/>
          <w:lang w:val="en-US"/>
        </w:rPr>
        <w:t>F</w:t>
      </w:r>
      <w:r>
        <w:rPr>
          <w:sz w:val="28"/>
          <w:szCs w:val="28"/>
        </w:rPr>
        <w:t>.6.54 «Расчет стоимости единицы твердого топлива» регионального сегмента ФГИС ЕИАС ФСТ России.</w:t>
      </w:r>
    </w:p>
    <w:p w:rsidR="005727C2" w:rsidRDefault="005727C2" w:rsidP="008248F9">
      <w:pPr>
        <w:spacing w:after="0" w:line="240" w:lineRule="auto"/>
        <w:rPr>
          <w:i/>
          <w:sz w:val="28"/>
          <w:szCs w:val="28"/>
        </w:rPr>
      </w:pPr>
    </w:p>
    <w:p w:rsidR="005727C2" w:rsidRDefault="005727C2" w:rsidP="005727C2">
      <w:pPr>
        <w:rPr>
          <w:noProof/>
          <w:sz w:val="28"/>
          <w:szCs w:val="28"/>
        </w:rPr>
      </w:pPr>
      <w:r>
        <w:rPr>
          <w:i/>
          <w:sz w:val="28"/>
          <w:szCs w:val="28"/>
        </w:rPr>
        <w:t>Динамика розничных цен на уголь, реализуемый населению:</w:t>
      </w:r>
      <w:r>
        <w:rPr>
          <w:sz w:val="28"/>
          <w:szCs w:val="28"/>
        </w:rPr>
        <w:t xml:space="preserve"> </w:t>
      </w:r>
      <w:r w:rsidR="001E6715" w:rsidRPr="00115789">
        <w:rPr>
          <w:rFonts w:eastAsia="Times New Roman"/>
          <w:noProof/>
          <w:sz w:val="28"/>
          <w:szCs w:val="28"/>
        </w:rPr>
        <w:object w:dxaOrig="10215" w:dyaOrig="5550">
          <v:shape id="_x0000_i1037" type="#_x0000_t75" style="width:466.5pt;height:277.5pt" o:ole="">
            <v:imagedata r:id="rId97" o:title=""/>
          </v:shape>
          <o:OLEObject Type="Embed" ProgID="Excel.Sheet.12" ShapeID="_x0000_i1037" DrawAspect="Content" ObjectID="_1647172725" r:id="rId98"/>
        </w:object>
      </w:r>
      <w:r>
        <w:rPr>
          <w:i/>
          <w:sz w:val="28"/>
          <w:szCs w:val="28"/>
        </w:rPr>
        <w:t>Динамика структуры средневзвешенных розничных цен на уголь, реализуемый населению:</w:t>
      </w:r>
    </w:p>
    <w:p w:rsidR="005727C2" w:rsidRDefault="005727C2" w:rsidP="005727C2">
      <w:pPr>
        <w:rPr>
          <w:noProof/>
          <w:sz w:val="28"/>
          <w:szCs w:val="28"/>
        </w:rPr>
      </w:pPr>
      <w:r>
        <w:rPr>
          <w:noProof/>
          <w:color w:val="00B0F0"/>
          <w:sz w:val="28"/>
          <w:szCs w:val="28"/>
        </w:rPr>
        <w:lastRenderedPageBreak/>
        <w:drawing>
          <wp:inline distT="0" distB="0" distL="0" distR="0" wp14:anchorId="51B86B4B" wp14:editId="2AF90E5D">
            <wp:extent cx="5896051" cy="3211270"/>
            <wp:effectExtent l="0" t="0" r="0" b="0"/>
            <wp:docPr id="46" name="Рисунок 46"/>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Диаграмма 1"/>
                    <pic:cNvPicPr>
                      <a:picLocks noChangeArrowheads="1"/>
                    </pic:cNvPicPr>
                  </pic:nvPicPr>
                  <pic:blipFill>
                    <a:blip r:embed="rId99" cstate="print">
                      <a:extLst>
                        <a:ext uri="{28A0092B-C50C-407E-A947-70E740481C1C}">
                          <a14:useLocalDpi xmlns:a14="http://schemas.microsoft.com/office/drawing/2010/main" val="0"/>
                        </a:ext>
                      </a:extLst>
                    </a:blip>
                    <a:srcRect/>
                    <a:stretch>
                      <a:fillRect/>
                    </a:stretch>
                  </pic:blipFill>
                  <pic:spPr bwMode="auto">
                    <a:xfrm>
                      <a:off x="0" y="0"/>
                      <a:ext cx="5895913" cy="3211195"/>
                    </a:xfrm>
                    <a:prstGeom prst="rect">
                      <a:avLst/>
                    </a:prstGeom>
                    <a:noFill/>
                    <a:ln>
                      <a:noFill/>
                    </a:ln>
                  </pic:spPr>
                </pic:pic>
              </a:graphicData>
            </a:graphic>
          </wp:inline>
        </w:drawing>
      </w:r>
    </w:p>
    <w:p w:rsidR="005727C2" w:rsidRDefault="005727C2" w:rsidP="008248F9">
      <w:pPr>
        <w:autoSpaceDE w:val="0"/>
        <w:autoSpaceDN w:val="0"/>
        <w:adjustRightInd w:val="0"/>
        <w:spacing w:after="0" w:line="240" w:lineRule="auto"/>
        <w:ind w:firstLine="709"/>
        <w:jc w:val="both"/>
        <w:rPr>
          <w:sz w:val="28"/>
          <w:szCs w:val="28"/>
        </w:rPr>
      </w:pPr>
      <w:r>
        <w:rPr>
          <w:sz w:val="28"/>
          <w:szCs w:val="28"/>
        </w:rPr>
        <w:t>Розничные предельные максимальные цены на уголь обогащенный, реализуемый гражданам, управляющим организациям, товариществам собственников жилья, жилищным, жилищно-строительным или иным специализированным потребительским кооперативам, созданным в целях удовлетворения потребностей граждан в жилье, установленные приказом департамента по тарифам Новосибирской области от 11.09.2018 № 227-ТС (ред. от 11.12.2018), в 2019 году не пересматривались и составляют:</w:t>
      </w:r>
    </w:p>
    <w:tbl>
      <w:tblPr>
        <w:tblW w:w="0" w:type="auto"/>
        <w:tblLayout w:type="fixed"/>
        <w:tblCellMar>
          <w:top w:w="102" w:type="dxa"/>
          <w:left w:w="62" w:type="dxa"/>
          <w:bottom w:w="102" w:type="dxa"/>
          <w:right w:w="62" w:type="dxa"/>
        </w:tblCellMar>
        <w:tblLook w:val="04A0" w:firstRow="1" w:lastRow="0" w:firstColumn="1" w:lastColumn="0" w:noHBand="0" w:noVBand="1"/>
      </w:tblPr>
      <w:tblGrid>
        <w:gridCol w:w="3748"/>
        <w:gridCol w:w="5528"/>
      </w:tblGrid>
      <w:tr w:rsidR="005727C2" w:rsidTr="008248F9">
        <w:tc>
          <w:tcPr>
            <w:tcW w:w="3748" w:type="dxa"/>
            <w:tcBorders>
              <w:top w:val="single" w:sz="4" w:space="0" w:color="auto"/>
              <w:left w:val="single" w:sz="4" w:space="0" w:color="auto"/>
              <w:bottom w:val="single" w:sz="4" w:space="0" w:color="auto"/>
              <w:right w:val="single" w:sz="4" w:space="0" w:color="auto"/>
            </w:tcBorders>
            <w:vAlign w:val="center"/>
            <w:hideMark/>
          </w:tcPr>
          <w:p w:rsidR="005727C2" w:rsidRDefault="005727C2" w:rsidP="00862D81">
            <w:pPr>
              <w:autoSpaceDE w:val="0"/>
              <w:autoSpaceDN w:val="0"/>
              <w:adjustRightInd w:val="0"/>
              <w:spacing w:after="0" w:line="240" w:lineRule="auto"/>
              <w:jc w:val="center"/>
            </w:pPr>
            <w:r>
              <w:rPr>
                <w:sz w:val="22"/>
                <w:szCs w:val="22"/>
              </w:rPr>
              <w:t>Наименование муниципального образования Новосибирской области</w:t>
            </w:r>
          </w:p>
        </w:tc>
        <w:tc>
          <w:tcPr>
            <w:tcW w:w="5528" w:type="dxa"/>
            <w:tcBorders>
              <w:top w:val="single" w:sz="4" w:space="0" w:color="auto"/>
              <w:left w:val="single" w:sz="4" w:space="0" w:color="auto"/>
              <w:bottom w:val="single" w:sz="4" w:space="0" w:color="auto"/>
              <w:right w:val="single" w:sz="4" w:space="0" w:color="auto"/>
            </w:tcBorders>
            <w:vAlign w:val="center"/>
            <w:hideMark/>
          </w:tcPr>
          <w:p w:rsidR="005727C2" w:rsidRDefault="005727C2" w:rsidP="00862D81">
            <w:pPr>
              <w:autoSpaceDE w:val="0"/>
              <w:autoSpaceDN w:val="0"/>
              <w:adjustRightInd w:val="0"/>
              <w:spacing w:after="0" w:line="240" w:lineRule="auto"/>
              <w:jc w:val="center"/>
            </w:pPr>
            <w:r>
              <w:rPr>
                <w:sz w:val="22"/>
                <w:szCs w:val="22"/>
              </w:rPr>
              <w:t>Розничные предельные максимальные цены на уголь каменный марки Д классов П, К, О, М, С и их совмещения, руб. за 1 тонну</w:t>
            </w:r>
          </w:p>
        </w:tc>
      </w:tr>
      <w:tr w:rsidR="005727C2" w:rsidTr="008248F9">
        <w:trPr>
          <w:trHeight w:val="170"/>
        </w:trPr>
        <w:tc>
          <w:tcPr>
            <w:tcW w:w="3748" w:type="dxa"/>
            <w:tcBorders>
              <w:top w:val="single" w:sz="4" w:space="0" w:color="auto"/>
              <w:left w:val="single" w:sz="4" w:space="0" w:color="auto"/>
              <w:bottom w:val="single" w:sz="4" w:space="0" w:color="auto"/>
              <w:right w:val="single" w:sz="4" w:space="0" w:color="auto"/>
            </w:tcBorders>
            <w:vAlign w:val="center"/>
            <w:hideMark/>
          </w:tcPr>
          <w:p w:rsidR="005727C2" w:rsidRDefault="005727C2" w:rsidP="00862D81">
            <w:pPr>
              <w:autoSpaceDE w:val="0"/>
              <w:autoSpaceDN w:val="0"/>
              <w:adjustRightInd w:val="0"/>
              <w:spacing w:after="0" w:line="240" w:lineRule="auto"/>
            </w:pPr>
            <w:r>
              <w:t>Барабинский район</w:t>
            </w:r>
          </w:p>
        </w:tc>
        <w:tc>
          <w:tcPr>
            <w:tcW w:w="5528" w:type="dxa"/>
            <w:tcBorders>
              <w:top w:val="single" w:sz="4" w:space="0" w:color="auto"/>
              <w:left w:val="single" w:sz="4" w:space="0" w:color="auto"/>
              <w:bottom w:val="single" w:sz="4" w:space="0" w:color="auto"/>
              <w:right w:val="single" w:sz="4" w:space="0" w:color="auto"/>
            </w:tcBorders>
            <w:vAlign w:val="center"/>
            <w:hideMark/>
          </w:tcPr>
          <w:p w:rsidR="005727C2" w:rsidRDefault="005727C2" w:rsidP="00862D81">
            <w:pPr>
              <w:autoSpaceDE w:val="0"/>
              <w:autoSpaceDN w:val="0"/>
              <w:adjustRightInd w:val="0"/>
              <w:spacing w:after="0" w:line="240" w:lineRule="auto"/>
              <w:jc w:val="center"/>
            </w:pPr>
            <w:r>
              <w:t>3415</w:t>
            </w:r>
          </w:p>
        </w:tc>
      </w:tr>
      <w:tr w:rsidR="005727C2" w:rsidTr="008248F9">
        <w:trPr>
          <w:trHeight w:val="170"/>
        </w:trPr>
        <w:tc>
          <w:tcPr>
            <w:tcW w:w="3748" w:type="dxa"/>
            <w:tcBorders>
              <w:top w:val="single" w:sz="4" w:space="0" w:color="auto"/>
              <w:left w:val="single" w:sz="4" w:space="0" w:color="auto"/>
              <w:bottom w:val="single" w:sz="4" w:space="0" w:color="auto"/>
              <w:right w:val="single" w:sz="4" w:space="0" w:color="auto"/>
            </w:tcBorders>
            <w:vAlign w:val="center"/>
            <w:hideMark/>
          </w:tcPr>
          <w:p w:rsidR="005727C2" w:rsidRDefault="005727C2" w:rsidP="00862D81">
            <w:pPr>
              <w:autoSpaceDE w:val="0"/>
              <w:autoSpaceDN w:val="0"/>
              <w:adjustRightInd w:val="0"/>
              <w:spacing w:after="0" w:line="240" w:lineRule="auto"/>
            </w:pPr>
            <w:r>
              <w:t>Болотнинский район</w:t>
            </w:r>
          </w:p>
        </w:tc>
        <w:tc>
          <w:tcPr>
            <w:tcW w:w="5528" w:type="dxa"/>
            <w:tcBorders>
              <w:top w:val="single" w:sz="4" w:space="0" w:color="auto"/>
              <w:left w:val="single" w:sz="4" w:space="0" w:color="auto"/>
              <w:bottom w:val="single" w:sz="4" w:space="0" w:color="auto"/>
              <w:right w:val="single" w:sz="4" w:space="0" w:color="auto"/>
            </w:tcBorders>
            <w:vAlign w:val="center"/>
            <w:hideMark/>
          </w:tcPr>
          <w:p w:rsidR="005727C2" w:rsidRDefault="005727C2" w:rsidP="00862D81">
            <w:pPr>
              <w:autoSpaceDE w:val="0"/>
              <w:autoSpaceDN w:val="0"/>
              <w:adjustRightInd w:val="0"/>
              <w:spacing w:after="0" w:line="240" w:lineRule="auto"/>
              <w:jc w:val="center"/>
            </w:pPr>
            <w:r>
              <w:t>3114</w:t>
            </w:r>
          </w:p>
        </w:tc>
      </w:tr>
      <w:tr w:rsidR="005727C2" w:rsidTr="008248F9">
        <w:trPr>
          <w:trHeight w:val="170"/>
        </w:trPr>
        <w:tc>
          <w:tcPr>
            <w:tcW w:w="3748" w:type="dxa"/>
            <w:tcBorders>
              <w:top w:val="single" w:sz="4" w:space="0" w:color="auto"/>
              <w:left w:val="single" w:sz="4" w:space="0" w:color="auto"/>
              <w:bottom w:val="single" w:sz="4" w:space="0" w:color="auto"/>
              <w:right w:val="single" w:sz="4" w:space="0" w:color="auto"/>
            </w:tcBorders>
            <w:vAlign w:val="center"/>
            <w:hideMark/>
          </w:tcPr>
          <w:p w:rsidR="005727C2" w:rsidRDefault="005727C2" w:rsidP="00862D81">
            <w:pPr>
              <w:autoSpaceDE w:val="0"/>
              <w:autoSpaceDN w:val="0"/>
              <w:adjustRightInd w:val="0"/>
              <w:spacing w:after="0" w:line="240" w:lineRule="auto"/>
            </w:pPr>
            <w:r>
              <w:t>Карасукский район</w:t>
            </w:r>
          </w:p>
        </w:tc>
        <w:tc>
          <w:tcPr>
            <w:tcW w:w="5528" w:type="dxa"/>
            <w:tcBorders>
              <w:top w:val="single" w:sz="4" w:space="0" w:color="auto"/>
              <w:left w:val="single" w:sz="4" w:space="0" w:color="auto"/>
              <w:bottom w:val="single" w:sz="4" w:space="0" w:color="auto"/>
              <w:right w:val="single" w:sz="4" w:space="0" w:color="auto"/>
            </w:tcBorders>
            <w:vAlign w:val="center"/>
            <w:hideMark/>
          </w:tcPr>
          <w:p w:rsidR="005727C2" w:rsidRDefault="005727C2" w:rsidP="00862D81">
            <w:pPr>
              <w:autoSpaceDE w:val="0"/>
              <w:autoSpaceDN w:val="0"/>
              <w:adjustRightInd w:val="0"/>
              <w:spacing w:after="0" w:line="240" w:lineRule="auto"/>
              <w:jc w:val="center"/>
            </w:pPr>
            <w:r>
              <w:t>3392</w:t>
            </w:r>
          </w:p>
        </w:tc>
      </w:tr>
      <w:tr w:rsidR="005727C2" w:rsidTr="008248F9">
        <w:trPr>
          <w:trHeight w:val="170"/>
        </w:trPr>
        <w:tc>
          <w:tcPr>
            <w:tcW w:w="3748" w:type="dxa"/>
            <w:tcBorders>
              <w:top w:val="single" w:sz="4" w:space="0" w:color="auto"/>
              <w:left w:val="single" w:sz="4" w:space="0" w:color="auto"/>
              <w:bottom w:val="single" w:sz="4" w:space="0" w:color="auto"/>
              <w:right w:val="single" w:sz="4" w:space="0" w:color="auto"/>
            </w:tcBorders>
            <w:vAlign w:val="center"/>
            <w:hideMark/>
          </w:tcPr>
          <w:p w:rsidR="005727C2" w:rsidRDefault="005727C2" w:rsidP="00862D81">
            <w:pPr>
              <w:autoSpaceDE w:val="0"/>
              <w:autoSpaceDN w:val="0"/>
              <w:adjustRightInd w:val="0"/>
              <w:spacing w:after="0" w:line="240" w:lineRule="auto"/>
            </w:pPr>
            <w:r>
              <w:t>Купинский район</w:t>
            </w:r>
          </w:p>
        </w:tc>
        <w:tc>
          <w:tcPr>
            <w:tcW w:w="5528" w:type="dxa"/>
            <w:tcBorders>
              <w:top w:val="single" w:sz="4" w:space="0" w:color="auto"/>
              <w:left w:val="single" w:sz="4" w:space="0" w:color="auto"/>
              <w:bottom w:val="single" w:sz="4" w:space="0" w:color="auto"/>
              <w:right w:val="single" w:sz="4" w:space="0" w:color="auto"/>
            </w:tcBorders>
            <w:vAlign w:val="center"/>
            <w:hideMark/>
          </w:tcPr>
          <w:p w:rsidR="005727C2" w:rsidRDefault="005727C2" w:rsidP="00862D81">
            <w:pPr>
              <w:autoSpaceDE w:val="0"/>
              <w:autoSpaceDN w:val="0"/>
              <w:adjustRightInd w:val="0"/>
              <w:spacing w:after="0" w:line="240" w:lineRule="auto"/>
              <w:jc w:val="center"/>
            </w:pPr>
            <w:r>
              <w:t>3459</w:t>
            </w:r>
          </w:p>
        </w:tc>
      </w:tr>
      <w:tr w:rsidR="005727C2" w:rsidTr="008248F9">
        <w:trPr>
          <w:trHeight w:val="170"/>
        </w:trPr>
        <w:tc>
          <w:tcPr>
            <w:tcW w:w="3748" w:type="dxa"/>
            <w:tcBorders>
              <w:top w:val="single" w:sz="4" w:space="0" w:color="auto"/>
              <w:left w:val="single" w:sz="4" w:space="0" w:color="auto"/>
              <w:bottom w:val="single" w:sz="4" w:space="0" w:color="auto"/>
              <w:right w:val="single" w:sz="4" w:space="0" w:color="auto"/>
            </w:tcBorders>
            <w:vAlign w:val="center"/>
            <w:hideMark/>
          </w:tcPr>
          <w:p w:rsidR="005727C2" w:rsidRDefault="005727C2" w:rsidP="00862D81">
            <w:pPr>
              <w:autoSpaceDE w:val="0"/>
              <w:autoSpaceDN w:val="0"/>
              <w:adjustRightInd w:val="0"/>
              <w:spacing w:after="0" w:line="240" w:lineRule="auto"/>
            </w:pPr>
            <w:r>
              <w:t>Татарский район</w:t>
            </w:r>
          </w:p>
        </w:tc>
        <w:tc>
          <w:tcPr>
            <w:tcW w:w="5528" w:type="dxa"/>
            <w:tcBorders>
              <w:top w:val="single" w:sz="4" w:space="0" w:color="auto"/>
              <w:left w:val="single" w:sz="4" w:space="0" w:color="auto"/>
              <w:bottom w:val="single" w:sz="4" w:space="0" w:color="auto"/>
              <w:right w:val="single" w:sz="4" w:space="0" w:color="auto"/>
            </w:tcBorders>
            <w:vAlign w:val="center"/>
            <w:hideMark/>
          </w:tcPr>
          <w:p w:rsidR="005727C2" w:rsidRDefault="005727C2" w:rsidP="00862D81">
            <w:pPr>
              <w:autoSpaceDE w:val="0"/>
              <w:autoSpaceDN w:val="0"/>
              <w:adjustRightInd w:val="0"/>
              <w:spacing w:after="0" w:line="240" w:lineRule="auto"/>
              <w:jc w:val="center"/>
            </w:pPr>
            <w:r>
              <w:t>3405</w:t>
            </w:r>
          </w:p>
        </w:tc>
      </w:tr>
      <w:tr w:rsidR="005727C2" w:rsidTr="008248F9">
        <w:trPr>
          <w:trHeight w:val="170"/>
        </w:trPr>
        <w:tc>
          <w:tcPr>
            <w:tcW w:w="3748" w:type="dxa"/>
            <w:tcBorders>
              <w:top w:val="single" w:sz="4" w:space="0" w:color="auto"/>
              <w:left w:val="single" w:sz="4" w:space="0" w:color="auto"/>
              <w:bottom w:val="single" w:sz="4" w:space="0" w:color="auto"/>
              <w:right w:val="single" w:sz="4" w:space="0" w:color="auto"/>
            </w:tcBorders>
            <w:vAlign w:val="center"/>
            <w:hideMark/>
          </w:tcPr>
          <w:p w:rsidR="005727C2" w:rsidRDefault="005727C2" w:rsidP="00862D81">
            <w:pPr>
              <w:autoSpaceDE w:val="0"/>
              <w:autoSpaceDN w:val="0"/>
              <w:adjustRightInd w:val="0"/>
              <w:spacing w:after="0" w:line="240" w:lineRule="auto"/>
            </w:pPr>
            <w:r>
              <w:t>Тогучинский район</w:t>
            </w:r>
          </w:p>
        </w:tc>
        <w:tc>
          <w:tcPr>
            <w:tcW w:w="5528" w:type="dxa"/>
            <w:tcBorders>
              <w:top w:val="single" w:sz="4" w:space="0" w:color="auto"/>
              <w:left w:val="single" w:sz="4" w:space="0" w:color="auto"/>
              <w:bottom w:val="single" w:sz="4" w:space="0" w:color="auto"/>
              <w:right w:val="single" w:sz="4" w:space="0" w:color="auto"/>
            </w:tcBorders>
            <w:vAlign w:val="center"/>
            <w:hideMark/>
          </w:tcPr>
          <w:p w:rsidR="005727C2" w:rsidRDefault="005727C2" w:rsidP="00862D81">
            <w:pPr>
              <w:autoSpaceDE w:val="0"/>
              <w:autoSpaceDN w:val="0"/>
              <w:adjustRightInd w:val="0"/>
              <w:spacing w:after="0" w:line="240" w:lineRule="auto"/>
              <w:jc w:val="center"/>
            </w:pPr>
            <w:r>
              <w:t>3106</w:t>
            </w:r>
          </w:p>
        </w:tc>
      </w:tr>
    </w:tbl>
    <w:p w:rsidR="00862D81" w:rsidRDefault="00862D81" w:rsidP="008248F9">
      <w:pPr>
        <w:spacing w:line="240" w:lineRule="auto"/>
        <w:ind w:firstLine="709"/>
        <w:jc w:val="both"/>
        <w:rPr>
          <w:sz w:val="28"/>
          <w:szCs w:val="28"/>
        </w:rPr>
      </w:pPr>
    </w:p>
    <w:p w:rsidR="005727C2" w:rsidRDefault="005727C2" w:rsidP="008248F9">
      <w:pPr>
        <w:spacing w:line="240" w:lineRule="auto"/>
        <w:ind w:firstLine="709"/>
        <w:jc w:val="both"/>
        <w:rPr>
          <w:sz w:val="28"/>
          <w:szCs w:val="28"/>
        </w:rPr>
      </w:pPr>
      <w:r>
        <w:rPr>
          <w:sz w:val="28"/>
          <w:szCs w:val="28"/>
        </w:rPr>
        <w:t xml:space="preserve">С информацией по тарифам на твердое топливо можно ознакомиться </w:t>
      </w:r>
      <w:r>
        <w:rPr>
          <w:rFonts w:ascii="Times New Roman CYR" w:hAnsi="Times New Roman CYR" w:cs="Times New Roman CYR"/>
          <w:sz w:val="28"/>
          <w:szCs w:val="28"/>
        </w:rPr>
        <w:t xml:space="preserve">на официальном сайте департамента в информационно-телекоммуникационной сети «Интернет» </w:t>
      </w:r>
      <w:hyperlink r:id="rId100" w:history="1">
        <w:r>
          <w:rPr>
            <w:rStyle w:val="af0"/>
          </w:rPr>
          <w:t>https://tarif.nso.ru/page/93</w:t>
        </w:r>
      </w:hyperlink>
      <w:r>
        <w:rPr>
          <w:sz w:val="28"/>
          <w:szCs w:val="28"/>
        </w:rPr>
        <w:t>.</w:t>
      </w:r>
    </w:p>
    <w:p w:rsidR="005727C2" w:rsidRDefault="005727C2" w:rsidP="008248F9">
      <w:pPr>
        <w:pStyle w:val="a8"/>
        <w:rPr>
          <w:color w:val="0000FF"/>
          <w:sz w:val="28"/>
          <w:szCs w:val="20"/>
        </w:rPr>
      </w:pPr>
    </w:p>
    <w:p w:rsidR="0061749D" w:rsidRDefault="0061749D" w:rsidP="008248F9">
      <w:pPr>
        <w:pStyle w:val="a8"/>
        <w:rPr>
          <w:color w:val="0000FF"/>
          <w:sz w:val="28"/>
          <w:szCs w:val="20"/>
        </w:rPr>
      </w:pPr>
    </w:p>
    <w:p w:rsidR="0061749D" w:rsidRDefault="0061749D" w:rsidP="008248F9">
      <w:pPr>
        <w:pStyle w:val="a8"/>
        <w:rPr>
          <w:color w:val="0000FF"/>
          <w:sz w:val="28"/>
          <w:szCs w:val="20"/>
        </w:rPr>
      </w:pPr>
    </w:p>
    <w:p w:rsidR="005727C2" w:rsidRPr="00D51D11" w:rsidRDefault="00862D81" w:rsidP="00D51D11">
      <w:pPr>
        <w:autoSpaceDE w:val="0"/>
        <w:autoSpaceDN w:val="0"/>
        <w:adjustRightInd w:val="0"/>
        <w:spacing w:after="0" w:line="240" w:lineRule="auto"/>
        <w:ind w:firstLine="284"/>
        <w:jc w:val="both"/>
        <w:rPr>
          <w:b/>
          <w:sz w:val="30"/>
          <w:szCs w:val="30"/>
        </w:rPr>
      </w:pPr>
      <w:r w:rsidRPr="00D51D11">
        <w:rPr>
          <w:b/>
          <w:sz w:val="30"/>
          <w:szCs w:val="30"/>
        </w:rPr>
        <w:lastRenderedPageBreak/>
        <w:t>3</w:t>
      </w:r>
      <w:r w:rsidR="005727C2" w:rsidRPr="00D51D11">
        <w:rPr>
          <w:b/>
          <w:sz w:val="30"/>
          <w:szCs w:val="30"/>
        </w:rPr>
        <w:t>. Межотраслевой совет потребителей по вопросам деятельности субъектов естественных монополий при Губернаторе Новосибирской области и Совет при департаменте по тарифам Новосибирской области</w:t>
      </w:r>
    </w:p>
    <w:p w:rsidR="005727C2" w:rsidRDefault="005727C2" w:rsidP="005727C2">
      <w:pPr>
        <w:autoSpaceDE w:val="0"/>
        <w:autoSpaceDN w:val="0"/>
        <w:adjustRightInd w:val="0"/>
        <w:spacing w:after="0" w:line="240" w:lineRule="auto"/>
        <w:ind w:firstLine="284"/>
        <w:jc w:val="both"/>
        <w:rPr>
          <w:b/>
          <w:sz w:val="32"/>
          <w:szCs w:val="32"/>
        </w:rPr>
      </w:pPr>
    </w:p>
    <w:p w:rsidR="00F6210A" w:rsidRPr="00F6210A" w:rsidRDefault="00F6210A" w:rsidP="005727C2">
      <w:pPr>
        <w:autoSpaceDE w:val="0"/>
        <w:autoSpaceDN w:val="0"/>
        <w:adjustRightInd w:val="0"/>
        <w:spacing w:after="0" w:line="240" w:lineRule="auto"/>
        <w:ind w:firstLine="284"/>
        <w:jc w:val="both"/>
        <w:rPr>
          <w:b/>
          <w:sz w:val="28"/>
          <w:szCs w:val="28"/>
        </w:rPr>
      </w:pPr>
      <w:r w:rsidRPr="00F6210A">
        <w:rPr>
          <w:b/>
          <w:sz w:val="28"/>
          <w:szCs w:val="28"/>
        </w:rPr>
        <w:t>3.1. Межотраслевой совет потребителей по вопросам деятельности субъектов естественных монополий при Губернаторе Новосибирской области</w:t>
      </w:r>
    </w:p>
    <w:p w:rsidR="005727C2" w:rsidRDefault="005727C2" w:rsidP="005727C2">
      <w:pPr>
        <w:adjustRightInd w:val="0"/>
        <w:spacing w:after="0" w:line="240" w:lineRule="auto"/>
        <w:ind w:firstLine="851"/>
        <w:jc w:val="both"/>
        <w:rPr>
          <w:sz w:val="28"/>
          <w:szCs w:val="28"/>
        </w:rPr>
      </w:pPr>
      <w:r>
        <w:rPr>
          <w:sz w:val="28"/>
          <w:szCs w:val="28"/>
        </w:rPr>
        <w:t>Постановлением Губернатора Новосибирской области от 23.03.2017 № 51 «Об образовании межотраслевого совета потребителей по вопросам деятельности субъектов естественных монополий при Губернаторе Новосибирской области» (в ред. от 22.11.2017 N 219, от 16.05.2019 N 140) создан межотраслевой совет потребителей по вопросам деятельности субъектов естественных монополий и утвержден его состав.</w:t>
      </w:r>
    </w:p>
    <w:p w:rsidR="005727C2" w:rsidRDefault="005727C2" w:rsidP="005727C2">
      <w:pPr>
        <w:adjustRightInd w:val="0"/>
        <w:spacing w:after="0" w:line="240" w:lineRule="auto"/>
        <w:ind w:firstLine="540"/>
        <w:jc w:val="both"/>
        <w:rPr>
          <w:sz w:val="28"/>
          <w:szCs w:val="28"/>
        </w:rPr>
      </w:pPr>
      <w:r>
        <w:rPr>
          <w:sz w:val="28"/>
          <w:szCs w:val="28"/>
        </w:rPr>
        <w:t>Межотраслевой совет потребителей по вопросам деятельности субъектов естественных монополий при Губернаторе Новосибирской области (далее - Совет) является постоянно действующим совещательным органом и создан в соответствии с постановлением Губернатора Новосибирской области от 31.01.2017 № 10 «Об утверждении Положения о межотраслевом совете потребителей по вопросам деятельности субъектов естественных монополий при Губернаторе Новосибирской области».</w:t>
      </w:r>
    </w:p>
    <w:p w:rsidR="005727C2" w:rsidRDefault="005727C2" w:rsidP="005727C2">
      <w:pPr>
        <w:adjustRightInd w:val="0"/>
        <w:spacing w:after="0" w:line="240" w:lineRule="auto"/>
        <w:ind w:firstLine="540"/>
        <w:jc w:val="both"/>
        <w:rPr>
          <w:sz w:val="28"/>
          <w:szCs w:val="28"/>
        </w:rPr>
      </w:pPr>
      <w:r>
        <w:rPr>
          <w:sz w:val="28"/>
          <w:szCs w:val="28"/>
        </w:rPr>
        <w:t>Целью деятельности Совета является доведение до сведения областных исполнительных органов государственной власти Новосибирской области в области государственного регулирования тарифов и субъектов естественных монополий позиции потребителей, достижение баланса интересов потребителей и субъектов естественных монополий, обеспечивающего доступность реализуемых субъектами естественных монополий товаров и услуг для потребителей.</w:t>
      </w:r>
    </w:p>
    <w:p w:rsidR="005727C2" w:rsidRDefault="005727C2" w:rsidP="005727C2">
      <w:pPr>
        <w:adjustRightInd w:val="0"/>
        <w:spacing w:after="0" w:line="240" w:lineRule="auto"/>
        <w:ind w:firstLine="540"/>
        <w:jc w:val="both"/>
        <w:rPr>
          <w:sz w:val="28"/>
          <w:szCs w:val="28"/>
        </w:rPr>
      </w:pPr>
      <w:r>
        <w:rPr>
          <w:sz w:val="28"/>
          <w:szCs w:val="28"/>
        </w:rPr>
        <w:t>Состав Совета утвержден Губернатором Новосибирской области по представлению Общественной палаты Новосибирской области сроком на три года. Совет формирован в количестве 18 человек. Возглавляет Совет первый заместитель Председателя Правительства Новосибирской области.</w:t>
      </w:r>
    </w:p>
    <w:p w:rsidR="005727C2" w:rsidRDefault="005727C2" w:rsidP="005727C2">
      <w:pPr>
        <w:autoSpaceDE w:val="0"/>
        <w:autoSpaceDN w:val="0"/>
        <w:adjustRightInd w:val="0"/>
        <w:spacing w:after="0" w:line="240" w:lineRule="auto"/>
        <w:ind w:firstLine="540"/>
        <w:jc w:val="both"/>
        <w:rPr>
          <w:sz w:val="28"/>
          <w:szCs w:val="28"/>
        </w:rPr>
      </w:pPr>
      <w:r>
        <w:rPr>
          <w:sz w:val="28"/>
          <w:szCs w:val="28"/>
        </w:rPr>
        <w:t>Департамент осуществляет организационно-техническое обеспечение деятельности Совета.</w:t>
      </w:r>
    </w:p>
    <w:p w:rsidR="005727C2" w:rsidRDefault="005727C2" w:rsidP="00F6210A">
      <w:pPr>
        <w:adjustRightInd w:val="0"/>
        <w:spacing w:after="0" w:line="240" w:lineRule="auto"/>
        <w:ind w:firstLine="567"/>
        <w:jc w:val="both"/>
        <w:rPr>
          <w:sz w:val="28"/>
          <w:szCs w:val="28"/>
        </w:rPr>
      </w:pPr>
      <w:r>
        <w:rPr>
          <w:sz w:val="28"/>
          <w:szCs w:val="28"/>
        </w:rPr>
        <w:t>В 2019 году состоялось два заседания Совета, на которых были  рассмотрены 15 вопросов</w:t>
      </w:r>
      <w:r w:rsidR="00F6210A">
        <w:rPr>
          <w:sz w:val="28"/>
          <w:szCs w:val="28"/>
        </w:rPr>
        <w:t xml:space="preserve"> о</w:t>
      </w:r>
      <w:r>
        <w:rPr>
          <w:bCs/>
          <w:sz w:val="28"/>
          <w:szCs w:val="28"/>
        </w:rPr>
        <w:t xml:space="preserve"> </w:t>
      </w:r>
      <w:r w:rsidR="00862D81">
        <w:rPr>
          <w:bCs/>
          <w:sz w:val="28"/>
          <w:szCs w:val="28"/>
        </w:rPr>
        <w:t>выполнении</w:t>
      </w:r>
      <w:r w:rsidR="00F6210A">
        <w:rPr>
          <w:bCs/>
          <w:sz w:val="28"/>
          <w:szCs w:val="28"/>
        </w:rPr>
        <w:t xml:space="preserve"> в 2019 году</w:t>
      </w:r>
      <w:r w:rsidR="00862D81">
        <w:rPr>
          <w:bCs/>
          <w:sz w:val="28"/>
          <w:szCs w:val="28"/>
        </w:rPr>
        <w:t xml:space="preserve"> </w:t>
      </w:r>
      <w:r>
        <w:rPr>
          <w:bCs/>
          <w:sz w:val="28"/>
          <w:szCs w:val="28"/>
        </w:rPr>
        <w:t xml:space="preserve">инвестиционных программах </w:t>
      </w:r>
      <w:r w:rsidR="00862D81">
        <w:rPr>
          <w:bCs/>
          <w:sz w:val="28"/>
          <w:szCs w:val="28"/>
        </w:rPr>
        <w:t>регулируемыми организация</w:t>
      </w:r>
      <w:r w:rsidR="00F6210A">
        <w:rPr>
          <w:bCs/>
          <w:sz w:val="28"/>
          <w:szCs w:val="28"/>
        </w:rPr>
        <w:t>м</w:t>
      </w:r>
      <w:r w:rsidR="00862D81">
        <w:rPr>
          <w:bCs/>
          <w:sz w:val="28"/>
          <w:szCs w:val="28"/>
        </w:rPr>
        <w:t>и</w:t>
      </w:r>
      <w:r w:rsidR="00F6210A">
        <w:rPr>
          <w:bCs/>
          <w:sz w:val="28"/>
          <w:szCs w:val="28"/>
        </w:rPr>
        <w:t xml:space="preserve"> </w:t>
      </w:r>
      <w:r w:rsidR="00862D81">
        <w:rPr>
          <w:bCs/>
          <w:sz w:val="28"/>
          <w:szCs w:val="28"/>
        </w:rPr>
        <w:t xml:space="preserve">осуществляющими деятельность </w:t>
      </w:r>
      <w:r>
        <w:rPr>
          <w:bCs/>
          <w:sz w:val="28"/>
          <w:szCs w:val="28"/>
        </w:rPr>
        <w:t>в сфере электроэнергетики на территории Новосибирской области</w:t>
      </w:r>
      <w:r w:rsidR="00F6210A">
        <w:rPr>
          <w:bCs/>
          <w:sz w:val="28"/>
          <w:szCs w:val="28"/>
        </w:rPr>
        <w:t>, о утверждении и</w:t>
      </w:r>
      <w:r>
        <w:rPr>
          <w:sz w:val="28"/>
          <w:szCs w:val="28"/>
        </w:rPr>
        <w:t xml:space="preserve"> направлени</w:t>
      </w:r>
      <w:r w:rsidR="00F6210A">
        <w:rPr>
          <w:sz w:val="28"/>
          <w:szCs w:val="28"/>
        </w:rPr>
        <w:t xml:space="preserve">и </w:t>
      </w:r>
      <w:r>
        <w:rPr>
          <w:sz w:val="28"/>
          <w:szCs w:val="28"/>
        </w:rPr>
        <w:t xml:space="preserve"> корректировки</w:t>
      </w:r>
      <w:r w:rsidR="00F6210A">
        <w:rPr>
          <w:sz w:val="28"/>
          <w:szCs w:val="28"/>
        </w:rPr>
        <w:t xml:space="preserve"> действующих</w:t>
      </w:r>
      <w:r>
        <w:rPr>
          <w:sz w:val="28"/>
          <w:szCs w:val="28"/>
        </w:rPr>
        <w:t xml:space="preserve"> </w:t>
      </w:r>
      <w:r>
        <w:rPr>
          <w:sz w:val="28"/>
          <w:szCs w:val="28"/>
          <w:shd w:val="clear" w:color="auto" w:fill="FFFFFF"/>
        </w:rPr>
        <w:t>инвестиционн</w:t>
      </w:r>
      <w:r w:rsidR="00F6210A">
        <w:rPr>
          <w:sz w:val="28"/>
          <w:szCs w:val="28"/>
          <w:shd w:val="clear" w:color="auto" w:fill="FFFFFF"/>
        </w:rPr>
        <w:t xml:space="preserve">ых </w:t>
      </w:r>
      <w:r>
        <w:rPr>
          <w:sz w:val="28"/>
          <w:szCs w:val="28"/>
          <w:shd w:val="clear" w:color="auto" w:fill="FFFFFF"/>
        </w:rPr>
        <w:t xml:space="preserve"> программы </w:t>
      </w:r>
      <w:r>
        <w:rPr>
          <w:sz w:val="28"/>
          <w:szCs w:val="28"/>
        </w:rPr>
        <w:t>в сфере электроэнергетики</w:t>
      </w:r>
      <w:r w:rsidR="00F6210A">
        <w:rPr>
          <w:sz w:val="28"/>
          <w:szCs w:val="28"/>
        </w:rPr>
        <w:t>, а также рассмотрение проектов инвестиционных программ в сфере электроэнергетике и водоснабжения на 2020-2024 годы.</w:t>
      </w:r>
      <w:r>
        <w:rPr>
          <w:sz w:val="28"/>
          <w:szCs w:val="28"/>
        </w:rPr>
        <w:t xml:space="preserve"> </w:t>
      </w:r>
    </w:p>
    <w:p w:rsidR="005727C2" w:rsidRDefault="005727C2" w:rsidP="005727C2">
      <w:pPr>
        <w:pStyle w:val="af"/>
        <w:shd w:val="clear" w:color="auto" w:fill="FFFFFF"/>
        <w:spacing w:before="0" w:after="0"/>
        <w:ind w:firstLine="567"/>
        <w:jc w:val="both"/>
        <w:textAlignment w:val="baseline"/>
        <w:rPr>
          <w:rFonts w:ascii="Times New Roman" w:eastAsia="MS Mincho" w:hAnsi="Times New Roman"/>
          <w:bCs/>
          <w:sz w:val="28"/>
          <w:szCs w:val="28"/>
        </w:rPr>
      </w:pPr>
      <w:r w:rsidRPr="00F6210A">
        <w:rPr>
          <w:rFonts w:ascii="Times New Roman" w:eastAsia="MS Mincho" w:hAnsi="Times New Roman"/>
          <w:bCs/>
          <w:sz w:val="28"/>
          <w:szCs w:val="28"/>
        </w:rPr>
        <w:t xml:space="preserve">С информацией о Совете и его деятельности (положение о Совете, повестки заседания Совета, протоколы заседаний) можно ознакомиться на </w:t>
      </w:r>
      <w:r w:rsidRPr="00F6210A">
        <w:rPr>
          <w:rFonts w:ascii="Times New Roman" w:eastAsia="MS Mincho" w:hAnsi="Times New Roman"/>
          <w:bCs/>
          <w:sz w:val="28"/>
          <w:szCs w:val="28"/>
        </w:rPr>
        <w:lastRenderedPageBreak/>
        <w:t xml:space="preserve">официальном сайте </w:t>
      </w:r>
      <w:r w:rsidR="00F6210A">
        <w:rPr>
          <w:rFonts w:ascii="Times New Roman" w:eastAsia="MS Mincho" w:hAnsi="Times New Roman"/>
          <w:bCs/>
          <w:sz w:val="28"/>
          <w:szCs w:val="28"/>
        </w:rPr>
        <w:t xml:space="preserve">Департамента </w:t>
      </w:r>
      <w:r w:rsidRPr="00F6210A">
        <w:rPr>
          <w:rFonts w:ascii="Times New Roman" w:eastAsia="MS Mincho" w:hAnsi="Times New Roman"/>
          <w:bCs/>
          <w:sz w:val="28"/>
          <w:szCs w:val="28"/>
        </w:rPr>
        <w:t xml:space="preserve">сети «Интернет» </w:t>
      </w:r>
      <w:r w:rsidR="00F6210A">
        <w:rPr>
          <w:rFonts w:ascii="Times New Roman" w:eastAsia="MS Mincho" w:hAnsi="Times New Roman"/>
          <w:bCs/>
          <w:sz w:val="28"/>
          <w:szCs w:val="28"/>
        </w:rPr>
        <w:t xml:space="preserve">в разделе «Совет» </w:t>
      </w:r>
      <w:hyperlink r:id="rId101" w:history="1">
        <w:r w:rsidR="00B17B10" w:rsidRPr="00987DBF">
          <w:rPr>
            <w:rStyle w:val="af0"/>
            <w:rFonts w:eastAsia="MS Mincho"/>
            <w:bCs/>
            <w:sz w:val="28"/>
            <w:szCs w:val="28"/>
          </w:rPr>
          <w:t>https://tarif.nso.ru/page/149</w:t>
        </w:r>
      </w:hyperlink>
      <w:r w:rsidR="00F6210A">
        <w:rPr>
          <w:rFonts w:ascii="Times New Roman" w:eastAsia="MS Mincho" w:hAnsi="Times New Roman"/>
          <w:bCs/>
          <w:sz w:val="28"/>
          <w:szCs w:val="28"/>
        </w:rPr>
        <w:t>.</w:t>
      </w:r>
    </w:p>
    <w:p w:rsidR="00B17B10" w:rsidRPr="00F6210A" w:rsidRDefault="00B17B10" w:rsidP="005727C2">
      <w:pPr>
        <w:pStyle w:val="af"/>
        <w:shd w:val="clear" w:color="auto" w:fill="FFFFFF"/>
        <w:spacing w:before="0" w:after="0"/>
        <w:ind w:firstLine="567"/>
        <w:jc w:val="both"/>
        <w:textAlignment w:val="baseline"/>
        <w:rPr>
          <w:rFonts w:ascii="Times New Roman" w:eastAsia="MS Mincho" w:hAnsi="Times New Roman"/>
          <w:bCs/>
          <w:sz w:val="28"/>
          <w:szCs w:val="28"/>
        </w:rPr>
      </w:pPr>
    </w:p>
    <w:p w:rsidR="005727C2" w:rsidRDefault="00F6210A" w:rsidP="00D51D11">
      <w:pPr>
        <w:spacing w:after="0" w:line="240" w:lineRule="auto"/>
        <w:jc w:val="both"/>
        <w:rPr>
          <w:b/>
          <w:sz w:val="28"/>
          <w:szCs w:val="28"/>
        </w:rPr>
      </w:pPr>
      <w:r>
        <w:rPr>
          <w:b/>
          <w:sz w:val="28"/>
          <w:szCs w:val="28"/>
        </w:rPr>
        <w:t>3.2</w:t>
      </w:r>
      <w:r w:rsidR="005727C2">
        <w:rPr>
          <w:b/>
          <w:sz w:val="28"/>
          <w:szCs w:val="28"/>
        </w:rPr>
        <w:t>. Совет при департаменте по тарифам Новосибирской области</w:t>
      </w:r>
    </w:p>
    <w:p w:rsidR="005727C2" w:rsidRDefault="005727C2" w:rsidP="005727C2">
      <w:pPr>
        <w:spacing w:after="0" w:line="240" w:lineRule="auto"/>
        <w:ind w:firstLine="709"/>
        <w:jc w:val="both"/>
        <w:rPr>
          <w:sz w:val="28"/>
          <w:szCs w:val="28"/>
        </w:rPr>
      </w:pPr>
      <w:r>
        <w:rPr>
          <w:sz w:val="28"/>
          <w:szCs w:val="28"/>
        </w:rPr>
        <w:t xml:space="preserve">Приказом </w:t>
      </w:r>
      <w:r w:rsidR="00F6210A">
        <w:rPr>
          <w:sz w:val="28"/>
          <w:szCs w:val="28"/>
        </w:rPr>
        <w:t>Д</w:t>
      </w:r>
      <w:r>
        <w:rPr>
          <w:sz w:val="28"/>
          <w:szCs w:val="28"/>
        </w:rPr>
        <w:t>епартамента от 28.08.2017 № 312 «О создании Совета при департаменте по тарифам Новосибирской области» создан совещательный орган при департаменте (далее – Совет при департаменте).</w:t>
      </w:r>
    </w:p>
    <w:p w:rsidR="005727C2" w:rsidRDefault="005727C2" w:rsidP="005727C2">
      <w:pPr>
        <w:widowControl w:val="0"/>
        <w:autoSpaceDE w:val="0"/>
        <w:autoSpaceDN w:val="0"/>
        <w:adjustRightInd w:val="0"/>
        <w:spacing w:after="0" w:line="240" w:lineRule="auto"/>
        <w:ind w:firstLine="709"/>
        <w:jc w:val="both"/>
        <w:rPr>
          <w:sz w:val="28"/>
          <w:szCs w:val="28"/>
        </w:rPr>
      </w:pPr>
      <w:r>
        <w:rPr>
          <w:sz w:val="28"/>
          <w:szCs w:val="28"/>
        </w:rPr>
        <w:t>Основными задачами Совета при департаменте  являются  обеспечение прозрачности и открытости деятельности департамента, в том числе осуществление общественного контроля за деятельностью департамента в формах и порядке, предусмотренных федеральным законодательством и законодательством Новосибирской области, совершенствование механизма учета общественного мнения и обратной связи департамента с гражданами, общественными объединениями и иными негосударственными некоммерческими организациями,  обеспечение участия представителей общественности в процессе подготовки и реализации решений в сфере деятельности департамента.</w:t>
      </w:r>
    </w:p>
    <w:p w:rsidR="005727C2" w:rsidRPr="00F6210A" w:rsidRDefault="005727C2" w:rsidP="005727C2">
      <w:pPr>
        <w:pStyle w:val="af"/>
        <w:shd w:val="clear" w:color="auto" w:fill="FFFFFF"/>
        <w:spacing w:before="0" w:after="0"/>
        <w:ind w:firstLine="567"/>
        <w:jc w:val="both"/>
        <w:textAlignment w:val="baseline"/>
        <w:rPr>
          <w:rFonts w:ascii="Times New Roman" w:eastAsia="MS Mincho" w:hAnsi="Times New Roman"/>
          <w:sz w:val="28"/>
          <w:szCs w:val="28"/>
        </w:rPr>
      </w:pPr>
      <w:r w:rsidRPr="00F6210A">
        <w:rPr>
          <w:rFonts w:ascii="Times New Roman" w:eastAsia="MS Mincho" w:hAnsi="Times New Roman"/>
          <w:sz w:val="28"/>
          <w:szCs w:val="28"/>
        </w:rPr>
        <w:t>В 2019 году состоялось два заседания Совета</w:t>
      </w:r>
      <w:r w:rsidR="00F6210A">
        <w:rPr>
          <w:rFonts w:ascii="Times New Roman" w:eastAsia="MS Mincho" w:hAnsi="Times New Roman"/>
          <w:sz w:val="28"/>
          <w:szCs w:val="28"/>
        </w:rPr>
        <w:t xml:space="preserve"> при департаменте</w:t>
      </w:r>
      <w:r w:rsidRPr="00F6210A">
        <w:rPr>
          <w:rFonts w:ascii="Times New Roman" w:eastAsia="MS Mincho" w:hAnsi="Times New Roman"/>
          <w:sz w:val="28"/>
          <w:szCs w:val="28"/>
        </w:rPr>
        <w:t>, на которых обсуждались следующие вопросы:</w:t>
      </w:r>
    </w:p>
    <w:p w:rsidR="005727C2" w:rsidRPr="00F6210A" w:rsidRDefault="005727C2" w:rsidP="005727C2">
      <w:pPr>
        <w:pStyle w:val="af"/>
        <w:shd w:val="clear" w:color="auto" w:fill="FFFFFF"/>
        <w:spacing w:before="0" w:after="0"/>
        <w:ind w:firstLine="567"/>
        <w:jc w:val="both"/>
        <w:textAlignment w:val="baseline"/>
        <w:rPr>
          <w:rFonts w:ascii="Times New Roman" w:eastAsia="MS Mincho" w:hAnsi="Times New Roman"/>
          <w:sz w:val="28"/>
          <w:szCs w:val="28"/>
        </w:rPr>
      </w:pPr>
      <w:r w:rsidRPr="00F6210A">
        <w:rPr>
          <w:rFonts w:ascii="Times New Roman" w:eastAsia="MS Mincho" w:hAnsi="Times New Roman"/>
          <w:sz w:val="28"/>
          <w:szCs w:val="28"/>
        </w:rPr>
        <w:t>- </w:t>
      </w:r>
      <w:r w:rsidR="00D51D11">
        <w:rPr>
          <w:rFonts w:ascii="Times New Roman" w:eastAsia="MS Mincho" w:hAnsi="Times New Roman"/>
          <w:sz w:val="28"/>
          <w:szCs w:val="28"/>
        </w:rPr>
        <w:t xml:space="preserve">возникающие </w:t>
      </w:r>
      <w:r w:rsidRPr="00F6210A">
        <w:rPr>
          <w:rFonts w:ascii="Times New Roman" w:eastAsia="MS Mincho" w:hAnsi="Times New Roman"/>
          <w:sz w:val="28"/>
          <w:szCs w:val="28"/>
        </w:rPr>
        <w:t>проблемы при обращении с твердыми коммунальными отходами в 2019 году;</w:t>
      </w:r>
    </w:p>
    <w:p w:rsidR="005727C2" w:rsidRPr="00F6210A" w:rsidRDefault="005727C2" w:rsidP="005727C2">
      <w:pPr>
        <w:pStyle w:val="af"/>
        <w:shd w:val="clear" w:color="auto" w:fill="FFFFFF"/>
        <w:spacing w:before="0" w:after="0"/>
        <w:ind w:firstLine="567"/>
        <w:jc w:val="both"/>
        <w:textAlignment w:val="baseline"/>
        <w:rPr>
          <w:rFonts w:ascii="Times New Roman" w:eastAsia="MS Mincho" w:hAnsi="Times New Roman"/>
          <w:sz w:val="28"/>
          <w:szCs w:val="28"/>
        </w:rPr>
      </w:pPr>
      <w:r w:rsidRPr="00F6210A">
        <w:rPr>
          <w:rFonts w:ascii="Times New Roman" w:eastAsia="MS Mincho" w:hAnsi="Times New Roman"/>
          <w:sz w:val="28"/>
          <w:szCs w:val="28"/>
        </w:rPr>
        <w:t>- меры, принимаемые департаментом по тарифам Новосибирской области, иными областными и федеральными органами государственной власти  в области обращения с твердыми коммунальными отходами;</w:t>
      </w:r>
    </w:p>
    <w:p w:rsidR="005727C2" w:rsidRPr="00F6210A" w:rsidRDefault="005727C2" w:rsidP="005727C2">
      <w:pPr>
        <w:pStyle w:val="af"/>
        <w:shd w:val="clear" w:color="auto" w:fill="FFFFFF"/>
        <w:spacing w:before="0" w:after="0"/>
        <w:ind w:firstLine="567"/>
        <w:jc w:val="both"/>
        <w:textAlignment w:val="baseline"/>
        <w:rPr>
          <w:rFonts w:ascii="Times New Roman" w:eastAsia="MS Mincho" w:hAnsi="Times New Roman"/>
          <w:sz w:val="28"/>
          <w:szCs w:val="28"/>
        </w:rPr>
      </w:pPr>
      <w:r w:rsidRPr="00F6210A">
        <w:rPr>
          <w:rFonts w:ascii="Times New Roman" w:eastAsia="MS Mincho" w:hAnsi="Times New Roman"/>
          <w:sz w:val="28"/>
          <w:szCs w:val="28"/>
        </w:rPr>
        <w:t>-</w:t>
      </w:r>
      <w:r w:rsidRPr="00F6210A">
        <w:rPr>
          <w:rFonts w:ascii="Times New Roman" w:eastAsia="MS Mincho" w:hAnsi="Times New Roman"/>
          <w:b/>
          <w:sz w:val="28"/>
          <w:szCs w:val="28"/>
        </w:rPr>
        <w:t> </w:t>
      </w:r>
      <w:r w:rsidRPr="00F6210A">
        <w:rPr>
          <w:rFonts w:ascii="Times New Roman" w:eastAsia="MS Mincho" w:hAnsi="Times New Roman"/>
          <w:sz w:val="28"/>
          <w:szCs w:val="28"/>
        </w:rPr>
        <w:t>подходы при формировании тарифов на транспортировку твердых коммунальных отходов на 2020 год.</w:t>
      </w:r>
    </w:p>
    <w:p w:rsidR="005727C2" w:rsidRPr="00F6210A" w:rsidRDefault="00D51D11" w:rsidP="005727C2">
      <w:pPr>
        <w:pStyle w:val="af"/>
        <w:shd w:val="clear" w:color="auto" w:fill="FFFFFF"/>
        <w:spacing w:before="0" w:after="0"/>
        <w:jc w:val="both"/>
        <w:textAlignment w:val="baseline"/>
        <w:rPr>
          <w:rFonts w:ascii="Times New Roman" w:eastAsia="MS Mincho" w:hAnsi="Times New Roman"/>
          <w:sz w:val="28"/>
          <w:szCs w:val="28"/>
        </w:rPr>
      </w:pPr>
      <w:r>
        <w:rPr>
          <w:rFonts w:ascii="Times New Roman" w:eastAsia="MS Mincho" w:hAnsi="Times New Roman"/>
          <w:sz w:val="28"/>
          <w:szCs w:val="28"/>
        </w:rPr>
        <w:t xml:space="preserve">      </w:t>
      </w:r>
      <w:r w:rsidR="005727C2" w:rsidRPr="00F6210A">
        <w:rPr>
          <w:rFonts w:ascii="Times New Roman" w:eastAsia="MS Mincho" w:hAnsi="Times New Roman"/>
          <w:sz w:val="28"/>
          <w:szCs w:val="28"/>
        </w:rPr>
        <w:t>Информация была принята членами Совета к сведению и даны рекомендации по дальнейшей организации  работы</w:t>
      </w:r>
      <w:r>
        <w:rPr>
          <w:rFonts w:ascii="Times New Roman" w:eastAsia="MS Mincho" w:hAnsi="Times New Roman"/>
          <w:sz w:val="28"/>
          <w:szCs w:val="28"/>
        </w:rPr>
        <w:t xml:space="preserve"> по рассматриваемым вопросам</w:t>
      </w:r>
      <w:r w:rsidR="005727C2" w:rsidRPr="00F6210A">
        <w:rPr>
          <w:rFonts w:ascii="Times New Roman" w:eastAsia="MS Mincho" w:hAnsi="Times New Roman"/>
          <w:sz w:val="28"/>
          <w:szCs w:val="28"/>
        </w:rPr>
        <w:t xml:space="preserve">. </w:t>
      </w:r>
    </w:p>
    <w:p w:rsidR="005727C2" w:rsidRPr="00F6210A" w:rsidRDefault="005727C2" w:rsidP="005727C2">
      <w:pPr>
        <w:pStyle w:val="af"/>
        <w:shd w:val="clear" w:color="auto" w:fill="FFFFFF"/>
        <w:spacing w:before="0" w:after="0"/>
        <w:ind w:firstLine="567"/>
        <w:jc w:val="both"/>
        <w:textAlignment w:val="baseline"/>
        <w:rPr>
          <w:rFonts w:ascii="Times New Roman" w:eastAsia="MS Mincho" w:hAnsi="Times New Roman"/>
          <w:sz w:val="28"/>
          <w:szCs w:val="28"/>
        </w:rPr>
      </w:pPr>
      <w:r w:rsidRPr="00F6210A">
        <w:rPr>
          <w:rFonts w:ascii="Times New Roman" w:eastAsia="MS Mincho" w:hAnsi="Times New Roman"/>
          <w:sz w:val="28"/>
          <w:szCs w:val="28"/>
        </w:rPr>
        <w:t xml:space="preserve">С информацией о Совете </w:t>
      </w:r>
      <w:r w:rsidR="00D51D11">
        <w:rPr>
          <w:rFonts w:ascii="Times New Roman" w:eastAsia="MS Mincho" w:hAnsi="Times New Roman"/>
          <w:sz w:val="28"/>
          <w:szCs w:val="28"/>
        </w:rPr>
        <w:t xml:space="preserve">при департаменте </w:t>
      </w:r>
      <w:r w:rsidRPr="00F6210A">
        <w:rPr>
          <w:rFonts w:ascii="Times New Roman" w:eastAsia="MS Mincho" w:hAnsi="Times New Roman"/>
          <w:sz w:val="28"/>
          <w:szCs w:val="28"/>
        </w:rPr>
        <w:t xml:space="preserve">и его деятельности (положение о Совете, повестки заседания, протоколы заседаний) можно ознакомиться на официальном сайте департамента в информационно-телекоммуникационной сети «Интернет» </w:t>
      </w:r>
      <w:hyperlink r:id="rId102" w:history="1">
        <w:r w:rsidRPr="00F6210A">
          <w:rPr>
            <w:rStyle w:val="af0"/>
            <w:rFonts w:eastAsia="MS Mincho"/>
            <w:sz w:val="28"/>
            <w:szCs w:val="28"/>
          </w:rPr>
          <w:t>https://tarif.nso.ru/page/149</w:t>
        </w:r>
      </w:hyperlink>
      <w:r w:rsidRPr="00F6210A">
        <w:rPr>
          <w:rFonts w:ascii="Times New Roman" w:eastAsia="MS Mincho" w:hAnsi="Times New Roman"/>
          <w:sz w:val="28"/>
          <w:szCs w:val="28"/>
        </w:rPr>
        <w:t>.</w:t>
      </w:r>
    </w:p>
    <w:p w:rsidR="005727C2" w:rsidRPr="0061749D" w:rsidRDefault="005727C2" w:rsidP="005727C2">
      <w:pPr>
        <w:rPr>
          <w:sz w:val="32"/>
          <w:szCs w:val="32"/>
        </w:rPr>
      </w:pPr>
    </w:p>
    <w:p w:rsidR="005727C2" w:rsidRPr="0061749D" w:rsidRDefault="00D51D11" w:rsidP="005727C2">
      <w:pPr>
        <w:spacing w:line="240" w:lineRule="auto"/>
        <w:rPr>
          <w:b/>
          <w:noProof/>
          <w:sz w:val="32"/>
          <w:szCs w:val="32"/>
        </w:rPr>
      </w:pPr>
      <w:r w:rsidRPr="0061749D">
        <w:rPr>
          <w:b/>
          <w:noProof/>
          <w:sz w:val="32"/>
          <w:szCs w:val="32"/>
        </w:rPr>
        <w:t>4</w:t>
      </w:r>
      <w:r w:rsidR="005727C2" w:rsidRPr="0061749D">
        <w:rPr>
          <w:b/>
          <w:noProof/>
          <w:sz w:val="32"/>
          <w:szCs w:val="32"/>
        </w:rPr>
        <w:t>.  Контрольно – надзорная деятельность</w:t>
      </w:r>
    </w:p>
    <w:p w:rsidR="005727C2" w:rsidRDefault="00D51D11" w:rsidP="0061749D">
      <w:pPr>
        <w:pStyle w:val="a3"/>
      </w:pPr>
      <w:r>
        <w:t>4</w:t>
      </w:r>
      <w:r w:rsidR="005727C2">
        <w:t>.1.Нормотворческая и правоприменительная деятельность</w:t>
      </w:r>
    </w:p>
    <w:p w:rsidR="005727C2" w:rsidRDefault="005727C2" w:rsidP="005727C2">
      <w:pPr>
        <w:autoSpaceDE w:val="0"/>
        <w:autoSpaceDN w:val="0"/>
        <w:adjustRightInd w:val="0"/>
        <w:spacing w:after="0" w:line="240" w:lineRule="auto"/>
        <w:ind w:firstLine="709"/>
        <w:jc w:val="both"/>
        <w:rPr>
          <w:rFonts w:eastAsia="Calibri"/>
          <w:sz w:val="28"/>
          <w:szCs w:val="28"/>
          <w:lang w:eastAsia="en-US"/>
        </w:rPr>
      </w:pPr>
      <w:r>
        <w:rPr>
          <w:rFonts w:eastAsia="Calibri"/>
          <w:sz w:val="28"/>
          <w:szCs w:val="28"/>
          <w:lang w:eastAsia="en-US"/>
        </w:rPr>
        <w:t>В 2019 году департаментом было издано 77</w:t>
      </w:r>
      <w:r w:rsidR="00B17B10">
        <w:rPr>
          <w:rFonts w:eastAsia="Calibri"/>
          <w:sz w:val="28"/>
          <w:szCs w:val="28"/>
          <w:lang w:eastAsia="en-US"/>
        </w:rPr>
        <w:t>0</w:t>
      </w:r>
      <w:r>
        <w:rPr>
          <w:rFonts w:eastAsia="Calibri"/>
          <w:sz w:val="28"/>
          <w:szCs w:val="28"/>
          <w:lang w:eastAsia="en-US"/>
        </w:rPr>
        <w:t xml:space="preserve"> приказ по основным направлениям деятельности.</w:t>
      </w:r>
    </w:p>
    <w:p w:rsidR="005727C2" w:rsidRDefault="005727C2" w:rsidP="005727C2">
      <w:pPr>
        <w:autoSpaceDE w:val="0"/>
        <w:autoSpaceDN w:val="0"/>
        <w:adjustRightInd w:val="0"/>
        <w:spacing w:after="0" w:line="240" w:lineRule="auto"/>
        <w:ind w:firstLine="709"/>
        <w:jc w:val="both"/>
        <w:rPr>
          <w:sz w:val="28"/>
          <w:szCs w:val="28"/>
        </w:rPr>
      </w:pPr>
      <w:r>
        <w:rPr>
          <w:rFonts w:eastAsia="Calibri"/>
          <w:sz w:val="28"/>
          <w:szCs w:val="28"/>
          <w:lang w:eastAsia="en-US"/>
        </w:rPr>
        <w:t xml:space="preserve">В рамках оказания в 2019 году бесплатной юридической помощи </w:t>
      </w:r>
      <w:r>
        <w:rPr>
          <w:sz w:val="28"/>
          <w:szCs w:val="28"/>
        </w:rPr>
        <w:t>гражданам Российской Федерации на территории Новосибирской области</w:t>
      </w:r>
      <w:r>
        <w:rPr>
          <w:rFonts w:eastAsia="Calibri"/>
          <w:sz w:val="28"/>
          <w:szCs w:val="28"/>
          <w:lang w:eastAsia="en-US"/>
        </w:rPr>
        <w:t xml:space="preserve"> департаментом: </w:t>
      </w:r>
    </w:p>
    <w:p w:rsidR="005727C2" w:rsidRDefault="005727C2" w:rsidP="005727C2">
      <w:pPr>
        <w:autoSpaceDE w:val="0"/>
        <w:autoSpaceDN w:val="0"/>
        <w:adjustRightInd w:val="0"/>
        <w:spacing w:after="0" w:line="240" w:lineRule="auto"/>
        <w:ind w:firstLine="709"/>
        <w:jc w:val="both"/>
        <w:rPr>
          <w:sz w:val="28"/>
          <w:szCs w:val="28"/>
        </w:rPr>
      </w:pPr>
      <w:r>
        <w:rPr>
          <w:sz w:val="28"/>
          <w:szCs w:val="28"/>
        </w:rPr>
        <w:t xml:space="preserve">- по результатам рассмотрения поступивших (перенаправленных на рассмотрение) в </w:t>
      </w:r>
      <w:r w:rsidR="00D51D11">
        <w:rPr>
          <w:sz w:val="28"/>
          <w:szCs w:val="28"/>
        </w:rPr>
        <w:t>Д</w:t>
      </w:r>
      <w:r>
        <w:rPr>
          <w:sz w:val="28"/>
          <w:szCs w:val="28"/>
        </w:rPr>
        <w:t xml:space="preserve">епартамент обращений граждан даны: 159 правовых </w:t>
      </w:r>
      <w:r>
        <w:rPr>
          <w:sz w:val="28"/>
          <w:szCs w:val="28"/>
        </w:rPr>
        <w:lastRenderedPageBreak/>
        <w:t>консультаций в устной форме,  387 правовых консультаций в письменной форме;</w:t>
      </w:r>
    </w:p>
    <w:p w:rsidR="005727C2" w:rsidRDefault="005727C2" w:rsidP="005727C2">
      <w:pPr>
        <w:autoSpaceDE w:val="0"/>
        <w:autoSpaceDN w:val="0"/>
        <w:adjustRightInd w:val="0"/>
        <w:spacing w:after="0" w:line="240" w:lineRule="auto"/>
        <w:ind w:firstLine="709"/>
        <w:jc w:val="both"/>
        <w:rPr>
          <w:sz w:val="28"/>
          <w:szCs w:val="28"/>
        </w:rPr>
      </w:pPr>
      <w:r>
        <w:rPr>
          <w:sz w:val="28"/>
          <w:szCs w:val="28"/>
        </w:rPr>
        <w:t xml:space="preserve">- размещены на официальном сайте Департамента в информационно-телекоммуникационной сети «Интернет» </w:t>
      </w:r>
      <w:hyperlink r:id="rId103" w:history="1">
        <w:r w:rsidRPr="00D51D11">
          <w:rPr>
            <w:rStyle w:val="af0"/>
            <w:color w:val="auto"/>
            <w:sz w:val="28"/>
            <w:szCs w:val="28"/>
            <w:lang w:val="en-US"/>
          </w:rPr>
          <w:t>www</w:t>
        </w:r>
        <w:r w:rsidRPr="00D51D11">
          <w:rPr>
            <w:rStyle w:val="af0"/>
            <w:color w:val="auto"/>
            <w:sz w:val="28"/>
            <w:szCs w:val="28"/>
          </w:rPr>
          <w:t>.tarif.nso.ru</w:t>
        </w:r>
      </w:hyperlink>
      <w:r w:rsidRPr="00D51D11">
        <w:rPr>
          <w:sz w:val="28"/>
          <w:szCs w:val="28"/>
        </w:rPr>
        <w:t xml:space="preserve"> </w:t>
      </w:r>
      <w:r>
        <w:rPr>
          <w:sz w:val="28"/>
          <w:szCs w:val="28"/>
        </w:rPr>
        <w:t xml:space="preserve">(далее – Интернет-сайт) материалы по правовому информированию и правовому просвещению населения: </w:t>
      </w:r>
    </w:p>
    <w:p w:rsidR="005727C2" w:rsidRDefault="005727C2" w:rsidP="005727C2">
      <w:pPr>
        <w:autoSpaceDE w:val="0"/>
        <w:autoSpaceDN w:val="0"/>
        <w:adjustRightInd w:val="0"/>
        <w:spacing w:after="0" w:line="240" w:lineRule="auto"/>
        <w:ind w:firstLine="709"/>
        <w:jc w:val="both"/>
        <w:rPr>
          <w:sz w:val="28"/>
          <w:szCs w:val="28"/>
        </w:rPr>
      </w:pPr>
      <w:r>
        <w:rPr>
          <w:sz w:val="28"/>
          <w:szCs w:val="28"/>
        </w:rPr>
        <w:t>77</w:t>
      </w:r>
      <w:r w:rsidR="00B17B10">
        <w:rPr>
          <w:sz w:val="28"/>
          <w:szCs w:val="28"/>
        </w:rPr>
        <w:t>0</w:t>
      </w:r>
      <w:r>
        <w:rPr>
          <w:sz w:val="28"/>
          <w:szCs w:val="28"/>
        </w:rPr>
        <w:t xml:space="preserve"> изданных департаментом приказов и 71 протокол проведенных заседаний правления департамента по основным направлениям его деятельности (установление цен, тарифов, платы, нормативов);</w:t>
      </w:r>
    </w:p>
    <w:p w:rsidR="005727C2" w:rsidRDefault="005727C2" w:rsidP="005727C2">
      <w:pPr>
        <w:autoSpaceDE w:val="0"/>
        <w:autoSpaceDN w:val="0"/>
        <w:adjustRightInd w:val="0"/>
        <w:spacing w:after="0" w:line="240" w:lineRule="auto"/>
        <w:ind w:firstLine="709"/>
        <w:jc w:val="both"/>
        <w:rPr>
          <w:sz w:val="28"/>
          <w:szCs w:val="28"/>
        </w:rPr>
      </w:pPr>
      <w:r>
        <w:rPr>
          <w:sz w:val="28"/>
          <w:szCs w:val="28"/>
        </w:rPr>
        <w:t xml:space="preserve">2 протокола проведенных в 2019 году заседаний Межотраслевого совета по вопросам деятельности субъектов естественных монополий при Губернаторе Новосибирской области;  </w:t>
      </w:r>
    </w:p>
    <w:p w:rsidR="005727C2" w:rsidRDefault="00D51D11" w:rsidP="005727C2">
      <w:pPr>
        <w:autoSpaceDE w:val="0"/>
        <w:autoSpaceDN w:val="0"/>
        <w:adjustRightInd w:val="0"/>
        <w:spacing w:after="0" w:line="240" w:lineRule="auto"/>
        <w:ind w:firstLine="709"/>
        <w:jc w:val="both"/>
        <w:rPr>
          <w:sz w:val="28"/>
          <w:szCs w:val="28"/>
        </w:rPr>
      </w:pPr>
      <w:r w:rsidRPr="00D51D11">
        <w:rPr>
          <w:sz w:val="28"/>
          <w:szCs w:val="28"/>
        </w:rPr>
        <w:t xml:space="preserve">- </w:t>
      </w:r>
      <w:hyperlink r:id="rId104" w:history="1">
        <w:r w:rsidR="005727C2" w:rsidRPr="00D51D11">
          <w:rPr>
            <w:sz w:val="28"/>
            <w:szCs w:val="28"/>
          </w:rPr>
          <w:t>информация о предельных отпускных ценах, зарегистрированных и внесенных в Государственный Реестр цен на ЖНВЛС и предельных оптовых и розничных ценах на жизненно необходимые и важнейшие лекарственные препараты на территории Новосибирской области</w:t>
        </w:r>
      </w:hyperlink>
      <w:r w:rsidR="005727C2">
        <w:rPr>
          <w:sz w:val="28"/>
          <w:szCs w:val="28"/>
        </w:rPr>
        <w:t>;</w:t>
      </w:r>
    </w:p>
    <w:p w:rsidR="005727C2" w:rsidRDefault="00D51D11" w:rsidP="005727C2">
      <w:pPr>
        <w:autoSpaceDE w:val="0"/>
        <w:autoSpaceDN w:val="0"/>
        <w:adjustRightInd w:val="0"/>
        <w:spacing w:after="0" w:line="240" w:lineRule="auto"/>
        <w:ind w:firstLine="709"/>
        <w:jc w:val="both"/>
        <w:rPr>
          <w:sz w:val="28"/>
          <w:szCs w:val="28"/>
        </w:rPr>
      </w:pPr>
      <w:r>
        <w:rPr>
          <w:sz w:val="28"/>
          <w:szCs w:val="28"/>
        </w:rPr>
        <w:t>-</w:t>
      </w:r>
      <w:r w:rsidR="005727C2">
        <w:rPr>
          <w:sz w:val="28"/>
          <w:szCs w:val="28"/>
        </w:rPr>
        <w:t>информация об установленных на 2019 год предельных (максимальных) индексах изменения размера вносимой гражданами платы за коммунальные услуги в муниципальных образованиях Новосибирской области;</w:t>
      </w:r>
    </w:p>
    <w:p w:rsidR="005727C2" w:rsidRDefault="00D51D11" w:rsidP="005727C2">
      <w:pPr>
        <w:autoSpaceDE w:val="0"/>
        <w:autoSpaceDN w:val="0"/>
        <w:adjustRightInd w:val="0"/>
        <w:spacing w:after="0" w:line="240" w:lineRule="auto"/>
        <w:ind w:firstLine="709"/>
        <w:jc w:val="both"/>
        <w:rPr>
          <w:sz w:val="28"/>
          <w:szCs w:val="28"/>
        </w:rPr>
      </w:pPr>
      <w:r>
        <w:rPr>
          <w:sz w:val="28"/>
          <w:szCs w:val="28"/>
        </w:rPr>
        <w:t>-</w:t>
      </w:r>
      <w:r w:rsidR="005727C2">
        <w:rPr>
          <w:sz w:val="28"/>
          <w:szCs w:val="28"/>
        </w:rPr>
        <w:t>информация об установленных на 2019 год региональных стандартах оплаты жилого помещения и коммунальных услуг.</w:t>
      </w:r>
    </w:p>
    <w:p w:rsidR="005727C2" w:rsidRDefault="005727C2" w:rsidP="005727C2">
      <w:pPr>
        <w:autoSpaceDE w:val="0"/>
        <w:autoSpaceDN w:val="0"/>
        <w:adjustRightInd w:val="0"/>
        <w:spacing w:after="0" w:line="240" w:lineRule="auto"/>
        <w:ind w:firstLine="709"/>
        <w:jc w:val="both"/>
        <w:rPr>
          <w:sz w:val="28"/>
          <w:szCs w:val="28"/>
        </w:rPr>
      </w:pPr>
      <w:r>
        <w:rPr>
          <w:sz w:val="28"/>
          <w:szCs w:val="28"/>
        </w:rPr>
        <w:t xml:space="preserve">В 2019 году департаментом также были разработаны в рамках возложенных полномочий </w:t>
      </w:r>
      <w:r w:rsidRPr="00D51D11">
        <w:rPr>
          <w:sz w:val="28"/>
          <w:szCs w:val="28"/>
        </w:rPr>
        <w:t>3</w:t>
      </w:r>
      <w:r>
        <w:rPr>
          <w:sz w:val="28"/>
          <w:szCs w:val="28"/>
        </w:rPr>
        <w:t xml:space="preserve"> проекта правовых актов Губернатора Новосибирской области и Правительства Новосибирской области.</w:t>
      </w:r>
    </w:p>
    <w:p w:rsidR="005727C2" w:rsidRDefault="005727C2" w:rsidP="005727C2">
      <w:pPr>
        <w:autoSpaceDE w:val="0"/>
        <w:autoSpaceDN w:val="0"/>
        <w:adjustRightInd w:val="0"/>
        <w:spacing w:after="0" w:line="240" w:lineRule="auto"/>
        <w:ind w:firstLine="709"/>
        <w:jc w:val="both"/>
        <w:rPr>
          <w:sz w:val="28"/>
          <w:szCs w:val="28"/>
        </w:rPr>
      </w:pPr>
      <w:r>
        <w:rPr>
          <w:sz w:val="28"/>
          <w:szCs w:val="28"/>
        </w:rPr>
        <w:t>В целях обеспечения возможности проведения независимой антикоррупционной экспертизы</w:t>
      </w:r>
      <w:r>
        <w:rPr>
          <w:bCs/>
          <w:iCs/>
          <w:sz w:val="28"/>
          <w:szCs w:val="28"/>
        </w:rPr>
        <w:t xml:space="preserve"> Департамент размещал в 2019 году разработанные им проекты нормативных правовых актов</w:t>
      </w:r>
      <w:r w:rsidR="00D51D11">
        <w:rPr>
          <w:bCs/>
          <w:iCs/>
          <w:sz w:val="28"/>
          <w:szCs w:val="28"/>
        </w:rPr>
        <w:t xml:space="preserve"> </w:t>
      </w:r>
      <w:r>
        <w:rPr>
          <w:sz w:val="28"/>
          <w:szCs w:val="28"/>
        </w:rPr>
        <w:t>Губернатора Новосибирской области и Правительства Новосибирской области</w:t>
      </w:r>
      <w:r>
        <w:rPr>
          <w:bCs/>
          <w:iCs/>
          <w:sz w:val="28"/>
          <w:szCs w:val="28"/>
        </w:rPr>
        <w:t xml:space="preserve">, </w:t>
      </w:r>
      <w:r>
        <w:rPr>
          <w:sz w:val="28"/>
          <w:szCs w:val="28"/>
        </w:rPr>
        <w:t xml:space="preserve">затрагивающих права, свободы и обязанности человека и гражданина, </w:t>
      </w:r>
      <w:r>
        <w:rPr>
          <w:bCs/>
          <w:iCs/>
          <w:sz w:val="28"/>
          <w:szCs w:val="28"/>
        </w:rPr>
        <w:t xml:space="preserve">на своем Интернет-сайте </w:t>
      </w:r>
      <w:r>
        <w:rPr>
          <w:sz w:val="28"/>
          <w:szCs w:val="28"/>
        </w:rPr>
        <w:t>в течение рабочего дня, соответствующего дню направления указанных проектов на правовую экспертизу, на срок не менее 7 дней. Заключений по результатам проведения независимой антикоррупционной экспертизы указанных проектов в 2019 году в департамент не поступало.</w:t>
      </w:r>
    </w:p>
    <w:p w:rsidR="005727C2" w:rsidRDefault="005727C2" w:rsidP="005727C2">
      <w:pPr>
        <w:autoSpaceDE w:val="0"/>
        <w:autoSpaceDN w:val="0"/>
        <w:adjustRightInd w:val="0"/>
        <w:spacing w:after="0" w:line="240" w:lineRule="auto"/>
        <w:ind w:firstLine="709"/>
        <w:jc w:val="both"/>
        <w:rPr>
          <w:sz w:val="28"/>
          <w:szCs w:val="28"/>
        </w:rPr>
      </w:pPr>
    </w:p>
    <w:p w:rsidR="005727C2" w:rsidRPr="00B17B10" w:rsidRDefault="00533808" w:rsidP="005727C2">
      <w:pPr>
        <w:autoSpaceDE w:val="0"/>
        <w:autoSpaceDN w:val="0"/>
        <w:adjustRightInd w:val="0"/>
        <w:ind w:firstLine="284"/>
        <w:jc w:val="both"/>
        <w:rPr>
          <w:b/>
          <w:sz w:val="28"/>
        </w:rPr>
      </w:pPr>
      <w:r w:rsidRPr="00B17B10">
        <w:rPr>
          <w:b/>
          <w:sz w:val="28"/>
        </w:rPr>
        <w:t>4</w:t>
      </w:r>
      <w:r w:rsidR="005727C2" w:rsidRPr="00B17B10">
        <w:rPr>
          <w:b/>
          <w:sz w:val="28"/>
        </w:rPr>
        <w:t>.2.</w:t>
      </w:r>
      <w:r w:rsidR="00B17B10" w:rsidRPr="00B17B10">
        <w:rPr>
          <w:b/>
          <w:sz w:val="28"/>
        </w:rPr>
        <w:t xml:space="preserve"> Р</w:t>
      </w:r>
      <w:r w:rsidR="00B17B10" w:rsidRPr="00B17B10">
        <w:rPr>
          <w:b/>
          <w:sz w:val="28"/>
          <w:szCs w:val="28"/>
        </w:rPr>
        <w:t>егиональный государственный  контроль (надзора)</w:t>
      </w:r>
    </w:p>
    <w:p w:rsidR="005727C2" w:rsidRDefault="005727C2" w:rsidP="005727C2">
      <w:pPr>
        <w:autoSpaceDE w:val="0"/>
        <w:autoSpaceDN w:val="0"/>
        <w:adjustRightInd w:val="0"/>
        <w:spacing w:after="0" w:line="240" w:lineRule="auto"/>
        <w:ind w:firstLine="709"/>
        <w:jc w:val="both"/>
        <w:rPr>
          <w:sz w:val="28"/>
          <w:szCs w:val="28"/>
        </w:rPr>
      </w:pPr>
      <w:r>
        <w:rPr>
          <w:sz w:val="28"/>
          <w:szCs w:val="28"/>
        </w:rPr>
        <w:t>В соответствии с пунктом 1 Положения о департаменте, в 2019 году Департаментом осуществлялись следующие виды регионального государственного контроля (надзора):</w:t>
      </w:r>
    </w:p>
    <w:p w:rsidR="005727C2" w:rsidRPr="00D053C8" w:rsidRDefault="00B17B10" w:rsidP="005727C2">
      <w:pPr>
        <w:autoSpaceDE w:val="0"/>
        <w:autoSpaceDN w:val="0"/>
        <w:adjustRightInd w:val="0"/>
        <w:spacing w:after="0" w:line="240" w:lineRule="auto"/>
        <w:ind w:firstLine="709"/>
        <w:jc w:val="both"/>
        <w:rPr>
          <w:b/>
          <w:sz w:val="28"/>
          <w:szCs w:val="28"/>
        </w:rPr>
      </w:pPr>
      <w:r w:rsidRPr="00D053C8">
        <w:rPr>
          <w:b/>
          <w:sz w:val="28"/>
          <w:szCs w:val="28"/>
        </w:rPr>
        <w:t>4.2.1</w:t>
      </w:r>
      <w:r w:rsidR="005727C2" w:rsidRPr="00D053C8">
        <w:rPr>
          <w:b/>
          <w:sz w:val="28"/>
          <w:szCs w:val="28"/>
        </w:rPr>
        <w:t>. </w:t>
      </w:r>
      <w:r w:rsidR="005727C2" w:rsidRPr="00D053C8">
        <w:rPr>
          <w:b/>
          <w:i/>
          <w:sz w:val="28"/>
          <w:szCs w:val="28"/>
        </w:rPr>
        <w:t>Региональный государственный контроль (надзор) в области регулируемых государством цен (тарифов)</w:t>
      </w:r>
      <w:r w:rsidR="005727C2" w:rsidRPr="00D053C8">
        <w:rPr>
          <w:b/>
          <w:sz w:val="28"/>
          <w:szCs w:val="28"/>
        </w:rPr>
        <w:t xml:space="preserve">: </w:t>
      </w:r>
    </w:p>
    <w:p w:rsidR="005727C2" w:rsidRDefault="005727C2" w:rsidP="005727C2">
      <w:pPr>
        <w:autoSpaceDE w:val="0"/>
        <w:autoSpaceDN w:val="0"/>
        <w:adjustRightInd w:val="0"/>
        <w:spacing w:after="0" w:line="240" w:lineRule="auto"/>
        <w:ind w:firstLine="709"/>
        <w:jc w:val="both"/>
        <w:rPr>
          <w:sz w:val="28"/>
          <w:szCs w:val="28"/>
        </w:rPr>
      </w:pPr>
      <w:bookmarkStart w:id="9" w:name="Par0"/>
      <w:bookmarkEnd w:id="9"/>
      <w:r>
        <w:rPr>
          <w:sz w:val="28"/>
          <w:szCs w:val="28"/>
        </w:rPr>
        <w:t>1) за регулируемыми государством ценами (тарифами) в электроэнергетике - на основании:</w:t>
      </w:r>
    </w:p>
    <w:p w:rsidR="005727C2" w:rsidRDefault="005727C2" w:rsidP="005727C2">
      <w:pPr>
        <w:spacing w:after="0" w:line="240" w:lineRule="auto"/>
        <w:ind w:firstLine="709"/>
        <w:jc w:val="both"/>
        <w:rPr>
          <w:sz w:val="28"/>
          <w:szCs w:val="28"/>
        </w:rPr>
      </w:pPr>
      <w:r>
        <w:rPr>
          <w:sz w:val="28"/>
          <w:szCs w:val="28"/>
        </w:rPr>
        <w:lastRenderedPageBreak/>
        <w:t>пункта 4 статьи 21; пункта 3 статьи 24; статьи 29.2 Федерального закона от 26.03.2003 № 35-ФЗ «Об электроэнергетике»;</w:t>
      </w:r>
    </w:p>
    <w:p w:rsidR="005727C2" w:rsidRDefault="005727C2" w:rsidP="005727C2">
      <w:pPr>
        <w:spacing w:after="0" w:line="240" w:lineRule="auto"/>
        <w:ind w:firstLine="709"/>
        <w:jc w:val="both"/>
        <w:rPr>
          <w:rFonts w:eastAsia="Calibri"/>
          <w:sz w:val="28"/>
          <w:szCs w:val="28"/>
        </w:rPr>
      </w:pPr>
      <w:r>
        <w:rPr>
          <w:rFonts w:eastAsia="Calibri"/>
          <w:sz w:val="28"/>
          <w:szCs w:val="28"/>
        </w:rPr>
        <w:t>подпункта «к» пункта 4 Типового положения об органе исполнительной власти субъекта Российской Федерации в области государственного регулирования тарифов, утвержденного постановлением Правительства РФ от 21.02.2011 № 97 (</w:t>
      </w:r>
      <w:r>
        <w:rPr>
          <w:rFonts w:eastAsia="Calibri"/>
          <w:i/>
          <w:sz w:val="28"/>
          <w:szCs w:val="28"/>
        </w:rPr>
        <w:t>далее – Типовое положение об органе регулирования субъекта РФ</w:t>
      </w:r>
      <w:r>
        <w:rPr>
          <w:rFonts w:eastAsia="Calibri"/>
          <w:sz w:val="28"/>
          <w:szCs w:val="28"/>
        </w:rPr>
        <w:t>);</w:t>
      </w:r>
    </w:p>
    <w:p w:rsidR="005727C2" w:rsidRDefault="005727C2" w:rsidP="005727C2">
      <w:pPr>
        <w:autoSpaceDE w:val="0"/>
        <w:autoSpaceDN w:val="0"/>
        <w:adjustRightInd w:val="0"/>
        <w:spacing w:after="0" w:line="240" w:lineRule="auto"/>
        <w:ind w:firstLine="709"/>
        <w:jc w:val="both"/>
        <w:rPr>
          <w:sz w:val="28"/>
          <w:szCs w:val="28"/>
        </w:rPr>
      </w:pPr>
      <w:r>
        <w:rPr>
          <w:sz w:val="28"/>
          <w:szCs w:val="28"/>
        </w:rPr>
        <w:t xml:space="preserve">пунктов 1, 3 </w:t>
      </w:r>
      <w:hyperlink r:id="rId105" w:history="1">
        <w:r w:rsidRPr="00D51D11">
          <w:rPr>
            <w:rStyle w:val="af0"/>
            <w:rFonts w:eastAsia="Calibri"/>
            <w:color w:val="auto"/>
            <w:sz w:val="28"/>
            <w:szCs w:val="28"/>
          </w:rPr>
          <w:t>Положения</w:t>
        </w:r>
      </w:hyperlink>
      <w:r>
        <w:rPr>
          <w:rFonts w:eastAsia="Calibri"/>
          <w:sz w:val="28"/>
          <w:szCs w:val="28"/>
        </w:rPr>
        <w:t xml:space="preserve"> о государственном контроле (надзоре) в области регулируемых государством цен (тарифов), утвержденного </w:t>
      </w:r>
      <w:r>
        <w:rPr>
          <w:sz w:val="28"/>
          <w:szCs w:val="28"/>
        </w:rPr>
        <w:t>постановлением Правительства Российской Федерации от 27.06.2013 № 543 «О государственном контроле (надзоре) в области регулируемых государством цен (тарифов), а также изменении и признании утратившими силу некоторых актов Правительства Российской Федерации» (</w:t>
      </w:r>
      <w:r>
        <w:rPr>
          <w:i/>
          <w:sz w:val="28"/>
          <w:szCs w:val="28"/>
        </w:rPr>
        <w:t>далее - Положение № 543)</w:t>
      </w:r>
      <w:r>
        <w:rPr>
          <w:sz w:val="28"/>
          <w:szCs w:val="28"/>
        </w:rPr>
        <w:t>;</w:t>
      </w:r>
    </w:p>
    <w:p w:rsidR="005727C2" w:rsidRDefault="005727C2" w:rsidP="005727C2">
      <w:pPr>
        <w:autoSpaceDE w:val="0"/>
        <w:autoSpaceDN w:val="0"/>
        <w:adjustRightInd w:val="0"/>
        <w:spacing w:after="0" w:line="240" w:lineRule="auto"/>
        <w:ind w:left="34" w:firstLine="709"/>
        <w:jc w:val="both"/>
        <w:rPr>
          <w:sz w:val="28"/>
          <w:szCs w:val="28"/>
        </w:rPr>
      </w:pPr>
      <w:r>
        <w:rPr>
          <w:sz w:val="28"/>
          <w:szCs w:val="28"/>
        </w:rPr>
        <w:t>постановления Правительства Российской Федерации от 31.12.2009 № 1220 «Об определении применяемых при установлении долгосрочных тарифов показателей надежности и качества поставляемых товаров и оказываемых услуг»;</w:t>
      </w:r>
    </w:p>
    <w:p w:rsidR="005727C2" w:rsidRDefault="005727C2" w:rsidP="005727C2">
      <w:pPr>
        <w:spacing w:after="0" w:line="240" w:lineRule="auto"/>
        <w:ind w:firstLine="709"/>
        <w:jc w:val="both"/>
        <w:rPr>
          <w:sz w:val="28"/>
          <w:szCs w:val="28"/>
        </w:rPr>
      </w:pPr>
      <w:r>
        <w:rPr>
          <w:sz w:val="28"/>
          <w:szCs w:val="28"/>
        </w:rPr>
        <w:t>2) в области регулирования цен (тарифов) в сфере теплоснабжения, а также установления предельного уровня цены на тепловую энергию (мощность) - на основании:</w:t>
      </w:r>
    </w:p>
    <w:p w:rsidR="005727C2" w:rsidRDefault="005727C2" w:rsidP="005727C2">
      <w:pPr>
        <w:pStyle w:val="ConsPlusNormal"/>
        <w:ind w:left="34" w:firstLine="709"/>
        <w:jc w:val="both"/>
        <w:rPr>
          <w:rFonts w:ascii="Times New Roman" w:hAnsi="Times New Roman" w:cs="Times New Roman"/>
          <w:sz w:val="28"/>
          <w:szCs w:val="28"/>
        </w:rPr>
      </w:pPr>
      <w:r>
        <w:rPr>
          <w:rFonts w:ascii="Times New Roman" w:hAnsi="Times New Roman" w:cs="Times New Roman"/>
          <w:sz w:val="28"/>
          <w:szCs w:val="28"/>
        </w:rPr>
        <w:t>пункта 3 статьи 7; статьи 12.1 Федерального закона от 27.07.2010 № 190-ФЗ «О теплоснабжении»;</w:t>
      </w:r>
    </w:p>
    <w:p w:rsidR="005727C2" w:rsidRDefault="005727C2" w:rsidP="005727C2">
      <w:pPr>
        <w:spacing w:after="0" w:line="240" w:lineRule="auto"/>
        <w:ind w:firstLine="709"/>
        <w:jc w:val="both"/>
        <w:rPr>
          <w:rFonts w:eastAsia="Calibri"/>
          <w:sz w:val="28"/>
          <w:szCs w:val="28"/>
        </w:rPr>
      </w:pPr>
      <w:r>
        <w:rPr>
          <w:rFonts w:eastAsia="Calibri"/>
          <w:sz w:val="28"/>
          <w:szCs w:val="28"/>
        </w:rPr>
        <w:t>подпункта «к» пункта 4 Типового положения об органе регулирования субъекта РФ;</w:t>
      </w:r>
    </w:p>
    <w:p w:rsidR="005727C2" w:rsidRDefault="005727C2" w:rsidP="005727C2">
      <w:pPr>
        <w:autoSpaceDE w:val="0"/>
        <w:autoSpaceDN w:val="0"/>
        <w:adjustRightInd w:val="0"/>
        <w:spacing w:after="0" w:line="240" w:lineRule="auto"/>
        <w:ind w:firstLine="709"/>
        <w:jc w:val="both"/>
        <w:rPr>
          <w:sz w:val="28"/>
          <w:szCs w:val="28"/>
        </w:rPr>
      </w:pPr>
      <w:r>
        <w:rPr>
          <w:sz w:val="28"/>
          <w:szCs w:val="28"/>
        </w:rPr>
        <w:t>пунктов 1, 3 Положения № 543;</w:t>
      </w:r>
    </w:p>
    <w:p w:rsidR="005727C2" w:rsidRDefault="005727C2" w:rsidP="005727C2">
      <w:pPr>
        <w:autoSpaceDE w:val="0"/>
        <w:autoSpaceDN w:val="0"/>
        <w:adjustRightInd w:val="0"/>
        <w:spacing w:after="0" w:line="240" w:lineRule="auto"/>
        <w:ind w:left="34" w:firstLine="709"/>
        <w:jc w:val="both"/>
        <w:rPr>
          <w:sz w:val="28"/>
          <w:szCs w:val="28"/>
        </w:rPr>
      </w:pPr>
      <w:r>
        <w:rPr>
          <w:sz w:val="28"/>
          <w:szCs w:val="28"/>
        </w:rPr>
        <w:t>постановления Правительства Российской Федерации от 16.05.2014 № 452 «Об утверждении Правил определения плановых и расчета фактических значений показателей надежности и энергетической эффективности объектов теплоснабжения, а также определения достижения организацией, осуществляющей регулируемые виды деятельности в сфере теплоснабжения, указанных плановых значений ……..»;</w:t>
      </w:r>
    </w:p>
    <w:p w:rsidR="005727C2" w:rsidRDefault="005727C2" w:rsidP="005727C2">
      <w:pPr>
        <w:autoSpaceDE w:val="0"/>
        <w:autoSpaceDN w:val="0"/>
        <w:adjustRightInd w:val="0"/>
        <w:spacing w:after="0" w:line="240" w:lineRule="auto"/>
        <w:ind w:firstLine="709"/>
        <w:jc w:val="both"/>
        <w:rPr>
          <w:sz w:val="28"/>
          <w:szCs w:val="28"/>
        </w:rPr>
      </w:pPr>
      <w:r>
        <w:rPr>
          <w:sz w:val="28"/>
          <w:szCs w:val="28"/>
        </w:rPr>
        <w:t>3) в области регулирования тарифов в сфере водоснабжения и водоотведения - на основании:</w:t>
      </w:r>
    </w:p>
    <w:p w:rsidR="005727C2" w:rsidRDefault="005727C2" w:rsidP="005727C2">
      <w:pPr>
        <w:autoSpaceDE w:val="0"/>
        <w:autoSpaceDN w:val="0"/>
        <w:adjustRightInd w:val="0"/>
        <w:spacing w:after="0" w:line="240" w:lineRule="auto"/>
        <w:ind w:firstLine="709"/>
        <w:jc w:val="both"/>
        <w:rPr>
          <w:sz w:val="28"/>
          <w:szCs w:val="28"/>
        </w:rPr>
      </w:pPr>
      <w:r>
        <w:rPr>
          <w:sz w:val="28"/>
          <w:szCs w:val="28"/>
        </w:rPr>
        <w:t>пункта 6 статьи 5; статьи 35 Федерального закона от 07.12.2011 № 416-ФЗ «О водоснабжении и водоотведении»;</w:t>
      </w:r>
    </w:p>
    <w:p w:rsidR="005727C2" w:rsidRDefault="005727C2" w:rsidP="005727C2">
      <w:pPr>
        <w:autoSpaceDE w:val="0"/>
        <w:autoSpaceDN w:val="0"/>
        <w:adjustRightInd w:val="0"/>
        <w:spacing w:after="0" w:line="240" w:lineRule="auto"/>
        <w:ind w:firstLine="709"/>
        <w:jc w:val="both"/>
        <w:rPr>
          <w:sz w:val="28"/>
          <w:szCs w:val="28"/>
        </w:rPr>
      </w:pPr>
      <w:r>
        <w:rPr>
          <w:sz w:val="28"/>
          <w:szCs w:val="28"/>
        </w:rPr>
        <w:t>пунктов 1, 3 Положения № 543;</w:t>
      </w:r>
    </w:p>
    <w:p w:rsidR="005727C2" w:rsidRDefault="005727C2" w:rsidP="005727C2">
      <w:pPr>
        <w:autoSpaceDE w:val="0"/>
        <w:autoSpaceDN w:val="0"/>
        <w:adjustRightInd w:val="0"/>
        <w:spacing w:after="0" w:line="240" w:lineRule="auto"/>
        <w:ind w:firstLine="709"/>
        <w:jc w:val="both"/>
        <w:rPr>
          <w:sz w:val="28"/>
          <w:szCs w:val="28"/>
        </w:rPr>
      </w:pPr>
      <w:r>
        <w:rPr>
          <w:sz w:val="28"/>
          <w:szCs w:val="28"/>
        </w:rPr>
        <w:t>4) в области регулируемых государством тарифов в области обращения с твердыми коммунальными отходами - на основании:</w:t>
      </w:r>
    </w:p>
    <w:p w:rsidR="005727C2" w:rsidRDefault="005727C2" w:rsidP="005727C2">
      <w:pPr>
        <w:autoSpaceDE w:val="0"/>
        <w:autoSpaceDN w:val="0"/>
        <w:adjustRightInd w:val="0"/>
        <w:spacing w:after="0" w:line="240" w:lineRule="auto"/>
        <w:ind w:firstLine="709"/>
        <w:jc w:val="both"/>
        <w:rPr>
          <w:sz w:val="28"/>
          <w:szCs w:val="28"/>
        </w:rPr>
      </w:pPr>
      <w:r>
        <w:rPr>
          <w:sz w:val="28"/>
          <w:szCs w:val="28"/>
        </w:rPr>
        <w:t>статьи 24.12 Федерального закона от 24.06.1998 № 89-ФЗ «Об отходах производства и потребления»;</w:t>
      </w:r>
    </w:p>
    <w:p w:rsidR="005727C2" w:rsidRDefault="005727C2" w:rsidP="005727C2">
      <w:pPr>
        <w:autoSpaceDE w:val="0"/>
        <w:autoSpaceDN w:val="0"/>
        <w:adjustRightInd w:val="0"/>
        <w:spacing w:after="0" w:line="240" w:lineRule="auto"/>
        <w:ind w:firstLine="709"/>
        <w:jc w:val="both"/>
        <w:rPr>
          <w:sz w:val="28"/>
          <w:szCs w:val="28"/>
        </w:rPr>
      </w:pPr>
      <w:r>
        <w:rPr>
          <w:sz w:val="28"/>
          <w:szCs w:val="28"/>
        </w:rPr>
        <w:t>пунктов 1, 3 Положения № 543;</w:t>
      </w:r>
    </w:p>
    <w:p w:rsidR="005727C2" w:rsidRDefault="005727C2" w:rsidP="005727C2">
      <w:pPr>
        <w:autoSpaceDE w:val="0"/>
        <w:autoSpaceDN w:val="0"/>
        <w:adjustRightInd w:val="0"/>
        <w:spacing w:after="0" w:line="240" w:lineRule="auto"/>
        <w:ind w:firstLine="709"/>
        <w:jc w:val="both"/>
        <w:rPr>
          <w:sz w:val="28"/>
          <w:szCs w:val="28"/>
        </w:rPr>
      </w:pPr>
      <w:r>
        <w:rPr>
          <w:sz w:val="28"/>
          <w:szCs w:val="28"/>
        </w:rPr>
        <w:t>5) за установлением и (или) применением цен (тарифов) в регулируемых департаментом сферах деятельности субъектов естественных монополий (</w:t>
      </w:r>
      <w:r>
        <w:rPr>
          <w:rFonts w:eastAsia="Calibri"/>
          <w:sz w:val="28"/>
          <w:szCs w:val="28"/>
        </w:rPr>
        <w:t xml:space="preserve">в сфере перевозок пассажиров железнодорожным транспортом </w:t>
      </w:r>
      <w:r>
        <w:rPr>
          <w:rFonts w:eastAsia="Calibri"/>
          <w:sz w:val="28"/>
          <w:szCs w:val="28"/>
        </w:rPr>
        <w:lastRenderedPageBreak/>
        <w:t xml:space="preserve">общего пользования в пригородном сообщении, а также в сфере оказания услуг в транспортных терминалах, портах и аэропортах субъектами естественных монополий, не вошедшими в перечень таких субъектов, государственное регулирование которых осуществляется ФАС России) </w:t>
      </w:r>
      <w:r>
        <w:rPr>
          <w:sz w:val="28"/>
          <w:szCs w:val="28"/>
        </w:rPr>
        <w:t xml:space="preserve">- на основании: </w:t>
      </w:r>
    </w:p>
    <w:p w:rsidR="005727C2" w:rsidRDefault="005727C2" w:rsidP="005727C2">
      <w:pPr>
        <w:pStyle w:val="ConsPlusNormal"/>
        <w:ind w:left="34" w:firstLine="709"/>
        <w:jc w:val="both"/>
        <w:rPr>
          <w:rFonts w:ascii="Times New Roman" w:hAnsi="Times New Roman" w:cs="Times New Roman"/>
          <w:sz w:val="28"/>
          <w:szCs w:val="28"/>
        </w:rPr>
      </w:pPr>
      <w:r>
        <w:rPr>
          <w:rFonts w:ascii="Times New Roman" w:hAnsi="Times New Roman" w:cs="Times New Roman"/>
          <w:sz w:val="28"/>
          <w:szCs w:val="28"/>
        </w:rPr>
        <w:t>статьи 7; пункта 3 статьи 8.1 Федерального закона от 17.08.1995 № 147-ФЗ «О естественных монополиях»;</w:t>
      </w:r>
    </w:p>
    <w:p w:rsidR="005727C2" w:rsidRDefault="005727C2" w:rsidP="005727C2">
      <w:pPr>
        <w:autoSpaceDE w:val="0"/>
        <w:autoSpaceDN w:val="0"/>
        <w:adjustRightInd w:val="0"/>
        <w:spacing w:after="0" w:line="240" w:lineRule="auto"/>
        <w:ind w:firstLine="709"/>
        <w:jc w:val="both"/>
        <w:rPr>
          <w:sz w:val="28"/>
          <w:szCs w:val="28"/>
        </w:rPr>
      </w:pPr>
      <w:r>
        <w:rPr>
          <w:sz w:val="28"/>
          <w:szCs w:val="28"/>
        </w:rPr>
        <w:t>постановления Правительства Российской Федерации от 10.12.2008 № 950 «Об участии органов исполнительной власти субъектов Российской Федерации в области государственного регулирования тарифов в осуществлении государственного регулирования деятельности субъектов естественных монополий»;</w:t>
      </w:r>
    </w:p>
    <w:p w:rsidR="005727C2" w:rsidRDefault="005727C2" w:rsidP="005727C2">
      <w:pPr>
        <w:autoSpaceDE w:val="0"/>
        <w:autoSpaceDN w:val="0"/>
        <w:adjustRightInd w:val="0"/>
        <w:spacing w:after="0" w:line="240" w:lineRule="auto"/>
        <w:ind w:firstLine="709"/>
        <w:jc w:val="both"/>
        <w:rPr>
          <w:sz w:val="28"/>
          <w:szCs w:val="28"/>
        </w:rPr>
      </w:pPr>
      <w:r>
        <w:rPr>
          <w:sz w:val="28"/>
          <w:szCs w:val="28"/>
        </w:rPr>
        <w:t>пунктов 1, 3 Положения № 543;</w:t>
      </w:r>
    </w:p>
    <w:p w:rsidR="005727C2" w:rsidRDefault="005727C2" w:rsidP="005727C2">
      <w:pPr>
        <w:autoSpaceDE w:val="0"/>
        <w:autoSpaceDN w:val="0"/>
        <w:adjustRightInd w:val="0"/>
        <w:spacing w:after="0" w:line="240" w:lineRule="auto"/>
        <w:ind w:firstLine="709"/>
        <w:jc w:val="both"/>
        <w:rPr>
          <w:sz w:val="28"/>
          <w:szCs w:val="28"/>
        </w:rPr>
      </w:pPr>
      <w:r>
        <w:rPr>
          <w:sz w:val="28"/>
          <w:szCs w:val="28"/>
        </w:rPr>
        <w:t>6) за соблюдением стандартов раскрытия информации, подлежащей свободному доступу, субъектами естественных монополий, оказывающими услуги по транспортировке газа по газораспределительным сетям, расположенным в пределах территории Новосибирской области - на основании:</w:t>
      </w:r>
    </w:p>
    <w:p w:rsidR="005727C2" w:rsidRDefault="005727C2" w:rsidP="005727C2">
      <w:pPr>
        <w:autoSpaceDE w:val="0"/>
        <w:autoSpaceDN w:val="0"/>
        <w:adjustRightInd w:val="0"/>
        <w:spacing w:after="0" w:line="240" w:lineRule="auto"/>
        <w:ind w:firstLine="709"/>
        <w:jc w:val="both"/>
        <w:rPr>
          <w:sz w:val="28"/>
          <w:szCs w:val="28"/>
        </w:rPr>
      </w:pPr>
      <w:r>
        <w:rPr>
          <w:sz w:val="28"/>
          <w:szCs w:val="28"/>
        </w:rPr>
        <w:t xml:space="preserve">статьи 7; пункта 3 статьи 8.1 Федерального закона от 17.08.1995 № 147-ФЗ «О естественных монополиях»; </w:t>
      </w:r>
    </w:p>
    <w:p w:rsidR="005727C2" w:rsidRDefault="005727C2" w:rsidP="005727C2">
      <w:pPr>
        <w:autoSpaceDE w:val="0"/>
        <w:autoSpaceDN w:val="0"/>
        <w:adjustRightInd w:val="0"/>
        <w:spacing w:after="0" w:line="240" w:lineRule="auto"/>
        <w:ind w:firstLine="709"/>
        <w:jc w:val="both"/>
        <w:rPr>
          <w:sz w:val="28"/>
          <w:szCs w:val="28"/>
        </w:rPr>
      </w:pPr>
      <w:r>
        <w:rPr>
          <w:sz w:val="28"/>
          <w:szCs w:val="28"/>
        </w:rPr>
        <w:t xml:space="preserve">пункта 3 Правил осуществления контроля за соблюдением субъектами естественных монополий стандартов раскрытия информации, утвержденных </w:t>
      </w:r>
      <w:hyperlink r:id="rId106" w:history="1">
        <w:r w:rsidRPr="00533808">
          <w:rPr>
            <w:rStyle w:val="af0"/>
            <w:color w:val="auto"/>
            <w:sz w:val="28"/>
            <w:szCs w:val="28"/>
            <w:u w:val="none"/>
          </w:rPr>
          <w:t>постановлением</w:t>
        </w:r>
      </w:hyperlink>
      <w:r>
        <w:rPr>
          <w:sz w:val="28"/>
          <w:szCs w:val="28"/>
        </w:rPr>
        <w:t xml:space="preserve"> Правительства Российской Федерации от 28.09.2010 № 764;</w:t>
      </w:r>
    </w:p>
    <w:p w:rsidR="005727C2" w:rsidRDefault="005727C2" w:rsidP="005727C2">
      <w:pPr>
        <w:autoSpaceDE w:val="0"/>
        <w:autoSpaceDN w:val="0"/>
        <w:adjustRightInd w:val="0"/>
        <w:spacing w:after="0" w:line="240" w:lineRule="auto"/>
        <w:ind w:firstLine="709"/>
        <w:jc w:val="both"/>
        <w:outlineLvl w:val="0"/>
        <w:rPr>
          <w:sz w:val="28"/>
          <w:szCs w:val="28"/>
        </w:rPr>
      </w:pPr>
      <w:r>
        <w:rPr>
          <w:sz w:val="28"/>
          <w:szCs w:val="28"/>
        </w:rPr>
        <w:t>7) в области государственного регулирования департаментом:</w:t>
      </w:r>
    </w:p>
    <w:p w:rsidR="005727C2" w:rsidRDefault="005727C2" w:rsidP="005727C2">
      <w:pPr>
        <w:autoSpaceDE w:val="0"/>
        <w:autoSpaceDN w:val="0"/>
        <w:adjustRightInd w:val="0"/>
        <w:spacing w:after="0" w:line="240" w:lineRule="auto"/>
        <w:ind w:firstLine="709"/>
        <w:jc w:val="both"/>
        <w:rPr>
          <w:sz w:val="28"/>
          <w:szCs w:val="28"/>
        </w:rPr>
      </w:pPr>
      <w:r>
        <w:rPr>
          <w:sz w:val="28"/>
          <w:szCs w:val="28"/>
        </w:rPr>
        <w:t>- розничных цен на газ, реализуемый населению для удовлетворения личных, семейных, домашних и иных нужд (кроме газа для заправки автотранспортных средств), не связанных с осуществлением предпринимательской (профессиональной) деятельности, за исключением розничных цен на сжиженный газ;</w:t>
      </w:r>
    </w:p>
    <w:p w:rsidR="005727C2" w:rsidRDefault="005727C2" w:rsidP="005727C2">
      <w:pPr>
        <w:autoSpaceDE w:val="0"/>
        <w:autoSpaceDN w:val="0"/>
        <w:adjustRightInd w:val="0"/>
        <w:spacing w:after="0" w:line="240" w:lineRule="auto"/>
        <w:ind w:firstLine="709"/>
        <w:jc w:val="both"/>
        <w:rPr>
          <w:sz w:val="28"/>
          <w:szCs w:val="28"/>
        </w:rPr>
      </w:pPr>
      <w:r>
        <w:rPr>
          <w:sz w:val="28"/>
          <w:szCs w:val="28"/>
        </w:rPr>
        <w:t>- розничных цен на сжиженный газ, реализуемый населению для бытовых нужд, кроме газа для заправки автотранспортных средств, не связанных с осуществлением предпринимательской (профессиональной) деятельности;</w:t>
      </w:r>
    </w:p>
    <w:p w:rsidR="005727C2" w:rsidRDefault="005727C2" w:rsidP="005727C2">
      <w:pPr>
        <w:autoSpaceDE w:val="0"/>
        <w:autoSpaceDN w:val="0"/>
        <w:adjustRightInd w:val="0"/>
        <w:spacing w:after="0" w:line="240" w:lineRule="auto"/>
        <w:ind w:firstLine="709"/>
        <w:jc w:val="both"/>
        <w:rPr>
          <w:sz w:val="28"/>
          <w:szCs w:val="28"/>
        </w:rPr>
      </w:pPr>
      <w:r>
        <w:rPr>
          <w:sz w:val="28"/>
          <w:szCs w:val="28"/>
        </w:rPr>
        <w:t>- платы за технологическое присоединение газоиспользующего оборудования к газораспределительным сетям и (или) стандартизированных тарифных ставок, определяющих ее величину;</w:t>
      </w:r>
    </w:p>
    <w:p w:rsidR="005727C2" w:rsidRDefault="005727C2" w:rsidP="005727C2">
      <w:pPr>
        <w:autoSpaceDE w:val="0"/>
        <w:autoSpaceDN w:val="0"/>
        <w:adjustRightInd w:val="0"/>
        <w:spacing w:after="0" w:line="240" w:lineRule="auto"/>
        <w:ind w:firstLine="709"/>
        <w:jc w:val="both"/>
        <w:rPr>
          <w:sz w:val="28"/>
          <w:szCs w:val="28"/>
        </w:rPr>
      </w:pPr>
      <w:r>
        <w:rPr>
          <w:sz w:val="28"/>
          <w:szCs w:val="28"/>
        </w:rPr>
        <w:t>- тарифов на социальные услуги на основании подушевых нормативов финансирования социальных услуг;</w:t>
      </w:r>
    </w:p>
    <w:p w:rsidR="005727C2" w:rsidRDefault="005727C2" w:rsidP="005727C2">
      <w:pPr>
        <w:autoSpaceDE w:val="0"/>
        <w:autoSpaceDN w:val="0"/>
        <w:adjustRightInd w:val="0"/>
        <w:spacing w:after="0" w:line="240" w:lineRule="auto"/>
        <w:ind w:firstLine="709"/>
        <w:jc w:val="both"/>
        <w:rPr>
          <w:sz w:val="28"/>
          <w:szCs w:val="28"/>
        </w:rPr>
      </w:pPr>
      <w:r>
        <w:rPr>
          <w:sz w:val="28"/>
          <w:szCs w:val="28"/>
        </w:rPr>
        <w:t>- предельных размеров оптовых надбавок к фактическим отпускным ценам на медицинские изделия, включенные в утвержденный Правительством Российской Федерации перечень медицинских изделий, имплантируемых в организм человека, при оказании медицинской помощи в рамках программы государственных гарантий бесплатного оказания гражданам медицинской помощи;</w:t>
      </w:r>
    </w:p>
    <w:p w:rsidR="005727C2" w:rsidRDefault="005727C2" w:rsidP="005727C2">
      <w:pPr>
        <w:spacing w:after="0" w:line="240" w:lineRule="auto"/>
        <w:ind w:firstLine="709"/>
        <w:jc w:val="both"/>
        <w:rPr>
          <w:sz w:val="28"/>
          <w:szCs w:val="28"/>
        </w:rPr>
      </w:pPr>
      <w:r>
        <w:rPr>
          <w:sz w:val="28"/>
          <w:szCs w:val="28"/>
        </w:rPr>
        <w:lastRenderedPageBreak/>
        <w:t>- тарифов на транспортные услуги, оказываемые на подъездных железнодорожных путях организациями промышленного железнодорожного транспорта и другими хозяйствующими субъектами независимо от организационно-правовой формы, за исключением организаций федерального железнодорожного транспорта;</w:t>
      </w:r>
    </w:p>
    <w:p w:rsidR="005727C2" w:rsidRDefault="005727C2" w:rsidP="005727C2">
      <w:pPr>
        <w:spacing w:after="0" w:line="240" w:lineRule="auto"/>
        <w:ind w:firstLine="709"/>
        <w:jc w:val="both"/>
        <w:rPr>
          <w:sz w:val="28"/>
          <w:szCs w:val="28"/>
        </w:rPr>
      </w:pPr>
      <w:r>
        <w:rPr>
          <w:sz w:val="28"/>
          <w:szCs w:val="28"/>
        </w:rPr>
        <w:t>- регулируемых тарифов на перевозки по муниципальным и межмуниципальным маршрутам регулярных перевозок пассажиров и багажа автомобильным транспортом и городским наземным электрическим транспортом;</w:t>
      </w:r>
    </w:p>
    <w:p w:rsidR="005727C2" w:rsidRDefault="005727C2" w:rsidP="005727C2">
      <w:pPr>
        <w:spacing w:after="0" w:line="240" w:lineRule="auto"/>
        <w:ind w:firstLine="709"/>
        <w:jc w:val="both"/>
        <w:rPr>
          <w:sz w:val="28"/>
          <w:szCs w:val="28"/>
        </w:rPr>
      </w:pPr>
      <w:r>
        <w:rPr>
          <w:sz w:val="28"/>
          <w:szCs w:val="28"/>
        </w:rPr>
        <w:t>- цен на топливо твердое, реализуемое гражданам, управляющим организациям, товариществам собственников жилья, жилищным, жилищно-строительным или иным специализированным потребительским кооперативам, созданным в целях удовлетворения потребностей граждан в жилье;</w:t>
      </w:r>
    </w:p>
    <w:p w:rsidR="005727C2" w:rsidRDefault="005727C2" w:rsidP="005727C2">
      <w:pPr>
        <w:spacing w:after="0" w:line="240" w:lineRule="auto"/>
        <w:ind w:left="263" w:firstLine="445"/>
        <w:jc w:val="both"/>
        <w:rPr>
          <w:sz w:val="28"/>
          <w:szCs w:val="28"/>
        </w:rPr>
      </w:pPr>
      <w:r>
        <w:rPr>
          <w:sz w:val="28"/>
          <w:szCs w:val="28"/>
        </w:rPr>
        <w:t>- тарифов на перемещение и хранение задержанных транспортных средств;</w:t>
      </w:r>
    </w:p>
    <w:p w:rsidR="005727C2" w:rsidRDefault="005727C2" w:rsidP="005727C2">
      <w:pPr>
        <w:spacing w:after="0" w:line="240" w:lineRule="auto"/>
        <w:ind w:firstLine="709"/>
        <w:jc w:val="both"/>
        <w:rPr>
          <w:sz w:val="28"/>
          <w:szCs w:val="28"/>
        </w:rPr>
      </w:pPr>
      <w:r>
        <w:rPr>
          <w:sz w:val="28"/>
          <w:szCs w:val="28"/>
        </w:rPr>
        <w:t>- ставок на работы по технической инвентаризации жилищного фонда.</w:t>
      </w:r>
    </w:p>
    <w:p w:rsidR="005727C2" w:rsidRDefault="005727C2" w:rsidP="005727C2">
      <w:pPr>
        <w:spacing w:after="0" w:line="240" w:lineRule="auto"/>
        <w:ind w:firstLine="709"/>
        <w:jc w:val="both"/>
        <w:rPr>
          <w:sz w:val="28"/>
          <w:szCs w:val="28"/>
        </w:rPr>
      </w:pPr>
      <w:r>
        <w:rPr>
          <w:sz w:val="28"/>
          <w:szCs w:val="28"/>
        </w:rPr>
        <w:t>Вышеуказанный контроль осуществляется на основании:</w:t>
      </w:r>
    </w:p>
    <w:p w:rsidR="005727C2" w:rsidRDefault="005727C2" w:rsidP="005727C2">
      <w:pPr>
        <w:autoSpaceDE w:val="0"/>
        <w:autoSpaceDN w:val="0"/>
        <w:adjustRightInd w:val="0"/>
        <w:spacing w:after="0" w:line="240" w:lineRule="auto"/>
        <w:ind w:firstLine="709"/>
        <w:jc w:val="both"/>
        <w:rPr>
          <w:sz w:val="28"/>
          <w:szCs w:val="28"/>
        </w:rPr>
      </w:pPr>
      <w:r>
        <w:rPr>
          <w:sz w:val="28"/>
          <w:szCs w:val="28"/>
        </w:rPr>
        <w:t>- постановления Правительства Российской Федерации от 07.03.1995 № 239 «О мерах по упорядочению государственного регулирования цен (тарифов)»;</w:t>
      </w:r>
    </w:p>
    <w:p w:rsidR="005727C2" w:rsidRDefault="005727C2" w:rsidP="005727C2">
      <w:pPr>
        <w:pStyle w:val="ConsPlusNormal"/>
        <w:ind w:left="34" w:firstLine="709"/>
        <w:jc w:val="both"/>
        <w:rPr>
          <w:rFonts w:ascii="Times New Roman" w:hAnsi="Times New Roman" w:cs="Times New Roman"/>
          <w:sz w:val="28"/>
          <w:szCs w:val="28"/>
        </w:rPr>
      </w:pPr>
      <w:r>
        <w:rPr>
          <w:rFonts w:ascii="Times New Roman" w:hAnsi="Times New Roman" w:cs="Times New Roman"/>
          <w:sz w:val="28"/>
          <w:szCs w:val="28"/>
        </w:rPr>
        <w:t>- раздела VI.2 Основных положений формирования и государственного регулирования цен на газ, тарифов на услуги по его транспортировке и платы за технологическое присоединение газоиспользующего оборудования к газораспределительным сетям на территории Российской Федерации, утвержденных постановлением Правительства РФ от 29.12.2000 № 1021;</w:t>
      </w:r>
    </w:p>
    <w:p w:rsidR="005727C2" w:rsidRDefault="005727C2" w:rsidP="005727C2">
      <w:pPr>
        <w:pStyle w:val="ConsPlusNormal"/>
        <w:ind w:left="34" w:firstLine="709"/>
        <w:jc w:val="both"/>
        <w:rPr>
          <w:rFonts w:ascii="Times New Roman" w:hAnsi="Times New Roman" w:cs="Times New Roman"/>
          <w:sz w:val="28"/>
          <w:szCs w:val="28"/>
        </w:rPr>
      </w:pPr>
      <w:r>
        <w:rPr>
          <w:rFonts w:ascii="Times New Roman" w:hAnsi="Times New Roman" w:cs="Times New Roman"/>
          <w:sz w:val="28"/>
          <w:szCs w:val="28"/>
        </w:rPr>
        <w:t>- статьи 8 Федерального закона от 28.12.2013 № 442-ФЗ «Об основах социального обслуживания граждан в Российской Федерации»;</w:t>
      </w:r>
    </w:p>
    <w:p w:rsidR="005727C2" w:rsidRDefault="005727C2" w:rsidP="005727C2">
      <w:pPr>
        <w:spacing w:after="0" w:line="240" w:lineRule="auto"/>
        <w:ind w:firstLine="709"/>
        <w:jc w:val="both"/>
        <w:rPr>
          <w:sz w:val="28"/>
          <w:szCs w:val="28"/>
        </w:rPr>
      </w:pPr>
      <w:r>
        <w:rPr>
          <w:sz w:val="28"/>
          <w:szCs w:val="28"/>
        </w:rPr>
        <w:t>- частей 10, 11 статьи 27.13 Кодекса Российской Федерации об административных правонарушениях;</w:t>
      </w:r>
    </w:p>
    <w:p w:rsidR="005727C2" w:rsidRDefault="005727C2" w:rsidP="005727C2">
      <w:pPr>
        <w:autoSpaceDE w:val="0"/>
        <w:autoSpaceDN w:val="0"/>
        <w:adjustRightInd w:val="0"/>
        <w:spacing w:after="0" w:line="240" w:lineRule="auto"/>
        <w:ind w:firstLine="709"/>
        <w:jc w:val="both"/>
        <w:rPr>
          <w:sz w:val="28"/>
          <w:szCs w:val="28"/>
        </w:rPr>
      </w:pPr>
      <w:r>
        <w:rPr>
          <w:sz w:val="28"/>
          <w:szCs w:val="28"/>
        </w:rPr>
        <w:t>- пункта 8 Положения о государственном учете жилищного фонда в Российской Федерации, утвержденного постановлением Правительства Российской Федерации от 13.10.1997 № 1301;</w:t>
      </w:r>
    </w:p>
    <w:p w:rsidR="005727C2" w:rsidRDefault="005727C2" w:rsidP="005727C2">
      <w:pPr>
        <w:spacing w:after="0" w:line="240" w:lineRule="auto"/>
        <w:ind w:firstLine="709"/>
        <w:jc w:val="both"/>
        <w:rPr>
          <w:sz w:val="28"/>
          <w:szCs w:val="28"/>
        </w:rPr>
      </w:pPr>
      <w:r>
        <w:rPr>
          <w:sz w:val="28"/>
          <w:szCs w:val="28"/>
        </w:rPr>
        <w:t>8) в области регулирования:</w:t>
      </w:r>
    </w:p>
    <w:p w:rsidR="005727C2" w:rsidRDefault="005727C2" w:rsidP="005727C2">
      <w:pPr>
        <w:spacing w:after="0" w:line="240" w:lineRule="auto"/>
        <w:ind w:firstLine="708"/>
        <w:jc w:val="both"/>
        <w:rPr>
          <w:sz w:val="28"/>
          <w:szCs w:val="28"/>
        </w:rPr>
      </w:pPr>
      <w:r>
        <w:rPr>
          <w:sz w:val="28"/>
          <w:szCs w:val="28"/>
        </w:rPr>
        <w:t>- тарифов на перевозки пассажиров и провоз ручной клади сверх установленных норм внеуличным транспортом по межмуниципальным маршрутам и муниципальным маршрутам;</w:t>
      </w:r>
    </w:p>
    <w:p w:rsidR="005727C2" w:rsidRDefault="005727C2" w:rsidP="005727C2">
      <w:pPr>
        <w:spacing w:after="0" w:line="240" w:lineRule="auto"/>
        <w:ind w:firstLine="709"/>
        <w:jc w:val="both"/>
        <w:rPr>
          <w:sz w:val="28"/>
          <w:szCs w:val="28"/>
        </w:rPr>
      </w:pPr>
      <w:r>
        <w:rPr>
          <w:sz w:val="28"/>
          <w:szCs w:val="28"/>
        </w:rPr>
        <w:t>- размера платы за пользование на платной основе парковками (парковочными местами), расположенными на автомобильных дорогах общего пользования регионального или межмуниципального значения;</w:t>
      </w:r>
    </w:p>
    <w:p w:rsidR="005727C2" w:rsidRDefault="005727C2" w:rsidP="005727C2">
      <w:pPr>
        <w:spacing w:after="0" w:line="240" w:lineRule="auto"/>
        <w:ind w:firstLine="709"/>
        <w:jc w:val="both"/>
        <w:rPr>
          <w:sz w:val="28"/>
          <w:szCs w:val="28"/>
        </w:rPr>
      </w:pPr>
      <w:r>
        <w:rPr>
          <w:sz w:val="28"/>
          <w:szCs w:val="28"/>
        </w:rPr>
        <w:t xml:space="preserve">- максимального размера платы за проезд транспортных средств по платным автомобильным дорогам общего пользования регионального или межмуниципального значения, платным участкам таких автомобильных дорог (в том числе если платным участком автомобильной дороги является отдельное искусственное дорожное сооружение), за исключением созданных </w:t>
      </w:r>
      <w:r>
        <w:rPr>
          <w:sz w:val="28"/>
          <w:szCs w:val="28"/>
        </w:rPr>
        <w:lastRenderedPageBreak/>
        <w:t>и (или) реконструированных на основании концессионных соглашений платных автомобильных дорог общего пользования регионального или межмуниципального значения, платных участков таких автомобильных дорог (в том числе если платным участком автомобильной дороги является отдельное искусственное дорожное сооружение);</w:t>
      </w:r>
    </w:p>
    <w:p w:rsidR="005727C2" w:rsidRDefault="005727C2" w:rsidP="005727C2">
      <w:pPr>
        <w:autoSpaceDE w:val="0"/>
        <w:autoSpaceDN w:val="0"/>
        <w:adjustRightInd w:val="0"/>
        <w:spacing w:after="0" w:line="240" w:lineRule="auto"/>
        <w:ind w:firstLine="709"/>
        <w:jc w:val="both"/>
        <w:rPr>
          <w:sz w:val="28"/>
          <w:szCs w:val="28"/>
        </w:rPr>
      </w:pPr>
      <w:r>
        <w:rPr>
          <w:sz w:val="28"/>
          <w:szCs w:val="28"/>
        </w:rPr>
        <w:t>- предельного значения максимального размера платы за проезд транспортных средств по платным автомобильным дорогам общего пользования регионального или межмуниципального значения, платным участкам таких автомобильных дорог (в том числе если платным участком автомобильной дороги является отдельное искусственное дорожное сооружение), созданным и (или) реконструированным на основании концессионных соглашений.</w:t>
      </w:r>
    </w:p>
    <w:p w:rsidR="005727C2" w:rsidRDefault="005727C2" w:rsidP="005727C2">
      <w:pPr>
        <w:spacing w:after="0" w:line="240" w:lineRule="auto"/>
        <w:ind w:firstLine="709"/>
        <w:jc w:val="both"/>
        <w:rPr>
          <w:sz w:val="28"/>
          <w:szCs w:val="28"/>
        </w:rPr>
      </w:pPr>
      <w:r>
        <w:rPr>
          <w:sz w:val="28"/>
          <w:szCs w:val="28"/>
        </w:rPr>
        <w:t>Вышеуказанный контроль осуществляется на основании:</w:t>
      </w:r>
    </w:p>
    <w:p w:rsidR="005727C2" w:rsidRDefault="005727C2" w:rsidP="005727C2">
      <w:pPr>
        <w:autoSpaceDE w:val="0"/>
        <w:autoSpaceDN w:val="0"/>
        <w:adjustRightInd w:val="0"/>
        <w:spacing w:after="0" w:line="240" w:lineRule="auto"/>
        <w:ind w:firstLine="709"/>
        <w:jc w:val="both"/>
        <w:rPr>
          <w:rFonts w:eastAsia="Calibri"/>
          <w:sz w:val="28"/>
          <w:szCs w:val="28"/>
        </w:rPr>
      </w:pPr>
      <w:r>
        <w:rPr>
          <w:rFonts w:eastAsia="Calibri"/>
          <w:sz w:val="28"/>
          <w:szCs w:val="28"/>
        </w:rPr>
        <w:t>-статьи 7 Федерального закона от 29.12.2017 № 442-ФЗ «О внеуличном транспорте и о внесении изменений в отдельные законодательные акты Российской Федерации»;</w:t>
      </w:r>
    </w:p>
    <w:p w:rsidR="005727C2" w:rsidRDefault="005727C2" w:rsidP="005727C2">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-статьи 12 Федерального закона от 08.11.2007 № 257-ФЗ «Об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w:t>
      </w:r>
    </w:p>
    <w:p w:rsidR="005727C2" w:rsidRDefault="005727C2" w:rsidP="005727C2">
      <w:pPr>
        <w:autoSpaceDE w:val="0"/>
        <w:autoSpaceDN w:val="0"/>
        <w:adjustRightInd w:val="0"/>
        <w:spacing w:after="0" w:line="240" w:lineRule="auto"/>
        <w:ind w:firstLine="709"/>
        <w:jc w:val="both"/>
        <w:rPr>
          <w:rFonts w:eastAsia="Calibri"/>
          <w:sz w:val="28"/>
          <w:szCs w:val="28"/>
        </w:rPr>
      </w:pPr>
      <w:r>
        <w:rPr>
          <w:sz w:val="28"/>
          <w:szCs w:val="28"/>
        </w:rPr>
        <w:t>9) </w:t>
      </w:r>
      <w:r>
        <w:rPr>
          <w:rFonts w:eastAsia="Calibri"/>
          <w:sz w:val="28"/>
          <w:szCs w:val="28"/>
        </w:rPr>
        <w:t>за соблюдением:</w:t>
      </w:r>
    </w:p>
    <w:p w:rsidR="005727C2" w:rsidRDefault="005727C2" w:rsidP="005727C2">
      <w:pPr>
        <w:autoSpaceDE w:val="0"/>
        <w:autoSpaceDN w:val="0"/>
        <w:adjustRightInd w:val="0"/>
        <w:spacing w:after="0" w:line="240" w:lineRule="auto"/>
        <w:ind w:firstLine="709"/>
        <w:jc w:val="both"/>
        <w:rPr>
          <w:bCs/>
          <w:kern w:val="36"/>
          <w:sz w:val="28"/>
          <w:szCs w:val="28"/>
        </w:rPr>
      </w:pPr>
      <w:r>
        <w:rPr>
          <w:bCs/>
          <w:kern w:val="36"/>
          <w:sz w:val="28"/>
          <w:szCs w:val="28"/>
        </w:rPr>
        <w:t>- предельного размера платы за проведение технического осмотра транспортных средств,</w:t>
      </w:r>
      <w:r>
        <w:rPr>
          <w:rFonts w:eastAsia="Calibri"/>
          <w:sz w:val="28"/>
          <w:szCs w:val="28"/>
        </w:rPr>
        <w:t xml:space="preserve"> установленного Правительством Новосибирской области в соответствии с Федеральным законом </w:t>
      </w:r>
      <w:r>
        <w:rPr>
          <w:bCs/>
          <w:kern w:val="36"/>
          <w:sz w:val="28"/>
          <w:szCs w:val="28"/>
        </w:rPr>
        <w:t>от 01.07.2011 № 170-ФЗ «О техническом осмотре транспортных средств и о внесении изменений в отдельные законодательные акты Российской Федерации»;</w:t>
      </w:r>
    </w:p>
    <w:p w:rsidR="005727C2" w:rsidRDefault="005727C2" w:rsidP="005727C2">
      <w:pPr>
        <w:autoSpaceDE w:val="0"/>
        <w:autoSpaceDN w:val="0"/>
        <w:adjustRightInd w:val="0"/>
        <w:spacing w:after="0" w:line="240" w:lineRule="auto"/>
        <w:ind w:firstLine="709"/>
        <w:jc w:val="both"/>
        <w:rPr>
          <w:bCs/>
          <w:kern w:val="36"/>
          <w:sz w:val="28"/>
          <w:szCs w:val="28"/>
        </w:rPr>
      </w:pPr>
      <w:r>
        <w:rPr>
          <w:rFonts w:eastAsia="Calibri"/>
          <w:sz w:val="28"/>
          <w:szCs w:val="28"/>
        </w:rPr>
        <w:t xml:space="preserve">- установленного Федеральным законом </w:t>
      </w:r>
      <w:r>
        <w:rPr>
          <w:bCs/>
          <w:kern w:val="36"/>
          <w:sz w:val="28"/>
          <w:szCs w:val="28"/>
        </w:rPr>
        <w:t>от 01.07.2011 № 170-ФЗ «О техническом осмотре транспортных средств и о внесении изменений в отдельные законодательные акты Российской Федерации» размера платы за выдачу дубликата диагностической карты.</w:t>
      </w:r>
    </w:p>
    <w:p w:rsidR="005727C2" w:rsidRDefault="005727C2" w:rsidP="005727C2">
      <w:pPr>
        <w:spacing w:after="0" w:line="240" w:lineRule="auto"/>
        <w:ind w:firstLine="709"/>
        <w:jc w:val="both"/>
        <w:rPr>
          <w:sz w:val="28"/>
          <w:szCs w:val="28"/>
        </w:rPr>
      </w:pPr>
      <w:r>
        <w:rPr>
          <w:sz w:val="28"/>
          <w:szCs w:val="28"/>
        </w:rPr>
        <w:t>Вышеуказанный контроль осуществляется на основании пунктов 3, 4 статьи 9 Федерального закона от 01.07.2011 № 170-ФЗ «О техническом осмотре транспортных средств и о внесении изменений в отдельные законодательные акты Российской Федерации»;</w:t>
      </w:r>
    </w:p>
    <w:p w:rsidR="005727C2" w:rsidRDefault="005727C2" w:rsidP="005727C2">
      <w:pPr>
        <w:autoSpaceDE w:val="0"/>
        <w:autoSpaceDN w:val="0"/>
        <w:adjustRightInd w:val="0"/>
        <w:spacing w:after="0" w:line="240" w:lineRule="auto"/>
        <w:ind w:firstLine="709"/>
        <w:jc w:val="both"/>
        <w:rPr>
          <w:sz w:val="28"/>
          <w:szCs w:val="28"/>
        </w:rPr>
      </w:pPr>
      <w:r>
        <w:rPr>
          <w:sz w:val="28"/>
          <w:szCs w:val="28"/>
        </w:rPr>
        <w:t>10) за целевым использованием финансовых средств, полученных газораспределительными организациями на территории Новосибирской области в результате введения специальных надбавок к тарифам на транспортировку газа, предназначенных для финансирования программ газификации - на основании статьи 17 Федерального закона от 31.03.1999 № 69-ФЗ «О газоснабжении в Российской Федерации»;</w:t>
      </w:r>
    </w:p>
    <w:p w:rsidR="005727C2" w:rsidRDefault="005727C2" w:rsidP="005727C2">
      <w:pPr>
        <w:autoSpaceDE w:val="0"/>
        <w:autoSpaceDN w:val="0"/>
        <w:adjustRightInd w:val="0"/>
        <w:spacing w:after="0" w:line="240" w:lineRule="auto"/>
        <w:ind w:firstLine="709"/>
        <w:jc w:val="both"/>
        <w:rPr>
          <w:sz w:val="28"/>
          <w:szCs w:val="28"/>
        </w:rPr>
      </w:pPr>
      <w:r>
        <w:rPr>
          <w:sz w:val="28"/>
          <w:szCs w:val="28"/>
        </w:rPr>
        <w:t>11) за применением на территории Новосибирской области цен на лекарственные препараты, включенные в перечень жизненно необходимых и важнейших лекарственных препаратов (ЖНВЛП) - на основании:</w:t>
      </w:r>
    </w:p>
    <w:p w:rsidR="005727C2" w:rsidRDefault="005727C2" w:rsidP="005727C2">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 статьи 6 Федерального закона от 12.04.2010 № 61-ФЗ «Об обращении лекарственных средств»;</w:t>
      </w:r>
    </w:p>
    <w:p w:rsidR="005727C2" w:rsidRDefault="005727C2" w:rsidP="005727C2">
      <w:pPr>
        <w:autoSpaceDE w:val="0"/>
        <w:autoSpaceDN w:val="0"/>
        <w:adjustRightInd w:val="0"/>
        <w:spacing w:after="0" w:line="240" w:lineRule="auto"/>
        <w:ind w:firstLine="709"/>
        <w:jc w:val="both"/>
        <w:rPr>
          <w:sz w:val="28"/>
          <w:szCs w:val="28"/>
        </w:rPr>
      </w:pPr>
      <w:r>
        <w:rPr>
          <w:sz w:val="28"/>
          <w:szCs w:val="28"/>
        </w:rPr>
        <w:lastRenderedPageBreak/>
        <w:t>- постановления Правительства Российской Федерации от 06.05.2015 № 434 «О региональном государственном контроле за применением цен на лекарственные препараты, включенные в перечень жизненно необходимых и важнейших лекарственных препаратов».</w:t>
      </w:r>
    </w:p>
    <w:p w:rsidR="005727C2" w:rsidRPr="00B17B10" w:rsidRDefault="00B17B10" w:rsidP="005727C2">
      <w:pPr>
        <w:spacing w:after="0" w:line="240" w:lineRule="auto"/>
        <w:ind w:firstLine="709"/>
        <w:jc w:val="both"/>
        <w:rPr>
          <w:b/>
          <w:sz w:val="28"/>
          <w:szCs w:val="28"/>
        </w:rPr>
      </w:pPr>
      <w:r w:rsidRPr="00B17B10">
        <w:rPr>
          <w:rFonts w:eastAsia="Calibri"/>
          <w:b/>
          <w:sz w:val="28"/>
          <w:szCs w:val="28"/>
        </w:rPr>
        <w:t>4.2.</w:t>
      </w:r>
      <w:r w:rsidR="005727C2" w:rsidRPr="00B17B10">
        <w:rPr>
          <w:rFonts w:eastAsia="Calibri"/>
          <w:b/>
          <w:sz w:val="28"/>
          <w:szCs w:val="28"/>
        </w:rPr>
        <w:t>2. </w:t>
      </w:r>
      <w:r w:rsidR="005727C2" w:rsidRPr="00B17B10">
        <w:rPr>
          <w:rFonts w:eastAsia="Calibri"/>
          <w:b/>
          <w:i/>
          <w:sz w:val="28"/>
          <w:szCs w:val="28"/>
        </w:rPr>
        <w:t>Р</w:t>
      </w:r>
      <w:r w:rsidR="005727C2" w:rsidRPr="00B17B10">
        <w:rPr>
          <w:b/>
          <w:i/>
          <w:sz w:val="28"/>
          <w:szCs w:val="28"/>
        </w:rPr>
        <w:t>егиональный государственный контроль (надзор) за соблюдением организациями, осуществляющими регулируемые виды деятельности, в случае если цены (тарифы) на товары и услуги таких организаций подлежат установлению департаментом, требований о принятии программ в области энергосбережения и повышения энергетической эффективности и требований к этим программам, устанавливаемых департаментом применительно к регулируемым видам деятельности указанных организаций</w:t>
      </w:r>
      <w:r w:rsidR="005727C2" w:rsidRPr="00B17B10">
        <w:rPr>
          <w:b/>
          <w:sz w:val="28"/>
          <w:szCs w:val="28"/>
        </w:rPr>
        <w:t>, - осуществляется на основании:</w:t>
      </w:r>
    </w:p>
    <w:p w:rsidR="005727C2" w:rsidRDefault="005727C2" w:rsidP="005727C2">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 статей 25, 28 Федерального закона от 23.11.2009 № 261-ФЗ «Об энергосбережении и о повышении энергетической эффективности и о внесении изменений в отдельные законодательные акты Российской Федерации»;</w:t>
      </w:r>
    </w:p>
    <w:p w:rsidR="005727C2" w:rsidRDefault="005727C2" w:rsidP="005727C2">
      <w:pPr>
        <w:autoSpaceDE w:val="0"/>
        <w:autoSpaceDN w:val="0"/>
        <w:adjustRightInd w:val="0"/>
        <w:spacing w:after="0" w:line="240" w:lineRule="auto"/>
        <w:ind w:firstLine="709"/>
        <w:jc w:val="both"/>
        <w:rPr>
          <w:sz w:val="28"/>
          <w:szCs w:val="28"/>
        </w:rPr>
      </w:pPr>
      <w:r>
        <w:rPr>
          <w:sz w:val="28"/>
          <w:szCs w:val="28"/>
        </w:rPr>
        <w:t>- Правил установления требований к программам в области энергосбережения и повышения энергетической эффективности организаций, осуществляющих регулируемые виды деятельности, утвержденных постановлением Правительства Российской Федерации от 15.05.2010 № 340;</w:t>
      </w:r>
    </w:p>
    <w:p w:rsidR="005727C2" w:rsidRDefault="005727C2" w:rsidP="005727C2">
      <w:pPr>
        <w:spacing w:after="0" w:line="240" w:lineRule="auto"/>
        <w:ind w:firstLine="709"/>
        <w:jc w:val="both"/>
        <w:rPr>
          <w:rFonts w:eastAsia="Calibri"/>
          <w:sz w:val="28"/>
          <w:szCs w:val="28"/>
        </w:rPr>
      </w:pPr>
      <w:r>
        <w:rPr>
          <w:rFonts w:eastAsia="Calibri"/>
          <w:sz w:val="28"/>
          <w:szCs w:val="28"/>
        </w:rPr>
        <w:t>подпункта «к» пункта 4 Типового положения об органе регулирования субъекта РФ.</w:t>
      </w:r>
    </w:p>
    <w:p w:rsidR="005727C2" w:rsidRDefault="005727C2" w:rsidP="005727C2">
      <w:pPr>
        <w:autoSpaceDE w:val="0"/>
        <w:autoSpaceDN w:val="0"/>
        <w:adjustRightInd w:val="0"/>
        <w:spacing w:after="0" w:line="240" w:lineRule="auto"/>
        <w:ind w:firstLine="709"/>
        <w:jc w:val="both"/>
        <w:rPr>
          <w:sz w:val="28"/>
          <w:szCs w:val="28"/>
        </w:rPr>
      </w:pPr>
      <w:r>
        <w:rPr>
          <w:sz w:val="28"/>
          <w:szCs w:val="28"/>
        </w:rPr>
        <w:t>При осуществлении в пределах возложенных полномочий регионального государственного контроля (надзора) департамент взаимодействует с органами прокуратуры Новосибирской области.</w:t>
      </w:r>
    </w:p>
    <w:p w:rsidR="005727C2" w:rsidRDefault="005727C2" w:rsidP="005727C2">
      <w:pPr>
        <w:autoSpaceDE w:val="0"/>
        <w:autoSpaceDN w:val="0"/>
        <w:adjustRightInd w:val="0"/>
        <w:spacing w:after="0" w:line="240" w:lineRule="auto"/>
        <w:ind w:firstLine="709"/>
        <w:jc w:val="both"/>
        <w:rPr>
          <w:sz w:val="28"/>
          <w:szCs w:val="28"/>
        </w:rPr>
      </w:pPr>
      <w:r>
        <w:rPr>
          <w:sz w:val="28"/>
          <w:szCs w:val="28"/>
        </w:rPr>
        <w:t>По запросу органов прокуратуры Новосибирской области департаментом ежегодно представляется информация:</w:t>
      </w:r>
    </w:p>
    <w:p w:rsidR="005727C2" w:rsidRDefault="005727C2" w:rsidP="005727C2">
      <w:pPr>
        <w:autoSpaceDE w:val="0"/>
        <w:autoSpaceDN w:val="0"/>
        <w:adjustRightInd w:val="0"/>
        <w:spacing w:after="0" w:line="240" w:lineRule="auto"/>
        <w:ind w:firstLine="709"/>
        <w:jc w:val="both"/>
        <w:rPr>
          <w:sz w:val="28"/>
          <w:szCs w:val="28"/>
        </w:rPr>
      </w:pPr>
      <w:r>
        <w:rPr>
          <w:sz w:val="28"/>
          <w:szCs w:val="28"/>
        </w:rPr>
        <w:t>- о проведении плановых, внеплановых проверок юридических лиц, индивидуальных предпринимателей;</w:t>
      </w:r>
    </w:p>
    <w:p w:rsidR="005727C2" w:rsidRDefault="005727C2" w:rsidP="005727C2">
      <w:pPr>
        <w:spacing w:after="0" w:line="240" w:lineRule="auto"/>
        <w:ind w:firstLine="709"/>
        <w:jc w:val="both"/>
        <w:rPr>
          <w:sz w:val="28"/>
          <w:szCs w:val="28"/>
        </w:rPr>
      </w:pPr>
      <w:r>
        <w:rPr>
          <w:sz w:val="28"/>
          <w:szCs w:val="28"/>
        </w:rPr>
        <w:t xml:space="preserve">- о рассмотренных департаментом делах об административных правонарушениях, возбужденных на основании поступивших в департамент обращений граждан. </w:t>
      </w:r>
    </w:p>
    <w:p w:rsidR="005727C2" w:rsidRDefault="005727C2" w:rsidP="005727C2">
      <w:pPr>
        <w:autoSpaceDE w:val="0"/>
        <w:autoSpaceDN w:val="0"/>
        <w:adjustRightInd w:val="0"/>
        <w:spacing w:after="0" w:line="240" w:lineRule="auto"/>
        <w:ind w:firstLine="709"/>
        <w:jc w:val="both"/>
        <w:rPr>
          <w:sz w:val="28"/>
          <w:szCs w:val="28"/>
        </w:rPr>
      </w:pPr>
      <w:r>
        <w:rPr>
          <w:sz w:val="28"/>
          <w:szCs w:val="28"/>
        </w:rPr>
        <w:t>Ежегодно осуществляется согласование с прокуратурой Новосибирской области планов проведения департаментом плановых проверок юридических лиц и индивидуальных предпринимателей.</w:t>
      </w:r>
    </w:p>
    <w:p w:rsidR="005727C2" w:rsidRDefault="005727C2" w:rsidP="005727C2">
      <w:pPr>
        <w:spacing w:after="0" w:line="240" w:lineRule="auto"/>
        <w:ind w:firstLine="709"/>
        <w:jc w:val="both"/>
        <w:rPr>
          <w:bCs/>
          <w:sz w:val="28"/>
          <w:szCs w:val="28"/>
        </w:rPr>
      </w:pPr>
      <w:r>
        <w:rPr>
          <w:bCs/>
          <w:sz w:val="28"/>
          <w:szCs w:val="28"/>
        </w:rPr>
        <w:t xml:space="preserve">На основании утвержденных на 1 и 2 полугодие 2019 года планов работы межведомственной рабочей группы при прокуратуре Новосибирской области по противодействию преступлениям в сфере экономики, а также требований органов прокуратуры Новосибирской области о выделении специалистов департамента для участия в проводимых такими органами проверках, в 2019 году специалистами департамента принято участие в 21 прокурорской проверке (из них: 13 проверок в сфере реализации лекарственных препаратов, включенных в перечень жизненно необходимых и важнейших лекарственных препаратов), при проведении 5 из которых выявлены нарушения подконтрольными субъектами обязательных </w:t>
      </w:r>
      <w:r>
        <w:rPr>
          <w:bCs/>
          <w:sz w:val="28"/>
          <w:szCs w:val="28"/>
        </w:rPr>
        <w:lastRenderedPageBreak/>
        <w:t>требований и к административной ответственности привлечены 4 юридических лица (наложены административные штрафы на сумму 450 тыс.руб.).</w:t>
      </w:r>
    </w:p>
    <w:p w:rsidR="005727C2" w:rsidRDefault="005727C2" w:rsidP="005727C2">
      <w:pPr>
        <w:autoSpaceDE w:val="0"/>
        <w:autoSpaceDN w:val="0"/>
        <w:adjustRightInd w:val="0"/>
        <w:spacing w:after="0" w:line="240" w:lineRule="auto"/>
        <w:ind w:firstLine="709"/>
        <w:jc w:val="both"/>
        <w:rPr>
          <w:rFonts w:eastAsia="Calibri"/>
          <w:sz w:val="28"/>
          <w:szCs w:val="28"/>
        </w:rPr>
      </w:pPr>
      <w:r>
        <w:rPr>
          <w:sz w:val="28"/>
          <w:szCs w:val="28"/>
        </w:rPr>
        <w:t xml:space="preserve">С иными органами государственного контроля (надзора) </w:t>
      </w:r>
      <w:r w:rsidR="00D51D11">
        <w:rPr>
          <w:sz w:val="28"/>
          <w:szCs w:val="28"/>
        </w:rPr>
        <w:t>Д</w:t>
      </w:r>
      <w:r>
        <w:rPr>
          <w:rFonts w:eastAsia="Calibri"/>
          <w:sz w:val="28"/>
          <w:szCs w:val="28"/>
        </w:rPr>
        <w:t>епартамент при осуществлении регионального государственного контроля (надзора) не взаимодействует.</w:t>
      </w:r>
    </w:p>
    <w:p w:rsidR="005727C2" w:rsidRDefault="005727C2" w:rsidP="005727C2">
      <w:pPr>
        <w:autoSpaceDE w:val="0"/>
        <w:autoSpaceDN w:val="0"/>
        <w:adjustRightInd w:val="0"/>
        <w:spacing w:after="0" w:line="240" w:lineRule="auto"/>
        <w:ind w:firstLine="708"/>
        <w:jc w:val="both"/>
        <w:rPr>
          <w:snapToGrid w:val="0"/>
          <w:sz w:val="28"/>
          <w:szCs w:val="28"/>
        </w:rPr>
      </w:pPr>
      <w:r>
        <w:rPr>
          <w:snapToGrid w:val="0"/>
          <w:sz w:val="28"/>
          <w:szCs w:val="28"/>
        </w:rPr>
        <w:t>На осуществление контрольно-надзорных функций бюджетных средств:</w:t>
      </w:r>
    </w:p>
    <w:p w:rsidR="005727C2" w:rsidRDefault="005727C2" w:rsidP="005727C2">
      <w:pPr>
        <w:autoSpaceDE w:val="0"/>
        <w:autoSpaceDN w:val="0"/>
        <w:adjustRightInd w:val="0"/>
        <w:spacing w:after="0" w:line="240" w:lineRule="auto"/>
        <w:ind w:firstLine="708"/>
        <w:rPr>
          <w:snapToGrid w:val="0"/>
          <w:sz w:val="28"/>
          <w:szCs w:val="28"/>
        </w:rPr>
      </w:pPr>
      <w:r>
        <w:rPr>
          <w:snapToGrid w:val="0"/>
          <w:sz w:val="28"/>
          <w:szCs w:val="28"/>
        </w:rPr>
        <w:t>1) запланировано:</w:t>
      </w:r>
    </w:p>
    <w:p w:rsidR="005727C2" w:rsidRDefault="005727C2" w:rsidP="005727C2">
      <w:pPr>
        <w:autoSpaceDE w:val="0"/>
        <w:autoSpaceDN w:val="0"/>
        <w:adjustRightInd w:val="0"/>
        <w:spacing w:after="0" w:line="240" w:lineRule="auto"/>
        <w:ind w:firstLine="708"/>
        <w:rPr>
          <w:snapToGrid w:val="0"/>
          <w:sz w:val="28"/>
          <w:szCs w:val="28"/>
        </w:rPr>
      </w:pPr>
      <w:r>
        <w:rPr>
          <w:snapToGrid w:val="0"/>
          <w:sz w:val="28"/>
          <w:szCs w:val="28"/>
        </w:rPr>
        <w:t xml:space="preserve">- в 1 полугодии 2019 года </w:t>
      </w:r>
      <w:r w:rsidR="00D51D11">
        <w:rPr>
          <w:snapToGrid w:val="0"/>
          <w:sz w:val="28"/>
          <w:szCs w:val="28"/>
        </w:rPr>
        <w:t>–</w:t>
      </w:r>
      <w:r>
        <w:rPr>
          <w:snapToGrid w:val="0"/>
          <w:sz w:val="28"/>
          <w:szCs w:val="28"/>
        </w:rPr>
        <w:t xml:space="preserve"> 41</w:t>
      </w:r>
      <w:r w:rsidR="00D51D11">
        <w:rPr>
          <w:snapToGrid w:val="0"/>
          <w:sz w:val="28"/>
          <w:szCs w:val="28"/>
        </w:rPr>
        <w:t xml:space="preserve"> </w:t>
      </w:r>
      <w:r>
        <w:rPr>
          <w:snapToGrid w:val="0"/>
          <w:sz w:val="28"/>
          <w:szCs w:val="28"/>
        </w:rPr>
        <w:t>797 тыс.</w:t>
      </w:r>
      <w:r w:rsidR="00D51D11">
        <w:rPr>
          <w:snapToGrid w:val="0"/>
          <w:sz w:val="28"/>
          <w:szCs w:val="28"/>
        </w:rPr>
        <w:t xml:space="preserve"> </w:t>
      </w:r>
      <w:r>
        <w:rPr>
          <w:snapToGrid w:val="0"/>
          <w:sz w:val="28"/>
          <w:szCs w:val="28"/>
        </w:rPr>
        <w:t xml:space="preserve">рублей, </w:t>
      </w:r>
    </w:p>
    <w:p w:rsidR="005727C2" w:rsidRDefault="005727C2" w:rsidP="005727C2">
      <w:pPr>
        <w:autoSpaceDE w:val="0"/>
        <w:autoSpaceDN w:val="0"/>
        <w:adjustRightInd w:val="0"/>
        <w:spacing w:after="0" w:line="240" w:lineRule="auto"/>
        <w:ind w:firstLine="708"/>
        <w:rPr>
          <w:snapToGrid w:val="0"/>
          <w:sz w:val="28"/>
          <w:szCs w:val="28"/>
        </w:rPr>
      </w:pPr>
      <w:r>
        <w:rPr>
          <w:snapToGrid w:val="0"/>
          <w:sz w:val="28"/>
          <w:szCs w:val="28"/>
        </w:rPr>
        <w:t xml:space="preserve">- на 2019 год </w:t>
      </w:r>
      <w:r w:rsidR="00D51D11">
        <w:rPr>
          <w:snapToGrid w:val="0"/>
          <w:sz w:val="28"/>
          <w:szCs w:val="28"/>
        </w:rPr>
        <w:t>–</w:t>
      </w:r>
      <w:r>
        <w:rPr>
          <w:snapToGrid w:val="0"/>
          <w:sz w:val="28"/>
          <w:szCs w:val="28"/>
        </w:rPr>
        <w:t xml:space="preserve"> 87</w:t>
      </w:r>
      <w:r w:rsidR="00D51D11">
        <w:rPr>
          <w:snapToGrid w:val="0"/>
          <w:sz w:val="28"/>
          <w:szCs w:val="28"/>
        </w:rPr>
        <w:t xml:space="preserve"> </w:t>
      </w:r>
      <w:r>
        <w:rPr>
          <w:snapToGrid w:val="0"/>
          <w:sz w:val="28"/>
          <w:szCs w:val="28"/>
        </w:rPr>
        <w:t>596 тыс.</w:t>
      </w:r>
      <w:r w:rsidR="00D51D11">
        <w:rPr>
          <w:snapToGrid w:val="0"/>
          <w:sz w:val="28"/>
          <w:szCs w:val="28"/>
        </w:rPr>
        <w:t xml:space="preserve"> </w:t>
      </w:r>
      <w:r>
        <w:rPr>
          <w:snapToGrid w:val="0"/>
          <w:sz w:val="28"/>
          <w:szCs w:val="28"/>
        </w:rPr>
        <w:t xml:space="preserve">рублей, </w:t>
      </w:r>
    </w:p>
    <w:p w:rsidR="005727C2" w:rsidRDefault="005727C2" w:rsidP="005727C2">
      <w:pPr>
        <w:autoSpaceDE w:val="0"/>
        <w:autoSpaceDN w:val="0"/>
        <w:adjustRightInd w:val="0"/>
        <w:spacing w:after="0" w:line="240" w:lineRule="auto"/>
        <w:ind w:firstLine="708"/>
        <w:rPr>
          <w:snapToGrid w:val="0"/>
          <w:sz w:val="28"/>
          <w:szCs w:val="28"/>
        </w:rPr>
      </w:pPr>
      <w:r>
        <w:rPr>
          <w:snapToGrid w:val="0"/>
          <w:sz w:val="28"/>
          <w:szCs w:val="28"/>
        </w:rPr>
        <w:t>2) фактически выделено:</w:t>
      </w:r>
    </w:p>
    <w:p w:rsidR="005727C2" w:rsidRDefault="005727C2" w:rsidP="005727C2">
      <w:pPr>
        <w:autoSpaceDE w:val="0"/>
        <w:autoSpaceDN w:val="0"/>
        <w:adjustRightInd w:val="0"/>
        <w:spacing w:after="0" w:line="240" w:lineRule="auto"/>
        <w:ind w:firstLine="708"/>
        <w:rPr>
          <w:snapToGrid w:val="0"/>
          <w:sz w:val="28"/>
          <w:szCs w:val="28"/>
        </w:rPr>
      </w:pPr>
      <w:r>
        <w:rPr>
          <w:snapToGrid w:val="0"/>
          <w:sz w:val="28"/>
          <w:szCs w:val="28"/>
        </w:rPr>
        <w:t xml:space="preserve">- в 1 полугодии 2019 года </w:t>
      </w:r>
      <w:r w:rsidR="00D51D11">
        <w:rPr>
          <w:snapToGrid w:val="0"/>
          <w:sz w:val="28"/>
          <w:szCs w:val="28"/>
        </w:rPr>
        <w:t>–</w:t>
      </w:r>
      <w:r>
        <w:rPr>
          <w:snapToGrid w:val="0"/>
          <w:sz w:val="28"/>
          <w:szCs w:val="28"/>
        </w:rPr>
        <w:t xml:space="preserve"> 41</w:t>
      </w:r>
      <w:r w:rsidR="00D51D11">
        <w:rPr>
          <w:snapToGrid w:val="0"/>
          <w:sz w:val="28"/>
          <w:szCs w:val="28"/>
        </w:rPr>
        <w:t xml:space="preserve"> </w:t>
      </w:r>
      <w:r>
        <w:rPr>
          <w:snapToGrid w:val="0"/>
          <w:sz w:val="28"/>
          <w:szCs w:val="28"/>
        </w:rPr>
        <w:t>797 тыс.</w:t>
      </w:r>
      <w:r w:rsidR="00D51D11">
        <w:rPr>
          <w:snapToGrid w:val="0"/>
          <w:sz w:val="28"/>
          <w:szCs w:val="28"/>
        </w:rPr>
        <w:t xml:space="preserve"> </w:t>
      </w:r>
      <w:r>
        <w:rPr>
          <w:snapToGrid w:val="0"/>
          <w:sz w:val="28"/>
          <w:szCs w:val="28"/>
        </w:rPr>
        <w:t xml:space="preserve">рублей, </w:t>
      </w:r>
    </w:p>
    <w:p w:rsidR="005727C2" w:rsidRDefault="005727C2" w:rsidP="005727C2">
      <w:pPr>
        <w:autoSpaceDE w:val="0"/>
        <w:autoSpaceDN w:val="0"/>
        <w:adjustRightInd w:val="0"/>
        <w:spacing w:after="0" w:line="240" w:lineRule="auto"/>
        <w:ind w:firstLine="708"/>
        <w:rPr>
          <w:snapToGrid w:val="0"/>
          <w:sz w:val="28"/>
          <w:szCs w:val="28"/>
        </w:rPr>
      </w:pPr>
      <w:r>
        <w:rPr>
          <w:snapToGrid w:val="0"/>
          <w:sz w:val="28"/>
          <w:szCs w:val="28"/>
        </w:rPr>
        <w:t xml:space="preserve">- на 2019 год - 87596 тыс.рублей, </w:t>
      </w:r>
    </w:p>
    <w:p w:rsidR="005727C2" w:rsidRDefault="005727C2" w:rsidP="005727C2">
      <w:pPr>
        <w:autoSpaceDE w:val="0"/>
        <w:autoSpaceDN w:val="0"/>
        <w:adjustRightInd w:val="0"/>
        <w:spacing w:after="0" w:line="240" w:lineRule="auto"/>
        <w:ind w:firstLine="708"/>
        <w:rPr>
          <w:snapToGrid w:val="0"/>
          <w:sz w:val="28"/>
          <w:szCs w:val="28"/>
        </w:rPr>
      </w:pPr>
      <w:r>
        <w:rPr>
          <w:snapToGrid w:val="0"/>
          <w:sz w:val="28"/>
          <w:szCs w:val="28"/>
        </w:rPr>
        <w:t>3) израсходовано:</w:t>
      </w:r>
    </w:p>
    <w:p w:rsidR="005727C2" w:rsidRDefault="005727C2" w:rsidP="005727C2">
      <w:pPr>
        <w:autoSpaceDE w:val="0"/>
        <w:autoSpaceDN w:val="0"/>
        <w:adjustRightInd w:val="0"/>
        <w:spacing w:after="0" w:line="240" w:lineRule="auto"/>
        <w:ind w:firstLine="708"/>
        <w:rPr>
          <w:snapToGrid w:val="0"/>
          <w:sz w:val="28"/>
          <w:szCs w:val="28"/>
        </w:rPr>
      </w:pPr>
      <w:r>
        <w:rPr>
          <w:snapToGrid w:val="0"/>
          <w:sz w:val="28"/>
          <w:szCs w:val="28"/>
        </w:rPr>
        <w:t xml:space="preserve">- в 1 полугодии 2019 года </w:t>
      </w:r>
      <w:r w:rsidR="00D51D11">
        <w:rPr>
          <w:snapToGrid w:val="0"/>
          <w:sz w:val="28"/>
          <w:szCs w:val="28"/>
        </w:rPr>
        <w:t>–</w:t>
      </w:r>
      <w:r>
        <w:rPr>
          <w:snapToGrid w:val="0"/>
          <w:sz w:val="28"/>
          <w:szCs w:val="28"/>
        </w:rPr>
        <w:t xml:space="preserve"> 36</w:t>
      </w:r>
      <w:r w:rsidR="00D51D11">
        <w:rPr>
          <w:snapToGrid w:val="0"/>
          <w:sz w:val="28"/>
          <w:szCs w:val="28"/>
        </w:rPr>
        <w:t xml:space="preserve"> </w:t>
      </w:r>
      <w:r>
        <w:rPr>
          <w:snapToGrid w:val="0"/>
          <w:sz w:val="28"/>
          <w:szCs w:val="28"/>
        </w:rPr>
        <w:t>030 тыс.</w:t>
      </w:r>
      <w:r w:rsidR="00D51D11">
        <w:rPr>
          <w:snapToGrid w:val="0"/>
          <w:sz w:val="28"/>
          <w:szCs w:val="28"/>
        </w:rPr>
        <w:t xml:space="preserve"> </w:t>
      </w:r>
      <w:r>
        <w:rPr>
          <w:snapToGrid w:val="0"/>
          <w:sz w:val="28"/>
          <w:szCs w:val="28"/>
        </w:rPr>
        <w:t xml:space="preserve">рублей, </w:t>
      </w:r>
    </w:p>
    <w:p w:rsidR="005727C2" w:rsidRDefault="005727C2" w:rsidP="005727C2">
      <w:pPr>
        <w:autoSpaceDE w:val="0"/>
        <w:autoSpaceDN w:val="0"/>
        <w:adjustRightInd w:val="0"/>
        <w:spacing w:after="0" w:line="240" w:lineRule="auto"/>
        <w:ind w:firstLine="708"/>
        <w:rPr>
          <w:snapToGrid w:val="0"/>
          <w:sz w:val="28"/>
          <w:szCs w:val="28"/>
        </w:rPr>
      </w:pPr>
      <w:r>
        <w:rPr>
          <w:snapToGrid w:val="0"/>
          <w:sz w:val="28"/>
          <w:szCs w:val="28"/>
        </w:rPr>
        <w:t xml:space="preserve">- в 2019 году </w:t>
      </w:r>
      <w:r w:rsidR="00D51D11">
        <w:rPr>
          <w:snapToGrid w:val="0"/>
          <w:sz w:val="28"/>
          <w:szCs w:val="28"/>
        </w:rPr>
        <w:t>–</w:t>
      </w:r>
      <w:r>
        <w:rPr>
          <w:snapToGrid w:val="0"/>
          <w:sz w:val="28"/>
          <w:szCs w:val="28"/>
        </w:rPr>
        <w:t xml:space="preserve"> 86</w:t>
      </w:r>
      <w:r w:rsidR="00D51D11">
        <w:rPr>
          <w:snapToGrid w:val="0"/>
          <w:sz w:val="28"/>
          <w:szCs w:val="28"/>
        </w:rPr>
        <w:t xml:space="preserve"> </w:t>
      </w:r>
      <w:r>
        <w:rPr>
          <w:snapToGrid w:val="0"/>
          <w:sz w:val="28"/>
          <w:szCs w:val="28"/>
        </w:rPr>
        <w:t>703 тыс.</w:t>
      </w:r>
      <w:r w:rsidR="00D51D11">
        <w:rPr>
          <w:snapToGrid w:val="0"/>
          <w:sz w:val="28"/>
          <w:szCs w:val="28"/>
        </w:rPr>
        <w:t xml:space="preserve"> </w:t>
      </w:r>
      <w:r>
        <w:rPr>
          <w:snapToGrid w:val="0"/>
          <w:sz w:val="28"/>
          <w:szCs w:val="28"/>
        </w:rPr>
        <w:t xml:space="preserve">рублей. </w:t>
      </w:r>
    </w:p>
    <w:p w:rsidR="005727C2" w:rsidRDefault="005727C2" w:rsidP="005727C2">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 xml:space="preserve">Положением о департаменте утвержден Перечень должностных лиц департамента, уполномоченных на осуществление мероприятий по контролю, в который включены: </w:t>
      </w:r>
    </w:p>
    <w:p w:rsidR="005727C2" w:rsidRDefault="005727C2" w:rsidP="005727C2">
      <w:pPr>
        <w:autoSpaceDE w:val="0"/>
        <w:autoSpaceDN w:val="0"/>
        <w:adjustRightInd w:val="0"/>
        <w:spacing w:after="0" w:line="240" w:lineRule="auto"/>
        <w:ind w:firstLine="539"/>
        <w:jc w:val="both"/>
        <w:rPr>
          <w:rFonts w:eastAsia="Calibri"/>
          <w:sz w:val="28"/>
          <w:szCs w:val="28"/>
        </w:rPr>
      </w:pPr>
      <w:r>
        <w:rPr>
          <w:rFonts w:eastAsia="Calibri"/>
          <w:sz w:val="28"/>
          <w:szCs w:val="28"/>
        </w:rPr>
        <w:t>- руководитель департамента;</w:t>
      </w:r>
    </w:p>
    <w:p w:rsidR="005727C2" w:rsidRDefault="005727C2" w:rsidP="005727C2">
      <w:pPr>
        <w:autoSpaceDE w:val="0"/>
        <w:autoSpaceDN w:val="0"/>
        <w:adjustRightInd w:val="0"/>
        <w:spacing w:after="0" w:line="240" w:lineRule="auto"/>
        <w:ind w:firstLine="539"/>
        <w:jc w:val="both"/>
        <w:rPr>
          <w:rFonts w:eastAsia="Calibri"/>
          <w:sz w:val="28"/>
          <w:szCs w:val="28"/>
        </w:rPr>
      </w:pPr>
      <w:r>
        <w:rPr>
          <w:rFonts w:eastAsia="Calibri"/>
          <w:sz w:val="28"/>
          <w:szCs w:val="28"/>
        </w:rPr>
        <w:t>- заместители руководителя департамента, в ведении которых находятся вопросы государственного контроля (надзора);</w:t>
      </w:r>
    </w:p>
    <w:p w:rsidR="005727C2" w:rsidRDefault="005727C2" w:rsidP="005727C2">
      <w:pPr>
        <w:autoSpaceDE w:val="0"/>
        <w:autoSpaceDN w:val="0"/>
        <w:adjustRightInd w:val="0"/>
        <w:spacing w:after="0" w:line="240" w:lineRule="auto"/>
        <w:ind w:firstLine="539"/>
        <w:jc w:val="both"/>
        <w:rPr>
          <w:rFonts w:eastAsia="Calibri"/>
          <w:sz w:val="28"/>
          <w:szCs w:val="28"/>
        </w:rPr>
      </w:pPr>
      <w:r>
        <w:rPr>
          <w:rFonts w:eastAsia="Calibri"/>
          <w:sz w:val="28"/>
          <w:szCs w:val="28"/>
        </w:rPr>
        <w:t>- начальники отделов департамента и их заместители, в ведении которых находятся вопросы государственного контроля (надзора);</w:t>
      </w:r>
    </w:p>
    <w:p w:rsidR="005727C2" w:rsidRDefault="005727C2" w:rsidP="005727C2">
      <w:pPr>
        <w:autoSpaceDE w:val="0"/>
        <w:autoSpaceDN w:val="0"/>
        <w:adjustRightInd w:val="0"/>
        <w:spacing w:after="0" w:line="240" w:lineRule="auto"/>
        <w:ind w:firstLine="539"/>
        <w:jc w:val="both"/>
        <w:rPr>
          <w:rFonts w:eastAsia="Calibri"/>
          <w:sz w:val="28"/>
          <w:szCs w:val="28"/>
        </w:rPr>
      </w:pPr>
      <w:r>
        <w:rPr>
          <w:rFonts w:eastAsia="Calibri"/>
          <w:sz w:val="28"/>
          <w:szCs w:val="28"/>
        </w:rPr>
        <w:t>- консультанты, главные специалисты, главные эксперты отделов департамента, в ведении которых находятся вопросы государственного контроля (надзора).</w:t>
      </w:r>
    </w:p>
    <w:p w:rsidR="005727C2" w:rsidRDefault="005727C2" w:rsidP="005727C2">
      <w:pPr>
        <w:autoSpaceDE w:val="0"/>
        <w:autoSpaceDN w:val="0"/>
        <w:adjustRightInd w:val="0"/>
        <w:spacing w:after="0" w:line="240" w:lineRule="auto"/>
        <w:ind w:firstLine="709"/>
        <w:jc w:val="both"/>
        <w:rPr>
          <w:sz w:val="28"/>
          <w:szCs w:val="28"/>
        </w:rPr>
      </w:pPr>
      <w:r>
        <w:rPr>
          <w:sz w:val="28"/>
          <w:szCs w:val="28"/>
        </w:rPr>
        <w:t>Средняя нагрузка на 1 работника в 2019 году по фактически выполненному в отчетный период департаментом объему функций по контролю составила 109 мероприятий по контролю (с учетом изменения численности сотрудников по полугодиям: 1 полугодие - 66 мероприятий, 2 полугодие - 40 мероприятий) (при расчете показателя учтены проверки, мероприятия без взаимодействия с подконтрольными субъектами, мероприятия по профилактике нарушений обязательных требований и т.д.), что на 23 % больше, чем в 2018 году.</w:t>
      </w:r>
    </w:p>
    <w:p w:rsidR="005727C2" w:rsidRDefault="005727C2" w:rsidP="005727C2">
      <w:pPr>
        <w:autoSpaceDE w:val="0"/>
        <w:autoSpaceDN w:val="0"/>
        <w:adjustRightInd w:val="0"/>
        <w:spacing w:after="0" w:line="240" w:lineRule="auto"/>
        <w:ind w:firstLine="709"/>
        <w:jc w:val="both"/>
        <w:rPr>
          <w:sz w:val="28"/>
          <w:szCs w:val="28"/>
        </w:rPr>
      </w:pPr>
      <w:r>
        <w:rPr>
          <w:sz w:val="28"/>
          <w:szCs w:val="28"/>
        </w:rPr>
        <w:t>Приведенные показатели не позволяют объективно оценить среднюю нагрузку на 1 специалиста, поскольку фактически одновременно с участием в мероприятиях по контролю, специалисты выполняли другие функции, определенные должностными регламентами.</w:t>
      </w:r>
    </w:p>
    <w:p w:rsidR="005727C2" w:rsidRDefault="005727C2" w:rsidP="005727C2">
      <w:pPr>
        <w:autoSpaceDE w:val="0"/>
        <w:autoSpaceDN w:val="0"/>
        <w:adjustRightInd w:val="0"/>
        <w:spacing w:after="0" w:line="240" w:lineRule="auto"/>
        <w:ind w:firstLine="709"/>
        <w:jc w:val="both"/>
        <w:rPr>
          <w:sz w:val="28"/>
          <w:szCs w:val="28"/>
        </w:rPr>
      </w:pPr>
      <w:r>
        <w:rPr>
          <w:sz w:val="28"/>
          <w:szCs w:val="28"/>
        </w:rPr>
        <w:t xml:space="preserve">Эксперты и представители экспертных организаций к проведению мероприятий по контролю в 2019 году </w:t>
      </w:r>
      <w:r w:rsidR="00D51D11">
        <w:rPr>
          <w:sz w:val="28"/>
          <w:szCs w:val="28"/>
        </w:rPr>
        <w:t>Д</w:t>
      </w:r>
      <w:r>
        <w:rPr>
          <w:sz w:val="28"/>
          <w:szCs w:val="28"/>
        </w:rPr>
        <w:t>епартаментом не привлекались.</w:t>
      </w:r>
    </w:p>
    <w:p w:rsidR="00D51D11" w:rsidRDefault="00D51D11" w:rsidP="005727C2">
      <w:pPr>
        <w:autoSpaceDE w:val="0"/>
        <w:autoSpaceDN w:val="0"/>
        <w:adjustRightInd w:val="0"/>
        <w:spacing w:after="0" w:line="240" w:lineRule="auto"/>
        <w:ind w:firstLine="709"/>
        <w:jc w:val="both"/>
        <w:rPr>
          <w:sz w:val="28"/>
          <w:szCs w:val="28"/>
        </w:rPr>
      </w:pPr>
    </w:p>
    <w:p w:rsidR="0061749D" w:rsidRDefault="0061749D" w:rsidP="005727C2">
      <w:pPr>
        <w:autoSpaceDE w:val="0"/>
        <w:autoSpaceDN w:val="0"/>
        <w:adjustRightInd w:val="0"/>
        <w:spacing w:after="0" w:line="240" w:lineRule="auto"/>
        <w:ind w:firstLine="709"/>
        <w:jc w:val="both"/>
        <w:rPr>
          <w:sz w:val="28"/>
          <w:szCs w:val="28"/>
        </w:rPr>
      </w:pPr>
    </w:p>
    <w:p w:rsidR="0061749D" w:rsidRDefault="0061749D" w:rsidP="005727C2">
      <w:pPr>
        <w:autoSpaceDE w:val="0"/>
        <w:autoSpaceDN w:val="0"/>
        <w:adjustRightInd w:val="0"/>
        <w:spacing w:after="0" w:line="240" w:lineRule="auto"/>
        <w:ind w:firstLine="709"/>
        <w:jc w:val="both"/>
        <w:rPr>
          <w:sz w:val="28"/>
          <w:szCs w:val="28"/>
        </w:rPr>
      </w:pPr>
    </w:p>
    <w:tbl>
      <w:tblPr>
        <w:tblW w:w="9083" w:type="dxa"/>
        <w:tblInd w:w="9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523"/>
        <w:gridCol w:w="1560"/>
      </w:tblGrid>
      <w:tr w:rsidR="00D51D11" w:rsidTr="00D51D11">
        <w:trPr>
          <w:trHeight w:val="300"/>
        </w:trPr>
        <w:tc>
          <w:tcPr>
            <w:tcW w:w="7523" w:type="dxa"/>
            <w:tcBorders>
              <w:top w:val="single" w:sz="4" w:space="0" w:color="auto"/>
              <w:left w:val="single" w:sz="4" w:space="0" w:color="auto"/>
              <w:bottom w:val="single" w:sz="4" w:space="0" w:color="auto"/>
              <w:right w:val="single" w:sz="4" w:space="0" w:color="auto"/>
            </w:tcBorders>
            <w:vAlign w:val="bottom"/>
            <w:hideMark/>
          </w:tcPr>
          <w:p w:rsidR="00D51D11" w:rsidRDefault="00D51D11">
            <w:pPr>
              <w:spacing w:after="0" w:line="240" w:lineRule="auto"/>
              <w:jc w:val="center"/>
              <w:rPr>
                <w:color w:val="000000"/>
                <w:lang w:eastAsia="en-US"/>
              </w:rPr>
            </w:pPr>
            <w:r>
              <w:rPr>
                <w:color w:val="000000"/>
                <w:lang w:eastAsia="en-US"/>
              </w:rPr>
              <w:lastRenderedPageBreak/>
              <w:t>Наименование показателя</w:t>
            </w:r>
          </w:p>
        </w:tc>
        <w:tc>
          <w:tcPr>
            <w:tcW w:w="1560" w:type="dxa"/>
            <w:tcBorders>
              <w:top w:val="single" w:sz="4" w:space="0" w:color="auto"/>
              <w:left w:val="single" w:sz="4" w:space="0" w:color="auto"/>
              <w:bottom w:val="single" w:sz="4" w:space="0" w:color="auto"/>
              <w:right w:val="single" w:sz="4" w:space="0" w:color="auto"/>
            </w:tcBorders>
            <w:vAlign w:val="bottom"/>
            <w:hideMark/>
          </w:tcPr>
          <w:p w:rsidR="00D51D11" w:rsidRDefault="00D51D11">
            <w:pPr>
              <w:spacing w:after="0" w:line="240" w:lineRule="auto"/>
              <w:rPr>
                <w:color w:val="000000"/>
                <w:lang w:eastAsia="en-US"/>
              </w:rPr>
            </w:pPr>
            <w:r>
              <w:rPr>
                <w:color w:val="000000"/>
                <w:lang w:eastAsia="en-US"/>
              </w:rPr>
              <w:t xml:space="preserve">за 2019 год </w:t>
            </w:r>
          </w:p>
        </w:tc>
      </w:tr>
      <w:tr w:rsidR="00D51D11" w:rsidTr="00D51D11">
        <w:trPr>
          <w:trHeight w:val="300"/>
        </w:trPr>
        <w:tc>
          <w:tcPr>
            <w:tcW w:w="7523" w:type="dxa"/>
            <w:tcBorders>
              <w:top w:val="single" w:sz="4" w:space="0" w:color="auto"/>
              <w:left w:val="single" w:sz="4" w:space="0" w:color="auto"/>
              <w:bottom w:val="single" w:sz="4" w:space="0" w:color="auto"/>
              <w:right w:val="single" w:sz="4" w:space="0" w:color="auto"/>
            </w:tcBorders>
            <w:vAlign w:val="bottom"/>
            <w:hideMark/>
          </w:tcPr>
          <w:p w:rsidR="00D51D11" w:rsidRDefault="00D51D11">
            <w:pPr>
              <w:spacing w:after="0" w:line="240" w:lineRule="auto"/>
              <w:rPr>
                <w:color w:val="000000"/>
                <w:lang w:eastAsia="en-US"/>
              </w:rPr>
            </w:pPr>
            <w:r>
              <w:rPr>
                <w:color w:val="000000"/>
                <w:lang w:eastAsia="en-US"/>
              </w:rPr>
              <w:t xml:space="preserve">Общее количество юридических лиц, индивидуальных предпринимателей, деятельность которых подлежит государственному контролю (надзору) со стороны департамента </w:t>
            </w:r>
          </w:p>
        </w:tc>
        <w:tc>
          <w:tcPr>
            <w:tcW w:w="1560" w:type="dxa"/>
            <w:tcBorders>
              <w:top w:val="single" w:sz="4" w:space="0" w:color="auto"/>
              <w:left w:val="single" w:sz="4" w:space="0" w:color="auto"/>
              <w:bottom w:val="single" w:sz="4" w:space="0" w:color="auto"/>
              <w:right w:val="single" w:sz="4" w:space="0" w:color="auto"/>
            </w:tcBorders>
            <w:vAlign w:val="center"/>
            <w:hideMark/>
          </w:tcPr>
          <w:p w:rsidR="00D51D11" w:rsidRDefault="00D51D11">
            <w:pPr>
              <w:spacing w:after="0" w:line="240" w:lineRule="auto"/>
              <w:jc w:val="center"/>
              <w:rPr>
                <w:color w:val="000000"/>
                <w:lang w:eastAsia="en-US"/>
              </w:rPr>
            </w:pPr>
            <w:r>
              <w:rPr>
                <w:color w:val="000000"/>
                <w:lang w:eastAsia="en-US"/>
              </w:rPr>
              <w:t>914</w:t>
            </w:r>
          </w:p>
        </w:tc>
      </w:tr>
      <w:tr w:rsidR="00D51D11" w:rsidTr="00D51D11">
        <w:trPr>
          <w:trHeight w:val="300"/>
        </w:trPr>
        <w:tc>
          <w:tcPr>
            <w:tcW w:w="7523" w:type="dxa"/>
            <w:tcBorders>
              <w:top w:val="single" w:sz="4" w:space="0" w:color="auto"/>
              <w:left w:val="single" w:sz="4" w:space="0" w:color="auto"/>
              <w:bottom w:val="single" w:sz="4" w:space="0" w:color="auto"/>
              <w:right w:val="single" w:sz="4" w:space="0" w:color="auto"/>
            </w:tcBorders>
            <w:vAlign w:val="bottom"/>
            <w:hideMark/>
          </w:tcPr>
          <w:p w:rsidR="00D51D11" w:rsidRDefault="00D51D11">
            <w:pPr>
              <w:spacing w:after="0" w:line="240" w:lineRule="auto"/>
              <w:rPr>
                <w:color w:val="000000"/>
                <w:lang w:eastAsia="en-US"/>
              </w:rPr>
            </w:pPr>
            <w:r>
              <w:rPr>
                <w:color w:val="000000"/>
                <w:lang w:eastAsia="en-US"/>
              </w:rPr>
              <w:t xml:space="preserve">Общее количество юридических лиц и индивидуальных предпринимателей, в отношении которых проводились плановые, внеплановые проверки </w:t>
            </w:r>
          </w:p>
        </w:tc>
        <w:tc>
          <w:tcPr>
            <w:tcW w:w="1560" w:type="dxa"/>
            <w:tcBorders>
              <w:top w:val="single" w:sz="4" w:space="0" w:color="auto"/>
              <w:left w:val="single" w:sz="4" w:space="0" w:color="auto"/>
              <w:bottom w:val="single" w:sz="4" w:space="0" w:color="auto"/>
              <w:right w:val="single" w:sz="4" w:space="0" w:color="auto"/>
            </w:tcBorders>
            <w:vAlign w:val="center"/>
            <w:hideMark/>
          </w:tcPr>
          <w:p w:rsidR="00D51D11" w:rsidRDefault="00D51D11">
            <w:pPr>
              <w:spacing w:after="0" w:line="240" w:lineRule="auto"/>
              <w:jc w:val="center"/>
              <w:rPr>
                <w:color w:val="000000"/>
                <w:lang w:eastAsia="en-US"/>
              </w:rPr>
            </w:pPr>
            <w:r>
              <w:rPr>
                <w:color w:val="000000"/>
                <w:lang w:eastAsia="en-US"/>
              </w:rPr>
              <w:t>16</w:t>
            </w:r>
          </w:p>
        </w:tc>
      </w:tr>
      <w:tr w:rsidR="00D51D11" w:rsidTr="00D51D11">
        <w:trPr>
          <w:trHeight w:val="555"/>
        </w:trPr>
        <w:tc>
          <w:tcPr>
            <w:tcW w:w="7523" w:type="dxa"/>
            <w:tcBorders>
              <w:top w:val="single" w:sz="4" w:space="0" w:color="auto"/>
              <w:left w:val="single" w:sz="4" w:space="0" w:color="auto"/>
              <w:bottom w:val="single" w:sz="4" w:space="0" w:color="auto"/>
              <w:right w:val="single" w:sz="4" w:space="0" w:color="auto"/>
            </w:tcBorders>
            <w:vAlign w:val="bottom"/>
            <w:hideMark/>
          </w:tcPr>
          <w:p w:rsidR="00D51D11" w:rsidRDefault="00D51D11">
            <w:pPr>
              <w:spacing w:after="0" w:line="240" w:lineRule="auto"/>
              <w:rPr>
                <w:color w:val="000000"/>
                <w:lang w:eastAsia="en-US"/>
              </w:rPr>
            </w:pPr>
            <w:r>
              <w:rPr>
                <w:color w:val="000000"/>
                <w:lang w:eastAsia="en-US"/>
              </w:rPr>
              <w:t>Общее количество проверок, проведенных в отношении юридических лиц, индивидуальных предпринимателей</w:t>
            </w:r>
          </w:p>
        </w:tc>
        <w:tc>
          <w:tcPr>
            <w:tcW w:w="1560" w:type="dxa"/>
            <w:tcBorders>
              <w:top w:val="single" w:sz="4" w:space="0" w:color="auto"/>
              <w:left w:val="single" w:sz="4" w:space="0" w:color="auto"/>
              <w:bottom w:val="single" w:sz="4" w:space="0" w:color="auto"/>
              <w:right w:val="single" w:sz="4" w:space="0" w:color="auto"/>
            </w:tcBorders>
            <w:vAlign w:val="center"/>
            <w:hideMark/>
          </w:tcPr>
          <w:p w:rsidR="00D51D11" w:rsidRDefault="00D51D11">
            <w:pPr>
              <w:spacing w:after="0" w:line="240" w:lineRule="auto"/>
              <w:jc w:val="center"/>
              <w:rPr>
                <w:color w:val="000000"/>
                <w:lang w:eastAsia="en-US"/>
              </w:rPr>
            </w:pPr>
            <w:r>
              <w:rPr>
                <w:color w:val="000000"/>
                <w:lang w:eastAsia="en-US"/>
              </w:rPr>
              <w:t>23</w:t>
            </w:r>
          </w:p>
        </w:tc>
      </w:tr>
      <w:tr w:rsidR="00D51D11" w:rsidTr="00D51D11">
        <w:trPr>
          <w:trHeight w:val="414"/>
        </w:trPr>
        <w:tc>
          <w:tcPr>
            <w:tcW w:w="7523" w:type="dxa"/>
            <w:tcBorders>
              <w:top w:val="single" w:sz="4" w:space="0" w:color="auto"/>
              <w:left w:val="single" w:sz="4" w:space="0" w:color="auto"/>
              <w:bottom w:val="single" w:sz="4" w:space="0" w:color="auto"/>
              <w:right w:val="single" w:sz="4" w:space="0" w:color="auto"/>
            </w:tcBorders>
            <w:vAlign w:val="bottom"/>
            <w:hideMark/>
          </w:tcPr>
          <w:p w:rsidR="00D51D11" w:rsidRDefault="00D51D11">
            <w:pPr>
              <w:spacing w:after="0" w:line="240" w:lineRule="auto"/>
              <w:rPr>
                <w:color w:val="000000"/>
                <w:lang w:eastAsia="en-US"/>
              </w:rPr>
            </w:pPr>
            <w:r>
              <w:rPr>
                <w:color w:val="000000"/>
                <w:lang w:eastAsia="en-US"/>
              </w:rPr>
              <w:t>Количество проверок, предусмотренных ежегодным планом проведения проверок на отчетный период</w:t>
            </w:r>
          </w:p>
        </w:tc>
        <w:tc>
          <w:tcPr>
            <w:tcW w:w="1560" w:type="dxa"/>
            <w:tcBorders>
              <w:top w:val="single" w:sz="4" w:space="0" w:color="auto"/>
              <w:left w:val="single" w:sz="4" w:space="0" w:color="auto"/>
              <w:bottom w:val="single" w:sz="4" w:space="0" w:color="auto"/>
              <w:right w:val="single" w:sz="4" w:space="0" w:color="auto"/>
            </w:tcBorders>
            <w:vAlign w:val="center"/>
            <w:hideMark/>
          </w:tcPr>
          <w:p w:rsidR="00D51D11" w:rsidRDefault="00D51D11">
            <w:pPr>
              <w:spacing w:after="0" w:line="240" w:lineRule="auto"/>
              <w:jc w:val="center"/>
              <w:rPr>
                <w:color w:val="000000"/>
                <w:lang w:eastAsia="en-US"/>
              </w:rPr>
            </w:pPr>
            <w:r>
              <w:rPr>
                <w:color w:val="000000"/>
                <w:lang w:eastAsia="en-US"/>
              </w:rPr>
              <w:t>13</w:t>
            </w:r>
          </w:p>
        </w:tc>
      </w:tr>
      <w:tr w:rsidR="00D51D11" w:rsidTr="00D51D11">
        <w:trPr>
          <w:trHeight w:val="419"/>
        </w:trPr>
        <w:tc>
          <w:tcPr>
            <w:tcW w:w="7523" w:type="dxa"/>
            <w:tcBorders>
              <w:top w:val="single" w:sz="4" w:space="0" w:color="auto"/>
              <w:left w:val="single" w:sz="4" w:space="0" w:color="auto"/>
              <w:bottom w:val="single" w:sz="4" w:space="0" w:color="auto"/>
              <w:right w:val="single" w:sz="4" w:space="0" w:color="auto"/>
            </w:tcBorders>
            <w:vAlign w:val="bottom"/>
            <w:hideMark/>
          </w:tcPr>
          <w:p w:rsidR="00D51D11" w:rsidRDefault="00D51D11">
            <w:pPr>
              <w:spacing w:after="0" w:line="240" w:lineRule="auto"/>
              <w:rPr>
                <w:color w:val="000000"/>
                <w:lang w:eastAsia="en-US"/>
              </w:rPr>
            </w:pPr>
            <w:r>
              <w:rPr>
                <w:color w:val="000000"/>
                <w:lang w:eastAsia="en-US"/>
              </w:rPr>
              <w:t xml:space="preserve">Количество фактически проведенных плановых проверок </w:t>
            </w:r>
          </w:p>
        </w:tc>
        <w:tc>
          <w:tcPr>
            <w:tcW w:w="1560" w:type="dxa"/>
            <w:tcBorders>
              <w:top w:val="single" w:sz="4" w:space="0" w:color="auto"/>
              <w:left w:val="single" w:sz="4" w:space="0" w:color="auto"/>
              <w:bottom w:val="single" w:sz="4" w:space="0" w:color="auto"/>
              <w:right w:val="single" w:sz="4" w:space="0" w:color="auto"/>
            </w:tcBorders>
            <w:vAlign w:val="center"/>
            <w:hideMark/>
          </w:tcPr>
          <w:p w:rsidR="00D51D11" w:rsidRDefault="00D51D11">
            <w:pPr>
              <w:spacing w:after="0" w:line="240" w:lineRule="auto"/>
              <w:jc w:val="center"/>
              <w:rPr>
                <w:color w:val="000000"/>
                <w:lang w:eastAsia="en-US"/>
              </w:rPr>
            </w:pPr>
            <w:r>
              <w:rPr>
                <w:color w:val="000000"/>
                <w:lang w:eastAsia="en-US"/>
              </w:rPr>
              <w:t>13</w:t>
            </w:r>
          </w:p>
        </w:tc>
      </w:tr>
      <w:tr w:rsidR="00D51D11" w:rsidTr="00D51D11">
        <w:trPr>
          <w:trHeight w:val="807"/>
        </w:trPr>
        <w:tc>
          <w:tcPr>
            <w:tcW w:w="7523" w:type="dxa"/>
            <w:tcBorders>
              <w:top w:val="single" w:sz="4" w:space="0" w:color="auto"/>
              <w:left w:val="single" w:sz="4" w:space="0" w:color="auto"/>
              <w:bottom w:val="single" w:sz="4" w:space="0" w:color="auto"/>
              <w:right w:val="single" w:sz="4" w:space="0" w:color="auto"/>
            </w:tcBorders>
            <w:hideMark/>
          </w:tcPr>
          <w:p w:rsidR="00D51D11" w:rsidRDefault="00D51D11">
            <w:pPr>
              <w:spacing w:after="0" w:line="240" w:lineRule="auto"/>
              <w:rPr>
                <w:color w:val="000000"/>
                <w:lang w:eastAsia="en-US"/>
              </w:rPr>
            </w:pPr>
            <w:r>
              <w:rPr>
                <w:color w:val="000000"/>
                <w:lang w:eastAsia="en-US"/>
              </w:rPr>
              <w:t>Количество проверок, не проведенных по причинам, не зависящим от департамента (ликвидация подконтрольного субъекта, прекращение регулируемого вида деятельности и т.д.)</w:t>
            </w:r>
          </w:p>
        </w:tc>
        <w:tc>
          <w:tcPr>
            <w:tcW w:w="1560" w:type="dxa"/>
            <w:tcBorders>
              <w:top w:val="single" w:sz="4" w:space="0" w:color="auto"/>
              <w:left w:val="single" w:sz="4" w:space="0" w:color="auto"/>
              <w:bottom w:val="single" w:sz="4" w:space="0" w:color="auto"/>
              <w:right w:val="single" w:sz="4" w:space="0" w:color="auto"/>
            </w:tcBorders>
            <w:vAlign w:val="center"/>
            <w:hideMark/>
          </w:tcPr>
          <w:p w:rsidR="00D51D11" w:rsidRDefault="00D51D11">
            <w:pPr>
              <w:spacing w:after="0" w:line="240" w:lineRule="auto"/>
              <w:jc w:val="center"/>
              <w:rPr>
                <w:color w:val="000000"/>
                <w:lang w:eastAsia="en-US"/>
              </w:rPr>
            </w:pPr>
            <w:r>
              <w:rPr>
                <w:color w:val="000000"/>
                <w:lang w:eastAsia="en-US"/>
              </w:rPr>
              <w:t>0</w:t>
            </w:r>
          </w:p>
        </w:tc>
      </w:tr>
      <w:tr w:rsidR="00D51D11" w:rsidTr="00D51D11">
        <w:trPr>
          <w:trHeight w:val="540"/>
        </w:trPr>
        <w:tc>
          <w:tcPr>
            <w:tcW w:w="7523" w:type="dxa"/>
            <w:tcBorders>
              <w:top w:val="single" w:sz="4" w:space="0" w:color="auto"/>
              <w:left w:val="single" w:sz="4" w:space="0" w:color="auto"/>
              <w:bottom w:val="single" w:sz="4" w:space="0" w:color="auto"/>
              <w:right w:val="single" w:sz="4" w:space="0" w:color="auto"/>
            </w:tcBorders>
            <w:vAlign w:val="bottom"/>
            <w:hideMark/>
          </w:tcPr>
          <w:p w:rsidR="00D51D11" w:rsidRDefault="00D51D11">
            <w:pPr>
              <w:spacing w:after="0" w:line="240" w:lineRule="auto"/>
              <w:rPr>
                <w:color w:val="000000"/>
                <w:lang w:eastAsia="en-US"/>
              </w:rPr>
            </w:pPr>
            <w:r>
              <w:rPr>
                <w:color w:val="000000"/>
                <w:lang w:eastAsia="en-US"/>
              </w:rPr>
              <w:t>Общее количество внеплановых,                                                                                                                                                   в том числе по следующим основаниям:</w:t>
            </w:r>
          </w:p>
        </w:tc>
        <w:tc>
          <w:tcPr>
            <w:tcW w:w="1560" w:type="dxa"/>
            <w:tcBorders>
              <w:top w:val="single" w:sz="4" w:space="0" w:color="auto"/>
              <w:left w:val="single" w:sz="4" w:space="0" w:color="auto"/>
              <w:bottom w:val="single" w:sz="4" w:space="0" w:color="auto"/>
              <w:right w:val="single" w:sz="4" w:space="0" w:color="auto"/>
            </w:tcBorders>
            <w:vAlign w:val="center"/>
            <w:hideMark/>
          </w:tcPr>
          <w:p w:rsidR="00D51D11" w:rsidRDefault="00D51D11">
            <w:pPr>
              <w:spacing w:after="0" w:line="240" w:lineRule="auto"/>
              <w:jc w:val="center"/>
              <w:rPr>
                <w:color w:val="000000"/>
                <w:lang w:eastAsia="en-US"/>
              </w:rPr>
            </w:pPr>
            <w:r>
              <w:rPr>
                <w:color w:val="000000"/>
                <w:lang w:eastAsia="en-US"/>
              </w:rPr>
              <w:t>10</w:t>
            </w:r>
          </w:p>
        </w:tc>
      </w:tr>
      <w:tr w:rsidR="00D51D11" w:rsidTr="00D51D11">
        <w:trPr>
          <w:trHeight w:val="330"/>
        </w:trPr>
        <w:tc>
          <w:tcPr>
            <w:tcW w:w="7523" w:type="dxa"/>
            <w:tcBorders>
              <w:top w:val="single" w:sz="4" w:space="0" w:color="auto"/>
              <w:left w:val="single" w:sz="4" w:space="0" w:color="auto"/>
              <w:bottom w:val="single" w:sz="4" w:space="0" w:color="auto"/>
              <w:right w:val="single" w:sz="4" w:space="0" w:color="auto"/>
            </w:tcBorders>
            <w:vAlign w:val="bottom"/>
            <w:hideMark/>
          </w:tcPr>
          <w:p w:rsidR="00D51D11" w:rsidRDefault="00D51D11">
            <w:pPr>
              <w:spacing w:after="0" w:line="240" w:lineRule="auto"/>
              <w:rPr>
                <w:color w:val="000000"/>
                <w:lang w:eastAsia="en-US"/>
              </w:rPr>
            </w:pPr>
            <w:r>
              <w:rPr>
                <w:color w:val="000000"/>
                <w:lang w:eastAsia="en-US"/>
              </w:rPr>
              <w:t>- по контролю за исполнением предписаний, выданных по результатам проведенной ранее проверки</w:t>
            </w:r>
          </w:p>
        </w:tc>
        <w:tc>
          <w:tcPr>
            <w:tcW w:w="1560" w:type="dxa"/>
            <w:tcBorders>
              <w:top w:val="single" w:sz="4" w:space="0" w:color="auto"/>
              <w:left w:val="single" w:sz="4" w:space="0" w:color="auto"/>
              <w:bottom w:val="single" w:sz="4" w:space="0" w:color="auto"/>
              <w:right w:val="single" w:sz="4" w:space="0" w:color="auto"/>
            </w:tcBorders>
            <w:vAlign w:val="center"/>
            <w:hideMark/>
          </w:tcPr>
          <w:p w:rsidR="00D51D11" w:rsidRDefault="00D51D11">
            <w:pPr>
              <w:spacing w:after="0" w:line="240" w:lineRule="auto"/>
              <w:jc w:val="center"/>
              <w:rPr>
                <w:color w:val="000000"/>
                <w:lang w:eastAsia="en-US"/>
              </w:rPr>
            </w:pPr>
            <w:r>
              <w:rPr>
                <w:color w:val="000000"/>
                <w:lang w:eastAsia="en-US"/>
              </w:rPr>
              <w:t>8</w:t>
            </w:r>
          </w:p>
        </w:tc>
      </w:tr>
      <w:tr w:rsidR="00D51D11" w:rsidTr="00D51D11">
        <w:trPr>
          <w:trHeight w:val="330"/>
        </w:trPr>
        <w:tc>
          <w:tcPr>
            <w:tcW w:w="7523" w:type="dxa"/>
            <w:tcBorders>
              <w:top w:val="single" w:sz="4" w:space="0" w:color="auto"/>
              <w:left w:val="single" w:sz="4" w:space="0" w:color="auto"/>
              <w:bottom w:val="single" w:sz="4" w:space="0" w:color="auto"/>
              <w:right w:val="single" w:sz="4" w:space="0" w:color="auto"/>
            </w:tcBorders>
            <w:vAlign w:val="bottom"/>
            <w:hideMark/>
          </w:tcPr>
          <w:p w:rsidR="00D51D11" w:rsidRDefault="00D51D11">
            <w:pPr>
              <w:spacing w:after="0" w:line="240" w:lineRule="auto"/>
              <w:rPr>
                <w:color w:val="000000"/>
                <w:lang w:eastAsia="en-US"/>
              </w:rPr>
            </w:pPr>
            <w:r>
              <w:rPr>
                <w:color w:val="000000"/>
                <w:lang w:eastAsia="en-US"/>
              </w:rPr>
              <w:t xml:space="preserve">- по заявлениям (обращениям) физических и юридических лиц </w:t>
            </w:r>
          </w:p>
        </w:tc>
        <w:tc>
          <w:tcPr>
            <w:tcW w:w="1560" w:type="dxa"/>
            <w:tcBorders>
              <w:top w:val="single" w:sz="4" w:space="0" w:color="auto"/>
              <w:left w:val="single" w:sz="4" w:space="0" w:color="auto"/>
              <w:bottom w:val="single" w:sz="4" w:space="0" w:color="auto"/>
              <w:right w:val="single" w:sz="4" w:space="0" w:color="auto"/>
            </w:tcBorders>
            <w:vAlign w:val="center"/>
            <w:hideMark/>
          </w:tcPr>
          <w:p w:rsidR="00D51D11" w:rsidRDefault="00D51D11">
            <w:pPr>
              <w:spacing w:after="0" w:line="240" w:lineRule="auto"/>
              <w:jc w:val="center"/>
              <w:rPr>
                <w:color w:val="000000"/>
                <w:lang w:eastAsia="en-US"/>
              </w:rPr>
            </w:pPr>
            <w:r>
              <w:rPr>
                <w:color w:val="000000"/>
                <w:lang w:eastAsia="en-US"/>
              </w:rPr>
              <w:t>1</w:t>
            </w:r>
          </w:p>
        </w:tc>
      </w:tr>
      <w:tr w:rsidR="00D51D11" w:rsidTr="00D51D11">
        <w:trPr>
          <w:trHeight w:val="330"/>
        </w:trPr>
        <w:tc>
          <w:tcPr>
            <w:tcW w:w="7523" w:type="dxa"/>
            <w:tcBorders>
              <w:top w:val="single" w:sz="4" w:space="0" w:color="auto"/>
              <w:left w:val="single" w:sz="4" w:space="0" w:color="auto"/>
              <w:bottom w:val="single" w:sz="4" w:space="0" w:color="auto"/>
              <w:right w:val="single" w:sz="4" w:space="0" w:color="auto"/>
            </w:tcBorders>
            <w:vAlign w:val="bottom"/>
            <w:hideMark/>
          </w:tcPr>
          <w:p w:rsidR="00D51D11" w:rsidRDefault="00D51D11">
            <w:pPr>
              <w:spacing w:after="0" w:line="240" w:lineRule="auto"/>
              <w:rPr>
                <w:lang w:eastAsia="en-US"/>
              </w:rPr>
            </w:pPr>
            <w:r>
              <w:rPr>
                <w:lang w:eastAsia="en-US"/>
              </w:rPr>
              <w:t>- на основании приказов (распоряжений) руководителя органа государственного контроля (надзора), изданного в соответствии с требованием органов прокуратуры</w:t>
            </w:r>
          </w:p>
        </w:tc>
        <w:tc>
          <w:tcPr>
            <w:tcW w:w="1560" w:type="dxa"/>
            <w:tcBorders>
              <w:top w:val="single" w:sz="4" w:space="0" w:color="auto"/>
              <w:left w:val="single" w:sz="4" w:space="0" w:color="auto"/>
              <w:bottom w:val="single" w:sz="4" w:space="0" w:color="auto"/>
              <w:right w:val="single" w:sz="4" w:space="0" w:color="auto"/>
            </w:tcBorders>
            <w:vAlign w:val="center"/>
            <w:hideMark/>
          </w:tcPr>
          <w:p w:rsidR="00D51D11" w:rsidRDefault="00D51D11">
            <w:pPr>
              <w:spacing w:after="0" w:line="240" w:lineRule="auto"/>
              <w:jc w:val="center"/>
              <w:rPr>
                <w:lang w:eastAsia="en-US"/>
              </w:rPr>
            </w:pPr>
            <w:r>
              <w:rPr>
                <w:lang w:eastAsia="en-US"/>
              </w:rPr>
              <w:t>1</w:t>
            </w:r>
          </w:p>
        </w:tc>
      </w:tr>
      <w:tr w:rsidR="00D51D11" w:rsidTr="00D51D11">
        <w:trPr>
          <w:trHeight w:val="345"/>
        </w:trPr>
        <w:tc>
          <w:tcPr>
            <w:tcW w:w="7523" w:type="dxa"/>
            <w:tcBorders>
              <w:top w:val="single" w:sz="4" w:space="0" w:color="auto"/>
              <w:left w:val="single" w:sz="4" w:space="0" w:color="auto"/>
              <w:bottom w:val="single" w:sz="4" w:space="0" w:color="auto"/>
              <w:right w:val="single" w:sz="4" w:space="0" w:color="auto"/>
            </w:tcBorders>
            <w:vAlign w:val="bottom"/>
            <w:hideMark/>
          </w:tcPr>
          <w:p w:rsidR="00D51D11" w:rsidRDefault="00D51D11">
            <w:pPr>
              <w:spacing w:after="0" w:line="240" w:lineRule="auto"/>
              <w:rPr>
                <w:color w:val="000000"/>
                <w:lang w:eastAsia="en-US"/>
              </w:rPr>
            </w:pPr>
            <w:r>
              <w:rPr>
                <w:color w:val="000000"/>
                <w:lang w:eastAsia="en-US"/>
              </w:rPr>
              <w:t>Количество документарных проверок</w:t>
            </w:r>
          </w:p>
        </w:tc>
        <w:tc>
          <w:tcPr>
            <w:tcW w:w="1560" w:type="dxa"/>
            <w:tcBorders>
              <w:top w:val="single" w:sz="4" w:space="0" w:color="auto"/>
              <w:left w:val="single" w:sz="4" w:space="0" w:color="auto"/>
              <w:bottom w:val="single" w:sz="4" w:space="0" w:color="auto"/>
              <w:right w:val="single" w:sz="4" w:space="0" w:color="auto"/>
            </w:tcBorders>
            <w:vAlign w:val="center"/>
            <w:hideMark/>
          </w:tcPr>
          <w:p w:rsidR="00D51D11" w:rsidRDefault="00D51D11">
            <w:pPr>
              <w:spacing w:after="0" w:line="240" w:lineRule="auto"/>
              <w:jc w:val="center"/>
              <w:rPr>
                <w:color w:val="000000"/>
                <w:lang w:eastAsia="en-US"/>
              </w:rPr>
            </w:pPr>
            <w:r>
              <w:rPr>
                <w:color w:val="000000"/>
                <w:lang w:eastAsia="en-US"/>
              </w:rPr>
              <w:t>12</w:t>
            </w:r>
          </w:p>
        </w:tc>
      </w:tr>
      <w:tr w:rsidR="00D51D11" w:rsidTr="00D51D11">
        <w:trPr>
          <w:trHeight w:val="345"/>
        </w:trPr>
        <w:tc>
          <w:tcPr>
            <w:tcW w:w="7523" w:type="dxa"/>
            <w:tcBorders>
              <w:top w:val="single" w:sz="4" w:space="0" w:color="auto"/>
              <w:left w:val="single" w:sz="4" w:space="0" w:color="auto"/>
              <w:bottom w:val="single" w:sz="4" w:space="0" w:color="auto"/>
              <w:right w:val="single" w:sz="4" w:space="0" w:color="auto"/>
            </w:tcBorders>
            <w:vAlign w:val="bottom"/>
            <w:hideMark/>
          </w:tcPr>
          <w:p w:rsidR="00D51D11" w:rsidRDefault="00D51D11">
            <w:pPr>
              <w:spacing w:after="0" w:line="240" w:lineRule="auto"/>
              <w:rPr>
                <w:color w:val="000000"/>
                <w:lang w:eastAsia="en-US"/>
              </w:rPr>
            </w:pPr>
            <w:r>
              <w:rPr>
                <w:color w:val="000000"/>
                <w:lang w:eastAsia="en-US"/>
              </w:rPr>
              <w:t>Количество выездных проверок</w:t>
            </w:r>
          </w:p>
        </w:tc>
        <w:tc>
          <w:tcPr>
            <w:tcW w:w="1560" w:type="dxa"/>
            <w:tcBorders>
              <w:top w:val="single" w:sz="4" w:space="0" w:color="auto"/>
              <w:left w:val="single" w:sz="4" w:space="0" w:color="auto"/>
              <w:bottom w:val="single" w:sz="4" w:space="0" w:color="auto"/>
              <w:right w:val="single" w:sz="4" w:space="0" w:color="auto"/>
            </w:tcBorders>
            <w:vAlign w:val="center"/>
            <w:hideMark/>
          </w:tcPr>
          <w:p w:rsidR="00D51D11" w:rsidRDefault="00D51D11">
            <w:pPr>
              <w:tabs>
                <w:tab w:val="left" w:pos="658"/>
              </w:tabs>
              <w:spacing w:after="0" w:line="240" w:lineRule="auto"/>
              <w:jc w:val="center"/>
              <w:rPr>
                <w:color w:val="000000"/>
                <w:lang w:eastAsia="en-US"/>
              </w:rPr>
            </w:pPr>
            <w:r>
              <w:rPr>
                <w:color w:val="000000"/>
                <w:lang w:eastAsia="en-US"/>
              </w:rPr>
              <w:t>11</w:t>
            </w:r>
          </w:p>
        </w:tc>
      </w:tr>
      <w:tr w:rsidR="00D51D11" w:rsidTr="00D51D11">
        <w:trPr>
          <w:trHeight w:val="360"/>
        </w:trPr>
        <w:tc>
          <w:tcPr>
            <w:tcW w:w="7523" w:type="dxa"/>
            <w:tcBorders>
              <w:top w:val="single" w:sz="4" w:space="0" w:color="auto"/>
              <w:left w:val="single" w:sz="4" w:space="0" w:color="auto"/>
              <w:bottom w:val="single" w:sz="4" w:space="0" w:color="auto"/>
              <w:right w:val="single" w:sz="4" w:space="0" w:color="auto"/>
            </w:tcBorders>
            <w:vAlign w:val="bottom"/>
            <w:hideMark/>
          </w:tcPr>
          <w:p w:rsidR="00D51D11" w:rsidRDefault="00D51D11">
            <w:pPr>
              <w:spacing w:after="0" w:line="240" w:lineRule="auto"/>
              <w:rPr>
                <w:color w:val="000000"/>
                <w:lang w:eastAsia="en-US"/>
              </w:rPr>
            </w:pPr>
            <w:r>
              <w:rPr>
                <w:color w:val="000000"/>
                <w:lang w:eastAsia="en-US"/>
              </w:rPr>
              <w:t>Количество проверок, результаты которых были признаны недействительными</w:t>
            </w:r>
          </w:p>
        </w:tc>
        <w:tc>
          <w:tcPr>
            <w:tcW w:w="1560" w:type="dxa"/>
            <w:tcBorders>
              <w:top w:val="single" w:sz="4" w:space="0" w:color="auto"/>
              <w:left w:val="single" w:sz="4" w:space="0" w:color="auto"/>
              <w:bottom w:val="single" w:sz="4" w:space="0" w:color="auto"/>
              <w:right w:val="single" w:sz="4" w:space="0" w:color="auto"/>
            </w:tcBorders>
            <w:vAlign w:val="center"/>
            <w:hideMark/>
          </w:tcPr>
          <w:p w:rsidR="00D51D11" w:rsidRDefault="00D51D11">
            <w:pPr>
              <w:tabs>
                <w:tab w:val="left" w:pos="658"/>
              </w:tabs>
              <w:spacing w:after="0" w:line="240" w:lineRule="auto"/>
              <w:jc w:val="center"/>
              <w:rPr>
                <w:color w:val="000000"/>
                <w:lang w:eastAsia="en-US"/>
              </w:rPr>
            </w:pPr>
            <w:r>
              <w:rPr>
                <w:color w:val="000000"/>
                <w:lang w:eastAsia="en-US"/>
              </w:rPr>
              <w:t>0</w:t>
            </w:r>
          </w:p>
        </w:tc>
      </w:tr>
    </w:tbl>
    <w:p w:rsidR="005727C2" w:rsidRDefault="005727C2" w:rsidP="005727C2">
      <w:pPr>
        <w:spacing w:after="0" w:line="240" w:lineRule="auto"/>
        <w:ind w:firstLine="757"/>
        <w:jc w:val="both"/>
        <w:rPr>
          <w:sz w:val="28"/>
          <w:szCs w:val="28"/>
        </w:rPr>
      </w:pPr>
    </w:p>
    <w:p w:rsidR="005727C2" w:rsidRDefault="005727C2" w:rsidP="005727C2">
      <w:pPr>
        <w:autoSpaceDE w:val="0"/>
        <w:autoSpaceDN w:val="0"/>
        <w:adjustRightInd w:val="0"/>
        <w:spacing w:after="0" w:line="240" w:lineRule="auto"/>
        <w:ind w:firstLine="709"/>
        <w:jc w:val="both"/>
        <w:rPr>
          <w:sz w:val="28"/>
          <w:szCs w:val="28"/>
        </w:rPr>
      </w:pPr>
      <w:r>
        <w:rPr>
          <w:sz w:val="28"/>
          <w:szCs w:val="28"/>
        </w:rPr>
        <w:t xml:space="preserve">Утвержденный руководителем </w:t>
      </w:r>
      <w:r w:rsidR="00B17B10">
        <w:rPr>
          <w:sz w:val="28"/>
          <w:szCs w:val="28"/>
        </w:rPr>
        <w:t>Д</w:t>
      </w:r>
      <w:r>
        <w:rPr>
          <w:sz w:val="28"/>
          <w:szCs w:val="28"/>
        </w:rPr>
        <w:t>епартамента план проведения департаментом плановых проверок юридических лиц, индивидуальных предпринимателей на 2019 год (</w:t>
      </w:r>
      <w:r>
        <w:rPr>
          <w:i/>
          <w:sz w:val="28"/>
          <w:szCs w:val="28"/>
        </w:rPr>
        <w:t>далее - План проверок на 2019 год</w:t>
      </w:r>
      <w:r>
        <w:rPr>
          <w:sz w:val="28"/>
          <w:szCs w:val="28"/>
        </w:rPr>
        <w:t xml:space="preserve">), согласованный в установленном порядке с прокуратурой области, был размещен в разделе «Деятельность / Контрольно-надзорная деятельность» официального сайта департамента в сети Интернет </w:t>
      </w:r>
      <w:r>
        <w:rPr>
          <w:sz w:val="28"/>
          <w:szCs w:val="28"/>
          <w:lang w:val="en-US"/>
        </w:rPr>
        <w:t>www</w:t>
      </w:r>
      <w:r>
        <w:rPr>
          <w:sz w:val="28"/>
          <w:szCs w:val="28"/>
        </w:rPr>
        <w:t>.</w:t>
      </w:r>
      <w:r>
        <w:rPr>
          <w:sz w:val="28"/>
          <w:szCs w:val="28"/>
          <w:lang w:val="en-US"/>
        </w:rPr>
        <w:t>tarif</w:t>
      </w:r>
      <w:r>
        <w:rPr>
          <w:sz w:val="28"/>
          <w:szCs w:val="28"/>
        </w:rPr>
        <w:t>.</w:t>
      </w:r>
      <w:r>
        <w:rPr>
          <w:sz w:val="28"/>
          <w:szCs w:val="28"/>
          <w:lang w:val="en-US"/>
        </w:rPr>
        <w:t>nso</w:t>
      </w:r>
      <w:r>
        <w:rPr>
          <w:sz w:val="28"/>
          <w:szCs w:val="28"/>
        </w:rPr>
        <w:t>.</w:t>
      </w:r>
      <w:r>
        <w:rPr>
          <w:sz w:val="28"/>
          <w:szCs w:val="28"/>
          <w:lang w:val="en-US"/>
        </w:rPr>
        <w:t>ru</w:t>
      </w:r>
      <w:r>
        <w:rPr>
          <w:sz w:val="28"/>
          <w:szCs w:val="28"/>
        </w:rPr>
        <w:t>.</w:t>
      </w:r>
    </w:p>
    <w:p w:rsidR="005727C2" w:rsidRDefault="005727C2" w:rsidP="005727C2">
      <w:pPr>
        <w:spacing w:after="0" w:line="240" w:lineRule="auto"/>
        <w:ind w:firstLine="757"/>
        <w:jc w:val="both"/>
        <w:rPr>
          <w:sz w:val="28"/>
          <w:szCs w:val="28"/>
        </w:rPr>
      </w:pPr>
      <w:r>
        <w:rPr>
          <w:sz w:val="28"/>
          <w:szCs w:val="28"/>
        </w:rPr>
        <w:t xml:space="preserve">Планом проверок на 2019 год, выполненным </w:t>
      </w:r>
      <w:r w:rsidR="00533808">
        <w:rPr>
          <w:sz w:val="28"/>
          <w:szCs w:val="28"/>
        </w:rPr>
        <w:t>Д</w:t>
      </w:r>
      <w:r>
        <w:rPr>
          <w:sz w:val="28"/>
          <w:szCs w:val="28"/>
        </w:rPr>
        <w:t>епартаментом в полном объеме, было предусмотрено проведение в 2019 году 13 проверок.</w:t>
      </w:r>
    </w:p>
    <w:p w:rsidR="005727C2" w:rsidRDefault="005727C2" w:rsidP="005727C2">
      <w:pPr>
        <w:spacing w:after="0" w:line="240" w:lineRule="auto"/>
        <w:ind w:firstLine="757"/>
        <w:jc w:val="both"/>
        <w:rPr>
          <w:sz w:val="28"/>
          <w:szCs w:val="28"/>
        </w:rPr>
      </w:pPr>
      <w:r>
        <w:rPr>
          <w:sz w:val="28"/>
          <w:szCs w:val="28"/>
        </w:rPr>
        <w:t>При подготовке проекта Плана проверок на 2019 год были учтены установленные федеральным законом «надзорные каникулы» для субъектов малого предпринимательства.</w:t>
      </w:r>
    </w:p>
    <w:p w:rsidR="005727C2" w:rsidRDefault="005727C2" w:rsidP="005727C2">
      <w:pPr>
        <w:spacing w:after="0" w:line="240" w:lineRule="auto"/>
        <w:ind w:firstLine="757"/>
        <w:jc w:val="both"/>
        <w:rPr>
          <w:sz w:val="28"/>
          <w:szCs w:val="28"/>
        </w:rPr>
      </w:pPr>
      <w:r>
        <w:rPr>
          <w:sz w:val="28"/>
          <w:szCs w:val="28"/>
        </w:rPr>
        <w:t xml:space="preserve">Плановые проверки проводятся (и планируются при формировании проекта плана проверок) </w:t>
      </w:r>
      <w:r w:rsidR="00533808">
        <w:rPr>
          <w:sz w:val="28"/>
          <w:szCs w:val="28"/>
        </w:rPr>
        <w:t>Д</w:t>
      </w:r>
      <w:r>
        <w:rPr>
          <w:sz w:val="28"/>
          <w:szCs w:val="28"/>
        </w:rPr>
        <w:t xml:space="preserve">епартаментом преимущественно в 1 полугодии календарного года, поскольку во 2 полугодии каждого текущего календарного года (в период сентябрь - декабрь) специалисты </w:t>
      </w:r>
      <w:r w:rsidR="00533808">
        <w:rPr>
          <w:sz w:val="28"/>
          <w:szCs w:val="28"/>
        </w:rPr>
        <w:t>Д</w:t>
      </w:r>
      <w:r>
        <w:rPr>
          <w:sz w:val="28"/>
          <w:szCs w:val="28"/>
        </w:rPr>
        <w:t xml:space="preserve">епартамента выполняют значительный объем работ, связанных с проведением экспертиз и принятием «тарифных решений» на следующий календарный год. </w:t>
      </w:r>
    </w:p>
    <w:p w:rsidR="005727C2" w:rsidRDefault="005727C2" w:rsidP="005727C2">
      <w:pPr>
        <w:autoSpaceDE w:val="0"/>
        <w:autoSpaceDN w:val="0"/>
        <w:adjustRightInd w:val="0"/>
        <w:spacing w:after="0" w:line="240" w:lineRule="auto"/>
        <w:ind w:firstLine="709"/>
        <w:jc w:val="both"/>
        <w:rPr>
          <w:sz w:val="28"/>
          <w:szCs w:val="28"/>
        </w:rPr>
      </w:pPr>
      <w:r>
        <w:rPr>
          <w:sz w:val="28"/>
          <w:szCs w:val="28"/>
        </w:rPr>
        <w:t xml:space="preserve">По результатам осуществления </w:t>
      </w:r>
      <w:r w:rsidR="00533808">
        <w:rPr>
          <w:sz w:val="28"/>
          <w:szCs w:val="28"/>
        </w:rPr>
        <w:t>Д</w:t>
      </w:r>
      <w:r>
        <w:rPr>
          <w:sz w:val="28"/>
          <w:szCs w:val="28"/>
        </w:rPr>
        <w:t xml:space="preserve">епартаментом в 2019 году государственного контроля (надзора) случаи причинения юридическими </w:t>
      </w:r>
      <w:r>
        <w:rPr>
          <w:sz w:val="28"/>
          <w:szCs w:val="28"/>
        </w:rPr>
        <w:lastRenderedPageBreak/>
        <w:t>лицами и индивидуальными предпринимателями, в отношении которых проводились контрольно-надзорные мероприятия, вреда жизни и здоровью граждан, вреда животным, растениям, окружающей среде, объектам культурного наследия (памятникам истории и культуры) народов Российской Федерации, имуществу физических и юридических лиц, безопасности государства, а также случаи возникновения чрезвычайных ситуаций природного и техногенного характера не выявлены.</w:t>
      </w:r>
    </w:p>
    <w:p w:rsidR="005727C2" w:rsidRDefault="005727C2" w:rsidP="005727C2">
      <w:pPr>
        <w:autoSpaceDE w:val="0"/>
        <w:autoSpaceDN w:val="0"/>
        <w:adjustRightInd w:val="0"/>
        <w:spacing w:after="0" w:line="240" w:lineRule="auto"/>
        <w:ind w:firstLine="709"/>
        <w:jc w:val="both"/>
        <w:rPr>
          <w:rFonts w:eastAsia="Calibri"/>
          <w:sz w:val="28"/>
          <w:szCs w:val="28"/>
        </w:rPr>
      </w:pPr>
      <w:r>
        <w:rPr>
          <w:sz w:val="28"/>
          <w:szCs w:val="28"/>
        </w:rPr>
        <w:t xml:space="preserve">Риск-ориентированный подход при организации и осуществлении регионального государственного контроля (надзора) департаментом в 2019 году не применялся. При этом необходимо отметить, что в 2019 году Порядком № 151-п установлены </w:t>
      </w:r>
      <w:r>
        <w:rPr>
          <w:rFonts w:eastAsia="Calibri"/>
          <w:sz w:val="28"/>
          <w:szCs w:val="28"/>
        </w:rPr>
        <w:t>критерии отнесения деятельности юридических лиц и индивидуальных предпринимателей к определенной категории риска при организации и осуществлении на территории Новосибирской области регионального государственного контроля (надзора) в области регулируемых государством цен (тарифов), в том числе за соблюдением предельного размера платы за проведение технического осмотра транспортных средств, установленного Правительством Новосибирской области в соответствии с Федеральным законом от 01.07.2011 № 170-ФЗ «О техническом осмотре транспортных средств и о внесении изменений в отдельные законодательные акты Российской Федерации» (</w:t>
      </w:r>
      <w:r>
        <w:rPr>
          <w:rFonts w:eastAsia="Calibri"/>
          <w:i/>
          <w:sz w:val="28"/>
          <w:szCs w:val="28"/>
        </w:rPr>
        <w:t>далее - Критерии</w:t>
      </w:r>
      <w:r>
        <w:rPr>
          <w:rFonts w:eastAsia="Calibri"/>
          <w:sz w:val="28"/>
          <w:szCs w:val="28"/>
        </w:rPr>
        <w:t xml:space="preserve">). </w:t>
      </w:r>
    </w:p>
    <w:p w:rsidR="005727C2" w:rsidRDefault="005727C2" w:rsidP="005727C2">
      <w:pPr>
        <w:autoSpaceDE w:val="0"/>
        <w:autoSpaceDN w:val="0"/>
        <w:adjustRightInd w:val="0"/>
        <w:spacing w:after="0" w:line="240" w:lineRule="auto"/>
        <w:ind w:firstLine="708"/>
        <w:jc w:val="both"/>
        <w:rPr>
          <w:rFonts w:eastAsia="Calibri"/>
          <w:sz w:val="28"/>
          <w:szCs w:val="28"/>
        </w:rPr>
      </w:pPr>
      <w:r>
        <w:rPr>
          <w:rFonts w:eastAsia="Calibri"/>
          <w:sz w:val="28"/>
          <w:szCs w:val="28"/>
        </w:rPr>
        <w:t>На основании Критериев приказом департамента от 23.08.2019 № 241 деятельности юридических лиц и индивидуальных предпринимателей, осуществляющих на территории Новосибирской области регулируемые департаментом виды деятельности, присвоены категории риска; соответствующая информация размещена на официальном сайте департамента в сети Интернет.</w:t>
      </w:r>
    </w:p>
    <w:p w:rsidR="005727C2" w:rsidRDefault="005727C2" w:rsidP="005727C2">
      <w:pPr>
        <w:autoSpaceDE w:val="0"/>
        <w:autoSpaceDN w:val="0"/>
        <w:adjustRightInd w:val="0"/>
        <w:spacing w:after="0" w:line="240" w:lineRule="auto"/>
        <w:ind w:firstLine="708"/>
        <w:jc w:val="both"/>
        <w:rPr>
          <w:rFonts w:eastAsia="Calibri"/>
          <w:sz w:val="28"/>
          <w:szCs w:val="28"/>
        </w:rPr>
      </w:pPr>
      <w:r>
        <w:rPr>
          <w:rFonts w:eastAsia="Calibri"/>
          <w:sz w:val="28"/>
          <w:szCs w:val="28"/>
        </w:rPr>
        <w:t>Кроме этого, на основании Критериев в 2019 году с учетом риск-ориентированного подхода в установленном порядке подготовлен и утвержден П</w:t>
      </w:r>
      <w:r>
        <w:rPr>
          <w:sz w:val="28"/>
          <w:szCs w:val="28"/>
        </w:rPr>
        <w:t>лан проведения департаментом плановых проверок юридических лиц, индивидуальных предпринимателей на 2020 год</w:t>
      </w:r>
      <w:r>
        <w:rPr>
          <w:rFonts w:eastAsia="Calibri"/>
          <w:sz w:val="28"/>
          <w:szCs w:val="28"/>
        </w:rPr>
        <w:t>.</w:t>
      </w:r>
    </w:p>
    <w:p w:rsidR="005727C2" w:rsidRDefault="005727C2" w:rsidP="005727C2">
      <w:pPr>
        <w:spacing w:after="0" w:line="240" w:lineRule="auto"/>
        <w:ind w:firstLine="709"/>
        <w:jc w:val="both"/>
        <w:rPr>
          <w:sz w:val="28"/>
          <w:szCs w:val="28"/>
        </w:rPr>
      </w:pPr>
      <w:r>
        <w:rPr>
          <w:rFonts w:eastAsia="Calibri"/>
          <w:sz w:val="28"/>
          <w:szCs w:val="28"/>
        </w:rPr>
        <w:t>Критерии и информация об отнесении деятельности юридических лиц и индивидуальных предпринимателей, осуществляющих на территории Новосибирской области регулируемые виды деятельности, к определенной категории риска размещены на официальном сайте департамента в сети Интернет в разделе «Контрольно-надзорная деятельность».</w:t>
      </w:r>
      <w:r>
        <w:rPr>
          <w:sz w:val="28"/>
          <w:szCs w:val="28"/>
        </w:rPr>
        <w:t xml:space="preserve"> </w:t>
      </w:r>
    </w:p>
    <w:p w:rsidR="005727C2" w:rsidRDefault="005727C2" w:rsidP="005727C2">
      <w:pPr>
        <w:spacing w:after="0" w:line="240" w:lineRule="auto"/>
        <w:ind w:firstLine="708"/>
        <w:jc w:val="both"/>
        <w:rPr>
          <w:bCs/>
          <w:sz w:val="28"/>
          <w:szCs w:val="28"/>
        </w:rPr>
      </w:pPr>
      <w:r>
        <w:rPr>
          <w:bCs/>
          <w:sz w:val="28"/>
          <w:szCs w:val="28"/>
        </w:rPr>
        <w:t xml:space="preserve">В 2019 году проведено 64 мероприятий, направленных на профилактику нарушений обязательных требований, в соответствии с Программой профилактики нарушений юридическими лицами и индивидуальными предпринимателями обязательных требований, оценка соблюдения которых является предметом осуществляемых департаментом по тарифам Новосибирской области видов регионального государственного контроля (надзора), на 2019 год </w:t>
      </w:r>
      <w:r>
        <w:rPr>
          <w:sz w:val="28"/>
          <w:szCs w:val="28"/>
        </w:rPr>
        <w:t>(утверждена приказом департамента № </w:t>
      </w:r>
      <w:r>
        <w:rPr>
          <w:bCs/>
          <w:sz w:val="28"/>
          <w:szCs w:val="28"/>
        </w:rPr>
        <w:t>24 от 24.12.2018).</w:t>
      </w:r>
    </w:p>
    <w:p w:rsidR="005727C2" w:rsidRDefault="005727C2" w:rsidP="005727C2">
      <w:pPr>
        <w:autoSpaceDE w:val="0"/>
        <w:autoSpaceDN w:val="0"/>
        <w:adjustRightInd w:val="0"/>
        <w:spacing w:after="0" w:line="240" w:lineRule="auto"/>
        <w:ind w:firstLine="708"/>
        <w:jc w:val="both"/>
        <w:rPr>
          <w:sz w:val="28"/>
          <w:szCs w:val="28"/>
        </w:rPr>
      </w:pPr>
      <w:r>
        <w:rPr>
          <w:sz w:val="28"/>
          <w:szCs w:val="28"/>
        </w:rPr>
        <w:lastRenderedPageBreak/>
        <w:t xml:space="preserve">При этом необходимо отметить, что при подсчете </w:t>
      </w:r>
      <w:r>
        <w:rPr>
          <w:bCs/>
          <w:sz w:val="28"/>
          <w:szCs w:val="28"/>
        </w:rPr>
        <w:t>мероприятий, направленных на профилактику нарушений обязательных требований, не учитывались</w:t>
      </w:r>
      <w:r>
        <w:rPr>
          <w:sz w:val="28"/>
          <w:szCs w:val="28"/>
        </w:rPr>
        <w:t xml:space="preserve"> такие профилактические мероприятия, как консультирование организаций, индивидуальных предпринимателей и граждан в устной и письменной формах, поскольку данные мероприятия осуществляются сотрудниками департамента ежедневно на постоянной основе, и в силу большого количества (исчисляемого в тысячах единиц) их регистрация и дальнейший учет не производятся (за исключением регистрации поступающих в департамент письменных обращений).</w:t>
      </w:r>
    </w:p>
    <w:p w:rsidR="005727C2" w:rsidRDefault="005727C2" w:rsidP="005727C2">
      <w:pPr>
        <w:spacing w:after="0" w:line="240" w:lineRule="auto"/>
        <w:ind w:firstLine="709"/>
        <w:jc w:val="both"/>
        <w:rPr>
          <w:sz w:val="28"/>
          <w:szCs w:val="28"/>
        </w:rPr>
      </w:pPr>
      <w:r>
        <w:rPr>
          <w:sz w:val="28"/>
          <w:szCs w:val="28"/>
        </w:rPr>
        <w:t xml:space="preserve">Из вышеуказанных профилактических мероприятий, проведенных департаментом в 2019 году, можно выделить: </w:t>
      </w:r>
    </w:p>
    <w:p w:rsidR="005727C2" w:rsidRDefault="005727C2" w:rsidP="005727C2">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1) информирование подконтрольных субъектов о вступлении в законную силу новых нормативных правовых актов, устанавливающих обязательные требования, и о внесенных изменениях в действующие акты, сроках и порядке вступления их в силу;</w:t>
      </w:r>
    </w:p>
    <w:p w:rsidR="005727C2" w:rsidRDefault="005727C2" w:rsidP="005727C2">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2) проведение разъяснительной работы по вопросам соблюдения обязательных требований (письменное и устное консультирование регулируемых организаций, «День открытых дверей»);</w:t>
      </w:r>
    </w:p>
    <w:p w:rsidR="005727C2" w:rsidRDefault="005727C2" w:rsidP="005727C2">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3) обобщение практики осуществления департаментом государственного контроля (надзора) с указанием наиболее часто встречающихся случаев нарушений обязательных требований с рекомендациями о мерах, которые должны приниматься подконтрольными субъектами в целях недопущения таких нарушений;</w:t>
      </w:r>
    </w:p>
    <w:p w:rsidR="005727C2" w:rsidRDefault="005727C2" w:rsidP="005727C2">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4) разработка и размещение на официальном сайте департамента в сети Интернет руководства по соблюдению обязательных требований;</w:t>
      </w:r>
    </w:p>
    <w:p w:rsidR="005727C2" w:rsidRDefault="005727C2" w:rsidP="005727C2">
      <w:pPr>
        <w:pStyle w:val="ConsPlusNormal"/>
        <w:ind w:firstLine="709"/>
        <w:jc w:val="both"/>
        <w:rPr>
          <w:rFonts w:ascii="Times New Roman" w:hAnsi="Times New Roman" w:cs="Times New Roman"/>
          <w:color w:val="2D2D2D"/>
          <w:spacing w:val="2"/>
          <w:sz w:val="28"/>
          <w:szCs w:val="28"/>
          <w:shd w:val="clear" w:color="auto" w:fill="FFFFFF"/>
        </w:rPr>
      </w:pPr>
      <w:r>
        <w:rPr>
          <w:rFonts w:ascii="Times New Roman" w:hAnsi="Times New Roman" w:cs="Times New Roman"/>
          <w:sz w:val="28"/>
          <w:szCs w:val="28"/>
        </w:rPr>
        <w:t>5) п</w:t>
      </w:r>
      <w:r>
        <w:rPr>
          <w:rFonts w:ascii="Times New Roman" w:hAnsi="Times New Roman" w:cs="Times New Roman"/>
          <w:color w:val="2D2D2D"/>
          <w:spacing w:val="2"/>
          <w:sz w:val="28"/>
          <w:szCs w:val="28"/>
          <w:shd w:val="clear" w:color="auto" w:fill="FFFFFF"/>
        </w:rPr>
        <w:t>убличные обсуждения правоприменительной практики контрольно-надзорной деятельности департамента;</w:t>
      </w:r>
    </w:p>
    <w:p w:rsidR="005727C2" w:rsidRDefault="005727C2" w:rsidP="005727C2">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6) выдача предостережений о недопустимости нарушения обязательных требований.</w:t>
      </w:r>
    </w:p>
    <w:p w:rsidR="005727C2" w:rsidRDefault="005727C2" w:rsidP="005727C2">
      <w:pPr>
        <w:autoSpaceDE w:val="0"/>
        <w:autoSpaceDN w:val="0"/>
        <w:adjustRightInd w:val="0"/>
        <w:spacing w:after="0" w:line="240" w:lineRule="auto"/>
        <w:ind w:firstLine="709"/>
        <w:jc w:val="both"/>
        <w:rPr>
          <w:kern w:val="28"/>
          <w:sz w:val="28"/>
          <w:szCs w:val="28"/>
        </w:rPr>
      </w:pPr>
      <w:r>
        <w:rPr>
          <w:kern w:val="28"/>
          <w:sz w:val="28"/>
          <w:szCs w:val="28"/>
        </w:rPr>
        <w:t xml:space="preserve">В 2019 году </w:t>
      </w:r>
      <w:r w:rsidR="00B17B10">
        <w:rPr>
          <w:kern w:val="28"/>
          <w:sz w:val="28"/>
          <w:szCs w:val="28"/>
        </w:rPr>
        <w:t>Д</w:t>
      </w:r>
      <w:r>
        <w:rPr>
          <w:kern w:val="28"/>
          <w:sz w:val="28"/>
          <w:szCs w:val="28"/>
        </w:rPr>
        <w:t>епартаментом проведено 7398 мероприятий без взаимодействия с подконтрольными субъектами, что на 32% больше, чем в 2018 году. Существенное увеличение данного показателя связано с необходимостью переориентирования контрольно-надзорной деятельности в рамках её реформирования на так называемый «бесконтактный» с поднадзорным субъектом контроль (надзор).</w:t>
      </w:r>
    </w:p>
    <w:p w:rsidR="005727C2" w:rsidRDefault="005727C2" w:rsidP="005727C2">
      <w:pPr>
        <w:spacing w:after="0" w:line="240" w:lineRule="auto"/>
        <w:ind w:firstLine="757"/>
        <w:jc w:val="both"/>
        <w:rPr>
          <w:kern w:val="28"/>
          <w:sz w:val="28"/>
          <w:szCs w:val="28"/>
        </w:rPr>
      </w:pPr>
      <w:r>
        <w:rPr>
          <w:kern w:val="28"/>
          <w:sz w:val="28"/>
          <w:szCs w:val="28"/>
        </w:rPr>
        <w:t xml:space="preserve">Указанные контрольные мероприятия осуществляются преимущественно в форме систематического наблюдения </w:t>
      </w:r>
      <w:r>
        <w:rPr>
          <w:rFonts w:eastAsiaTheme="minorHAnsi"/>
          <w:sz w:val="28"/>
          <w:szCs w:val="28"/>
          <w:lang w:eastAsia="en-US"/>
        </w:rPr>
        <w:t>за исполнением обязательных требований, анализа и прогнозирования состояния исполнения обязательных требований при осуществлении деятельности подконтрольными субъектами</w:t>
      </w:r>
      <w:r>
        <w:rPr>
          <w:kern w:val="28"/>
          <w:sz w:val="28"/>
          <w:szCs w:val="28"/>
        </w:rPr>
        <w:t>, в т.ч.:</w:t>
      </w:r>
    </w:p>
    <w:p w:rsidR="005727C2" w:rsidRDefault="005727C2" w:rsidP="005727C2">
      <w:pPr>
        <w:spacing w:after="0" w:line="240" w:lineRule="auto"/>
        <w:ind w:firstLine="757"/>
        <w:jc w:val="both"/>
        <w:rPr>
          <w:sz w:val="28"/>
          <w:szCs w:val="28"/>
        </w:rPr>
      </w:pPr>
      <w:r>
        <w:rPr>
          <w:sz w:val="28"/>
          <w:szCs w:val="28"/>
        </w:rPr>
        <w:t xml:space="preserve">1) соблюдения подконтрольными субъектами стандартов раскрытия информации; </w:t>
      </w:r>
    </w:p>
    <w:p w:rsidR="005727C2" w:rsidRDefault="005727C2" w:rsidP="005727C2">
      <w:pPr>
        <w:autoSpaceDE w:val="0"/>
        <w:autoSpaceDN w:val="0"/>
        <w:adjustRightInd w:val="0"/>
        <w:spacing w:after="0" w:line="240" w:lineRule="auto"/>
        <w:ind w:firstLine="757"/>
        <w:jc w:val="both"/>
        <w:rPr>
          <w:sz w:val="28"/>
          <w:szCs w:val="28"/>
        </w:rPr>
      </w:pPr>
      <w:r>
        <w:rPr>
          <w:sz w:val="28"/>
          <w:szCs w:val="28"/>
        </w:rPr>
        <w:t>2) использования инвестиционных ресурсов, включенных в регулируемые государством цены (тарифы) в сфере электроэнергетики или в сфере теплоснабжения;</w:t>
      </w:r>
    </w:p>
    <w:p w:rsidR="005727C2" w:rsidRDefault="005727C2" w:rsidP="005727C2">
      <w:pPr>
        <w:autoSpaceDE w:val="0"/>
        <w:autoSpaceDN w:val="0"/>
        <w:adjustRightInd w:val="0"/>
        <w:spacing w:after="0" w:line="240" w:lineRule="auto"/>
        <w:ind w:firstLine="757"/>
        <w:jc w:val="both"/>
        <w:rPr>
          <w:sz w:val="28"/>
          <w:szCs w:val="28"/>
        </w:rPr>
      </w:pPr>
      <w:r>
        <w:rPr>
          <w:sz w:val="28"/>
          <w:szCs w:val="28"/>
        </w:rPr>
        <w:lastRenderedPageBreak/>
        <w:t>3) целевого использования финансовых средств, полученных газораспределительными организациями на территории Новосибирской области в результате введения специальных надбавок к тарифам на транспортировку газа, предназначенных для финансирования программ газификации;</w:t>
      </w:r>
    </w:p>
    <w:p w:rsidR="005727C2" w:rsidRDefault="005727C2" w:rsidP="005727C2">
      <w:pPr>
        <w:autoSpaceDE w:val="0"/>
        <w:autoSpaceDN w:val="0"/>
        <w:adjustRightInd w:val="0"/>
        <w:spacing w:after="0" w:line="240" w:lineRule="auto"/>
        <w:ind w:firstLine="757"/>
        <w:jc w:val="both"/>
        <w:rPr>
          <w:sz w:val="28"/>
          <w:szCs w:val="28"/>
        </w:rPr>
      </w:pPr>
      <w:r>
        <w:rPr>
          <w:sz w:val="28"/>
          <w:szCs w:val="28"/>
        </w:rPr>
        <w:t>4) соблюдения электросетевыми организациями установленных для них департаментом показателей надежности и качества поставляемых товаров и оказываемых услуг;</w:t>
      </w:r>
    </w:p>
    <w:p w:rsidR="005727C2" w:rsidRDefault="005727C2" w:rsidP="005727C2">
      <w:pPr>
        <w:autoSpaceDE w:val="0"/>
        <w:autoSpaceDN w:val="0"/>
        <w:adjustRightInd w:val="0"/>
        <w:spacing w:after="0" w:line="240" w:lineRule="auto"/>
        <w:ind w:firstLine="757"/>
        <w:jc w:val="both"/>
        <w:rPr>
          <w:sz w:val="28"/>
          <w:szCs w:val="28"/>
        </w:rPr>
      </w:pPr>
      <w:r>
        <w:rPr>
          <w:sz w:val="28"/>
          <w:szCs w:val="28"/>
        </w:rPr>
        <w:t>5) достижения организациями, осуществляющими регулируемые виды деятельности в сфере теплоснабжения, установленных для них департаментом плановых значений показателей надежности и энергетической эффективности объектов теплоснабжения;</w:t>
      </w:r>
    </w:p>
    <w:p w:rsidR="005727C2" w:rsidRDefault="005727C2" w:rsidP="005727C2">
      <w:pPr>
        <w:autoSpaceDE w:val="0"/>
        <w:autoSpaceDN w:val="0"/>
        <w:adjustRightInd w:val="0"/>
        <w:spacing w:after="0" w:line="240" w:lineRule="auto"/>
        <w:ind w:firstLine="757"/>
        <w:jc w:val="both"/>
        <w:rPr>
          <w:sz w:val="28"/>
          <w:szCs w:val="28"/>
        </w:rPr>
      </w:pPr>
      <w:r>
        <w:rPr>
          <w:sz w:val="28"/>
          <w:szCs w:val="28"/>
        </w:rPr>
        <w:t>6) применения цен на лекарственные препараты, включенные в перечень жизненно необходимых и важнейших лекарственных препаратов;</w:t>
      </w:r>
    </w:p>
    <w:p w:rsidR="005727C2" w:rsidRDefault="005727C2" w:rsidP="005727C2">
      <w:pPr>
        <w:autoSpaceDE w:val="0"/>
        <w:autoSpaceDN w:val="0"/>
        <w:adjustRightInd w:val="0"/>
        <w:spacing w:after="0" w:line="240" w:lineRule="auto"/>
        <w:ind w:firstLine="757"/>
        <w:jc w:val="both"/>
        <w:rPr>
          <w:sz w:val="28"/>
          <w:szCs w:val="28"/>
        </w:rPr>
      </w:pPr>
      <w:r>
        <w:rPr>
          <w:sz w:val="28"/>
          <w:szCs w:val="28"/>
        </w:rPr>
        <w:t>7) соблюдения обязательных требований законодательства в части принятия подконтрольными субъектами программ в области энергосбережения и повышения энергетической эффективности и соблюдения установленных департаментом требований к этим программам.</w:t>
      </w:r>
    </w:p>
    <w:p w:rsidR="005727C2" w:rsidRDefault="005727C2" w:rsidP="005727C2">
      <w:pPr>
        <w:autoSpaceDE w:val="0"/>
        <w:autoSpaceDN w:val="0"/>
        <w:adjustRightInd w:val="0"/>
        <w:spacing w:after="0" w:line="240" w:lineRule="auto"/>
        <w:ind w:firstLine="709"/>
        <w:jc w:val="both"/>
        <w:rPr>
          <w:kern w:val="28"/>
          <w:sz w:val="28"/>
          <w:szCs w:val="28"/>
        </w:rPr>
      </w:pPr>
      <w:r>
        <w:rPr>
          <w:kern w:val="28"/>
          <w:sz w:val="28"/>
          <w:szCs w:val="28"/>
        </w:rPr>
        <w:t xml:space="preserve">При этом следует отметить, что такой вид контрольных мероприятий показывает достаточно высокую эффективность. Так, по их результатам за 2019 год непосредственно департаментом возбуждено 208 дел об административных правонарушениях, что составило 69% от общего числа дел об административных правонарушениях, возбужденных непосредственно департаментом в 2019 году (302 дела). По сравнению с 2018 годом количество дел об административных правонарушениях, возбужденных непосредственно департаментом в 2019 году, возросло на 23% (в 2019 году - 302 дела, в 2018 году - 232 дела), что также связано с увеличением количества дел об административных правонарушениях, возбужденных по результатам мероприятий без взаимодействия с подконтрольными субъектами. Сумма наложенных административных штрафов по результатам данных мероприятий составила 2,008 млн. рублей. </w:t>
      </w:r>
    </w:p>
    <w:p w:rsidR="005727C2" w:rsidRDefault="005727C2" w:rsidP="005727C2">
      <w:pPr>
        <w:autoSpaceDE w:val="0"/>
        <w:autoSpaceDN w:val="0"/>
        <w:adjustRightInd w:val="0"/>
        <w:spacing w:after="0" w:line="240" w:lineRule="auto"/>
        <w:ind w:firstLine="757"/>
        <w:jc w:val="both"/>
        <w:rPr>
          <w:sz w:val="28"/>
          <w:szCs w:val="28"/>
          <w:shd w:val="clear" w:color="auto" w:fill="FFFFFF"/>
        </w:rPr>
      </w:pPr>
      <w:r>
        <w:rPr>
          <w:kern w:val="28"/>
          <w:sz w:val="28"/>
          <w:szCs w:val="28"/>
        </w:rPr>
        <w:t xml:space="preserve">Смещение акцента контрольно-надзорной деятельности </w:t>
      </w:r>
      <w:r w:rsidR="00B17B10">
        <w:rPr>
          <w:kern w:val="28"/>
          <w:sz w:val="28"/>
          <w:szCs w:val="28"/>
        </w:rPr>
        <w:t>Д</w:t>
      </w:r>
      <w:r>
        <w:rPr>
          <w:kern w:val="28"/>
          <w:sz w:val="28"/>
          <w:szCs w:val="28"/>
        </w:rPr>
        <w:t xml:space="preserve">епартамента в сторону проведения мероприятий без взаимодействия с подконтрольными субъектами, мероприятий по профилактике нарушений обязательных требований </w:t>
      </w:r>
      <w:r>
        <w:rPr>
          <w:sz w:val="28"/>
          <w:szCs w:val="28"/>
        </w:rPr>
        <w:t xml:space="preserve">отражает общую тенденцию развития реформы контрольно-надзорной деятельности, подразумевающую снижение административной нагрузки на субъектов предпринимательской деятельности, </w:t>
      </w:r>
      <w:r>
        <w:rPr>
          <w:sz w:val="28"/>
          <w:szCs w:val="28"/>
          <w:shd w:val="clear" w:color="auto" w:fill="FFFFFF"/>
        </w:rPr>
        <w:t>оптимизацию контрольных мероприятий, сокращение издержек на осуществление контрольно-надзорной функции.</w:t>
      </w:r>
    </w:p>
    <w:p w:rsidR="005727C2" w:rsidRDefault="005727C2" w:rsidP="005727C2">
      <w:pPr>
        <w:autoSpaceDE w:val="0"/>
        <w:autoSpaceDN w:val="0"/>
        <w:adjustRightInd w:val="0"/>
        <w:spacing w:after="0" w:line="240" w:lineRule="auto"/>
        <w:ind w:firstLine="757"/>
        <w:jc w:val="both"/>
        <w:rPr>
          <w:sz w:val="28"/>
          <w:szCs w:val="28"/>
          <w:shd w:val="clear" w:color="auto" w:fill="FFFFFF"/>
        </w:rPr>
      </w:pPr>
      <w:r>
        <w:rPr>
          <w:sz w:val="28"/>
          <w:szCs w:val="28"/>
          <w:shd w:val="clear" w:color="auto" w:fill="FFFFFF"/>
        </w:rPr>
        <w:t xml:space="preserve">В отношении субъектов малого предпринимательства в 2019 году департаментом проведено 4 внеплановые проверки: </w:t>
      </w:r>
    </w:p>
    <w:p w:rsidR="005727C2" w:rsidRDefault="005727C2" w:rsidP="005727C2">
      <w:pPr>
        <w:autoSpaceDE w:val="0"/>
        <w:autoSpaceDN w:val="0"/>
        <w:adjustRightInd w:val="0"/>
        <w:spacing w:after="0" w:line="240" w:lineRule="auto"/>
        <w:ind w:firstLine="757"/>
        <w:jc w:val="both"/>
        <w:rPr>
          <w:sz w:val="28"/>
          <w:szCs w:val="28"/>
          <w:shd w:val="clear" w:color="auto" w:fill="FFFFFF"/>
        </w:rPr>
      </w:pPr>
      <w:r>
        <w:rPr>
          <w:sz w:val="28"/>
          <w:szCs w:val="28"/>
          <w:shd w:val="clear" w:color="auto" w:fill="FFFFFF"/>
        </w:rPr>
        <w:t xml:space="preserve">1 проверка на основании поступившего в департамент обращения о нарушениях субъектом малого предпринимательства обязательных требований (контрольное мероприятие проводилось департаментом </w:t>
      </w:r>
      <w:r>
        <w:rPr>
          <w:sz w:val="28"/>
          <w:szCs w:val="28"/>
        </w:rPr>
        <w:t xml:space="preserve">на основании статьи 7 </w:t>
      </w:r>
      <w:r>
        <w:rPr>
          <w:rFonts w:eastAsia="Calibri"/>
          <w:sz w:val="28"/>
          <w:szCs w:val="28"/>
        </w:rPr>
        <w:t xml:space="preserve">Федерального закона от 17.08.1995 № 147-ФЗ «О </w:t>
      </w:r>
      <w:r>
        <w:rPr>
          <w:rFonts w:eastAsia="Calibri"/>
          <w:sz w:val="28"/>
          <w:szCs w:val="28"/>
        </w:rPr>
        <w:lastRenderedPageBreak/>
        <w:t>естественных монополиях»; в ходе проверки выявлены нарушения обязательных требований</w:t>
      </w:r>
      <w:r>
        <w:rPr>
          <w:sz w:val="28"/>
          <w:szCs w:val="28"/>
          <w:shd w:val="clear" w:color="auto" w:fill="FFFFFF"/>
        </w:rPr>
        <w:t xml:space="preserve">); </w:t>
      </w:r>
    </w:p>
    <w:p w:rsidR="005727C2" w:rsidRDefault="005727C2" w:rsidP="005727C2">
      <w:pPr>
        <w:autoSpaceDE w:val="0"/>
        <w:autoSpaceDN w:val="0"/>
        <w:adjustRightInd w:val="0"/>
        <w:spacing w:after="0" w:line="240" w:lineRule="auto"/>
        <w:ind w:firstLine="757"/>
        <w:jc w:val="both"/>
        <w:rPr>
          <w:sz w:val="28"/>
          <w:szCs w:val="28"/>
          <w:shd w:val="clear" w:color="auto" w:fill="FFFFFF"/>
        </w:rPr>
      </w:pPr>
      <w:r>
        <w:rPr>
          <w:sz w:val="28"/>
          <w:szCs w:val="28"/>
          <w:shd w:val="clear" w:color="auto" w:fill="FFFFFF"/>
        </w:rPr>
        <w:t xml:space="preserve">1 проверка на основании требования прокуратуры области (в ходе проверки выявлены нарушения обязательных требований); </w:t>
      </w:r>
    </w:p>
    <w:p w:rsidR="005727C2" w:rsidRDefault="005727C2" w:rsidP="005727C2">
      <w:pPr>
        <w:autoSpaceDE w:val="0"/>
        <w:autoSpaceDN w:val="0"/>
        <w:adjustRightInd w:val="0"/>
        <w:spacing w:after="0" w:line="240" w:lineRule="auto"/>
        <w:ind w:firstLine="757"/>
        <w:jc w:val="both"/>
        <w:rPr>
          <w:sz w:val="28"/>
          <w:szCs w:val="28"/>
          <w:shd w:val="clear" w:color="auto" w:fill="FFFFFF"/>
        </w:rPr>
      </w:pPr>
      <w:r>
        <w:rPr>
          <w:sz w:val="28"/>
          <w:szCs w:val="28"/>
          <w:shd w:val="clear" w:color="auto" w:fill="FFFFFF"/>
        </w:rPr>
        <w:t>2 проверки исполнения ранее выданных департаментом предписаний об устранении нарушений обязательных требований, выявленных по результатам внеплановых проверок (в ходе одной из проверок выявлен факт неисполнения предписания).</w:t>
      </w:r>
    </w:p>
    <w:p w:rsidR="005727C2" w:rsidRDefault="005727C2" w:rsidP="005727C2">
      <w:pPr>
        <w:autoSpaceDE w:val="0"/>
        <w:autoSpaceDN w:val="0"/>
        <w:adjustRightInd w:val="0"/>
        <w:spacing w:after="0" w:line="240" w:lineRule="auto"/>
        <w:ind w:firstLine="757"/>
        <w:jc w:val="both"/>
        <w:rPr>
          <w:color w:val="4F81BD" w:themeColor="accent1"/>
          <w:sz w:val="28"/>
          <w:szCs w:val="28"/>
        </w:rPr>
      </w:pPr>
    </w:p>
    <w:p w:rsidR="005727C2" w:rsidRDefault="00533808" w:rsidP="005727C2">
      <w:pPr>
        <w:spacing w:after="0" w:line="240" w:lineRule="auto"/>
        <w:rPr>
          <w:b/>
          <w:sz w:val="28"/>
          <w:szCs w:val="28"/>
        </w:rPr>
      </w:pPr>
      <w:r>
        <w:rPr>
          <w:b/>
          <w:sz w:val="28"/>
          <w:szCs w:val="28"/>
        </w:rPr>
        <w:t>4</w:t>
      </w:r>
      <w:r w:rsidR="005727C2">
        <w:rPr>
          <w:b/>
          <w:sz w:val="28"/>
          <w:szCs w:val="28"/>
        </w:rPr>
        <w:t>.3.    Действия департамента по пресечению нарушений обязательных требований и (или) устранению последствий таких нарушений.</w:t>
      </w:r>
    </w:p>
    <w:p w:rsidR="005727C2" w:rsidRDefault="005727C2" w:rsidP="005727C2">
      <w:pPr>
        <w:spacing w:after="0" w:line="240" w:lineRule="auto"/>
        <w:rPr>
          <w:b/>
          <w:sz w:val="28"/>
          <w:szCs w:val="28"/>
        </w:rPr>
      </w:pPr>
    </w:p>
    <w:tbl>
      <w:tblPr>
        <w:tblW w:w="9645" w:type="dxa"/>
        <w:tblInd w:w="9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394"/>
        <w:gridCol w:w="992"/>
        <w:gridCol w:w="709"/>
        <w:gridCol w:w="1134"/>
        <w:gridCol w:w="1416"/>
      </w:tblGrid>
      <w:tr w:rsidR="005727C2" w:rsidTr="005727C2">
        <w:trPr>
          <w:trHeight w:val="300"/>
        </w:trPr>
        <w:tc>
          <w:tcPr>
            <w:tcW w:w="9649" w:type="dxa"/>
            <w:gridSpan w:val="5"/>
            <w:tcBorders>
              <w:top w:val="single" w:sz="4" w:space="0" w:color="auto"/>
              <w:left w:val="single" w:sz="4" w:space="0" w:color="auto"/>
              <w:bottom w:val="single" w:sz="4" w:space="0" w:color="auto"/>
              <w:right w:val="single" w:sz="4" w:space="0" w:color="auto"/>
            </w:tcBorders>
            <w:vAlign w:val="bottom"/>
            <w:hideMark/>
          </w:tcPr>
          <w:p w:rsidR="005727C2" w:rsidRDefault="005727C2">
            <w:pPr>
              <w:spacing w:after="0" w:line="240" w:lineRule="auto"/>
              <w:jc w:val="center"/>
              <w:rPr>
                <w:b/>
                <w:color w:val="000000"/>
                <w:lang w:eastAsia="en-US"/>
              </w:rPr>
            </w:pPr>
            <w:r>
              <w:rPr>
                <w:b/>
                <w:color w:val="000000"/>
                <w:lang w:eastAsia="en-US"/>
              </w:rPr>
              <w:t xml:space="preserve">Результаты проверок, проведенных департаментом в 2019 году </w:t>
            </w:r>
          </w:p>
        </w:tc>
      </w:tr>
      <w:tr w:rsidR="005727C2" w:rsidTr="005727C2">
        <w:trPr>
          <w:trHeight w:val="288"/>
        </w:trPr>
        <w:tc>
          <w:tcPr>
            <w:tcW w:w="5397" w:type="dxa"/>
            <w:vMerge w:val="restart"/>
            <w:tcBorders>
              <w:top w:val="single" w:sz="4" w:space="0" w:color="auto"/>
              <w:left w:val="single" w:sz="8" w:space="0" w:color="auto"/>
              <w:bottom w:val="single" w:sz="8" w:space="0" w:color="000000"/>
              <w:right w:val="single" w:sz="4" w:space="0" w:color="auto"/>
            </w:tcBorders>
            <w:noWrap/>
            <w:vAlign w:val="center"/>
            <w:hideMark/>
          </w:tcPr>
          <w:p w:rsidR="005727C2" w:rsidRDefault="005727C2">
            <w:pPr>
              <w:spacing w:after="0" w:line="240" w:lineRule="auto"/>
              <w:jc w:val="center"/>
              <w:rPr>
                <w:color w:val="000000"/>
                <w:sz w:val="20"/>
                <w:szCs w:val="20"/>
                <w:lang w:eastAsia="en-US"/>
              </w:rPr>
            </w:pPr>
            <w:r>
              <w:rPr>
                <w:color w:val="000000"/>
                <w:sz w:val="20"/>
                <w:szCs w:val="20"/>
                <w:lang w:eastAsia="en-US"/>
              </w:rPr>
              <w:t>Наименование показателя</w:t>
            </w:r>
          </w:p>
        </w:tc>
        <w:tc>
          <w:tcPr>
            <w:tcW w:w="992" w:type="dxa"/>
            <w:vMerge w:val="restart"/>
            <w:tcBorders>
              <w:top w:val="single" w:sz="4" w:space="0" w:color="auto"/>
              <w:left w:val="single" w:sz="4" w:space="0" w:color="auto"/>
              <w:bottom w:val="single" w:sz="8" w:space="0" w:color="000000"/>
              <w:right w:val="single" w:sz="4" w:space="0" w:color="auto"/>
            </w:tcBorders>
            <w:vAlign w:val="center"/>
            <w:hideMark/>
          </w:tcPr>
          <w:p w:rsidR="005727C2" w:rsidRDefault="005727C2">
            <w:pPr>
              <w:spacing w:after="0" w:line="240" w:lineRule="auto"/>
              <w:jc w:val="center"/>
              <w:rPr>
                <w:color w:val="000000"/>
                <w:sz w:val="20"/>
                <w:szCs w:val="20"/>
                <w:lang w:eastAsia="en-US"/>
              </w:rPr>
            </w:pPr>
            <w:r>
              <w:rPr>
                <w:color w:val="000000"/>
                <w:sz w:val="20"/>
                <w:szCs w:val="20"/>
                <w:lang w:eastAsia="en-US"/>
              </w:rPr>
              <w:t xml:space="preserve">1 п/г 2019 года </w:t>
            </w:r>
          </w:p>
        </w:tc>
        <w:tc>
          <w:tcPr>
            <w:tcW w:w="709" w:type="dxa"/>
            <w:vMerge w:val="restart"/>
            <w:tcBorders>
              <w:top w:val="single" w:sz="4" w:space="0" w:color="auto"/>
              <w:left w:val="single" w:sz="4" w:space="0" w:color="auto"/>
              <w:bottom w:val="single" w:sz="8" w:space="0" w:color="000000"/>
              <w:right w:val="single" w:sz="4" w:space="0" w:color="auto"/>
            </w:tcBorders>
            <w:vAlign w:val="center"/>
            <w:hideMark/>
          </w:tcPr>
          <w:p w:rsidR="005727C2" w:rsidRDefault="005727C2">
            <w:pPr>
              <w:spacing w:after="0" w:line="240" w:lineRule="auto"/>
              <w:jc w:val="center"/>
              <w:rPr>
                <w:color w:val="000000"/>
                <w:sz w:val="20"/>
                <w:szCs w:val="20"/>
                <w:lang w:eastAsia="en-US"/>
              </w:rPr>
            </w:pPr>
            <w:r>
              <w:rPr>
                <w:color w:val="000000"/>
                <w:sz w:val="20"/>
                <w:szCs w:val="20"/>
                <w:lang w:eastAsia="en-US"/>
              </w:rPr>
              <w:t>Всего за 2019 год</w:t>
            </w:r>
            <w:r>
              <w:rPr>
                <w:color w:val="000000"/>
                <w:sz w:val="20"/>
                <w:szCs w:val="20"/>
                <w:lang w:eastAsia="en-US"/>
              </w:rPr>
              <w:br/>
            </w:r>
          </w:p>
        </w:tc>
        <w:tc>
          <w:tcPr>
            <w:tcW w:w="2551" w:type="dxa"/>
            <w:gridSpan w:val="2"/>
            <w:tcBorders>
              <w:top w:val="single" w:sz="4" w:space="0" w:color="auto"/>
              <w:left w:val="nil"/>
              <w:bottom w:val="single" w:sz="4" w:space="0" w:color="auto"/>
              <w:right w:val="single" w:sz="8" w:space="0" w:color="000000"/>
            </w:tcBorders>
            <w:noWrap/>
            <w:vAlign w:val="bottom"/>
            <w:hideMark/>
          </w:tcPr>
          <w:p w:rsidR="005727C2" w:rsidRDefault="005727C2">
            <w:pPr>
              <w:spacing w:after="0" w:line="240" w:lineRule="auto"/>
              <w:jc w:val="center"/>
              <w:rPr>
                <w:color w:val="000000"/>
                <w:sz w:val="20"/>
                <w:szCs w:val="20"/>
                <w:lang w:eastAsia="en-US"/>
              </w:rPr>
            </w:pPr>
            <w:r>
              <w:rPr>
                <w:color w:val="000000"/>
                <w:sz w:val="20"/>
                <w:szCs w:val="20"/>
                <w:lang w:eastAsia="en-US"/>
              </w:rPr>
              <w:t>В том числе в 2019 году</w:t>
            </w:r>
          </w:p>
        </w:tc>
      </w:tr>
      <w:tr w:rsidR="005727C2" w:rsidTr="005727C2">
        <w:trPr>
          <w:trHeight w:val="407"/>
        </w:trPr>
        <w:tc>
          <w:tcPr>
            <w:tcW w:w="9649" w:type="dxa"/>
            <w:vMerge/>
            <w:tcBorders>
              <w:top w:val="single" w:sz="4" w:space="0" w:color="auto"/>
              <w:left w:val="single" w:sz="8" w:space="0" w:color="auto"/>
              <w:bottom w:val="single" w:sz="8" w:space="0" w:color="000000"/>
              <w:right w:val="single" w:sz="4" w:space="0" w:color="auto"/>
            </w:tcBorders>
            <w:vAlign w:val="center"/>
            <w:hideMark/>
          </w:tcPr>
          <w:p w:rsidR="005727C2" w:rsidRDefault="005727C2">
            <w:pPr>
              <w:spacing w:after="0" w:line="240" w:lineRule="auto"/>
              <w:rPr>
                <w:color w:val="000000"/>
                <w:sz w:val="20"/>
                <w:szCs w:val="20"/>
                <w:lang w:eastAsia="en-US"/>
              </w:rPr>
            </w:pPr>
          </w:p>
        </w:tc>
        <w:tc>
          <w:tcPr>
            <w:tcW w:w="992" w:type="dxa"/>
            <w:vMerge/>
            <w:tcBorders>
              <w:top w:val="single" w:sz="4" w:space="0" w:color="auto"/>
              <w:left w:val="single" w:sz="4" w:space="0" w:color="auto"/>
              <w:bottom w:val="single" w:sz="8" w:space="0" w:color="000000"/>
              <w:right w:val="single" w:sz="4" w:space="0" w:color="auto"/>
            </w:tcBorders>
            <w:vAlign w:val="center"/>
            <w:hideMark/>
          </w:tcPr>
          <w:p w:rsidR="005727C2" w:rsidRDefault="005727C2">
            <w:pPr>
              <w:spacing w:after="0" w:line="240" w:lineRule="auto"/>
              <w:rPr>
                <w:color w:val="000000"/>
                <w:sz w:val="20"/>
                <w:szCs w:val="20"/>
                <w:lang w:eastAsia="en-US"/>
              </w:rPr>
            </w:pPr>
          </w:p>
        </w:tc>
        <w:tc>
          <w:tcPr>
            <w:tcW w:w="709" w:type="dxa"/>
            <w:vMerge/>
            <w:tcBorders>
              <w:top w:val="single" w:sz="4" w:space="0" w:color="auto"/>
              <w:left w:val="single" w:sz="4" w:space="0" w:color="auto"/>
              <w:bottom w:val="single" w:sz="8" w:space="0" w:color="000000"/>
              <w:right w:val="single" w:sz="4" w:space="0" w:color="auto"/>
            </w:tcBorders>
            <w:vAlign w:val="center"/>
            <w:hideMark/>
          </w:tcPr>
          <w:p w:rsidR="005727C2" w:rsidRDefault="005727C2">
            <w:pPr>
              <w:spacing w:after="0" w:line="240" w:lineRule="auto"/>
              <w:rPr>
                <w:color w:val="000000"/>
                <w:sz w:val="20"/>
                <w:szCs w:val="20"/>
                <w:lang w:eastAsia="en-US"/>
              </w:rPr>
            </w:pPr>
          </w:p>
        </w:tc>
        <w:tc>
          <w:tcPr>
            <w:tcW w:w="1134" w:type="dxa"/>
            <w:tcBorders>
              <w:top w:val="nil"/>
              <w:left w:val="nil"/>
              <w:bottom w:val="single" w:sz="8" w:space="0" w:color="auto"/>
              <w:right w:val="single" w:sz="8" w:space="0" w:color="auto"/>
            </w:tcBorders>
            <w:vAlign w:val="bottom"/>
            <w:hideMark/>
          </w:tcPr>
          <w:p w:rsidR="005727C2" w:rsidRDefault="005727C2">
            <w:pPr>
              <w:spacing w:after="0" w:line="240" w:lineRule="auto"/>
              <w:jc w:val="center"/>
              <w:rPr>
                <w:color w:val="000000"/>
                <w:sz w:val="20"/>
                <w:szCs w:val="20"/>
                <w:lang w:eastAsia="en-US"/>
              </w:rPr>
            </w:pPr>
            <w:r>
              <w:rPr>
                <w:color w:val="000000"/>
                <w:sz w:val="20"/>
                <w:szCs w:val="20"/>
                <w:lang w:eastAsia="en-US"/>
              </w:rPr>
              <w:t>Плановые проверки</w:t>
            </w:r>
          </w:p>
        </w:tc>
        <w:tc>
          <w:tcPr>
            <w:tcW w:w="1417" w:type="dxa"/>
            <w:tcBorders>
              <w:top w:val="nil"/>
              <w:left w:val="single" w:sz="4" w:space="0" w:color="auto"/>
              <w:bottom w:val="single" w:sz="8" w:space="0" w:color="auto"/>
              <w:right w:val="single" w:sz="8" w:space="0" w:color="auto"/>
            </w:tcBorders>
            <w:vAlign w:val="bottom"/>
            <w:hideMark/>
          </w:tcPr>
          <w:p w:rsidR="005727C2" w:rsidRDefault="005727C2">
            <w:pPr>
              <w:spacing w:after="0" w:line="240" w:lineRule="auto"/>
              <w:jc w:val="center"/>
              <w:rPr>
                <w:color w:val="000000"/>
                <w:sz w:val="20"/>
                <w:szCs w:val="20"/>
                <w:lang w:eastAsia="en-US"/>
              </w:rPr>
            </w:pPr>
            <w:r>
              <w:rPr>
                <w:color w:val="000000"/>
                <w:sz w:val="20"/>
                <w:szCs w:val="20"/>
                <w:lang w:eastAsia="en-US"/>
              </w:rPr>
              <w:t>Внеплановые проверки</w:t>
            </w:r>
          </w:p>
        </w:tc>
      </w:tr>
      <w:tr w:rsidR="005727C2" w:rsidTr="005727C2">
        <w:trPr>
          <w:trHeight w:val="300"/>
        </w:trPr>
        <w:tc>
          <w:tcPr>
            <w:tcW w:w="5397" w:type="dxa"/>
            <w:tcBorders>
              <w:top w:val="nil"/>
              <w:left w:val="single" w:sz="8" w:space="0" w:color="auto"/>
              <w:bottom w:val="single" w:sz="8" w:space="0" w:color="auto"/>
              <w:right w:val="single" w:sz="8" w:space="0" w:color="auto"/>
            </w:tcBorders>
            <w:vAlign w:val="bottom"/>
            <w:hideMark/>
          </w:tcPr>
          <w:p w:rsidR="005727C2" w:rsidRDefault="005727C2">
            <w:pPr>
              <w:spacing w:after="0" w:line="240" w:lineRule="auto"/>
              <w:rPr>
                <w:color w:val="000000"/>
                <w:sz w:val="20"/>
                <w:szCs w:val="20"/>
                <w:lang w:eastAsia="en-US"/>
              </w:rPr>
            </w:pPr>
            <w:r>
              <w:rPr>
                <w:color w:val="000000"/>
                <w:sz w:val="20"/>
                <w:szCs w:val="20"/>
                <w:lang w:eastAsia="en-US"/>
              </w:rPr>
              <w:t>Общее количество проверок, по итогам проведения которых выявлены нарушения</w:t>
            </w:r>
          </w:p>
        </w:tc>
        <w:tc>
          <w:tcPr>
            <w:tcW w:w="992" w:type="dxa"/>
            <w:tcBorders>
              <w:top w:val="nil"/>
              <w:left w:val="nil"/>
              <w:bottom w:val="single" w:sz="8" w:space="0" w:color="auto"/>
              <w:right w:val="single" w:sz="8" w:space="0" w:color="auto"/>
            </w:tcBorders>
            <w:vAlign w:val="center"/>
            <w:hideMark/>
          </w:tcPr>
          <w:p w:rsidR="005727C2" w:rsidRDefault="005727C2">
            <w:pPr>
              <w:spacing w:after="0" w:line="240" w:lineRule="auto"/>
              <w:jc w:val="center"/>
              <w:rPr>
                <w:color w:val="000000"/>
                <w:sz w:val="20"/>
                <w:szCs w:val="20"/>
                <w:lang w:eastAsia="en-US"/>
              </w:rPr>
            </w:pPr>
            <w:r>
              <w:rPr>
                <w:color w:val="000000"/>
                <w:sz w:val="20"/>
                <w:szCs w:val="20"/>
                <w:lang w:eastAsia="en-US"/>
              </w:rPr>
              <w:t>8</w:t>
            </w:r>
          </w:p>
        </w:tc>
        <w:tc>
          <w:tcPr>
            <w:tcW w:w="709" w:type="dxa"/>
            <w:tcBorders>
              <w:top w:val="nil"/>
              <w:left w:val="nil"/>
              <w:bottom w:val="single" w:sz="8" w:space="0" w:color="auto"/>
              <w:right w:val="single" w:sz="8" w:space="0" w:color="auto"/>
            </w:tcBorders>
            <w:vAlign w:val="center"/>
            <w:hideMark/>
          </w:tcPr>
          <w:p w:rsidR="005727C2" w:rsidRDefault="005727C2">
            <w:pPr>
              <w:spacing w:after="0" w:line="240" w:lineRule="auto"/>
              <w:jc w:val="center"/>
              <w:rPr>
                <w:color w:val="000000"/>
                <w:sz w:val="20"/>
                <w:szCs w:val="20"/>
                <w:lang w:eastAsia="en-US"/>
              </w:rPr>
            </w:pPr>
            <w:r>
              <w:rPr>
                <w:color w:val="000000"/>
                <w:sz w:val="20"/>
                <w:szCs w:val="20"/>
                <w:lang w:eastAsia="en-US"/>
              </w:rPr>
              <w:t>12</w:t>
            </w:r>
          </w:p>
        </w:tc>
        <w:tc>
          <w:tcPr>
            <w:tcW w:w="1134" w:type="dxa"/>
            <w:tcBorders>
              <w:top w:val="nil"/>
              <w:left w:val="nil"/>
              <w:bottom w:val="single" w:sz="8" w:space="0" w:color="auto"/>
              <w:right w:val="single" w:sz="8" w:space="0" w:color="auto"/>
            </w:tcBorders>
            <w:vAlign w:val="center"/>
            <w:hideMark/>
          </w:tcPr>
          <w:p w:rsidR="005727C2" w:rsidRDefault="005727C2">
            <w:pPr>
              <w:spacing w:after="0" w:line="240" w:lineRule="auto"/>
              <w:jc w:val="center"/>
              <w:rPr>
                <w:color w:val="000000"/>
                <w:sz w:val="20"/>
                <w:szCs w:val="20"/>
                <w:lang w:eastAsia="en-US"/>
              </w:rPr>
            </w:pPr>
            <w:r>
              <w:rPr>
                <w:color w:val="000000"/>
                <w:sz w:val="20"/>
                <w:szCs w:val="20"/>
                <w:lang w:eastAsia="en-US"/>
              </w:rPr>
              <w:t>7</w:t>
            </w:r>
          </w:p>
        </w:tc>
        <w:tc>
          <w:tcPr>
            <w:tcW w:w="1417" w:type="dxa"/>
            <w:tcBorders>
              <w:top w:val="nil"/>
              <w:left w:val="nil"/>
              <w:bottom w:val="single" w:sz="8" w:space="0" w:color="auto"/>
              <w:right w:val="single" w:sz="8" w:space="0" w:color="auto"/>
            </w:tcBorders>
            <w:vAlign w:val="center"/>
            <w:hideMark/>
          </w:tcPr>
          <w:p w:rsidR="005727C2" w:rsidRDefault="005727C2">
            <w:pPr>
              <w:spacing w:after="0" w:line="240" w:lineRule="auto"/>
              <w:jc w:val="center"/>
              <w:rPr>
                <w:color w:val="000000"/>
                <w:sz w:val="20"/>
                <w:szCs w:val="20"/>
                <w:lang w:eastAsia="en-US"/>
              </w:rPr>
            </w:pPr>
            <w:r>
              <w:rPr>
                <w:color w:val="000000"/>
                <w:sz w:val="20"/>
                <w:szCs w:val="20"/>
                <w:lang w:eastAsia="en-US"/>
              </w:rPr>
              <w:t>5</w:t>
            </w:r>
          </w:p>
        </w:tc>
      </w:tr>
      <w:tr w:rsidR="005727C2" w:rsidTr="005727C2">
        <w:trPr>
          <w:trHeight w:val="300"/>
        </w:trPr>
        <w:tc>
          <w:tcPr>
            <w:tcW w:w="5397" w:type="dxa"/>
            <w:tcBorders>
              <w:top w:val="single" w:sz="4" w:space="0" w:color="auto"/>
              <w:left w:val="single" w:sz="8" w:space="0" w:color="auto"/>
              <w:bottom w:val="single" w:sz="8" w:space="0" w:color="auto"/>
              <w:right w:val="single" w:sz="8" w:space="0" w:color="auto"/>
            </w:tcBorders>
            <w:vAlign w:val="bottom"/>
            <w:hideMark/>
          </w:tcPr>
          <w:p w:rsidR="005727C2" w:rsidRDefault="005727C2">
            <w:pPr>
              <w:spacing w:after="0" w:line="240" w:lineRule="auto"/>
              <w:rPr>
                <w:color w:val="000000"/>
                <w:sz w:val="20"/>
                <w:szCs w:val="20"/>
                <w:lang w:eastAsia="en-US"/>
              </w:rPr>
            </w:pPr>
            <w:r>
              <w:rPr>
                <w:color w:val="000000"/>
                <w:sz w:val="20"/>
                <w:szCs w:val="20"/>
                <w:lang w:eastAsia="en-US"/>
              </w:rPr>
              <w:t>Выдано предписаний об устранении выявленных нарушений</w:t>
            </w:r>
          </w:p>
        </w:tc>
        <w:tc>
          <w:tcPr>
            <w:tcW w:w="992" w:type="dxa"/>
            <w:tcBorders>
              <w:top w:val="single" w:sz="4" w:space="0" w:color="auto"/>
              <w:left w:val="nil"/>
              <w:bottom w:val="single" w:sz="8" w:space="0" w:color="auto"/>
              <w:right w:val="single" w:sz="8" w:space="0" w:color="auto"/>
            </w:tcBorders>
            <w:vAlign w:val="center"/>
            <w:hideMark/>
          </w:tcPr>
          <w:p w:rsidR="005727C2" w:rsidRDefault="005727C2">
            <w:pPr>
              <w:spacing w:after="0" w:line="240" w:lineRule="auto"/>
              <w:jc w:val="center"/>
              <w:rPr>
                <w:color w:val="FF0000"/>
                <w:sz w:val="20"/>
                <w:szCs w:val="20"/>
                <w:lang w:eastAsia="en-US"/>
              </w:rPr>
            </w:pPr>
            <w:r>
              <w:rPr>
                <w:sz w:val="20"/>
                <w:szCs w:val="20"/>
                <w:lang w:eastAsia="en-US"/>
              </w:rPr>
              <w:t>6</w:t>
            </w:r>
          </w:p>
        </w:tc>
        <w:tc>
          <w:tcPr>
            <w:tcW w:w="709" w:type="dxa"/>
            <w:tcBorders>
              <w:top w:val="single" w:sz="4" w:space="0" w:color="auto"/>
              <w:left w:val="nil"/>
              <w:bottom w:val="single" w:sz="8" w:space="0" w:color="auto"/>
              <w:right w:val="single" w:sz="8" w:space="0" w:color="auto"/>
            </w:tcBorders>
            <w:vAlign w:val="center"/>
            <w:hideMark/>
          </w:tcPr>
          <w:p w:rsidR="005727C2" w:rsidRDefault="005727C2">
            <w:pPr>
              <w:spacing w:after="0" w:line="240" w:lineRule="auto"/>
              <w:jc w:val="center"/>
              <w:rPr>
                <w:color w:val="FF0000"/>
                <w:sz w:val="20"/>
                <w:szCs w:val="20"/>
                <w:lang w:eastAsia="en-US"/>
              </w:rPr>
            </w:pPr>
            <w:r>
              <w:rPr>
                <w:sz w:val="20"/>
                <w:szCs w:val="20"/>
                <w:lang w:eastAsia="en-US"/>
              </w:rPr>
              <w:t>8</w:t>
            </w:r>
          </w:p>
        </w:tc>
        <w:tc>
          <w:tcPr>
            <w:tcW w:w="1134" w:type="dxa"/>
            <w:tcBorders>
              <w:top w:val="single" w:sz="4" w:space="0" w:color="auto"/>
              <w:left w:val="nil"/>
              <w:bottom w:val="single" w:sz="8" w:space="0" w:color="auto"/>
              <w:right w:val="single" w:sz="8" w:space="0" w:color="auto"/>
            </w:tcBorders>
            <w:vAlign w:val="center"/>
            <w:hideMark/>
          </w:tcPr>
          <w:p w:rsidR="005727C2" w:rsidRDefault="005727C2">
            <w:pPr>
              <w:spacing w:after="0" w:line="240" w:lineRule="auto"/>
              <w:jc w:val="center"/>
              <w:rPr>
                <w:color w:val="FF0000"/>
                <w:sz w:val="20"/>
                <w:szCs w:val="20"/>
                <w:lang w:eastAsia="en-US"/>
              </w:rPr>
            </w:pPr>
            <w:r>
              <w:rPr>
                <w:sz w:val="20"/>
                <w:szCs w:val="20"/>
                <w:lang w:eastAsia="en-US"/>
              </w:rPr>
              <w:t>6</w:t>
            </w:r>
          </w:p>
        </w:tc>
        <w:tc>
          <w:tcPr>
            <w:tcW w:w="1417" w:type="dxa"/>
            <w:tcBorders>
              <w:top w:val="single" w:sz="4" w:space="0" w:color="auto"/>
              <w:left w:val="nil"/>
              <w:bottom w:val="single" w:sz="8" w:space="0" w:color="auto"/>
              <w:right w:val="single" w:sz="8" w:space="0" w:color="auto"/>
            </w:tcBorders>
            <w:vAlign w:val="center"/>
            <w:hideMark/>
          </w:tcPr>
          <w:p w:rsidR="005727C2" w:rsidRDefault="005727C2">
            <w:pPr>
              <w:spacing w:after="0" w:line="240" w:lineRule="auto"/>
              <w:jc w:val="center"/>
              <w:rPr>
                <w:color w:val="FF0000"/>
                <w:sz w:val="20"/>
                <w:szCs w:val="20"/>
                <w:lang w:eastAsia="en-US"/>
              </w:rPr>
            </w:pPr>
            <w:r>
              <w:rPr>
                <w:sz w:val="20"/>
                <w:szCs w:val="20"/>
                <w:lang w:eastAsia="en-US"/>
              </w:rPr>
              <w:t>2</w:t>
            </w:r>
          </w:p>
        </w:tc>
      </w:tr>
      <w:tr w:rsidR="005727C2" w:rsidTr="005727C2">
        <w:trPr>
          <w:trHeight w:val="300"/>
        </w:trPr>
        <w:tc>
          <w:tcPr>
            <w:tcW w:w="5397" w:type="dxa"/>
            <w:tcBorders>
              <w:top w:val="nil"/>
              <w:left w:val="single" w:sz="8" w:space="0" w:color="auto"/>
              <w:bottom w:val="single" w:sz="8" w:space="0" w:color="auto"/>
              <w:right w:val="single" w:sz="8" w:space="0" w:color="auto"/>
            </w:tcBorders>
            <w:vAlign w:val="bottom"/>
            <w:hideMark/>
          </w:tcPr>
          <w:p w:rsidR="005727C2" w:rsidRDefault="005727C2">
            <w:pPr>
              <w:spacing w:after="0" w:line="240" w:lineRule="auto"/>
              <w:rPr>
                <w:color w:val="000000"/>
                <w:sz w:val="20"/>
                <w:szCs w:val="20"/>
                <w:lang w:eastAsia="en-US"/>
              </w:rPr>
            </w:pPr>
            <w:r>
              <w:rPr>
                <w:color w:val="000000"/>
                <w:sz w:val="20"/>
                <w:szCs w:val="20"/>
                <w:lang w:eastAsia="en-US"/>
              </w:rPr>
              <w:t>Выполнено предписаний об устранении выявленных нарушений</w:t>
            </w:r>
          </w:p>
        </w:tc>
        <w:tc>
          <w:tcPr>
            <w:tcW w:w="992" w:type="dxa"/>
            <w:tcBorders>
              <w:top w:val="nil"/>
              <w:left w:val="nil"/>
              <w:bottom w:val="single" w:sz="8" w:space="0" w:color="auto"/>
              <w:right w:val="single" w:sz="8" w:space="0" w:color="auto"/>
            </w:tcBorders>
            <w:vAlign w:val="center"/>
            <w:hideMark/>
          </w:tcPr>
          <w:p w:rsidR="005727C2" w:rsidRDefault="005727C2">
            <w:pPr>
              <w:spacing w:after="0" w:line="240" w:lineRule="auto"/>
              <w:jc w:val="center"/>
              <w:rPr>
                <w:sz w:val="20"/>
                <w:szCs w:val="20"/>
                <w:lang w:eastAsia="en-US"/>
              </w:rPr>
            </w:pPr>
            <w:r>
              <w:rPr>
                <w:sz w:val="20"/>
                <w:szCs w:val="20"/>
                <w:lang w:eastAsia="en-US"/>
              </w:rPr>
              <w:t>0</w:t>
            </w:r>
          </w:p>
        </w:tc>
        <w:tc>
          <w:tcPr>
            <w:tcW w:w="709" w:type="dxa"/>
            <w:tcBorders>
              <w:top w:val="nil"/>
              <w:left w:val="nil"/>
              <w:bottom w:val="single" w:sz="8" w:space="0" w:color="auto"/>
              <w:right w:val="single" w:sz="8" w:space="0" w:color="auto"/>
            </w:tcBorders>
            <w:vAlign w:val="center"/>
            <w:hideMark/>
          </w:tcPr>
          <w:p w:rsidR="005727C2" w:rsidRDefault="005727C2">
            <w:pPr>
              <w:spacing w:after="0" w:line="240" w:lineRule="auto"/>
              <w:jc w:val="center"/>
              <w:rPr>
                <w:sz w:val="20"/>
                <w:szCs w:val="20"/>
                <w:lang w:eastAsia="en-US"/>
              </w:rPr>
            </w:pPr>
            <w:r>
              <w:rPr>
                <w:sz w:val="20"/>
                <w:szCs w:val="20"/>
                <w:lang w:eastAsia="en-US"/>
              </w:rPr>
              <w:t>5</w:t>
            </w:r>
          </w:p>
        </w:tc>
        <w:tc>
          <w:tcPr>
            <w:tcW w:w="1134" w:type="dxa"/>
            <w:tcBorders>
              <w:top w:val="nil"/>
              <w:left w:val="nil"/>
              <w:bottom w:val="single" w:sz="8" w:space="0" w:color="auto"/>
              <w:right w:val="single" w:sz="8" w:space="0" w:color="auto"/>
            </w:tcBorders>
            <w:shd w:val="clear" w:color="auto" w:fill="FFFFFF" w:themeFill="background1"/>
            <w:vAlign w:val="center"/>
            <w:hideMark/>
          </w:tcPr>
          <w:p w:rsidR="005727C2" w:rsidRDefault="005727C2">
            <w:pPr>
              <w:spacing w:after="0" w:line="240" w:lineRule="auto"/>
              <w:jc w:val="center"/>
              <w:rPr>
                <w:sz w:val="20"/>
                <w:szCs w:val="20"/>
                <w:lang w:eastAsia="en-US"/>
              </w:rPr>
            </w:pPr>
            <w:r>
              <w:rPr>
                <w:sz w:val="20"/>
                <w:szCs w:val="20"/>
                <w:lang w:eastAsia="en-US"/>
              </w:rPr>
              <w:t>4</w:t>
            </w:r>
          </w:p>
        </w:tc>
        <w:tc>
          <w:tcPr>
            <w:tcW w:w="1417" w:type="dxa"/>
            <w:tcBorders>
              <w:top w:val="nil"/>
              <w:left w:val="nil"/>
              <w:bottom w:val="single" w:sz="8" w:space="0" w:color="auto"/>
              <w:right w:val="single" w:sz="8" w:space="0" w:color="auto"/>
            </w:tcBorders>
            <w:shd w:val="clear" w:color="auto" w:fill="FFFFFF" w:themeFill="background1"/>
            <w:vAlign w:val="center"/>
            <w:hideMark/>
          </w:tcPr>
          <w:p w:rsidR="005727C2" w:rsidRDefault="005727C2">
            <w:pPr>
              <w:spacing w:after="0" w:line="240" w:lineRule="auto"/>
              <w:jc w:val="center"/>
              <w:rPr>
                <w:sz w:val="20"/>
                <w:szCs w:val="20"/>
                <w:lang w:eastAsia="en-US"/>
              </w:rPr>
            </w:pPr>
            <w:r>
              <w:rPr>
                <w:sz w:val="20"/>
                <w:szCs w:val="20"/>
                <w:lang w:eastAsia="en-US"/>
              </w:rPr>
              <w:t>1</w:t>
            </w:r>
          </w:p>
        </w:tc>
      </w:tr>
      <w:tr w:rsidR="005727C2" w:rsidTr="005727C2">
        <w:trPr>
          <w:trHeight w:val="300"/>
        </w:trPr>
        <w:tc>
          <w:tcPr>
            <w:tcW w:w="5397" w:type="dxa"/>
            <w:tcBorders>
              <w:top w:val="nil"/>
              <w:left w:val="single" w:sz="8" w:space="0" w:color="auto"/>
              <w:bottom w:val="single" w:sz="8" w:space="0" w:color="auto"/>
              <w:right w:val="single" w:sz="8" w:space="0" w:color="auto"/>
            </w:tcBorders>
            <w:vAlign w:val="bottom"/>
            <w:hideMark/>
          </w:tcPr>
          <w:p w:rsidR="005727C2" w:rsidRDefault="005727C2">
            <w:pPr>
              <w:spacing w:after="0" w:line="240" w:lineRule="auto"/>
              <w:rPr>
                <w:color w:val="000000"/>
                <w:sz w:val="20"/>
                <w:szCs w:val="20"/>
                <w:lang w:eastAsia="en-US"/>
              </w:rPr>
            </w:pPr>
            <w:r>
              <w:rPr>
                <w:color w:val="000000"/>
                <w:sz w:val="20"/>
                <w:szCs w:val="20"/>
                <w:lang w:eastAsia="en-US"/>
              </w:rPr>
              <w:t>Предписания, срок исполнения которых еще не наступил</w:t>
            </w:r>
          </w:p>
        </w:tc>
        <w:tc>
          <w:tcPr>
            <w:tcW w:w="992" w:type="dxa"/>
            <w:tcBorders>
              <w:top w:val="nil"/>
              <w:left w:val="nil"/>
              <w:bottom w:val="single" w:sz="8" w:space="0" w:color="auto"/>
              <w:right w:val="single" w:sz="8" w:space="0" w:color="auto"/>
            </w:tcBorders>
            <w:vAlign w:val="center"/>
            <w:hideMark/>
          </w:tcPr>
          <w:p w:rsidR="005727C2" w:rsidRDefault="005727C2">
            <w:pPr>
              <w:spacing w:after="0" w:line="240" w:lineRule="auto"/>
              <w:jc w:val="center"/>
              <w:rPr>
                <w:sz w:val="20"/>
                <w:szCs w:val="20"/>
                <w:lang w:eastAsia="en-US"/>
              </w:rPr>
            </w:pPr>
            <w:r>
              <w:rPr>
                <w:sz w:val="20"/>
                <w:szCs w:val="20"/>
                <w:lang w:eastAsia="en-US"/>
              </w:rPr>
              <w:t>0</w:t>
            </w:r>
          </w:p>
        </w:tc>
        <w:tc>
          <w:tcPr>
            <w:tcW w:w="709" w:type="dxa"/>
            <w:tcBorders>
              <w:top w:val="nil"/>
              <w:left w:val="nil"/>
              <w:bottom w:val="single" w:sz="8" w:space="0" w:color="auto"/>
              <w:right w:val="single" w:sz="8" w:space="0" w:color="auto"/>
            </w:tcBorders>
            <w:vAlign w:val="center"/>
            <w:hideMark/>
          </w:tcPr>
          <w:p w:rsidR="005727C2" w:rsidRDefault="005727C2">
            <w:pPr>
              <w:spacing w:after="0" w:line="240" w:lineRule="auto"/>
              <w:jc w:val="center"/>
              <w:rPr>
                <w:sz w:val="20"/>
                <w:szCs w:val="20"/>
                <w:lang w:eastAsia="en-US"/>
              </w:rPr>
            </w:pPr>
            <w:r>
              <w:rPr>
                <w:sz w:val="20"/>
                <w:szCs w:val="20"/>
                <w:lang w:eastAsia="en-US"/>
              </w:rPr>
              <w:t>0</w:t>
            </w:r>
          </w:p>
        </w:tc>
        <w:tc>
          <w:tcPr>
            <w:tcW w:w="1134" w:type="dxa"/>
            <w:tcBorders>
              <w:top w:val="nil"/>
              <w:left w:val="nil"/>
              <w:bottom w:val="single" w:sz="8" w:space="0" w:color="auto"/>
              <w:right w:val="single" w:sz="8" w:space="0" w:color="auto"/>
            </w:tcBorders>
            <w:shd w:val="clear" w:color="auto" w:fill="FFFFFF" w:themeFill="background1"/>
            <w:vAlign w:val="center"/>
            <w:hideMark/>
          </w:tcPr>
          <w:p w:rsidR="005727C2" w:rsidRDefault="005727C2">
            <w:pPr>
              <w:spacing w:after="0" w:line="240" w:lineRule="auto"/>
              <w:jc w:val="center"/>
              <w:rPr>
                <w:sz w:val="20"/>
                <w:szCs w:val="20"/>
                <w:lang w:eastAsia="en-US"/>
              </w:rPr>
            </w:pPr>
            <w:r>
              <w:rPr>
                <w:sz w:val="20"/>
                <w:szCs w:val="20"/>
                <w:lang w:eastAsia="en-US"/>
              </w:rPr>
              <w:t>0</w:t>
            </w:r>
          </w:p>
        </w:tc>
        <w:tc>
          <w:tcPr>
            <w:tcW w:w="1417" w:type="dxa"/>
            <w:tcBorders>
              <w:top w:val="nil"/>
              <w:left w:val="nil"/>
              <w:bottom w:val="single" w:sz="8" w:space="0" w:color="auto"/>
              <w:right w:val="single" w:sz="8" w:space="0" w:color="auto"/>
            </w:tcBorders>
            <w:shd w:val="clear" w:color="auto" w:fill="FFFFFF" w:themeFill="background1"/>
            <w:vAlign w:val="center"/>
            <w:hideMark/>
          </w:tcPr>
          <w:p w:rsidR="005727C2" w:rsidRDefault="005727C2">
            <w:pPr>
              <w:spacing w:after="0" w:line="240" w:lineRule="auto"/>
              <w:jc w:val="center"/>
              <w:rPr>
                <w:sz w:val="20"/>
                <w:szCs w:val="20"/>
                <w:lang w:eastAsia="en-US"/>
              </w:rPr>
            </w:pPr>
            <w:r>
              <w:rPr>
                <w:sz w:val="20"/>
                <w:szCs w:val="20"/>
                <w:lang w:eastAsia="en-US"/>
              </w:rPr>
              <w:t>0</w:t>
            </w:r>
          </w:p>
        </w:tc>
      </w:tr>
      <w:tr w:rsidR="005727C2" w:rsidTr="005727C2">
        <w:trPr>
          <w:trHeight w:val="300"/>
        </w:trPr>
        <w:tc>
          <w:tcPr>
            <w:tcW w:w="5397" w:type="dxa"/>
            <w:tcBorders>
              <w:top w:val="nil"/>
              <w:left w:val="single" w:sz="8" w:space="0" w:color="auto"/>
              <w:bottom w:val="single" w:sz="8" w:space="0" w:color="auto"/>
              <w:right w:val="single" w:sz="8" w:space="0" w:color="auto"/>
            </w:tcBorders>
            <w:vAlign w:val="bottom"/>
            <w:hideMark/>
          </w:tcPr>
          <w:p w:rsidR="005727C2" w:rsidRDefault="005727C2">
            <w:pPr>
              <w:spacing w:after="0" w:line="240" w:lineRule="auto"/>
              <w:rPr>
                <w:color w:val="000000"/>
                <w:sz w:val="20"/>
                <w:szCs w:val="20"/>
                <w:lang w:eastAsia="en-US"/>
              </w:rPr>
            </w:pPr>
            <w:r>
              <w:rPr>
                <w:color w:val="000000"/>
                <w:sz w:val="20"/>
                <w:szCs w:val="20"/>
                <w:lang w:eastAsia="en-US"/>
              </w:rPr>
              <w:t xml:space="preserve">Выявлено правонарушений - всего, в том числе: </w:t>
            </w:r>
          </w:p>
        </w:tc>
        <w:tc>
          <w:tcPr>
            <w:tcW w:w="992" w:type="dxa"/>
            <w:tcBorders>
              <w:top w:val="nil"/>
              <w:left w:val="nil"/>
              <w:bottom w:val="single" w:sz="8" w:space="0" w:color="auto"/>
              <w:right w:val="single" w:sz="8" w:space="0" w:color="auto"/>
            </w:tcBorders>
            <w:vAlign w:val="center"/>
            <w:hideMark/>
          </w:tcPr>
          <w:p w:rsidR="005727C2" w:rsidRDefault="005727C2">
            <w:pPr>
              <w:spacing w:after="0" w:line="240" w:lineRule="auto"/>
              <w:jc w:val="center"/>
              <w:rPr>
                <w:color w:val="000000"/>
                <w:sz w:val="20"/>
                <w:szCs w:val="20"/>
                <w:lang w:eastAsia="en-US"/>
              </w:rPr>
            </w:pPr>
            <w:r>
              <w:rPr>
                <w:color w:val="000000"/>
                <w:sz w:val="20"/>
                <w:szCs w:val="20"/>
                <w:lang w:eastAsia="en-US"/>
              </w:rPr>
              <w:t>13</w:t>
            </w:r>
          </w:p>
        </w:tc>
        <w:tc>
          <w:tcPr>
            <w:tcW w:w="709" w:type="dxa"/>
            <w:tcBorders>
              <w:top w:val="nil"/>
              <w:left w:val="nil"/>
              <w:bottom w:val="single" w:sz="8" w:space="0" w:color="auto"/>
              <w:right w:val="single" w:sz="8" w:space="0" w:color="auto"/>
            </w:tcBorders>
            <w:vAlign w:val="center"/>
            <w:hideMark/>
          </w:tcPr>
          <w:p w:rsidR="005727C2" w:rsidRDefault="005727C2">
            <w:pPr>
              <w:spacing w:after="0" w:line="240" w:lineRule="auto"/>
              <w:jc w:val="center"/>
              <w:rPr>
                <w:color w:val="000000"/>
                <w:sz w:val="20"/>
                <w:szCs w:val="20"/>
                <w:lang w:eastAsia="en-US"/>
              </w:rPr>
            </w:pPr>
            <w:r>
              <w:rPr>
                <w:color w:val="000000"/>
                <w:sz w:val="20"/>
                <w:szCs w:val="20"/>
                <w:lang w:eastAsia="en-US"/>
              </w:rPr>
              <w:t>17</w:t>
            </w:r>
          </w:p>
        </w:tc>
        <w:tc>
          <w:tcPr>
            <w:tcW w:w="1134" w:type="dxa"/>
            <w:tcBorders>
              <w:top w:val="nil"/>
              <w:left w:val="nil"/>
              <w:bottom w:val="single" w:sz="8" w:space="0" w:color="auto"/>
              <w:right w:val="single" w:sz="8" w:space="0" w:color="auto"/>
            </w:tcBorders>
            <w:vAlign w:val="center"/>
            <w:hideMark/>
          </w:tcPr>
          <w:p w:rsidR="005727C2" w:rsidRDefault="005727C2">
            <w:pPr>
              <w:spacing w:after="0" w:line="240" w:lineRule="auto"/>
              <w:jc w:val="center"/>
              <w:rPr>
                <w:color w:val="000000"/>
                <w:sz w:val="20"/>
                <w:szCs w:val="20"/>
                <w:lang w:eastAsia="en-US"/>
              </w:rPr>
            </w:pPr>
            <w:r>
              <w:rPr>
                <w:color w:val="000000"/>
                <w:sz w:val="20"/>
                <w:szCs w:val="20"/>
                <w:lang w:eastAsia="en-US"/>
              </w:rPr>
              <w:t>12</w:t>
            </w:r>
          </w:p>
        </w:tc>
        <w:tc>
          <w:tcPr>
            <w:tcW w:w="1417" w:type="dxa"/>
            <w:tcBorders>
              <w:top w:val="nil"/>
              <w:left w:val="nil"/>
              <w:bottom w:val="single" w:sz="8" w:space="0" w:color="auto"/>
              <w:right w:val="single" w:sz="8" w:space="0" w:color="auto"/>
            </w:tcBorders>
            <w:vAlign w:val="center"/>
            <w:hideMark/>
          </w:tcPr>
          <w:p w:rsidR="005727C2" w:rsidRDefault="005727C2">
            <w:pPr>
              <w:spacing w:after="0" w:line="240" w:lineRule="auto"/>
              <w:jc w:val="center"/>
              <w:rPr>
                <w:color w:val="000000"/>
                <w:sz w:val="20"/>
                <w:szCs w:val="20"/>
                <w:lang w:eastAsia="en-US"/>
              </w:rPr>
            </w:pPr>
            <w:r>
              <w:rPr>
                <w:color w:val="000000"/>
                <w:sz w:val="20"/>
                <w:szCs w:val="20"/>
                <w:lang w:eastAsia="en-US"/>
              </w:rPr>
              <w:t>5</w:t>
            </w:r>
          </w:p>
        </w:tc>
      </w:tr>
      <w:tr w:rsidR="005727C2" w:rsidTr="005727C2">
        <w:trPr>
          <w:trHeight w:val="300"/>
        </w:trPr>
        <w:tc>
          <w:tcPr>
            <w:tcW w:w="5397" w:type="dxa"/>
            <w:tcBorders>
              <w:top w:val="nil"/>
              <w:left w:val="single" w:sz="8" w:space="0" w:color="auto"/>
              <w:bottom w:val="single" w:sz="8" w:space="0" w:color="auto"/>
              <w:right w:val="single" w:sz="8" w:space="0" w:color="auto"/>
            </w:tcBorders>
            <w:vAlign w:val="bottom"/>
            <w:hideMark/>
          </w:tcPr>
          <w:p w:rsidR="005727C2" w:rsidRDefault="005727C2">
            <w:pPr>
              <w:spacing w:after="0" w:line="240" w:lineRule="auto"/>
              <w:rPr>
                <w:color w:val="000000"/>
                <w:sz w:val="20"/>
                <w:szCs w:val="20"/>
                <w:lang w:eastAsia="en-US"/>
              </w:rPr>
            </w:pPr>
            <w:r>
              <w:rPr>
                <w:color w:val="000000"/>
                <w:sz w:val="20"/>
                <w:szCs w:val="20"/>
                <w:lang w:eastAsia="en-US"/>
              </w:rPr>
              <w:t>нарушение обязательных требований законодательства</w:t>
            </w:r>
          </w:p>
        </w:tc>
        <w:tc>
          <w:tcPr>
            <w:tcW w:w="992" w:type="dxa"/>
            <w:tcBorders>
              <w:top w:val="nil"/>
              <w:left w:val="nil"/>
              <w:bottom w:val="single" w:sz="8" w:space="0" w:color="auto"/>
              <w:right w:val="single" w:sz="8" w:space="0" w:color="auto"/>
            </w:tcBorders>
            <w:vAlign w:val="center"/>
            <w:hideMark/>
          </w:tcPr>
          <w:p w:rsidR="005727C2" w:rsidRDefault="005727C2">
            <w:pPr>
              <w:spacing w:after="0" w:line="240" w:lineRule="auto"/>
              <w:jc w:val="center"/>
              <w:rPr>
                <w:color w:val="000000"/>
                <w:sz w:val="20"/>
                <w:szCs w:val="20"/>
                <w:lang w:eastAsia="en-US"/>
              </w:rPr>
            </w:pPr>
            <w:r>
              <w:rPr>
                <w:color w:val="000000"/>
                <w:sz w:val="20"/>
                <w:szCs w:val="20"/>
                <w:lang w:eastAsia="en-US"/>
              </w:rPr>
              <w:t>12</w:t>
            </w:r>
          </w:p>
        </w:tc>
        <w:tc>
          <w:tcPr>
            <w:tcW w:w="709" w:type="dxa"/>
            <w:tcBorders>
              <w:top w:val="nil"/>
              <w:left w:val="nil"/>
              <w:bottom w:val="single" w:sz="8" w:space="0" w:color="auto"/>
              <w:right w:val="single" w:sz="8" w:space="0" w:color="auto"/>
            </w:tcBorders>
            <w:vAlign w:val="center"/>
            <w:hideMark/>
          </w:tcPr>
          <w:p w:rsidR="005727C2" w:rsidRDefault="005727C2">
            <w:pPr>
              <w:spacing w:after="0" w:line="240" w:lineRule="auto"/>
              <w:jc w:val="center"/>
              <w:rPr>
                <w:color w:val="000000"/>
                <w:sz w:val="20"/>
                <w:szCs w:val="20"/>
                <w:lang w:eastAsia="en-US"/>
              </w:rPr>
            </w:pPr>
            <w:r>
              <w:rPr>
                <w:color w:val="000000"/>
                <w:sz w:val="20"/>
                <w:szCs w:val="20"/>
                <w:lang w:eastAsia="en-US"/>
              </w:rPr>
              <w:t>14</w:t>
            </w:r>
          </w:p>
        </w:tc>
        <w:tc>
          <w:tcPr>
            <w:tcW w:w="1134" w:type="dxa"/>
            <w:tcBorders>
              <w:top w:val="nil"/>
              <w:left w:val="nil"/>
              <w:bottom w:val="single" w:sz="8" w:space="0" w:color="auto"/>
              <w:right w:val="single" w:sz="8" w:space="0" w:color="auto"/>
            </w:tcBorders>
            <w:vAlign w:val="center"/>
            <w:hideMark/>
          </w:tcPr>
          <w:p w:rsidR="005727C2" w:rsidRDefault="005727C2">
            <w:pPr>
              <w:spacing w:after="0" w:line="240" w:lineRule="auto"/>
              <w:jc w:val="center"/>
              <w:rPr>
                <w:color w:val="000000"/>
                <w:sz w:val="20"/>
                <w:szCs w:val="20"/>
                <w:lang w:eastAsia="en-US"/>
              </w:rPr>
            </w:pPr>
            <w:r>
              <w:rPr>
                <w:color w:val="000000"/>
                <w:sz w:val="20"/>
                <w:szCs w:val="20"/>
                <w:lang w:eastAsia="en-US"/>
              </w:rPr>
              <w:t>12</w:t>
            </w:r>
          </w:p>
        </w:tc>
        <w:tc>
          <w:tcPr>
            <w:tcW w:w="1417" w:type="dxa"/>
            <w:tcBorders>
              <w:top w:val="nil"/>
              <w:left w:val="nil"/>
              <w:bottom w:val="single" w:sz="8" w:space="0" w:color="auto"/>
              <w:right w:val="single" w:sz="8" w:space="0" w:color="auto"/>
            </w:tcBorders>
            <w:vAlign w:val="center"/>
            <w:hideMark/>
          </w:tcPr>
          <w:p w:rsidR="005727C2" w:rsidRDefault="005727C2">
            <w:pPr>
              <w:spacing w:after="0" w:line="240" w:lineRule="auto"/>
              <w:jc w:val="center"/>
              <w:rPr>
                <w:color w:val="000000"/>
                <w:sz w:val="20"/>
                <w:szCs w:val="20"/>
                <w:lang w:eastAsia="en-US"/>
              </w:rPr>
            </w:pPr>
            <w:r>
              <w:rPr>
                <w:color w:val="000000"/>
                <w:sz w:val="20"/>
                <w:szCs w:val="20"/>
                <w:lang w:eastAsia="en-US"/>
              </w:rPr>
              <w:t>2</w:t>
            </w:r>
          </w:p>
        </w:tc>
      </w:tr>
      <w:tr w:rsidR="005727C2" w:rsidTr="005727C2">
        <w:trPr>
          <w:trHeight w:val="555"/>
        </w:trPr>
        <w:tc>
          <w:tcPr>
            <w:tcW w:w="5397" w:type="dxa"/>
            <w:tcBorders>
              <w:top w:val="nil"/>
              <w:left w:val="single" w:sz="8" w:space="0" w:color="auto"/>
              <w:bottom w:val="single" w:sz="8" w:space="0" w:color="auto"/>
              <w:right w:val="single" w:sz="8" w:space="0" w:color="auto"/>
            </w:tcBorders>
            <w:vAlign w:val="bottom"/>
            <w:hideMark/>
          </w:tcPr>
          <w:p w:rsidR="005727C2" w:rsidRDefault="005727C2">
            <w:pPr>
              <w:spacing w:after="0" w:line="240" w:lineRule="auto"/>
              <w:rPr>
                <w:color w:val="000000"/>
                <w:sz w:val="20"/>
                <w:szCs w:val="20"/>
                <w:lang w:eastAsia="en-US"/>
              </w:rPr>
            </w:pPr>
            <w:r>
              <w:rPr>
                <w:color w:val="000000"/>
                <w:sz w:val="20"/>
                <w:szCs w:val="20"/>
                <w:lang w:eastAsia="en-US"/>
              </w:rPr>
              <w:t xml:space="preserve">невыполнение предписаний об устранении выявленных нарушений </w:t>
            </w:r>
          </w:p>
        </w:tc>
        <w:tc>
          <w:tcPr>
            <w:tcW w:w="992" w:type="dxa"/>
            <w:tcBorders>
              <w:top w:val="nil"/>
              <w:left w:val="nil"/>
              <w:bottom w:val="single" w:sz="8" w:space="0" w:color="auto"/>
              <w:right w:val="single" w:sz="8" w:space="0" w:color="auto"/>
            </w:tcBorders>
            <w:vAlign w:val="center"/>
            <w:hideMark/>
          </w:tcPr>
          <w:p w:rsidR="005727C2" w:rsidRDefault="005727C2">
            <w:pPr>
              <w:spacing w:after="0" w:line="240" w:lineRule="auto"/>
              <w:jc w:val="center"/>
              <w:rPr>
                <w:color w:val="000000"/>
                <w:sz w:val="20"/>
                <w:szCs w:val="20"/>
                <w:lang w:eastAsia="en-US"/>
              </w:rPr>
            </w:pPr>
            <w:r>
              <w:rPr>
                <w:color w:val="000000"/>
                <w:sz w:val="20"/>
                <w:szCs w:val="20"/>
                <w:lang w:eastAsia="en-US"/>
              </w:rPr>
              <w:t>0</w:t>
            </w:r>
          </w:p>
        </w:tc>
        <w:tc>
          <w:tcPr>
            <w:tcW w:w="709" w:type="dxa"/>
            <w:tcBorders>
              <w:top w:val="nil"/>
              <w:left w:val="nil"/>
              <w:bottom w:val="single" w:sz="8" w:space="0" w:color="auto"/>
              <w:right w:val="single" w:sz="8" w:space="0" w:color="auto"/>
            </w:tcBorders>
            <w:vAlign w:val="center"/>
            <w:hideMark/>
          </w:tcPr>
          <w:p w:rsidR="005727C2" w:rsidRDefault="005727C2">
            <w:pPr>
              <w:spacing w:after="0" w:line="240" w:lineRule="auto"/>
              <w:jc w:val="center"/>
              <w:rPr>
                <w:color w:val="000000"/>
                <w:sz w:val="20"/>
                <w:szCs w:val="20"/>
                <w:lang w:eastAsia="en-US"/>
              </w:rPr>
            </w:pPr>
            <w:r>
              <w:rPr>
                <w:color w:val="000000"/>
                <w:sz w:val="20"/>
                <w:szCs w:val="20"/>
                <w:lang w:eastAsia="en-US"/>
              </w:rPr>
              <w:t>3</w:t>
            </w:r>
          </w:p>
        </w:tc>
        <w:tc>
          <w:tcPr>
            <w:tcW w:w="1134" w:type="dxa"/>
            <w:tcBorders>
              <w:top w:val="nil"/>
              <w:left w:val="nil"/>
              <w:bottom w:val="single" w:sz="8" w:space="0" w:color="auto"/>
              <w:right w:val="single" w:sz="8" w:space="0" w:color="auto"/>
            </w:tcBorders>
            <w:vAlign w:val="center"/>
            <w:hideMark/>
          </w:tcPr>
          <w:p w:rsidR="005727C2" w:rsidRDefault="005727C2">
            <w:pPr>
              <w:spacing w:after="0" w:line="240" w:lineRule="auto"/>
              <w:jc w:val="center"/>
              <w:rPr>
                <w:color w:val="000000"/>
                <w:sz w:val="20"/>
                <w:szCs w:val="20"/>
                <w:lang w:eastAsia="en-US"/>
              </w:rPr>
            </w:pPr>
            <w:r>
              <w:rPr>
                <w:color w:val="000000"/>
                <w:sz w:val="20"/>
                <w:szCs w:val="20"/>
                <w:lang w:eastAsia="en-US"/>
              </w:rPr>
              <w:t>0</w:t>
            </w:r>
          </w:p>
        </w:tc>
        <w:tc>
          <w:tcPr>
            <w:tcW w:w="1417" w:type="dxa"/>
            <w:tcBorders>
              <w:top w:val="nil"/>
              <w:left w:val="nil"/>
              <w:bottom w:val="single" w:sz="8" w:space="0" w:color="auto"/>
              <w:right w:val="single" w:sz="8" w:space="0" w:color="auto"/>
            </w:tcBorders>
            <w:vAlign w:val="center"/>
            <w:hideMark/>
          </w:tcPr>
          <w:p w:rsidR="005727C2" w:rsidRDefault="005727C2">
            <w:pPr>
              <w:spacing w:after="0" w:line="240" w:lineRule="auto"/>
              <w:jc w:val="center"/>
              <w:rPr>
                <w:color w:val="000000"/>
                <w:sz w:val="20"/>
                <w:szCs w:val="20"/>
                <w:lang w:eastAsia="en-US"/>
              </w:rPr>
            </w:pPr>
            <w:r>
              <w:rPr>
                <w:color w:val="000000"/>
                <w:sz w:val="20"/>
                <w:szCs w:val="20"/>
                <w:lang w:eastAsia="en-US"/>
              </w:rPr>
              <w:t>3</w:t>
            </w:r>
          </w:p>
        </w:tc>
      </w:tr>
      <w:tr w:rsidR="005727C2" w:rsidTr="005727C2">
        <w:trPr>
          <w:trHeight w:val="600"/>
        </w:trPr>
        <w:tc>
          <w:tcPr>
            <w:tcW w:w="5397" w:type="dxa"/>
            <w:tcBorders>
              <w:top w:val="nil"/>
              <w:left w:val="single" w:sz="8" w:space="0" w:color="auto"/>
              <w:bottom w:val="single" w:sz="8" w:space="0" w:color="auto"/>
              <w:right w:val="single" w:sz="8" w:space="0" w:color="auto"/>
            </w:tcBorders>
            <w:vAlign w:val="bottom"/>
            <w:hideMark/>
          </w:tcPr>
          <w:p w:rsidR="005727C2" w:rsidRDefault="005727C2">
            <w:pPr>
              <w:spacing w:after="0" w:line="240" w:lineRule="auto"/>
              <w:rPr>
                <w:color w:val="000000"/>
                <w:sz w:val="20"/>
                <w:szCs w:val="20"/>
                <w:lang w:eastAsia="en-US"/>
              </w:rPr>
            </w:pPr>
            <w:r>
              <w:rPr>
                <w:color w:val="000000"/>
                <w:sz w:val="20"/>
                <w:szCs w:val="20"/>
                <w:lang w:eastAsia="en-US"/>
              </w:rPr>
              <w:t xml:space="preserve">Общее количество проверок, по итогам проведения которых по фактам выявленных нарушений возбуждены дела об административных правонарушениях </w:t>
            </w:r>
          </w:p>
        </w:tc>
        <w:tc>
          <w:tcPr>
            <w:tcW w:w="992" w:type="dxa"/>
            <w:tcBorders>
              <w:top w:val="nil"/>
              <w:left w:val="nil"/>
              <w:bottom w:val="single" w:sz="8" w:space="0" w:color="auto"/>
              <w:right w:val="single" w:sz="8" w:space="0" w:color="auto"/>
            </w:tcBorders>
            <w:vAlign w:val="center"/>
            <w:hideMark/>
          </w:tcPr>
          <w:p w:rsidR="005727C2" w:rsidRDefault="005727C2">
            <w:pPr>
              <w:spacing w:after="0" w:line="240" w:lineRule="auto"/>
              <w:jc w:val="center"/>
              <w:rPr>
                <w:color w:val="000000"/>
                <w:sz w:val="20"/>
                <w:szCs w:val="20"/>
                <w:lang w:eastAsia="en-US"/>
              </w:rPr>
            </w:pPr>
            <w:r>
              <w:rPr>
                <w:color w:val="000000"/>
                <w:sz w:val="20"/>
                <w:szCs w:val="20"/>
                <w:lang w:eastAsia="en-US"/>
              </w:rPr>
              <w:t>8</w:t>
            </w:r>
          </w:p>
        </w:tc>
        <w:tc>
          <w:tcPr>
            <w:tcW w:w="709" w:type="dxa"/>
            <w:tcBorders>
              <w:top w:val="nil"/>
              <w:left w:val="nil"/>
              <w:bottom w:val="single" w:sz="8" w:space="0" w:color="auto"/>
              <w:right w:val="single" w:sz="8" w:space="0" w:color="auto"/>
            </w:tcBorders>
            <w:vAlign w:val="center"/>
            <w:hideMark/>
          </w:tcPr>
          <w:p w:rsidR="005727C2" w:rsidRDefault="005727C2">
            <w:pPr>
              <w:spacing w:after="0" w:line="240" w:lineRule="auto"/>
              <w:jc w:val="center"/>
              <w:rPr>
                <w:color w:val="000000"/>
                <w:sz w:val="20"/>
                <w:szCs w:val="20"/>
                <w:lang w:eastAsia="en-US"/>
              </w:rPr>
            </w:pPr>
            <w:r>
              <w:rPr>
                <w:color w:val="000000"/>
                <w:sz w:val="20"/>
                <w:szCs w:val="20"/>
                <w:lang w:eastAsia="en-US"/>
              </w:rPr>
              <w:t>12</w:t>
            </w:r>
          </w:p>
        </w:tc>
        <w:tc>
          <w:tcPr>
            <w:tcW w:w="1134" w:type="dxa"/>
            <w:tcBorders>
              <w:top w:val="nil"/>
              <w:left w:val="nil"/>
              <w:bottom w:val="single" w:sz="8" w:space="0" w:color="auto"/>
              <w:right w:val="single" w:sz="8" w:space="0" w:color="auto"/>
            </w:tcBorders>
            <w:vAlign w:val="center"/>
            <w:hideMark/>
          </w:tcPr>
          <w:p w:rsidR="005727C2" w:rsidRDefault="005727C2">
            <w:pPr>
              <w:spacing w:after="0" w:line="240" w:lineRule="auto"/>
              <w:jc w:val="center"/>
              <w:rPr>
                <w:color w:val="000000"/>
                <w:sz w:val="20"/>
                <w:szCs w:val="20"/>
                <w:lang w:eastAsia="en-US"/>
              </w:rPr>
            </w:pPr>
            <w:r>
              <w:rPr>
                <w:color w:val="000000"/>
                <w:sz w:val="20"/>
                <w:szCs w:val="20"/>
                <w:lang w:eastAsia="en-US"/>
              </w:rPr>
              <w:t>7</w:t>
            </w:r>
          </w:p>
        </w:tc>
        <w:tc>
          <w:tcPr>
            <w:tcW w:w="1417" w:type="dxa"/>
            <w:tcBorders>
              <w:top w:val="nil"/>
              <w:left w:val="nil"/>
              <w:bottom w:val="single" w:sz="8" w:space="0" w:color="auto"/>
              <w:right w:val="single" w:sz="8" w:space="0" w:color="auto"/>
            </w:tcBorders>
            <w:vAlign w:val="center"/>
            <w:hideMark/>
          </w:tcPr>
          <w:p w:rsidR="005727C2" w:rsidRDefault="005727C2">
            <w:pPr>
              <w:spacing w:after="0" w:line="240" w:lineRule="auto"/>
              <w:jc w:val="center"/>
              <w:rPr>
                <w:color w:val="000000"/>
                <w:sz w:val="20"/>
                <w:szCs w:val="20"/>
                <w:lang w:eastAsia="en-US"/>
              </w:rPr>
            </w:pPr>
            <w:r>
              <w:rPr>
                <w:color w:val="000000"/>
                <w:sz w:val="20"/>
                <w:szCs w:val="20"/>
                <w:lang w:eastAsia="en-US"/>
              </w:rPr>
              <w:t>5</w:t>
            </w:r>
          </w:p>
        </w:tc>
      </w:tr>
      <w:tr w:rsidR="005727C2" w:rsidTr="005727C2">
        <w:trPr>
          <w:trHeight w:val="585"/>
        </w:trPr>
        <w:tc>
          <w:tcPr>
            <w:tcW w:w="5397" w:type="dxa"/>
            <w:tcBorders>
              <w:top w:val="nil"/>
              <w:left w:val="single" w:sz="8" w:space="0" w:color="auto"/>
              <w:bottom w:val="single" w:sz="8" w:space="0" w:color="auto"/>
              <w:right w:val="single" w:sz="8" w:space="0" w:color="auto"/>
            </w:tcBorders>
            <w:vAlign w:val="bottom"/>
            <w:hideMark/>
          </w:tcPr>
          <w:p w:rsidR="005727C2" w:rsidRDefault="005727C2">
            <w:pPr>
              <w:spacing w:after="0" w:line="240" w:lineRule="auto"/>
              <w:rPr>
                <w:color w:val="000000"/>
                <w:sz w:val="20"/>
                <w:szCs w:val="20"/>
                <w:lang w:eastAsia="en-US"/>
              </w:rPr>
            </w:pPr>
            <w:r>
              <w:rPr>
                <w:color w:val="000000"/>
                <w:sz w:val="20"/>
                <w:szCs w:val="20"/>
                <w:lang w:eastAsia="en-US"/>
              </w:rPr>
              <w:t>Общее количество проверок, по итогам которых по фактам выявленных нарушений наложены административные наказания</w:t>
            </w:r>
          </w:p>
        </w:tc>
        <w:tc>
          <w:tcPr>
            <w:tcW w:w="992" w:type="dxa"/>
            <w:tcBorders>
              <w:top w:val="nil"/>
              <w:left w:val="nil"/>
              <w:bottom w:val="single" w:sz="8" w:space="0" w:color="auto"/>
              <w:right w:val="single" w:sz="8" w:space="0" w:color="auto"/>
            </w:tcBorders>
            <w:shd w:val="clear" w:color="auto" w:fill="FFFFFF" w:themeFill="background1"/>
            <w:vAlign w:val="center"/>
            <w:hideMark/>
          </w:tcPr>
          <w:p w:rsidR="005727C2" w:rsidRDefault="005727C2">
            <w:pPr>
              <w:spacing w:after="0" w:line="240" w:lineRule="auto"/>
              <w:jc w:val="center"/>
              <w:rPr>
                <w:color w:val="000000"/>
                <w:sz w:val="20"/>
                <w:szCs w:val="20"/>
                <w:lang w:eastAsia="en-US"/>
              </w:rPr>
            </w:pPr>
            <w:r>
              <w:rPr>
                <w:color w:val="000000"/>
                <w:sz w:val="20"/>
                <w:szCs w:val="20"/>
                <w:lang w:eastAsia="en-US"/>
              </w:rPr>
              <w:t>7</w:t>
            </w:r>
          </w:p>
        </w:tc>
        <w:tc>
          <w:tcPr>
            <w:tcW w:w="709" w:type="dxa"/>
            <w:tcBorders>
              <w:top w:val="nil"/>
              <w:left w:val="nil"/>
              <w:bottom w:val="single" w:sz="8" w:space="0" w:color="auto"/>
              <w:right w:val="single" w:sz="8" w:space="0" w:color="auto"/>
            </w:tcBorders>
            <w:shd w:val="clear" w:color="auto" w:fill="FFFFFF" w:themeFill="background1"/>
            <w:vAlign w:val="center"/>
            <w:hideMark/>
          </w:tcPr>
          <w:p w:rsidR="005727C2" w:rsidRDefault="005727C2">
            <w:pPr>
              <w:spacing w:after="0" w:line="240" w:lineRule="auto"/>
              <w:jc w:val="center"/>
              <w:rPr>
                <w:color w:val="000000"/>
                <w:sz w:val="20"/>
                <w:szCs w:val="20"/>
                <w:lang w:eastAsia="en-US"/>
              </w:rPr>
            </w:pPr>
            <w:r>
              <w:rPr>
                <w:color w:val="000000"/>
                <w:sz w:val="20"/>
                <w:szCs w:val="20"/>
                <w:lang w:eastAsia="en-US"/>
              </w:rPr>
              <w:t>11</w:t>
            </w:r>
          </w:p>
        </w:tc>
        <w:tc>
          <w:tcPr>
            <w:tcW w:w="1134" w:type="dxa"/>
            <w:tcBorders>
              <w:top w:val="nil"/>
              <w:left w:val="nil"/>
              <w:bottom w:val="single" w:sz="8" w:space="0" w:color="auto"/>
              <w:right w:val="single" w:sz="8" w:space="0" w:color="auto"/>
            </w:tcBorders>
            <w:vAlign w:val="center"/>
            <w:hideMark/>
          </w:tcPr>
          <w:p w:rsidR="005727C2" w:rsidRDefault="005727C2">
            <w:pPr>
              <w:spacing w:after="0" w:line="240" w:lineRule="auto"/>
              <w:jc w:val="center"/>
              <w:rPr>
                <w:color w:val="000000"/>
                <w:sz w:val="20"/>
                <w:szCs w:val="20"/>
                <w:lang w:eastAsia="en-US"/>
              </w:rPr>
            </w:pPr>
            <w:r>
              <w:rPr>
                <w:color w:val="000000"/>
                <w:sz w:val="20"/>
                <w:szCs w:val="20"/>
                <w:lang w:eastAsia="en-US"/>
              </w:rPr>
              <w:t>7</w:t>
            </w:r>
          </w:p>
        </w:tc>
        <w:tc>
          <w:tcPr>
            <w:tcW w:w="1417" w:type="dxa"/>
            <w:tcBorders>
              <w:top w:val="nil"/>
              <w:left w:val="nil"/>
              <w:bottom w:val="single" w:sz="8" w:space="0" w:color="auto"/>
              <w:right w:val="single" w:sz="8" w:space="0" w:color="auto"/>
            </w:tcBorders>
            <w:vAlign w:val="center"/>
            <w:hideMark/>
          </w:tcPr>
          <w:p w:rsidR="005727C2" w:rsidRDefault="005727C2">
            <w:pPr>
              <w:spacing w:after="0" w:line="240" w:lineRule="auto"/>
              <w:jc w:val="center"/>
              <w:rPr>
                <w:color w:val="000000"/>
                <w:sz w:val="20"/>
                <w:szCs w:val="20"/>
                <w:lang w:eastAsia="en-US"/>
              </w:rPr>
            </w:pPr>
            <w:r>
              <w:rPr>
                <w:color w:val="000000"/>
                <w:sz w:val="20"/>
                <w:szCs w:val="20"/>
                <w:lang w:eastAsia="en-US"/>
              </w:rPr>
              <w:t>4</w:t>
            </w:r>
          </w:p>
        </w:tc>
      </w:tr>
      <w:tr w:rsidR="005727C2" w:rsidTr="005727C2">
        <w:trPr>
          <w:trHeight w:val="600"/>
        </w:trPr>
        <w:tc>
          <w:tcPr>
            <w:tcW w:w="5397" w:type="dxa"/>
            <w:tcBorders>
              <w:top w:val="nil"/>
              <w:left w:val="single" w:sz="8" w:space="0" w:color="auto"/>
              <w:bottom w:val="single" w:sz="8" w:space="0" w:color="auto"/>
              <w:right w:val="single" w:sz="8" w:space="0" w:color="auto"/>
            </w:tcBorders>
            <w:vAlign w:val="bottom"/>
            <w:hideMark/>
          </w:tcPr>
          <w:p w:rsidR="005727C2" w:rsidRDefault="005727C2">
            <w:pPr>
              <w:spacing w:after="0" w:line="240" w:lineRule="auto"/>
              <w:rPr>
                <w:color w:val="000000"/>
                <w:sz w:val="20"/>
                <w:szCs w:val="20"/>
                <w:lang w:eastAsia="en-US"/>
              </w:rPr>
            </w:pPr>
            <w:r>
              <w:rPr>
                <w:color w:val="000000"/>
                <w:sz w:val="20"/>
                <w:szCs w:val="20"/>
                <w:lang w:eastAsia="en-US"/>
              </w:rPr>
              <w:t xml:space="preserve">Общее количество административных наказаний, наложенных по итогам проверок, </w:t>
            </w:r>
            <w:r>
              <w:rPr>
                <w:color w:val="FF0000"/>
                <w:sz w:val="20"/>
                <w:szCs w:val="20"/>
                <w:lang w:eastAsia="en-US"/>
              </w:rPr>
              <w:t xml:space="preserve"> </w:t>
            </w:r>
            <w:r>
              <w:rPr>
                <w:color w:val="000000"/>
                <w:sz w:val="20"/>
                <w:szCs w:val="20"/>
                <w:lang w:eastAsia="en-US"/>
              </w:rPr>
              <w:t>в том числе по видам наказаний:</w:t>
            </w:r>
          </w:p>
        </w:tc>
        <w:tc>
          <w:tcPr>
            <w:tcW w:w="992" w:type="dxa"/>
            <w:tcBorders>
              <w:top w:val="nil"/>
              <w:left w:val="nil"/>
              <w:bottom w:val="single" w:sz="8" w:space="0" w:color="auto"/>
              <w:right w:val="single" w:sz="8" w:space="0" w:color="auto"/>
            </w:tcBorders>
            <w:shd w:val="clear" w:color="auto" w:fill="FFFFFF" w:themeFill="background1"/>
            <w:vAlign w:val="center"/>
            <w:hideMark/>
          </w:tcPr>
          <w:p w:rsidR="005727C2" w:rsidRDefault="005727C2">
            <w:pPr>
              <w:spacing w:after="0" w:line="240" w:lineRule="auto"/>
              <w:jc w:val="center"/>
              <w:rPr>
                <w:color w:val="000000"/>
                <w:sz w:val="20"/>
                <w:szCs w:val="20"/>
                <w:lang w:eastAsia="en-US"/>
              </w:rPr>
            </w:pPr>
            <w:r>
              <w:rPr>
                <w:color w:val="000000"/>
                <w:sz w:val="20"/>
                <w:szCs w:val="20"/>
                <w:lang w:eastAsia="en-US"/>
              </w:rPr>
              <w:t>12</w:t>
            </w:r>
          </w:p>
        </w:tc>
        <w:tc>
          <w:tcPr>
            <w:tcW w:w="709" w:type="dxa"/>
            <w:tcBorders>
              <w:top w:val="nil"/>
              <w:left w:val="nil"/>
              <w:bottom w:val="single" w:sz="8" w:space="0" w:color="auto"/>
              <w:right w:val="single" w:sz="8" w:space="0" w:color="auto"/>
            </w:tcBorders>
            <w:shd w:val="clear" w:color="auto" w:fill="FFFFFF" w:themeFill="background1"/>
            <w:vAlign w:val="center"/>
            <w:hideMark/>
          </w:tcPr>
          <w:p w:rsidR="005727C2" w:rsidRDefault="005727C2">
            <w:pPr>
              <w:spacing w:after="0" w:line="240" w:lineRule="auto"/>
              <w:jc w:val="center"/>
              <w:rPr>
                <w:color w:val="000000"/>
                <w:sz w:val="20"/>
                <w:szCs w:val="20"/>
                <w:lang w:eastAsia="en-US"/>
              </w:rPr>
            </w:pPr>
            <w:r>
              <w:rPr>
                <w:color w:val="000000"/>
                <w:sz w:val="20"/>
                <w:szCs w:val="20"/>
                <w:lang w:eastAsia="en-US"/>
              </w:rPr>
              <w:t>16</w:t>
            </w:r>
          </w:p>
        </w:tc>
        <w:tc>
          <w:tcPr>
            <w:tcW w:w="1134" w:type="dxa"/>
            <w:tcBorders>
              <w:top w:val="nil"/>
              <w:left w:val="nil"/>
              <w:bottom w:val="single" w:sz="8" w:space="0" w:color="auto"/>
              <w:right w:val="single" w:sz="8" w:space="0" w:color="auto"/>
            </w:tcBorders>
            <w:vAlign w:val="center"/>
            <w:hideMark/>
          </w:tcPr>
          <w:p w:rsidR="005727C2" w:rsidRDefault="005727C2">
            <w:pPr>
              <w:spacing w:after="0" w:line="240" w:lineRule="auto"/>
              <w:jc w:val="center"/>
              <w:rPr>
                <w:color w:val="000000"/>
                <w:sz w:val="20"/>
                <w:szCs w:val="20"/>
                <w:lang w:eastAsia="en-US"/>
              </w:rPr>
            </w:pPr>
            <w:r>
              <w:rPr>
                <w:color w:val="000000"/>
                <w:sz w:val="20"/>
                <w:szCs w:val="20"/>
                <w:lang w:eastAsia="en-US"/>
              </w:rPr>
              <w:t>12</w:t>
            </w:r>
          </w:p>
        </w:tc>
        <w:tc>
          <w:tcPr>
            <w:tcW w:w="1417" w:type="dxa"/>
            <w:tcBorders>
              <w:top w:val="nil"/>
              <w:left w:val="nil"/>
              <w:bottom w:val="single" w:sz="8" w:space="0" w:color="auto"/>
              <w:right w:val="single" w:sz="8" w:space="0" w:color="auto"/>
            </w:tcBorders>
            <w:vAlign w:val="center"/>
            <w:hideMark/>
          </w:tcPr>
          <w:p w:rsidR="005727C2" w:rsidRDefault="005727C2">
            <w:pPr>
              <w:spacing w:after="0" w:line="240" w:lineRule="auto"/>
              <w:jc w:val="center"/>
              <w:rPr>
                <w:color w:val="000000"/>
                <w:sz w:val="20"/>
                <w:szCs w:val="20"/>
                <w:lang w:eastAsia="en-US"/>
              </w:rPr>
            </w:pPr>
            <w:r>
              <w:rPr>
                <w:color w:val="000000"/>
                <w:sz w:val="20"/>
                <w:szCs w:val="20"/>
                <w:lang w:eastAsia="en-US"/>
              </w:rPr>
              <w:t>4</w:t>
            </w:r>
          </w:p>
        </w:tc>
      </w:tr>
      <w:tr w:rsidR="005727C2" w:rsidTr="005727C2">
        <w:trPr>
          <w:trHeight w:val="330"/>
        </w:trPr>
        <w:tc>
          <w:tcPr>
            <w:tcW w:w="5397" w:type="dxa"/>
            <w:tcBorders>
              <w:top w:val="nil"/>
              <w:left w:val="single" w:sz="8" w:space="0" w:color="auto"/>
              <w:bottom w:val="single" w:sz="8" w:space="0" w:color="auto"/>
              <w:right w:val="single" w:sz="8" w:space="0" w:color="auto"/>
            </w:tcBorders>
            <w:vAlign w:val="bottom"/>
            <w:hideMark/>
          </w:tcPr>
          <w:p w:rsidR="005727C2" w:rsidRDefault="005727C2">
            <w:pPr>
              <w:spacing w:after="0" w:line="240" w:lineRule="auto"/>
              <w:rPr>
                <w:color w:val="000000"/>
                <w:sz w:val="20"/>
                <w:szCs w:val="20"/>
                <w:lang w:eastAsia="en-US"/>
              </w:rPr>
            </w:pPr>
            <w:r>
              <w:rPr>
                <w:color w:val="000000"/>
                <w:sz w:val="20"/>
                <w:szCs w:val="20"/>
                <w:lang w:eastAsia="en-US"/>
              </w:rPr>
              <w:t>предупреждение</w:t>
            </w:r>
          </w:p>
        </w:tc>
        <w:tc>
          <w:tcPr>
            <w:tcW w:w="992" w:type="dxa"/>
            <w:tcBorders>
              <w:top w:val="nil"/>
              <w:left w:val="nil"/>
              <w:bottom w:val="single" w:sz="8" w:space="0" w:color="auto"/>
              <w:right w:val="single" w:sz="8" w:space="0" w:color="auto"/>
            </w:tcBorders>
            <w:vAlign w:val="center"/>
            <w:hideMark/>
          </w:tcPr>
          <w:p w:rsidR="005727C2" w:rsidRDefault="005727C2">
            <w:pPr>
              <w:spacing w:after="0" w:line="240" w:lineRule="auto"/>
              <w:jc w:val="center"/>
              <w:rPr>
                <w:color w:val="000000"/>
                <w:sz w:val="20"/>
                <w:szCs w:val="20"/>
                <w:lang w:eastAsia="en-US"/>
              </w:rPr>
            </w:pPr>
            <w:r>
              <w:rPr>
                <w:color w:val="000000"/>
                <w:sz w:val="20"/>
                <w:szCs w:val="20"/>
                <w:lang w:eastAsia="en-US"/>
              </w:rPr>
              <w:t>0</w:t>
            </w:r>
          </w:p>
        </w:tc>
        <w:tc>
          <w:tcPr>
            <w:tcW w:w="709" w:type="dxa"/>
            <w:tcBorders>
              <w:top w:val="nil"/>
              <w:left w:val="nil"/>
              <w:bottom w:val="single" w:sz="8" w:space="0" w:color="auto"/>
              <w:right w:val="single" w:sz="8" w:space="0" w:color="auto"/>
            </w:tcBorders>
            <w:vAlign w:val="center"/>
            <w:hideMark/>
          </w:tcPr>
          <w:p w:rsidR="005727C2" w:rsidRDefault="005727C2">
            <w:pPr>
              <w:spacing w:after="0" w:line="240" w:lineRule="auto"/>
              <w:jc w:val="center"/>
              <w:rPr>
                <w:color w:val="000000"/>
                <w:sz w:val="20"/>
                <w:szCs w:val="20"/>
                <w:lang w:eastAsia="en-US"/>
              </w:rPr>
            </w:pPr>
            <w:r>
              <w:rPr>
                <w:color w:val="000000"/>
                <w:sz w:val="20"/>
                <w:szCs w:val="20"/>
                <w:lang w:eastAsia="en-US"/>
              </w:rPr>
              <w:t>0</w:t>
            </w:r>
          </w:p>
        </w:tc>
        <w:tc>
          <w:tcPr>
            <w:tcW w:w="1134" w:type="dxa"/>
            <w:tcBorders>
              <w:top w:val="nil"/>
              <w:left w:val="nil"/>
              <w:bottom w:val="single" w:sz="8" w:space="0" w:color="auto"/>
              <w:right w:val="single" w:sz="8" w:space="0" w:color="auto"/>
            </w:tcBorders>
            <w:vAlign w:val="center"/>
            <w:hideMark/>
          </w:tcPr>
          <w:p w:rsidR="005727C2" w:rsidRDefault="005727C2">
            <w:pPr>
              <w:spacing w:after="0" w:line="240" w:lineRule="auto"/>
              <w:jc w:val="center"/>
              <w:rPr>
                <w:color w:val="000000"/>
                <w:sz w:val="20"/>
                <w:szCs w:val="20"/>
                <w:lang w:eastAsia="en-US"/>
              </w:rPr>
            </w:pPr>
            <w:r>
              <w:rPr>
                <w:color w:val="000000"/>
                <w:sz w:val="20"/>
                <w:szCs w:val="20"/>
                <w:lang w:eastAsia="en-US"/>
              </w:rPr>
              <w:t>0</w:t>
            </w:r>
          </w:p>
        </w:tc>
        <w:tc>
          <w:tcPr>
            <w:tcW w:w="1417" w:type="dxa"/>
            <w:tcBorders>
              <w:top w:val="nil"/>
              <w:left w:val="nil"/>
              <w:bottom w:val="single" w:sz="8" w:space="0" w:color="auto"/>
              <w:right w:val="single" w:sz="8" w:space="0" w:color="auto"/>
            </w:tcBorders>
            <w:vAlign w:val="center"/>
            <w:hideMark/>
          </w:tcPr>
          <w:p w:rsidR="005727C2" w:rsidRDefault="005727C2">
            <w:pPr>
              <w:spacing w:after="0" w:line="240" w:lineRule="auto"/>
              <w:jc w:val="center"/>
              <w:rPr>
                <w:color w:val="000000"/>
                <w:sz w:val="20"/>
                <w:szCs w:val="20"/>
                <w:lang w:eastAsia="en-US"/>
              </w:rPr>
            </w:pPr>
            <w:r>
              <w:rPr>
                <w:color w:val="000000"/>
                <w:sz w:val="20"/>
                <w:szCs w:val="20"/>
                <w:lang w:eastAsia="en-US"/>
              </w:rPr>
              <w:t>0</w:t>
            </w:r>
          </w:p>
        </w:tc>
      </w:tr>
      <w:tr w:rsidR="005727C2" w:rsidTr="005727C2">
        <w:trPr>
          <w:trHeight w:val="345"/>
        </w:trPr>
        <w:tc>
          <w:tcPr>
            <w:tcW w:w="5397" w:type="dxa"/>
            <w:tcBorders>
              <w:top w:val="nil"/>
              <w:left w:val="single" w:sz="8" w:space="0" w:color="auto"/>
              <w:bottom w:val="single" w:sz="8" w:space="0" w:color="auto"/>
              <w:right w:val="single" w:sz="8" w:space="0" w:color="auto"/>
            </w:tcBorders>
            <w:vAlign w:val="bottom"/>
            <w:hideMark/>
          </w:tcPr>
          <w:p w:rsidR="005727C2" w:rsidRDefault="005727C2">
            <w:pPr>
              <w:spacing w:after="0" w:line="240" w:lineRule="auto"/>
              <w:rPr>
                <w:color w:val="000000"/>
                <w:sz w:val="20"/>
                <w:szCs w:val="20"/>
                <w:lang w:eastAsia="en-US"/>
              </w:rPr>
            </w:pPr>
            <w:r>
              <w:rPr>
                <w:color w:val="000000"/>
                <w:sz w:val="20"/>
                <w:szCs w:val="20"/>
                <w:lang w:eastAsia="en-US"/>
              </w:rPr>
              <w:t>административный штраф - всего, в том числе:</w:t>
            </w:r>
          </w:p>
        </w:tc>
        <w:tc>
          <w:tcPr>
            <w:tcW w:w="992" w:type="dxa"/>
            <w:tcBorders>
              <w:top w:val="nil"/>
              <w:left w:val="nil"/>
              <w:bottom w:val="single" w:sz="8" w:space="0" w:color="auto"/>
              <w:right w:val="single" w:sz="8" w:space="0" w:color="auto"/>
            </w:tcBorders>
            <w:vAlign w:val="center"/>
            <w:hideMark/>
          </w:tcPr>
          <w:p w:rsidR="005727C2" w:rsidRDefault="005727C2">
            <w:pPr>
              <w:spacing w:after="0" w:line="240" w:lineRule="auto"/>
              <w:jc w:val="center"/>
              <w:rPr>
                <w:color w:val="000000"/>
                <w:sz w:val="20"/>
                <w:szCs w:val="20"/>
                <w:lang w:eastAsia="en-US"/>
              </w:rPr>
            </w:pPr>
            <w:r>
              <w:rPr>
                <w:color w:val="000000"/>
                <w:sz w:val="20"/>
                <w:szCs w:val="20"/>
                <w:lang w:eastAsia="en-US"/>
              </w:rPr>
              <w:t>12</w:t>
            </w:r>
          </w:p>
        </w:tc>
        <w:tc>
          <w:tcPr>
            <w:tcW w:w="709" w:type="dxa"/>
            <w:tcBorders>
              <w:top w:val="nil"/>
              <w:left w:val="nil"/>
              <w:bottom w:val="single" w:sz="8" w:space="0" w:color="auto"/>
              <w:right w:val="single" w:sz="8" w:space="0" w:color="auto"/>
            </w:tcBorders>
            <w:vAlign w:val="center"/>
            <w:hideMark/>
          </w:tcPr>
          <w:p w:rsidR="005727C2" w:rsidRDefault="005727C2">
            <w:pPr>
              <w:spacing w:after="0" w:line="240" w:lineRule="auto"/>
              <w:jc w:val="center"/>
              <w:rPr>
                <w:color w:val="000000"/>
                <w:sz w:val="20"/>
                <w:szCs w:val="20"/>
                <w:lang w:eastAsia="en-US"/>
              </w:rPr>
            </w:pPr>
            <w:r>
              <w:rPr>
                <w:color w:val="000000"/>
                <w:sz w:val="20"/>
                <w:szCs w:val="20"/>
                <w:lang w:eastAsia="en-US"/>
              </w:rPr>
              <w:t>16</w:t>
            </w:r>
          </w:p>
        </w:tc>
        <w:tc>
          <w:tcPr>
            <w:tcW w:w="1134" w:type="dxa"/>
            <w:tcBorders>
              <w:top w:val="nil"/>
              <w:left w:val="nil"/>
              <w:bottom w:val="single" w:sz="8" w:space="0" w:color="auto"/>
              <w:right w:val="single" w:sz="8" w:space="0" w:color="auto"/>
            </w:tcBorders>
            <w:vAlign w:val="center"/>
            <w:hideMark/>
          </w:tcPr>
          <w:p w:rsidR="005727C2" w:rsidRDefault="005727C2">
            <w:pPr>
              <w:spacing w:after="0" w:line="240" w:lineRule="auto"/>
              <w:jc w:val="center"/>
              <w:rPr>
                <w:color w:val="000000"/>
                <w:sz w:val="20"/>
                <w:szCs w:val="20"/>
                <w:lang w:eastAsia="en-US"/>
              </w:rPr>
            </w:pPr>
            <w:r>
              <w:rPr>
                <w:color w:val="000000"/>
                <w:sz w:val="20"/>
                <w:szCs w:val="20"/>
                <w:lang w:eastAsia="en-US"/>
              </w:rPr>
              <w:t>12</w:t>
            </w:r>
          </w:p>
        </w:tc>
        <w:tc>
          <w:tcPr>
            <w:tcW w:w="1417" w:type="dxa"/>
            <w:tcBorders>
              <w:top w:val="nil"/>
              <w:left w:val="nil"/>
              <w:bottom w:val="single" w:sz="8" w:space="0" w:color="auto"/>
              <w:right w:val="single" w:sz="8" w:space="0" w:color="auto"/>
            </w:tcBorders>
            <w:vAlign w:val="center"/>
            <w:hideMark/>
          </w:tcPr>
          <w:p w:rsidR="005727C2" w:rsidRDefault="005727C2">
            <w:pPr>
              <w:spacing w:after="0" w:line="240" w:lineRule="auto"/>
              <w:jc w:val="center"/>
              <w:rPr>
                <w:color w:val="000000"/>
                <w:sz w:val="20"/>
                <w:szCs w:val="20"/>
                <w:lang w:eastAsia="en-US"/>
              </w:rPr>
            </w:pPr>
            <w:r>
              <w:rPr>
                <w:color w:val="000000"/>
                <w:sz w:val="20"/>
                <w:szCs w:val="20"/>
                <w:lang w:eastAsia="en-US"/>
              </w:rPr>
              <w:t>4</w:t>
            </w:r>
          </w:p>
        </w:tc>
      </w:tr>
      <w:tr w:rsidR="005727C2" w:rsidTr="005727C2">
        <w:trPr>
          <w:trHeight w:val="345"/>
        </w:trPr>
        <w:tc>
          <w:tcPr>
            <w:tcW w:w="5397" w:type="dxa"/>
            <w:tcBorders>
              <w:top w:val="nil"/>
              <w:left w:val="single" w:sz="8" w:space="0" w:color="auto"/>
              <w:bottom w:val="single" w:sz="8" w:space="0" w:color="auto"/>
              <w:right w:val="single" w:sz="8" w:space="0" w:color="auto"/>
            </w:tcBorders>
            <w:vAlign w:val="bottom"/>
            <w:hideMark/>
          </w:tcPr>
          <w:p w:rsidR="005727C2" w:rsidRDefault="005727C2">
            <w:pPr>
              <w:spacing w:after="0" w:line="240" w:lineRule="auto"/>
              <w:rPr>
                <w:color w:val="000000"/>
                <w:sz w:val="20"/>
                <w:szCs w:val="20"/>
                <w:lang w:eastAsia="en-US"/>
              </w:rPr>
            </w:pPr>
            <w:r>
              <w:rPr>
                <w:color w:val="000000"/>
                <w:sz w:val="20"/>
                <w:szCs w:val="20"/>
                <w:lang w:eastAsia="en-US"/>
              </w:rPr>
              <w:t>на должностное лицо</w:t>
            </w:r>
          </w:p>
        </w:tc>
        <w:tc>
          <w:tcPr>
            <w:tcW w:w="992" w:type="dxa"/>
            <w:tcBorders>
              <w:top w:val="nil"/>
              <w:left w:val="nil"/>
              <w:bottom w:val="single" w:sz="8" w:space="0" w:color="auto"/>
              <w:right w:val="single" w:sz="8" w:space="0" w:color="auto"/>
            </w:tcBorders>
            <w:vAlign w:val="center"/>
            <w:hideMark/>
          </w:tcPr>
          <w:p w:rsidR="005727C2" w:rsidRDefault="005727C2">
            <w:pPr>
              <w:spacing w:after="0" w:line="240" w:lineRule="auto"/>
              <w:jc w:val="center"/>
              <w:rPr>
                <w:color w:val="000000"/>
                <w:sz w:val="20"/>
                <w:szCs w:val="20"/>
                <w:lang w:eastAsia="en-US"/>
              </w:rPr>
            </w:pPr>
            <w:r>
              <w:rPr>
                <w:color w:val="000000"/>
                <w:sz w:val="20"/>
                <w:szCs w:val="20"/>
                <w:lang w:eastAsia="en-US"/>
              </w:rPr>
              <w:t>6</w:t>
            </w:r>
          </w:p>
        </w:tc>
        <w:tc>
          <w:tcPr>
            <w:tcW w:w="709" w:type="dxa"/>
            <w:tcBorders>
              <w:top w:val="nil"/>
              <w:left w:val="nil"/>
              <w:bottom w:val="single" w:sz="8" w:space="0" w:color="auto"/>
              <w:right w:val="single" w:sz="8" w:space="0" w:color="auto"/>
            </w:tcBorders>
            <w:vAlign w:val="center"/>
            <w:hideMark/>
          </w:tcPr>
          <w:p w:rsidR="005727C2" w:rsidRDefault="005727C2">
            <w:pPr>
              <w:spacing w:after="0" w:line="240" w:lineRule="auto"/>
              <w:jc w:val="center"/>
              <w:rPr>
                <w:color w:val="000000"/>
                <w:sz w:val="20"/>
                <w:szCs w:val="20"/>
                <w:lang w:eastAsia="en-US"/>
              </w:rPr>
            </w:pPr>
            <w:r>
              <w:rPr>
                <w:color w:val="000000"/>
                <w:sz w:val="20"/>
                <w:szCs w:val="20"/>
                <w:lang w:eastAsia="en-US"/>
              </w:rPr>
              <w:t>7</w:t>
            </w:r>
          </w:p>
        </w:tc>
        <w:tc>
          <w:tcPr>
            <w:tcW w:w="1134" w:type="dxa"/>
            <w:tcBorders>
              <w:top w:val="nil"/>
              <w:left w:val="nil"/>
              <w:bottom w:val="single" w:sz="8" w:space="0" w:color="auto"/>
              <w:right w:val="single" w:sz="8" w:space="0" w:color="auto"/>
            </w:tcBorders>
            <w:vAlign w:val="center"/>
            <w:hideMark/>
          </w:tcPr>
          <w:p w:rsidR="005727C2" w:rsidRDefault="005727C2">
            <w:pPr>
              <w:spacing w:after="0" w:line="240" w:lineRule="auto"/>
              <w:jc w:val="center"/>
              <w:rPr>
                <w:color w:val="000000"/>
                <w:sz w:val="20"/>
                <w:szCs w:val="20"/>
                <w:lang w:eastAsia="en-US"/>
              </w:rPr>
            </w:pPr>
            <w:r>
              <w:rPr>
                <w:color w:val="000000"/>
                <w:sz w:val="20"/>
                <w:szCs w:val="20"/>
                <w:lang w:eastAsia="en-US"/>
              </w:rPr>
              <w:t>7</w:t>
            </w:r>
          </w:p>
        </w:tc>
        <w:tc>
          <w:tcPr>
            <w:tcW w:w="1417" w:type="dxa"/>
            <w:tcBorders>
              <w:top w:val="nil"/>
              <w:left w:val="nil"/>
              <w:bottom w:val="single" w:sz="8" w:space="0" w:color="auto"/>
              <w:right w:val="single" w:sz="8" w:space="0" w:color="auto"/>
            </w:tcBorders>
            <w:vAlign w:val="center"/>
            <w:hideMark/>
          </w:tcPr>
          <w:p w:rsidR="005727C2" w:rsidRDefault="005727C2">
            <w:pPr>
              <w:spacing w:after="0" w:line="240" w:lineRule="auto"/>
              <w:jc w:val="center"/>
              <w:rPr>
                <w:color w:val="000000"/>
                <w:sz w:val="20"/>
                <w:szCs w:val="20"/>
                <w:lang w:eastAsia="en-US"/>
              </w:rPr>
            </w:pPr>
            <w:r>
              <w:rPr>
                <w:color w:val="000000"/>
                <w:sz w:val="20"/>
                <w:szCs w:val="20"/>
                <w:lang w:eastAsia="en-US"/>
              </w:rPr>
              <w:t>0</w:t>
            </w:r>
          </w:p>
        </w:tc>
      </w:tr>
      <w:tr w:rsidR="005727C2" w:rsidTr="005727C2">
        <w:trPr>
          <w:trHeight w:val="360"/>
        </w:trPr>
        <w:tc>
          <w:tcPr>
            <w:tcW w:w="5397" w:type="dxa"/>
            <w:tcBorders>
              <w:top w:val="nil"/>
              <w:left w:val="single" w:sz="8" w:space="0" w:color="auto"/>
              <w:bottom w:val="single" w:sz="8" w:space="0" w:color="auto"/>
              <w:right w:val="single" w:sz="8" w:space="0" w:color="auto"/>
            </w:tcBorders>
            <w:vAlign w:val="bottom"/>
            <w:hideMark/>
          </w:tcPr>
          <w:p w:rsidR="005727C2" w:rsidRDefault="005727C2">
            <w:pPr>
              <w:spacing w:after="0" w:line="240" w:lineRule="auto"/>
              <w:rPr>
                <w:color w:val="000000"/>
                <w:sz w:val="20"/>
                <w:szCs w:val="20"/>
                <w:lang w:eastAsia="en-US"/>
              </w:rPr>
            </w:pPr>
            <w:r>
              <w:rPr>
                <w:color w:val="000000"/>
                <w:sz w:val="20"/>
                <w:szCs w:val="20"/>
                <w:lang w:eastAsia="en-US"/>
              </w:rPr>
              <w:t>на юридическое лицо</w:t>
            </w:r>
          </w:p>
        </w:tc>
        <w:tc>
          <w:tcPr>
            <w:tcW w:w="992" w:type="dxa"/>
            <w:tcBorders>
              <w:top w:val="nil"/>
              <w:left w:val="nil"/>
              <w:bottom w:val="single" w:sz="8" w:space="0" w:color="auto"/>
              <w:right w:val="single" w:sz="8" w:space="0" w:color="auto"/>
            </w:tcBorders>
            <w:vAlign w:val="center"/>
            <w:hideMark/>
          </w:tcPr>
          <w:p w:rsidR="005727C2" w:rsidRDefault="005727C2">
            <w:pPr>
              <w:spacing w:after="0" w:line="240" w:lineRule="auto"/>
              <w:jc w:val="center"/>
              <w:rPr>
                <w:color w:val="000000"/>
                <w:sz w:val="20"/>
                <w:szCs w:val="20"/>
                <w:lang w:eastAsia="en-US"/>
              </w:rPr>
            </w:pPr>
            <w:r>
              <w:rPr>
                <w:color w:val="000000"/>
                <w:sz w:val="20"/>
                <w:szCs w:val="20"/>
                <w:lang w:eastAsia="en-US"/>
              </w:rPr>
              <w:t>6</w:t>
            </w:r>
          </w:p>
        </w:tc>
        <w:tc>
          <w:tcPr>
            <w:tcW w:w="709" w:type="dxa"/>
            <w:tcBorders>
              <w:top w:val="nil"/>
              <w:left w:val="nil"/>
              <w:bottom w:val="single" w:sz="8" w:space="0" w:color="auto"/>
              <w:right w:val="single" w:sz="8" w:space="0" w:color="auto"/>
            </w:tcBorders>
            <w:vAlign w:val="center"/>
            <w:hideMark/>
          </w:tcPr>
          <w:p w:rsidR="005727C2" w:rsidRDefault="005727C2">
            <w:pPr>
              <w:spacing w:after="0" w:line="240" w:lineRule="auto"/>
              <w:jc w:val="center"/>
              <w:rPr>
                <w:color w:val="000000"/>
                <w:sz w:val="20"/>
                <w:szCs w:val="20"/>
                <w:lang w:eastAsia="en-US"/>
              </w:rPr>
            </w:pPr>
            <w:r>
              <w:rPr>
                <w:color w:val="000000"/>
                <w:sz w:val="20"/>
                <w:szCs w:val="20"/>
                <w:lang w:eastAsia="en-US"/>
              </w:rPr>
              <w:t>9</w:t>
            </w:r>
          </w:p>
        </w:tc>
        <w:tc>
          <w:tcPr>
            <w:tcW w:w="1134" w:type="dxa"/>
            <w:tcBorders>
              <w:top w:val="nil"/>
              <w:left w:val="nil"/>
              <w:bottom w:val="single" w:sz="8" w:space="0" w:color="auto"/>
              <w:right w:val="single" w:sz="8" w:space="0" w:color="auto"/>
            </w:tcBorders>
            <w:vAlign w:val="center"/>
            <w:hideMark/>
          </w:tcPr>
          <w:p w:rsidR="005727C2" w:rsidRDefault="005727C2">
            <w:pPr>
              <w:spacing w:after="0" w:line="240" w:lineRule="auto"/>
              <w:jc w:val="center"/>
              <w:rPr>
                <w:color w:val="000000"/>
                <w:sz w:val="20"/>
                <w:szCs w:val="20"/>
                <w:lang w:eastAsia="en-US"/>
              </w:rPr>
            </w:pPr>
            <w:r>
              <w:rPr>
                <w:color w:val="000000"/>
                <w:sz w:val="20"/>
                <w:szCs w:val="20"/>
                <w:lang w:eastAsia="en-US"/>
              </w:rPr>
              <w:t>5</w:t>
            </w:r>
          </w:p>
        </w:tc>
        <w:tc>
          <w:tcPr>
            <w:tcW w:w="1417" w:type="dxa"/>
            <w:tcBorders>
              <w:top w:val="nil"/>
              <w:left w:val="nil"/>
              <w:bottom w:val="single" w:sz="8" w:space="0" w:color="auto"/>
              <w:right w:val="single" w:sz="8" w:space="0" w:color="auto"/>
            </w:tcBorders>
            <w:vAlign w:val="center"/>
            <w:hideMark/>
          </w:tcPr>
          <w:p w:rsidR="005727C2" w:rsidRDefault="005727C2">
            <w:pPr>
              <w:spacing w:after="0" w:line="240" w:lineRule="auto"/>
              <w:jc w:val="center"/>
              <w:rPr>
                <w:color w:val="000000"/>
                <w:sz w:val="20"/>
                <w:szCs w:val="20"/>
                <w:lang w:eastAsia="en-US"/>
              </w:rPr>
            </w:pPr>
            <w:r>
              <w:rPr>
                <w:color w:val="000000"/>
                <w:sz w:val="20"/>
                <w:szCs w:val="20"/>
                <w:lang w:eastAsia="en-US"/>
              </w:rPr>
              <w:t>4</w:t>
            </w:r>
          </w:p>
        </w:tc>
      </w:tr>
      <w:tr w:rsidR="005727C2" w:rsidTr="005727C2">
        <w:trPr>
          <w:trHeight w:val="345"/>
        </w:trPr>
        <w:tc>
          <w:tcPr>
            <w:tcW w:w="5397" w:type="dxa"/>
            <w:tcBorders>
              <w:top w:val="nil"/>
              <w:left w:val="single" w:sz="8" w:space="0" w:color="auto"/>
              <w:bottom w:val="single" w:sz="8" w:space="0" w:color="auto"/>
              <w:right w:val="single" w:sz="8" w:space="0" w:color="auto"/>
            </w:tcBorders>
            <w:vAlign w:val="bottom"/>
            <w:hideMark/>
          </w:tcPr>
          <w:p w:rsidR="005727C2" w:rsidRDefault="005727C2">
            <w:pPr>
              <w:spacing w:after="0" w:line="240" w:lineRule="auto"/>
              <w:rPr>
                <w:color w:val="000000"/>
                <w:sz w:val="20"/>
                <w:szCs w:val="20"/>
                <w:lang w:eastAsia="en-US"/>
              </w:rPr>
            </w:pPr>
            <w:r>
              <w:rPr>
                <w:color w:val="000000"/>
                <w:sz w:val="20"/>
                <w:szCs w:val="20"/>
                <w:lang w:eastAsia="en-US"/>
              </w:rPr>
              <w:t xml:space="preserve">Общая сумма наложенных административных штрафов </w:t>
            </w:r>
          </w:p>
          <w:p w:rsidR="005727C2" w:rsidRDefault="005727C2">
            <w:pPr>
              <w:spacing w:after="0" w:line="240" w:lineRule="auto"/>
              <w:rPr>
                <w:color w:val="000000"/>
                <w:sz w:val="20"/>
                <w:szCs w:val="20"/>
                <w:lang w:eastAsia="en-US"/>
              </w:rPr>
            </w:pPr>
            <w:r>
              <w:rPr>
                <w:color w:val="000000"/>
                <w:sz w:val="20"/>
                <w:szCs w:val="20"/>
                <w:lang w:eastAsia="en-US"/>
              </w:rPr>
              <w:t>(тыс. руб.) - всего, в том числе:</w:t>
            </w:r>
          </w:p>
        </w:tc>
        <w:tc>
          <w:tcPr>
            <w:tcW w:w="992" w:type="dxa"/>
            <w:tcBorders>
              <w:top w:val="nil"/>
              <w:left w:val="nil"/>
              <w:bottom w:val="single" w:sz="8" w:space="0" w:color="auto"/>
              <w:right w:val="single" w:sz="8" w:space="0" w:color="auto"/>
            </w:tcBorders>
            <w:vAlign w:val="center"/>
            <w:hideMark/>
          </w:tcPr>
          <w:p w:rsidR="005727C2" w:rsidRDefault="005727C2">
            <w:pPr>
              <w:spacing w:after="0" w:line="240" w:lineRule="auto"/>
              <w:jc w:val="center"/>
              <w:rPr>
                <w:color w:val="000000"/>
                <w:sz w:val="20"/>
                <w:szCs w:val="20"/>
                <w:lang w:eastAsia="en-US"/>
              </w:rPr>
            </w:pPr>
            <w:r>
              <w:rPr>
                <w:color w:val="000000"/>
                <w:sz w:val="20"/>
                <w:szCs w:val="20"/>
                <w:lang w:eastAsia="en-US"/>
              </w:rPr>
              <w:t>461</w:t>
            </w:r>
          </w:p>
        </w:tc>
        <w:tc>
          <w:tcPr>
            <w:tcW w:w="709" w:type="dxa"/>
            <w:tcBorders>
              <w:top w:val="nil"/>
              <w:left w:val="nil"/>
              <w:bottom w:val="single" w:sz="8" w:space="0" w:color="auto"/>
              <w:right w:val="single" w:sz="8" w:space="0" w:color="auto"/>
            </w:tcBorders>
            <w:vAlign w:val="center"/>
            <w:hideMark/>
          </w:tcPr>
          <w:p w:rsidR="005727C2" w:rsidRDefault="005727C2">
            <w:pPr>
              <w:spacing w:after="0" w:line="240" w:lineRule="auto"/>
              <w:jc w:val="center"/>
              <w:rPr>
                <w:color w:val="000000"/>
                <w:sz w:val="20"/>
                <w:szCs w:val="20"/>
                <w:lang w:eastAsia="en-US"/>
              </w:rPr>
            </w:pPr>
            <w:r>
              <w:rPr>
                <w:color w:val="000000"/>
                <w:sz w:val="20"/>
                <w:szCs w:val="20"/>
                <w:lang w:eastAsia="en-US"/>
              </w:rPr>
              <w:t>736</w:t>
            </w:r>
          </w:p>
        </w:tc>
        <w:tc>
          <w:tcPr>
            <w:tcW w:w="1134" w:type="dxa"/>
            <w:tcBorders>
              <w:top w:val="nil"/>
              <w:left w:val="nil"/>
              <w:bottom w:val="single" w:sz="8" w:space="0" w:color="auto"/>
              <w:right w:val="single" w:sz="8" w:space="0" w:color="auto"/>
            </w:tcBorders>
            <w:vAlign w:val="center"/>
            <w:hideMark/>
          </w:tcPr>
          <w:p w:rsidR="005727C2" w:rsidRDefault="005727C2">
            <w:pPr>
              <w:spacing w:after="0" w:line="240" w:lineRule="auto"/>
              <w:jc w:val="center"/>
              <w:rPr>
                <w:color w:val="000000"/>
                <w:sz w:val="20"/>
                <w:szCs w:val="20"/>
                <w:lang w:eastAsia="en-US"/>
              </w:rPr>
            </w:pPr>
            <w:r>
              <w:rPr>
                <w:color w:val="000000"/>
                <w:sz w:val="20"/>
                <w:szCs w:val="20"/>
                <w:lang w:eastAsia="en-US"/>
              </w:rPr>
              <w:t>386</w:t>
            </w:r>
          </w:p>
        </w:tc>
        <w:tc>
          <w:tcPr>
            <w:tcW w:w="1417" w:type="dxa"/>
            <w:tcBorders>
              <w:top w:val="nil"/>
              <w:left w:val="nil"/>
              <w:bottom w:val="single" w:sz="8" w:space="0" w:color="auto"/>
              <w:right w:val="single" w:sz="8" w:space="0" w:color="auto"/>
            </w:tcBorders>
            <w:vAlign w:val="center"/>
            <w:hideMark/>
          </w:tcPr>
          <w:p w:rsidR="005727C2" w:rsidRDefault="005727C2">
            <w:pPr>
              <w:spacing w:after="0" w:line="240" w:lineRule="auto"/>
              <w:jc w:val="center"/>
              <w:rPr>
                <w:color w:val="000000"/>
                <w:sz w:val="20"/>
                <w:szCs w:val="20"/>
                <w:lang w:eastAsia="en-US"/>
              </w:rPr>
            </w:pPr>
            <w:r>
              <w:rPr>
                <w:color w:val="000000"/>
                <w:sz w:val="20"/>
                <w:szCs w:val="20"/>
                <w:lang w:eastAsia="en-US"/>
              </w:rPr>
              <w:t>350</w:t>
            </w:r>
          </w:p>
        </w:tc>
      </w:tr>
      <w:tr w:rsidR="005727C2" w:rsidTr="005727C2">
        <w:trPr>
          <w:trHeight w:val="330"/>
        </w:trPr>
        <w:tc>
          <w:tcPr>
            <w:tcW w:w="5397" w:type="dxa"/>
            <w:tcBorders>
              <w:top w:val="nil"/>
              <w:left w:val="single" w:sz="8" w:space="0" w:color="auto"/>
              <w:bottom w:val="single" w:sz="8" w:space="0" w:color="auto"/>
              <w:right w:val="single" w:sz="8" w:space="0" w:color="auto"/>
            </w:tcBorders>
            <w:vAlign w:val="bottom"/>
            <w:hideMark/>
          </w:tcPr>
          <w:p w:rsidR="005727C2" w:rsidRDefault="005727C2">
            <w:pPr>
              <w:spacing w:after="0" w:line="240" w:lineRule="auto"/>
              <w:rPr>
                <w:color w:val="000000"/>
                <w:sz w:val="20"/>
                <w:szCs w:val="20"/>
                <w:lang w:eastAsia="en-US"/>
              </w:rPr>
            </w:pPr>
            <w:r>
              <w:rPr>
                <w:color w:val="000000"/>
                <w:sz w:val="20"/>
                <w:szCs w:val="20"/>
                <w:lang w:eastAsia="en-US"/>
              </w:rPr>
              <w:t>на должностное лицо (тыс. руб.)</w:t>
            </w:r>
          </w:p>
        </w:tc>
        <w:tc>
          <w:tcPr>
            <w:tcW w:w="992" w:type="dxa"/>
            <w:tcBorders>
              <w:top w:val="nil"/>
              <w:left w:val="nil"/>
              <w:bottom w:val="single" w:sz="8" w:space="0" w:color="auto"/>
              <w:right w:val="single" w:sz="8" w:space="0" w:color="auto"/>
            </w:tcBorders>
            <w:vAlign w:val="center"/>
            <w:hideMark/>
          </w:tcPr>
          <w:p w:rsidR="005727C2" w:rsidRDefault="005727C2">
            <w:pPr>
              <w:spacing w:after="0" w:line="240" w:lineRule="auto"/>
              <w:jc w:val="center"/>
              <w:rPr>
                <w:color w:val="000000"/>
                <w:sz w:val="20"/>
                <w:szCs w:val="20"/>
                <w:lang w:eastAsia="en-US"/>
              </w:rPr>
            </w:pPr>
            <w:r>
              <w:rPr>
                <w:color w:val="000000"/>
                <w:sz w:val="20"/>
                <w:szCs w:val="20"/>
                <w:lang w:eastAsia="en-US"/>
              </w:rPr>
              <w:t>111</w:t>
            </w:r>
          </w:p>
        </w:tc>
        <w:tc>
          <w:tcPr>
            <w:tcW w:w="709" w:type="dxa"/>
            <w:tcBorders>
              <w:top w:val="nil"/>
              <w:left w:val="nil"/>
              <w:bottom w:val="single" w:sz="8" w:space="0" w:color="auto"/>
              <w:right w:val="single" w:sz="8" w:space="0" w:color="auto"/>
            </w:tcBorders>
            <w:vAlign w:val="center"/>
            <w:hideMark/>
          </w:tcPr>
          <w:p w:rsidR="005727C2" w:rsidRDefault="005727C2">
            <w:pPr>
              <w:spacing w:after="0" w:line="240" w:lineRule="auto"/>
              <w:jc w:val="center"/>
              <w:rPr>
                <w:color w:val="000000"/>
                <w:sz w:val="20"/>
                <w:szCs w:val="20"/>
                <w:lang w:eastAsia="en-US"/>
              </w:rPr>
            </w:pPr>
            <w:r>
              <w:rPr>
                <w:color w:val="000000"/>
                <w:sz w:val="20"/>
                <w:szCs w:val="20"/>
                <w:lang w:eastAsia="en-US"/>
              </w:rPr>
              <w:t>136</w:t>
            </w:r>
          </w:p>
        </w:tc>
        <w:tc>
          <w:tcPr>
            <w:tcW w:w="1134" w:type="dxa"/>
            <w:tcBorders>
              <w:top w:val="nil"/>
              <w:left w:val="nil"/>
              <w:bottom w:val="single" w:sz="8" w:space="0" w:color="auto"/>
              <w:right w:val="single" w:sz="8" w:space="0" w:color="auto"/>
            </w:tcBorders>
            <w:vAlign w:val="center"/>
            <w:hideMark/>
          </w:tcPr>
          <w:p w:rsidR="005727C2" w:rsidRDefault="005727C2">
            <w:pPr>
              <w:spacing w:after="0" w:line="240" w:lineRule="auto"/>
              <w:jc w:val="center"/>
              <w:rPr>
                <w:color w:val="000000"/>
                <w:sz w:val="20"/>
                <w:szCs w:val="20"/>
                <w:lang w:eastAsia="en-US"/>
              </w:rPr>
            </w:pPr>
            <w:r>
              <w:rPr>
                <w:color w:val="000000"/>
                <w:sz w:val="20"/>
                <w:szCs w:val="20"/>
                <w:lang w:eastAsia="en-US"/>
              </w:rPr>
              <w:t>136</w:t>
            </w:r>
          </w:p>
        </w:tc>
        <w:tc>
          <w:tcPr>
            <w:tcW w:w="1417" w:type="dxa"/>
            <w:tcBorders>
              <w:top w:val="nil"/>
              <w:left w:val="nil"/>
              <w:bottom w:val="single" w:sz="8" w:space="0" w:color="auto"/>
              <w:right w:val="single" w:sz="8" w:space="0" w:color="auto"/>
            </w:tcBorders>
            <w:vAlign w:val="center"/>
            <w:hideMark/>
          </w:tcPr>
          <w:p w:rsidR="005727C2" w:rsidRDefault="005727C2">
            <w:pPr>
              <w:spacing w:after="0" w:line="240" w:lineRule="auto"/>
              <w:jc w:val="center"/>
              <w:rPr>
                <w:color w:val="000000"/>
                <w:sz w:val="20"/>
                <w:szCs w:val="20"/>
                <w:lang w:eastAsia="en-US"/>
              </w:rPr>
            </w:pPr>
            <w:r>
              <w:rPr>
                <w:color w:val="000000"/>
                <w:sz w:val="20"/>
                <w:szCs w:val="20"/>
                <w:lang w:eastAsia="en-US"/>
              </w:rPr>
              <w:t>0</w:t>
            </w:r>
          </w:p>
        </w:tc>
      </w:tr>
      <w:tr w:rsidR="005727C2" w:rsidTr="005727C2">
        <w:trPr>
          <w:trHeight w:val="330"/>
        </w:trPr>
        <w:tc>
          <w:tcPr>
            <w:tcW w:w="5397" w:type="dxa"/>
            <w:tcBorders>
              <w:top w:val="nil"/>
              <w:left w:val="single" w:sz="8" w:space="0" w:color="auto"/>
              <w:bottom w:val="single" w:sz="8" w:space="0" w:color="auto"/>
              <w:right w:val="single" w:sz="8" w:space="0" w:color="auto"/>
            </w:tcBorders>
            <w:vAlign w:val="bottom"/>
            <w:hideMark/>
          </w:tcPr>
          <w:p w:rsidR="005727C2" w:rsidRDefault="005727C2">
            <w:pPr>
              <w:spacing w:after="0" w:line="240" w:lineRule="auto"/>
              <w:rPr>
                <w:color w:val="000000"/>
                <w:sz w:val="20"/>
                <w:szCs w:val="20"/>
                <w:lang w:eastAsia="en-US"/>
              </w:rPr>
            </w:pPr>
            <w:r>
              <w:rPr>
                <w:color w:val="000000"/>
                <w:sz w:val="20"/>
                <w:szCs w:val="20"/>
                <w:lang w:eastAsia="en-US"/>
              </w:rPr>
              <w:t>на юридическое лицо (тыс. руб.)</w:t>
            </w:r>
          </w:p>
        </w:tc>
        <w:tc>
          <w:tcPr>
            <w:tcW w:w="992" w:type="dxa"/>
            <w:tcBorders>
              <w:top w:val="nil"/>
              <w:left w:val="nil"/>
              <w:bottom w:val="single" w:sz="8" w:space="0" w:color="auto"/>
              <w:right w:val="single" w:sz="8" w:space="0" w:color="auto"/>
            </w:tcBorders>
            <w:vAlign w:val="center"/>
            <w:hideMark/>
          </w:tcPr>
          <w:p w:rsidR="005727C2" w:rsidRDefault="005727C2">
            <w:pPr>
              <w:spacing w:after="0" w:line="240" w:lineRule="auto"/>
              <w:jc w:val="center"/>
              <w:rPr>
                <w:color w:val="000000"/>
                <w:sz w:val="20"/>
                <w:szCs w:val="20"/>
                <w:lang w:eastAsia="en-US"/>
              </w:rPr>
            </w:pPr>
            <w:r>
              <w:rPr>
                <w:color w:val="000000"/>
                <w:sz w:val="20"/>
                <w:szCs w:val="20"/>
                <w:lang w:eastAsia="en-US"/>
              </w:rPr>
              <w:t>350</w:t>
            </w:r>
          </w:p>
        </w:tc>
        <w:tc>
          <w:tcPr>
            <w:tcW w:w="709" w:type="dxa"/>
            <w:tcBorders>
              <w:top w:val="nil"/>
              <w:left w:val="nil"/>
              <w:bottom w:val="single" w:sz="8" w:space="0" w:color="auto"/>
              <w:right w:val="single" w:sz="8" w:space="0" w:color="auto"/>
            </w:tcBorders>
            <w:vAlign w:val="center"/>
            <w:hideMark/>
          </w:tcPr>
          <w:p w:rsidR="005727C2" w:rsidRDefault="005727C2">
            <w:pPr>
              <w:spacing w:after="0" w:line="240" w:lineRule="auto"/>
              <w:jc w:val="center"/>
              <w:rPr>
                <w:color w:val="000000"/>
                <w:sz w:val="20"/>
                <w:szCs w:val="20"/>
                <w:lang w:eastAsia="en-US"/>
              </w:rPr>
            </w:pPr>
            <w:r>
              <w:rPr>
                <w:color w:val="000000"/>
                <w:sz w:val="20"/>
                <w:szCs w:val="20"/>
                <w:lang w:eastAsia="en-US"/>
              </w:rPr>
              <w:t>600</w:t>
            </w:r>
          </w:p>
        </w:tc>
        <w:tc>
          <w:tcPr>
            <w:tcW w:w="1134" w:type="dxa"/>
            <w:tcBorders>
              <w:top w:val="nil"/>
              <w:left w:val="nil"/>
              <w:bottom w:val="single" w:sz="8" w:space="0" w:color="auto"/>
              <w:right w:val="single" w:sz="8" w:space="0" w:color="auto"/>
            </w:tcBorders>
            <w:vAlign w:val="center"/>
            <w:hideMark/>
          </w:tcPr>
          <w:p w:rsidR="005727C2" w:rsidRDefault="005727C2">
            <w:pPr>
              <w:spacing w:after="0" w:line="240" w:lineRule="auto"/>
              <w:jc w:val="center"/>
              <w:rPr>
                <w:color w:val="000000"/>
                <w:sz w:val="20"/>
                <w:szCs w:val="20"/>
                <w:lang w:eastAsia="en-US"/>
              </w:rPr>
            </w:pPr>
            <w:r>
              <w:rPr>
                <w:color w:val="000000"/>
                <w:sz w:val="20"/>
                <w:szCs w:val="20"/>
                <w:lang w:eastAsia="en-US"/>
              </w:rPr>
              <w:t>250</w:t>
            </w:r>
          </w:p>
        </w:tc>
        <w:tc>
          <w:tcPr>
            <w:tcW w:w="1417" w:type="dxa"/>
            <w:tcBorders>
              <w:top w:val="nil"/>
              <w:left w:val="nil"/>
              <w:bottom w:val="single" w:sz="8" w:space="0" w:color="auto"/>
              <w:right w:val="single" w:sz="8" w:space="0" w:color="auto"/>
            </w:tcBorders>
            <w:vAlign w:val="center"/>
            <w:hideMark/>
          </w:tcPr>
          <w:p w:rsidR="005727C2" w:rsidRDefault="005727C2">
            <w:pPr>
              <w:spacing w:after="0" w:line="240" w:lineRule="auto"/>
              <w:jc w:val="center"/>
              <w:rPr>
                <w:color w:val="000000"/>
                <w:sz w:val="20"/>
                <w:szCs w:val="20"/>
                <w:lang w:eastAsia="en-US"/>
              </w:rPr>
            </w:pPr>
            <w:r>
              <w:rPr>
                <w:color w:val="000000"/>
                <w:sz w:val="20"/>
                <w:szCs w:val="20"/>
                <w:lang w:eastAsia="en-US"/>
              </w:rPr>
              <w:t>350</w:t>
            </w:r>
          </w:p>
        </w:tc>
      </w:tr>
      <w:tr w:rsidR="005727C2" w:rsidTr="005727C2">
        <w:trPr>
          <w:trHeight w:val="345"/>
        </w:trPr>
        <w:tc>
          <w:tcPr>
            <w:tcW w:w="5397" w:type="dxa"/>
            <w:tcBorders>
              <w:top w:val="nil"/>
              <w:left w:val="single" w:sz="8" w:space="0" w:color="auto"/>
              <w:bottom w:val="single" w:sz="8" w:space="0" w:color="auto"/>
              <w:right w:val="single" w:sz="8" w:space="0" w:color="auto"/>
            </w:tcBorders>
            <w:vAlign w:val="bottom"/>
            <w:hideMark/>
          </w:tcPr>
          <w:p w:rsidR="005727C2" w:rsidRDefault="005727C2">
            <w:pPr>
              <w:spacing w:after="0" w:line="240" w:lineRule="auto"/>
              <w:rPr>
                <w:color w:val="000000"/>
                <w:sz w:val="20"/>
                <w:szCs w:val="20"/>
                <w:lang w:eastAsia="en-US"/>
              </w:rPr>
            </w:pPr>
            <w:r>
              <w:rPr>
                <w:color w:val="000000"/>
                <w:sz w:val="20"/>
                <w:szCs w:val="20"/>
                <w:lang w:eastAsia="en-US"/>
              </w:rPr>
              <w:t>Общая сумма уплаченных (взысканных) административных штрафов</w:t>
            </w:r>
          </w:p>
        </w:tc>
        <w:tc>
          <w:tcPr>
            <w:tcW w:w="992" w:type="dxa"/>
            <w:tcBorders>
              <w:top w:val="nil"/>
              <w:left w:val="nil"/>
              <w:bottom w:val="single" w:sz="8" w:space="0" w:color="auto"/>
              <w:right w:val="single" w:sz="8" w:space="0" w:color="auto"/>
            </w:tcBorders>
            <w:vAlign w:val="center"/>
            <w:hideMark/>
          </w:tcPr>
          <w:p w:rsidR="005727C2" w:rsidRDefault="005727C2">
            <w:pPr>
              <w:spacing w:after="0" w:line="240" w:lineRule="auto"/>
              <w:jc w:val="center"/>
              <w:rPr>
                <w:color w:val="000000"/>
                <w:sz w:val="20"/>
                <w:szCs w:val="20"/>
                <w:lang w:eastAsia="en-US"/>
              </w:rPr>
            </w:pPr>
            <w:r>
              <w:rPr>
                <w:color w:val="000000"/>
                <w:sz w:val="20"/>
                <w:szCs w:val="20"/>
                <w:lang w:eastAsia="en-US"/>
              </w:rPr>
              <w:t>133</w:t>
            </w:r>
          </w:p>
        </w:tc>
        <w:tc>
          <w:tcPr>
            <w:tcW w:w="709" w:type="dxa"/>
            <w:tcBorders>
              <w:top w:val="nil"/>
              <w:left w:val="nil"/>
              <w:bottom w:val="single" w:sz="8" w:space="0" w:color="auto"/>
              <w:right w:val="single" w:sz="8" w:space="0" w:color="auto"/>
            </w:tcBorders>
            <w:vAlign w:val="center"/>
            <w:hideMark/>
          </w:tcPr>
          <w:p w:rsidR="005727C2" w:rsidRDefault="005727C2">
            <w:pPr>
              <w:spacing w:after="0" w:line="240" w:lineRule="auto"/>
              <w:jc w:val="center"/>
              <w:rPr>
                <w:color w:val="000000"/>
                <w:sz w:val="20"/>
                <w:szCs w:val="20"/>
                <w:lang w:eastAsia="en-US"/>
              </w:rPr>
            </w:pPr>
            <w:r>
              <w:rPr>
                <w:color w:val="000000"/>
                <w:sz w:val="20"/>
                <w:szCs w:val="20"/>
                <w:lang w:eastAsia="en-US"/>
              </w:rPr>
              <w:t>306</w:t>
            </w:r>
          </w:p>
        </w:tc>
        <w:tc>
          <w:tcPr>
            <w:tcW w:w="1134" w:type="dxa"/>
            <w:tcBorders>
              <w:top w:val="nil"/>
              <w:left w:val="nil"/>
              <w:bottom w:val="single" w:sz="8" w:space="0" w:color="auto"/>
              <w:right w:val="single" w:sz="8" w:space="0" w:color="auto"/>
            </w:tcBorders>
            <w:vAlign w:val="center"/>
            <w:hideMark/>
          </w:tcPr>
          <w:p w:rsidR="005727C2" w:rsidRDefault="005727C2">
            <w:pPr>
              <w:spacing w:after="0" w:line="240" w:lineRule="auto"/>
              <w:jc w:val="center"/>
              <w:rPr>
                <w:color w:val="000000"/>
                <w:sz w:val="20"/>
                <w:szCs w:val="20"/>
                <w:lang w:eastAsia="en-US"/>
              </w:rPr>
            </w:pPr>
            <w:r>
              <w:rPr>
                <w:color w:val="000000"/>
                <w:sz w:val="20"/>
                <w:szCs w:val="20"/>
                <w:lang w:eastAsia="en-US"/>
              </w:rPr>
              <w:t>256</w:t>
            </w:r>
          </w:p>
        </w:tc>
        <w:tc>
          <w:tcPr>
            <w:tcW w:w="1417" w:type="dxa"/>
            <w:tcBorders>
              <w:top w:val="nil"/>
              <w:left w:val="nil"/>
              <w:bottom w:val="single" w:sz="8" w:space="0" w:color="auto"/>
              <w:right w:val="single" w:sz="8" w:space="0" w:color="auto"/>
            </w:tcBorders>
            <w:vAlign w:val="center"/>
            <w:hideMark/>
          </w:tcPr>
          <w:p w:rsidR="005727C2" w:rsidRDefault="005727C2">
            <w:pPr>
              <w:spacing w:after="0" w:line="240" w:lineRule="auto"/>
              <w:jc w:val="center"/>
              <w:rPr>
                <w:sz w:val="20"/>
                <w:szCs w:val="20"/>
                <w:lang w:eastAsia="en-US"/>
              </w:rPr>
            </w:pPr>
            <w:r>
              <w:rPr>
                <w:color w:val="000000"/>
                <w:sz w:val="20"/>
                <w:szCs w:val="20"/>
                <w:lang w:eastAsia="en-US"/>
              </w:rPr>
              <w:t>50</w:t>
            </w:r>
          </w:p>
        </w:tc>
      </w:tr>
    </w:tbl>
    <w:p w:rsidR="005727C2" w:rsidRDefault="005727C2" w:rsidP="005727C2">
      <w:pPr>
        <w:spacing w:after="0" w:line="240" w:lineRule="auto"/>
        <w:rPr>
          <w:b/>
          <w:sz w:val="28"/>
          <w:szCs w:val="28"/>
        </w:rPr>
      </w:pPr>
    </w:p>
    <w:p w:rsidR="005727C2" w:rsidRDefault="005727C2" w:rsidP="005727C2">
      <w:pPr>
        <w:spacing w:after="0" w:line="240" w:lineRule="auto"/>
        <w:ind w:firstLine="709"/>
        <w:jc w:val="both"/>
        <w:rPr>
          <w:sz w:val="28"/>
          <w:szCs w:val="28"/>
        </w:rPr>
      </w:pPr>
      <w:r>
        <w:rPr>
          <w:sz w:val="28"/>
          <w:szCs w:val="28"/>
        </w:rPr>
        <w:t xml:space="preserve">Департаментом проводится на постоянной основе методическая и разъяснительная работа с юридическими лицами и индивидуальными </w:t>
      </w:r>
      <w:r>
        <w:rPr>
          <w:sz w:val="28"/>
          <w:szCs w:val="28"/>
        </w:rPr>
        <w:lastRenderedPageBreak/>
        <w:t xml:space="preserve">предпринимателями, в отношении которых проводятся проверки, направленная на предотвращение нарушений с их стороны, в том числе при рассмотрении поступающих в департамент устных и письменных обращений указанных лиц и взаимодействии сотрудников департамента с регулируемыми организациями по вопросам установления для них цен (тарифов). </w:t>
      </w:r>
    </w:p>
    <w:p w:rsidR="005727C2" w:rsidRDefault="005727C2" w:rsidP="005727C2">
      <w:pPr>
        <w:spacing w:after="0" w:line="240" w:lineRule="auto"/>
        <w:ind w:firstLine="709"/>
        <w:jc w:val="both"/>
        <w:rPr>
          <w:sz w:val="28"/>
          <w:szCs w:val="28"/>
        </w:rPr>
      </w:pPr>
      <w:r>
        <w:rPr>
          <w:sz w:val="28"/>
          <w:szCs w:val="28"/>
        </w:rPr>
        <w:t>Сотрудники департамента при проведении контрольно-надзорных мероприятий и рассмотрении дел об административных правонарушениях также проводят разъяснительную работу по всем возникающим у подконтрольных субъектов вопросам, входящим в компетенцию департамента.</w:t>
      </w:r>
    </w:p>
    <w:p w:rsidR="005727C2" w:rsidRDefault="005727C2" w:rsidP="005727C2">
      <w:pPr>
        <w:autoSpaceDE w:val="0"/>
        <w:autoSpaceDN w:val="0"/>
        <w:adjustRightInd w:val="0"/>
        <w:spacing w:after="0" w:line="240" w:lineRule="auto"/>
        <w:ind w:firstLine="709"/>
        <w:jc w:val="both"/>
        <w:rPr>
          <w:sz w:val="28"/>
          <w:szCs w:val="28"/>
        </w:rPr>
      </w:pPr>
      <w:r>
        <w:rPr>
          <w:sz w:val="28"/>
          <w:szCs w:val="28"/>
        </w:rPr>
        <w:t>В 2019 году в суде оспаривалось 25 постановлений о привлечении к административной ответственности, из них 4 находятся на рассмотрении в судах различных инстанций. По состоянию на 07.02.2020 отменены 2 постановления (дело № А45-15416/2019, дело № А45-22310/2019).</w:t>
      </w:r>
    </w:p>
    <w:p w:rsidR="00D053C8" w:rsidRDefault="00D053C8" w:rsidP="005727C2">
      <w:pPr>
        <w:autoSpaceDE w:val="0"/>
        <w:autoSpaceDN w:val="0"/>
        <w:adjustRightInd w:val="0"/>
        <w:ind w:firstLine="540"/>
        <w:jc w:val="both"/>
      </w:pPr>
    </w:p>
    <w:p w:rsidR="005727C2" w:rsidRDefault="00533808" w:rsidP="0061749D">
      <w:pPr>
        <w:autoSpaceDE w:val="0"/>
        <w:autoSpaceDN w:val="0"/>
        <w:adjustRightInd w:val="0"/>
        <w:spacing w:after="0" w:line="240" w:lineRule="auto"/>
        <w:ind w:firstLine="284"/>
        <w:rPr>
          <w:rFonts w:eastAsia="Calibri"/>
          <w:b/>
          <w:sz w:val="28"/>
          <w:szCs w:val="28"/>
        </w:rPr>
      </w:pPr>
      <w:r>
        <w:rPr>
          <w:rFonts w:eastAsia="Calibri"/>
          <w:b/>
          <w:sz w:val="28"/>
          <w:szCs w:val="28"/>
        </w:rPr>
        <w:t>4</w:t>
      </w:r>
      <w:r w:rsidR="005727C2">
        <w:rPr>
          <w:rFonts w:eastAsia="Calibri"/>
          <w:b/>
          <w:sz w:val="28"/>
          <w:szCs w:val="28"/>
        </w:rPr>
        <w:t>.4. Анализ и оценка эффективности регионального государственного контроля (надзора)</w:t>
      </w:r>
    </w:p>
    <w:p w:rsidR="005727C2" w:rsidRDefault="005727C2" w:rsidP="005727C2">
      <w:pPr>
        <w:pStyle w:val="17"/>
        <w:shd w:val="clear" w:color="auto" w:fill="auto"/>
        <w:spacing w:before="0" w:line="240" w:lineRule="auto"/>
        <w:ind w:left="20" w:right="40" w:firstLine="709"/>
      </w:pPr>
    </w:p>
    <w:tbl>
      <w:tblPr>
        <w:tblpPr w:leftFromText="180" w:rightFromText="180" w:bottomFromText="200" w:vertAnchor="text" w:horzAnchor="margin" w:tblpX="182" w:tblpY="232"/>
        <w:tblW w:w="918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34"/>
        <w:gridCol w:w="3824"/>
        <w:gridCol w:w="1279"/>
        <w:gridCol w:w="1274"/>
        <w:gridCol w:w="710"/>
        <w:gridCol w:w="709"/>
        <w:gridCol w:w="851"/>
      </w:tblGrid>
      <w:tr w:rsidR="005727C2" w:rsidTr="00533808">
        <w:trPr>
          <w:trHeight w:val="271"/>
        </w:trPr>
        <w:tc>
          <w:tcPr>
            <w:tcW w:w="534" w:type="dxa"/>
            <w:vMerge w:val="restart"/>
            <w:tcBorders>
              <w:top w:val="single" w:sz="4" w:space="0" w:color="auto"/>
              <w:left w:val="single" w:sz="4" w:space="0" w:color="auto"/>
              <w:bottom w:val="single" w:sz="4" w:space="0" w:color="auto"/>
              <w:right w:val="single" w:sz="4" w:space="0" w:color="auto"/>
            </w:tcBorders>
            <w:hideMark/>
          </w:tcPr>
          <w:p w:rsidR="005727C2" w:rsidRDefault="005727C2">
            <w:pPr>
              <w:autoSpaceDE w:val="0"/>
              <w:autoSpaceDN w:val="0"/>
              <w:adjustRightInd w:val="0"/>
              <w:spacing w:after="0" w:line="240" w:lineRule="auto"/>
              <w:jc w:val="center"/>
              <w:rPr>
                <w:b/>
                <w:lang w:val="en-US" w:eastAsia="en-US"/>
              </w:rPr>
            </w:pPr>
            <w:r>
              <w:rPr>
                <w:b/>
                <w:sz w:val="22"/>
                <w:szCs w:val="22"/>
                <w:lang w:eastAsia="en-US"/>
              </w:rPr>
              <w:t>№ п/п</w:t>
            </w:r>
          </w:p>
        </w:tc>
        <w:tc>
          <w:tcPr>
            <w:tcW w:w="3824" w:type="dxa"/>
            <w:vMerge w:val="restart"/>
            <w:tcBorders>
              <w:top w:val="single" w:sz="4" w:space="0" w:color="auto"/>
              <w:left w:val="single" w:sz="4" w:space="0" w:color="auto"/>
              <w:bottom w:val="single" w:sz="4" w:space="0" w:color="auto"/>
              <w:right w:val="single" w:sz="4" w:space="0" w:color="auto"/>
            </w:tcBorders>
            <w:hideMark/>
          </w:tcPr>
          <w:p w:rsidR="005727C2" w:rsidRDefault="005727C2">
            <w:pPr>
              <w:autoSpaceDE w:val="0"/>
              <w:autoSpaceDN w:val="0"/>
              <w:adjustRightInd w:val="0"/>
              <w:spacing w:after="0" w:line="240" w:lineRule="auto"/>
              <w:jc w:val="center"/>
              <w:rPr>
                <w:b/>
                <w:lang w:eastAsia="en-US"/>
              </w:rPr>
            </w:pPr>
            <w:r>
              <w:rPr>
                <w:b/>
                <w:sz w:val="22"/>
                <w:szCs w:val="22"/>
                <w:lang w:eastAsia="en-US"/>
              </w:rPr>
              <w:t>Показатели эффективности государственного контроля (надзора):</w:t>
            </w:r>
          </w:p>
        </w:tc>
        <w:tc>
          <w:tcPr>
            <w:tcW w:w="2553" w:type="dxa"/>
            <w:gridSpan w:val="2"/>
            <w:tcBorders>
              <w:top w:val="single" w:sz="4" w:space="0" w:color="auto"/>
              <w:left w:val="single" w:sz="4" w:space="0" w:color="auto"/>
              <w:bottom w:val="single" w:sz="4" w:space="0" w:color="auto"/>
              <w:right w:val="single" w:sz="4" w:space="0" w:color="auto"/>
            </w:tcBorders>
            <w:hideMark/>
          </w:tcPr>
          <w:p w:rsidR="005727C2" w:rsidRDefault="005727C2">
            <w:pPr>
              <w:autoSpaceDE w:val="0"/>
              <w:autoSpaceDN w:val="0"/>
              <w:adjustRightInd w:val="0"/>
              <w:spacing w:after="0" w:line="240" w:lineRule="auto"/>
              <w:jc w:val="center"/>
              <w:rPr>
                <w:b/>
                <w:lang w:eastAsia="en-US"/>
              </w:rPr>
            </w:pPr>
            <w:r>
              <w:rPr>
                <w:b/>
                <w:sz w:val="22"/>
                <w:szCs w:val="22"/>
                <w:lang w:eastAsia="en-US"/>
              </w:rPr>
              <w:t>2019 год</w:t>
            </w:r>
          </w:p>
        </w:tc>
        <w:tc>
          <w:tcPr>
            <w:tcW w:w="710" w:type="dxa"/>
            <w:vMerge w:val="restart"/>
            <w:tcBorders>
              <w:top w:val="single" w:sz="4" w:space="0" w:color="auto"/>
              <w:left w:val="single" w:sz="4" w:space="0" w:color="auto"/>
              <w:bottom w:val="single" w:sz="4" w:space="0" w:color="auto"/>
              <w:right w:val="single" w:sz="4" w:space="0" w:color="auto"/>
            </w:tcBorders>
            <w:hideMark/>
          </w:tcPr>
          <w:p w:rsidR="005727C2" w:rsidRDefault="005727C2">
            <w:pPr>
              <w:autoSpaceDE w:val="0"/>
              <w:autoSpaceDN w:val="0"/>
              <w:adjustRightInd w:val="0"/>
              <w:spacing w:after="0" w:line="240" w:lineRule="auto"/>
              <w:jc w:val="center"/>
              <w:rPr>
                <w:b/>
                <w:lang w:eastAsia="en-US"/>
              </w:rPr>
            </w:pPr>
            <w:r>
              <w:rPr>
                <w:b/>
                <w:sz w:val="22"/>
                <w:szCs w:val="22"/>
                <w:lang w:eastAsia="en-US"/>
              </w:rPr>
              <w:t>2019 год</w:t>
            </w:r>
          </w:p>
        </w:tc>
        <w:tc>
          <w:tcPr>
            <w:tcW w:w="709" w:type="dxa"/>
            <w:vMerge w:val="restart"/>
            <w:tcBorders>
              <w:top w:val="single" w:sz="4" w:space="0" w:color="auto"/>
              <w:left w:val="single" w:sz="4" w:space="0" w:color="auto"/>
              <w:bottom w:val="single" w:sz="4" w:space="0" w:color="auto"/>
              <w:right w:val="single" w:sz="4" w:space="0" w:color="auto"/>
            </w:tcBorders>
            <w:hideMark/>
          </w:tcPr>
          <w:p w:rsidR="005727C2" w:rsidRDefault="005727C2">
            <w:pPr>
              <w:autoSpaceDE w:val="0"/>
              <w:autoSpaceDN w:val="0"/>
              <w:adjustRightInd w:val="0"/>
              <w:spacing w:after="0" w:line="240" w:lineRule="auto"/>
              <w:jc w:val="center"/>
              <w:rPr>
                <w:b/>
                <w:lang w:eastAsia="en-US"/>
              </w:rPr>
            </w:pPr>
            <w:r>
              <w:rPr>
                <w:b/>
                <w:sz w:val="22"/>
                <w:szCs w:val="22"/>
                <w:lang w:eastAsia="en-US"/>
              </w:rPr>
              <w:t>2018 год</w:t>
            </w:r>
          </w:p>
        </w:tc>
        <w:tc>
          <w:tcPr>
            <w:tcW w:w="851" w:type="dxa"/>
            <w:vMerge w:val="restart"/>
            <w:tcBorders>
              <w:top w:val="single" w:sz="4" w:space="0" w:color="auto"/>
              <w:left w:val="single" w:sz="4" w:space="0" w:color="auto"/>
              <w:bottom w:val="single" w:sz="4" w:space="0" w:color="auto"/>
              <w:right w:val="single" w:sz="4" w:space="0" w:color="auto"/>
            </w:tcBorders>
            <w:hideMark/>
          </w:tcPr>
          <w:p w:rsidR="005727C2" w:rsidRDefault="005727C2">
            <w:pPr>
              <w:autoSpaceDE w:val="0"/>
              <w:autoSpaceDN w:val="0"/>
              <w:adjustRightInd w:val="0"/>
              <w:spacing w:after="0" w:line="240" w:lineRule="auto"/>
              <w:jc w:val="center"/>
              <w:rPr>
                <w:b/>
                <w:sz w:val="20"/>
                <w:szCs w:val="20"/>
                <w:lang w:eastAsia="en-US"/>
              </w:rPr>
            </w:pPr>
            <w:r>
              <w:rPr>
                <w:b/>
                <w:sz w:val="20"/>
                <w:szCs w:val="20"/>
                <w:lang w:eastAsia="en-US"/>
              </w:rPr>
              <w:t>Отклонение*</w:t>
            </w:r>
          </w:p>
        </w:tc>
      </w:tr>
      <w:tr w:rsidR="005727C2" w:rsidTr="00533808">
        <w:trPr>
          <w:trHeight w:val="411"/>
        </w:trPr>
        <w:tc>
          <w:tcPr>
            <w:tcW w:w="534" w:type="dxa"/>
            <w:vMerge/>
            <w:tcBorders>
              <w:top w:val="single" w:sz="4" w:space="0" w:color="auto"/>
              <w:left w:val="single" w:sz="4" w:space="0" w:color="auto"/>
              <w:bottom w:val="single" w:sz="4" w:space="0" w:color="auto"/>
              <w:right w:val="single" w:sz="4" w:space="0" w:color="auto"/>
            </w:tcBorders>
            <w:vAlign w:val="center"/>
            <w:hideMark/>
          </w:tcPr>
          <w:p w:rsidR="005727C2" w:rsidRDefault="005727C2">
            <w:pPr>
              <w:spacing w:after="0" w:line="240" w:lineRule="auto"/>
              <w:rPr>
                <w:b/>
                <w:lang w:val="en-US" w:eastAsia="en-US"/>
              </w:rPr>
            </w:pPr>
          </w:p>
        </w:tc>
        <w:tc>
          <w:tcPr>
            <w:tcW w:w="3824" w:type="dxa"/>
            <w:vMerge/>
            <w:tcBorders>
              <w:top w:val="single" w:sz="4" w:space="0" w:color="auto"/>
              <w:left w:val="single" w:sz="4" w:space="0" w:color="auto"/>
              <w:bottom w:val="single" w:sz="4" w:space="0" w:color="auto"/>
              <w:right w:val="single" w:sz="4" w:space="0" w:color="auto"/>
            </w:tcBorders>
            <w:vAlign w:val="center"/>
            <w:hideMark/>
          </w:tcPr>
          <w:p w:rsidR="005727C2" w:rsidRDefault="005727C2">
            <w:pPr>
              <w:spacing w:after="0" w:line="240" w:lineRule="auto"/>
              <w:rPr>
                <w:b/>
                <w:lang w:eastAsia="en-US"/>
              </w:rPr>
            </w:pPr>
          </w:p>
        </w:tc>
        <w:tc>
          <w:tcPr>
            <w:tcW w:w="1279" w:type="dxa"/>
            <w:tcBorders>
              <w:top w:val="single" w:sz="4" w:space="0" w:color="auto"/>
              <w:left w:val="single" w:sz="4" w:space="0" w:color="auto"/>
              <w:bottom w:val="single" w:sz="4" w:space="0" w:color="auto"/>
              <w:right w:val="single" w:sz="4" w:space="0" w:color="auto"/>
            </w:tcBorders>
            <w:vAlign w:val="center"/>
            <w:hideMark/>
          </w:tcPr>
          <w:p w:rsidR="005727C2" w:rsidRDefault="005727C2">
            <w:pPr>
              <w:autoSpaceDE w:val="0"/>
              <w:autoSpaceDN w:val="0"/>
              <w:adjustRightInd w:val="0"/>
              <w:spacing w:after="0" w:line="240" w:lineRule="auto"/>
              <w:jc w:val="center"/>
              <w:rPr>
                <w:b/>
                <w:lang w:eastAsia="en-US"/>
              </w:rPr>
            </w:pPr>
            <w:r>
              <w:rPr>
                <w:b/>
                <w:sz w:val="22"/>
                <w:szCs w:val="22"/>
                <w:lang w:eastAsia="en-US"/>
              </w:rPr>
              <w:t>1 полугодие</w:t>
            </w:r>
          </w:p>
        </w:tc>
        <w:tc>
          <w:tcPr>
            <w:tcW w:w="1274" w:type="dxa"/>
            <w:tcBorders>
              <w:top w:val="single" w:sz="4" w:space="0" w:color="auto"/>
              <w:left w:val="single" w:sz="4" w:space="0" w:color="auto"/>
              <w:bottom w:val="single" w:sz="4" w:space="0" w:color="auto"/>
              <w:right w:val="single" w:sz="4" w:space="0" w:color="auto"/>
            </w:tcBorders>
            <w:vAlign w:val="center"/>
            <w:hideMark/>
          </w:tcPr>
          <w:p w:rsidR="005727C2" w:rsidRDefault="005727C2">
            <w:pPr>
              <w:autoSpaceDE w:val="0"/>
              <w:autoSpaceDN w:val="0"/>
              <w:adjustRightInd w:val="0"/>
              <w:spacing w:after="0" w:line="240" w:lineRule="auto"/>
              <w:jc w:val="center"/>
              <w:rPr>
                <w:b/>
                <w:lang w:eastAsia="en-US"/>
              </w:rPr>
            </w:pPr>
            <w:r>
              <w:rPr>
                <w:b/>
                <w:sz w:val="22"/>
                <w:szCs w:val="22"/>
                <w:lang w:eastAsia="en-US"/>
              </w:rPr>
              <w:t>2 полугодие</w:t>
            </w:r>
          </w:p>
        </w:tc>
        <w:tc>
          <w:tcPr>
            <w:tcW w:w="710" w:type="dxa"/>
            <w:vMerge/>
            <w:tcBorders>
              <w:top w:val="single" w:sz="4" w:space="0" w:color="auto"/>
              <w:left w:val="single" w:sz="4" w:space="0" w:color="auto"/>
              <w:bottom w:val="single" w:sz="4" w:space="0" w:color="auto"/>
              <w:right w:val="single" w:sz="4" w:space="0" w:color="auto"/>
            </w:tcBorders>
            <w:vAlign w:val="center"/>
            <w:hideMark/>
          </w:tcPr>
          <w:p w:rsidR="005727C2" w:rsidRDefault="005727C2">
            <w:pPr>
              <w:spacing w:after="0" w:line="240" w:lineRule="auto"/>
              <w:rPr>
                <w:b/>
                <w:lang w:eastAsia="en-US"/>
              </w:rPr>
            </w:pPr>
          </w:p>
        </w:tc>
        <w:tc>
          <w:tcPr>
            <w:tcW w:w="709" w:type="dxa"/>
            <w:vMerge/>
            <w:tcBorders>
              <w:top w:val="single" w:sz="4" w:space="0" w:color="auto"/>
              <w:left w:val="single" w:sz="4" w:space="0" w:color="auto"/>
              <w:bottom w:val="single" w:sz="4" w:space="0" w:color="auto"/>
              <w:right w:val="single" w:sz="4" w:space="0" w:color="auto"/>
            </w:tcBorders>
            <w:vAlign w:val="center"/>
            <w:hideMark/>
          </w:tcPr>
          <w:p w:rsidR="005727C2" w:rsidRDefault="005727C2">
            <w:pPr>
              <w:spacing w:after="0" w:line="240" w:lineRule="auto"/>
              <w:rPr>
                <w:b/>
                <w:lang w:eastAsia="en-US"/>
              </w:rPr>
            </w:pPr>
          </w:p>
        </w:tc>
        <w:tc>
          <w:tcPr>
            <w:tcW w:w="851" w:type="dxa"/>
            <w:vMerge/>
            <w:tcBorders>
              <w:top w:val="single" w:sz="4" w:space="0" w:color="auto"/>
              <w:left w:val="single" w:sz="4" w:space="0" w:color="auto"/>
              <w:bottom w:val="single" w:sz="4" w:space="0" w:color="auto"/>
              <w:right w:val="single" w:sz="4" w:space="0" w:color="auto"/>
            </w:tcBorders>
            <w:vAlign w:val="center"/>
            <w:hideMark/>
          </w:tcPr>
          <w:p w:rsidR="005727C2" w:rsidRDefault="005727C2">
            <w:pPr>
              <w:spacing w:after="0" w:line="240" w:lineRule="auto"/>
              <w:rPr>
                <w:b/>
                <w:sz w:val="20"/>
                <w:szCs w:val="20"/>
                <w:lang w:eastAsia="en-US"/>
              </w:rPr>
            </w:pPr>
          </w:p>
        </w:tc>
      </w:tr>
      <w:tr w:rsidR="005727C2" w:rsidTr="00533808">
        <w:trPr>
          <w:trHeight w:val="354"/>
        </w:trPr>
        <w:tc>
          <w:tcPr>
            <w:tcW w:w="534" w:type="dxa"/>
            <w:tcBorders>
              <w:top w:val="single" w:sz="4" w:space="0" w:color="auto"/>
              <w:left w:val="single" w:sz="4" w:space="0" w:color="auto"/>
              <w:bottom w:val="single" w:sz="4" w:space="0" w:color="auto"/>
              <w:right w:val="single" w:sz="4" w:space="0" w:color="auto"/>
            </w:tcBorders>
            <w:vAlign w:val="center"/>
            <w:hideMark/>
          </w:tcPr>
          <w:p w:rsidR="005727C2" w:rsidRDefault="005727C2">
            <w:pPr>
              <w:autoSpaceDE w:val="0"/>
              <w:autoSpaceDN w:val="0"/>
              <w:adjustRightInd w:val="0"/>
              <w:spacing w:after="0" w:line="240" w:lineRule="auto"/>
              <w:jc w:val="center"/>
              <w:rPr>
                <w:lang w:eastAsia="en-US"/>
              </w:rPr>
            </w:pPr>
            <w:r>
              <w:rPr>
                <w:sz w:val="22"/>
                <w:szCs w:val="22"/>
                <w:lang w:eastAsia="en-US"/>
              </w:rPr>
              <w:t>1</w:t>
            </w:r>
          </w:p>
        </w:tc>
        <w:tc>
          <w:tcPr>
            <w:tcW w:w="3824" w:type="dxa"/>
            <w:tcBorders>
              <w:top w:val="single" w:sz="4" w:space="0" w:color="auto"/>
              <w:left w:val="single" w:sz="4" w:space="0" w:color="auto"/>
              <w:bottom w:val="single" w:sz="4" w:space="0" w:color="auto"/>
              <w:right w:val="single" w:sz="4" w:space="0" w:color="auto"/>
            </w:tcBorders>
            <w:vAlign w:val="center"/>
            <w:hideMark/>
          </w:tcPr>
          <w:p w:rsidR="005727C2" w:rsidRDefault="005727C2">
            <w:pPr>
              <w:autoSpaceDE w:val="0"/>
              <w:autoSpaceDN w:val="0"/>
              <w:adjustRightInd w:val="0"/>
              <w:spacing w:after="0" w:line="240" w:lineRule="auto"/>
              <w:rPr>
                <w:lang w:eastAsia="en-US"/>
              </w:rPr>
            </w:pPr>
            <w:r>
              <w:rPr>
                <w:sz w:val="22"/>
                <w:szCs w:val="22"/>
                <w:lang w:eastAsia="en-US"/>
              </w:rPr>
              <w:t>Выполнение утвержденного плана проведения плановых проверок (доля проведенных плановых проверок в процентах от общего количества запланированных проверок)</w:t>
            </w:r>
          </w:p>
        </w:tc>
        <w:tc>
          <w:tcPr>
            <w:tcW w:w="1279" w:type="dxa"/>
            <w:tcBorders>
              <w:top w:val="single" w:sz="4" w:space="0" w:color="auto"/>
              <w:left w:val="single" w:sz="4" w:space="0" w:color="auto"/>
              <w:bottom w:val="single" w:sz="4" w:space="0" w:color="auto"/>
              <w:right w:val="single" w:sz="4" w:space="0" w:color="auto"/>
            </w:tcBorders>
            <w:vAlign w:val="center"/>
            <w:hideMark/>
          </w:tcPr>
          <w:p w:rsidR="005727C2" w:rsidRDefault="005727C2">
            <w:pPr>
              <w:autoSpaceDE w:val="0"/>
              <w:autoSpaceDN w:val="0"/>
              <w:adjustRightInd w:val="0"/>
              <w:spacing w:after="0" w:line="240" w:lineRule="auto"/>
              <w:jc w:val="center"/>
              <w:rPr>
                <w:lang w:eastAsia="en-US"/>
              </w:rPr>
            </w:pPr>
            <w:r>
              <w:rPr>
                <w:sz w:val="22"/>
                <w:szCs w:val="22"/>
                <w:lang w:eastAsia="en-US"/>
              </w:rPr>
              <w:t>100</w:t>
            </w:r>
          </w:p>
        </w:tc>
        <w:tc>
          <w:tcPr>
            <w:tcW w:w="1274" w:type="dxa"/>
            <w:tcBorders>
              <w:top w:val="single" w:sz="4" w:space="0" w:color="auto"/>
              <w:left w:val="single" w:sz="4" w:space="0" w:color="auto"/>
              <w:bottom w:val="single" w:sz="4" w:space="0" w:color="auto"/>
              <w:right w:val="single" w:sz="4" w:space="0" w:color="auto"/>
            </w:tcBorders>
            <w:vAlign w:val="center"/>
            <w:hideMark/>
          </w:tcPr>
          <w:p w:rsidR="005727C2" w:rsidRDefault="005727C2">
            <w:pPr>
              <w:autoSpaceDE w:val="0"/>
              <w:autoSpaceDN w:val="0"/>
              <w:adjustRightInd w:val="0"/>
              <w:spacing w:after="0" w:line="240" w:lineRule="auto"/>
              <w:jc w:val="center"/>
              <w:rPr>
                <w:lang w:eastAsia="en-US"/>
              </w:rPr>
            </w:pPr>
            <w:r>
              <w:rPr>
                <w:sz w:val="22"/>
                <w:szCs w:val="22"/>
                <w:lang w:eastAsia="en-US"/>
              </w:rPr>
              <w:t>100</w:t>
            </w:r>
          </w:p>
        </w:tc>
        <w:tc>
          <w:tcPr>
            <w:tcW w:w="710" w:type="dxa"/>
            <w:tcBorders>
              <w:top w:val="single" w:sz="4" w:space="0" w:color="auto"/>
              <w:left w:val="single" w:sz="4" w:space="0" w:color="auto"/>
              <w:bottom w:val="single" w:sz="4" w:space="0" w:color="auto"/>
              <w:right w:val="single" w:sz="4" w:space="0" w:color="auto"/>
            </w:tcBorders>
            <w:vAlign w:val="center"/>
            <w:hideMark/>
          </w:tcPr>
          <w:p w:rsidR="005727C2" w:rsidRDefault="005727C2">
            <w:pPr>
              <w:autoSpaceDE w:val="0"/>
              <w:autoSpaceDN w:val="0"/>
              <w:adjustRightInd w:val="0"/>
              <w:spacing w:after="0" w:line="240" w:lineRule="auto"/>
              <w:jc w:val="center"/>
              <w:rPr>
                <w:lang w:eastAsia="en-US"/>
              </w:rPr>
            </w:pPr>
            <w:r>
              <w:rPr>
                <w:sz w:val="22"/>
                <w:szCs w:val="22"/>
                <w:lang w:eastAsia="en-US"/>
              </w:rPr>
              <w:t>100</w:t>
            </w:r>
          </w:p>
        </w:tc>
        <w:tc>
          <w:tcPr>
            <w:tcW w:w="709" w:type="dxa"/>
            <w:tcBorders>
              <w:top w:val="single" w:sz="4" w:space="0" w:color="auto"/>
              <w:left w:val="single" w:sz="4" w:space="0" w:color="auto"/>
              <w:bottom w:val="single" w:sz="4" w:space="0" w:color="auto"/>
              <w:right w:val="single" w:sz="4" w:space="0" w:color="auto"/>
            </w:tcBorders>
            <w:vAlign w:val="center"/>
            <w:hideMark/>
          </w:tcPr>
          <w:p w:rsidR="005727C2" w:rsidRDefault="005727C2">
            <w:pPr>
              <w:autoSpaceDE w:val="0"/>
              <w:autoSpaceDN w:val="0"/>
              <w:adjustRightInd w:val="0"/>
              <w:spacing w:after="0" w:line="240" w:lineRule="auto"/>
              <w:jc w:val="center"/>
              <w:rPr>
                <w:lang w:eastAsia="en-US"/>
              </w:rPr>
            </w:pPr>
            <w:r>
              <w:rPr>
                <w:sz w:val="22"/>
                <w:szCs w:val="22"/>
                <w:lang w:eastAsia="en-US"/>
              </w:rPr>
              <w:t>100</w:t>
            </w:r>
          </w:p>
        </w:tc>
        <w:tc>
          <w:tcPr>
            <w:tcW w:w="851" w:type="dxa"/>
            <w:tcBorders>
              <w:top w:val="single" w:sz="4" w:space="0" w:color="auto"/>
              <w:left w:val="single" w:sz="4" w:space="0" w:color="auto"/>
              <w:bottom w:val="single" w:sz="4" w:space="0" w:color="auto"/>
              <w:right w:val="single" w:sz="4" w:space="0" w:color="auto"/>
            </w:tcBorders>
          </w:tcPr>
          <w:p w:rsidR="005727C2" w:rsidRDefault="005727C2">
            <w:pPr>
              <w:autoSpaceDE w:val="0"/>
              <w:autoSpaceDN w:val="0"/>
              <w:adjustRightInd w:val="0"/>
              <w:spacing w:after="0" w:line="240" w:lineRule="auto"/>
              <w:jc w:val="center"/>
              <w:rPr>
                <w:lang w:eastAsia="en-US"/>
              </w:rPr>
            </w:pPr>
          </w:p>
          <w:p w:rsidR="005727C2" w:rsidRDefault="005727C2">
            <w:pPr>
              <w:autoSpaceDE w:val="0"/>
              <w:autoSpaceDN w:val="0"/>
              <w:adjustRightInd w:val="0"/>
              <w:spacing w:after="0" w:line="240" w:lineRule="auto"/>
              <w:jc w:val="center"/>
              <w:rPr>
                <w:lang w:eastAsia="en-US"/>
              </w:rPr>
            </w:pPr>
          </w:p>
          <w:p w:rsidR="005727C2" w:rsidRDefault="005727C2">
            <w:pPr>
              <w:autoSpaceDE w:val="0"/>
              <w:autoSpaceDN w:val="0"/>
              <w:adjustRightInd w:val="0"/>
              <w:spacing w:after="0" w:line="240" w:lineRule="auto"/>
              <w:jc w:val="center"/>
              <w:rPr>
                <w:lang w:eastAsia="en-US"/>
              </w:rPr>
            </w:pPr>
            <w:r>
              <w:rPr>
                <w:sz w:val="22"/>
                <w:szCs w:val="22"/>
                <w:lang w:eastAsia="en-US"/>
              </w:rPr>
              <w:t>0</w:t>
            </w:r>
          </w:p>
        </w:tc>
      </w:tr>
      <w:tr w:rsidR="005727C2" w:rsidTr="00533808">
        <w:trPr>
          <w:trHeight w:val="61"/>
        </w:trPr>
        <w:tc>
          <w:tcPr>
            <w:tcW w:w="534" w:type="dxa"/>
            <w:tcBorders>
              <w:top w:val="single" w:sz="4" w:space="0" w:color="auto"/>
              <w:left w:val="single" w:sz="4" w:space="0" w:color="auto"/>
              <w:bottom w:val="single" w:sz="4" w:space="0" w:color="auto"/>
              <w:right w:val="single" w:sz="4" w:space="0" w:color="auto"/>
            </w:tcBorders>
            <w:vAlign w:val="center"/>
            <w:hideMark/>
          </w:tcPr>
          <w:p w:rsidR="005727C2" w:rsidRDefault="005727C2">
            <w:pPr>
              <w:autoSpaceDE w:val="0"/>
              <w:autoSpaceDN w:val="0"/>
              <w:adjustRightInd w:val="0"/>
              <w:spacing w:after="0" w:line="240" w:lineRule="auto"/>
              <w:jc w:val="center"/>
              <w:rPr>
                <w:lang w:eastAsia="en-US"/>
              </w:rPr>
            </w:pPr>
            <w:r>
              <w:rPr>
                <w:sz w:val="22"/>
                <w:szCs w:val="22"/>
                <w:lang w:eastAsia="en-US"/>
              </w:rPr>
              <w:t>2</w:t>
            </w:r>
          </w:p>
        </w:tc>
        <w:tc>
          <w:tcPr>
            <w:tcW w:w="3824" w:type="dxa"/>
            <w:tcBorders>
              <w:top w:val="single" w:sz="4" w:space="0" w:color="auto"/>
              <w:left w:val="single" w:sz="4" w:space="0" w:color="auto"/>
              <w:bottom w:val="single" w:sz="4" w:space="0" w:color="auto"/>
              <w:right w:val="single" w:sz="4" w:space="0" w:color="auto"/>
            </w:tcBorders>
            <w:vAlign w:val="center"/>
            <w:hideMark/>
          </w:tcPr>
          <w:p w:rsidR="005727C2" w:rsidRDefault="005727C2">
            <w:pPr>
              <w:autoSpaceDE w:val="0"/>
              <w:autoSpaceDN w:val="0"/>
              <w:adjustRightInd w:val="0"/>
              <w:spacing w:after="0" w:line="240" w:lineRule="auto"/>
              <w:rPr>
                <w:lang w:eastAsia="en-US"/>
              </w:rPr>
            </w:pPr>
            <w:r>
              <w:rPr>
                <w:sz w:val="22"/>
                <w:szCs w:val="22"/>
                <w:lang w:eastAsia="en-US"/>
              </w:rPr>
              <w:t>Доля заявлений органов государственного контроля (надзора), муниципального контроля, направленных в органы прокуратуры о согласовании проведения внеплановых выездных проверок, в согласовании которых было отказано (в процентах от общего числа направленных в органы прокуратуры заявлений)</w:t>
            </w:r>
          </w:p>
        </w:tc>
        <w:tc>
          <w:tcPr>
            <w:tcW w:w="1279" w:type="dxa"/>
            <w:tcBorders>
              <w:top w:val="single" w:sz="4" w:space="0" w:color="auto"/>
              <w:left w:val="single" w:sz="4" w:space="0" w:color="auto"/>
              <w:bottom w:val="single" w:sz="4" w:space="0" w:color="auto"/>
              <w:right w:val="single" w:sz="4" w:space="0" w:color="auto"/>
            </w:tcBorders>
            <w:vAlign w:val="center"/>
            <w:hideMark/>
          </w:tcPr>
          <w:p w:rsidR="005727C2" w:rsidRDefault="005727C2">
            <w:pPr>
              <w:autoSpaceDE w:val="0"/>
              <w:autoSpaceDN w:val="0"/>
              <w:adjustRightInd w:val="0"/>
              <w:spacing w:after="0" w:line="240" w:lineRule="auto"/>
              <w:jc w:val="center"/>
              <w:rPr>
                <w:lang w:eastAsia="en-US"/>
              </w:rPr>
            </w:pPr>
            <w:r>
              <w:rPr>
                <w:sz w:val="22"/>
                <w:szCs w:val="22"/>
                <w:lang w:eastAsia="en-US"/>
              </w:rPr>
              <w:t>0</w:t>
            </w:r>
          </w:p>
        </w:tc>
        <w:tc>
          <w:tcPr>
            <w:tcW w:w="1274" w:type="dxa"/>
            <w:tcBorders>
              <w:top w:val="single" w:sz="4" w:space="0" w:color="auto"/>
              <w:left w:val="single" w:sz="4" w:space="0" w:color="auto"/>
              <w:bottom w:val="single" w:sz="4" w:space="0" w:color="auto"/>
              <w:right w:val="single" w:sz="4" w:space="0" w:color="auto"/>
            </w:tcBorders>
            <w:vAlign w:val="center"/>
            <w:hideMark/>
          </w:tcPr>
          <w:p w:rsidR="005727C2" w:rsidRDefault="005727C2">
            <w:pPr>
              <w:autoSpaceDE w:val="0"/>
              <w:autoSpaceDN w:val="0"/>
              <w:adjustRightInd w:val="0"/>
              <w:spacing w:after="0" w:line="240" w:lineRule="auto"/>
              <w:jc w:val="center"/>
              <w:rPr>
                <w:lang w:eastAsia="en-US"/>
              </w:rPr>
            </w:pPr>
            <w:r>
              <w:rPr>
                <w:sz w:val="22"/>
                <w:szCs w:val="22"/>
                <w:lang w:eastAsia="en-US"/>
              </w:rPr>
              <w:t>0</w:t>
            </w:r>
          </w:p>
        </w:tc>
        <w:tc>
          <w:tcPr>
            <w:tcW w:w="710" w:type="dxa"/>
            <w:tcBorders>
              <w:top w:val="single" w:sz="4" w:space="0" w:color="auto"/>
              <w:left w:val="single" w:sz="4" w:space="0" w:color="auto"/>
              <w:bottom w:val="single" w:sz="4" w:space="0" w:color="auto"/>
              <w:right w:val="single" w:sz="4" w:space="0" w:color="auto"/>
            </w:tcBorders>
            <w:vAlign w:val="center"/>
            <w:hideMark/>
          </w:tcPr>
          <w:p w:rsidR="005727C2" w:rsidRDefault="005727C2">
            <w:pPr>
              <w:autoSpaceDE w:val="0"/>
              <w:autoSpaceDN w:val="0"/>
              <w:adjustRightInd w:val="0"/>
              <w:spacing w:after="0" w:line="240" w:lineRule="auto"/>
              <w:jc w:val="center"/>
              <w:rPr>
                <w:lang w:eastAsia="en-US"/>
              </w:rPr>
            </w:pPr>
            <w:r>
              <w:rPr>
                <w:sz w:val="22"/>
                <w:szCs w:val="22"/>
                <w:lang w:eastAsia="en-US"/>
              </w:rPr>
              <w:t>0</w:t>
            </w:r>
          </w:p>
        </w:tc>
        <w:tc>
          <w:tcPr>
            <w:tcW w:w="709" w:type="dxa"/>
            <w:tcBorders>
              <w:top w:val="single" w:sz="4" w:space="0" w:color="auto"/>
              <w:left w:val="single" w:sz="4" w:space="0" w:color="auto"/>
              <w:bottom w:val="single" w:sz="4" w:space="0" w:color="auto"/>
              <w:right w:val="single" w:sz="4" w:space="0" w:color="auto"/>
            </w:tcBorders>
            <w:vAlign w:val="center"/>
            <w:hideMark/>
          </w:tcPr>
          <w:p w:rsidR="005727C2" w:rsidRDefault="005727C2">
            <w:pPr>
              <w:autoSpaceDE w:val="0"/>
              <w:autoSpaceDN w:val="0"/>
              <w:adjustRightInd w:val="0"/>
              <w:spacing w:after="0" w:line="240" w:lineRule="auto"/>
              <w:jc w:val="center"/>
              <w:rPr>
                <w:lang w:eastAsia="en-US"/>
              </w:rPr>
            </w:pPr>
            <w:r>
              <w:rPr>
                <w:sz w:val="22"/>
                <w:szCs w:val="22"/>
                <w:lang w:eastAsia="en-US"/>
              </w:rPr>
              <w:t>0</w:t>
            </w:r>
          </w:p>
        </w:tc>
        <w:tc>
          <w:tcPr>
            <w:tcW w:w="851" w:type="dxa"/>
            <w:tcBorders>
              <w:top w:val="single" w:sz="4" w:space="0" w:color="auto"/>
              <w:left w:val="single" w:sz="4" w:space="0" w:color="auto"/>
              <w:bottom w:val="single" w:sz="4" w:space="0" w:color="auto"/>
              <w:right w:val="single" w:sz="4" w:space="0" w:color="auto"/>
            </w:tcBorders>
            <w:vAlign w:val="center"/>
            <w:hideMark/>
          </w:tcPr>
          <w:p w:rsidR="005727C2" w:rsidRDefault="005727C2">
            <w:pPr>
              <w:autoSpaceDE w:val="0"/>
              <w:autoSpaceDN w:val="0"/>
              <w:adjustRightInd w:val="0"/>
              <w:spacing w:after="0" w:line="240" w:lineRule="auto"/>
              <w:jc w:val="center"/>
              <w:rPr>
                <w:lang w:eastAsia="en-US"/>
              </w:rPr>
            </w:pPr>
            <w:r>
              <w:rPr>
                <w:sz w:val="22"/>
                <w:szCs w:val="22"/>
                <w:lang w:eastAsia="en-US"/>
              </w:rPr>
              <w:t>0</w:t>
            </w:r>
          </w:p>
        </w:tc>
      </w:tr>
      <w:tr w:rsidR="005727C2" w:rsidTr="00533808">
        <w:trPr>
          <w:trHeight w:val="31"/>
        </w:trPr>
        <w:tc>
          <w:tcPr>
            <w:tcW w:w="534" w:type="dxa"/>
            <w:tcBorders>
              <w:top w:val="single" w:sz="4" w:space="0" w:color="auto"/>
              <w:left w:val="single" w:sz="4" w:space="0" w:color="auto"/>
              <w:bottom w:val="single" w:sz="4" w:space="0" w:color="auto"/>
              <w:right w:val="single" w:sz="4" w:space="0" w:color="auto"/>
            </w:tcBorders>
            <w:vAlign w:val="center"/>
            <w:hideMark/>
          </w:tcPr>
          <w:p w:rsidR="005727C2" w:rsidRDefault="005727C2">
            <w:pPr>
              <w:autoSpaceDE w:val="0"/>
              <w:autoSpaceDN w:val="0"/>
              <w:adjustRightInd w:val="0"/>
              <w:spacing w:after="0" w:line="240" w:lineRule="auto"/>
              <w:jc w:val="center"/>
              <w:rPr>
                <w:lang w:eastAsia="en-US"/>
              </w:rPr>
            </w:pPr>
            <w:r>
              <w:rPr>
                <w:sz w:val="22"/>
                <w:szCs w:val="22"/>
                <w:lang w:eastAsia="en-US"/>
              </w:rPr>
              <w:t>3</w:t>
            </w:r>
          </w:p>
        </w:tc>
        <w:tc>
          <w:tcPr>
            <w:tcW w:w="3824" w:type="dxa"/>
            <w:tcBorders>
              <w:top w:val="single" w:sz="4" w:space="0" w:color="auto"/>
              <w:left w:val="single" w:sz="4" w:space="0" w:color="auto"/>
              <w:bottom w:val="single" w:sz="4" w:space="0" w:color="auto"/>
              <w:right w:val="single" w:sz="4" w:space="0" w:color="auto"/>
            </w:tcBorders>
            <w:vAlign w:val="center"/>
            <w:hideMark/>
          </w:tcPr>
          <w:p w:rsidR="005727C2" w:rsidRDefault="005727C2">
            <w:pPr>
              <w:autoSpaceDE w:val="0"/>
              <w:autoSpaceDN w:val="0"/>
              <w:adjustRightInd w:val="0"/>
              <w:spacing w:after="0" w:line="240" w:lineRule="auto"/>
              <w:rPr>
                <w:lang w:eastAsia="en-US"/>
              </w:rPr>
            </w:pPr>
            <w:r>
              <w:rPr>
                <w:sz w:val="22"/>
                <w:szCs w:val="22"/>
                <w:lang w:eastAsia="en-US"/>
              </w:rPr>
              <w:t>Доля проверок, результаты которых признаны недействительными (в процентах от общего числа проведенных проверок)</w:t>
            </w:r>
          </w:p>
        </w:tc>
        <w:tc>
          <w:tcPr>
            <w:tcW w:w="1279" w:type="dxa"/>
            <w:tcBorders>
              <w:top w:val="single" w:sz="4" w:space="0" w:color="auto"/>
              <w:left w:val="single" w:sz="4" w:space="0" w:color="auto"/>
              <w:bottom w:val="single" w:sz="4" w:space="0" w:color="auto"/>
              <w:right w:val="single" w:sz="4" w:space="0" w:color="auto"/>
            </w:tcBorders>
            <w:vAlign w:val="center"/>
            <w:hideMark/>
          </w:tcPr>
          <w:p w:rsidR="005727C2" w:rsidRDefault="005727C2">
            <w:pPr>
              <w:autoSpaceDE w:val="0"/>
              <w:autoSpaceDN w:val="0"/>
              <w:adjustRightInd w:val="0"/>
              <w:spacing w:after="0" w:line="240" w:lineRule="auto"/>
              <w:jc w:val="center"/>
              <w:rPr>
                <w:lang w:eastAsia="en-US"/>
              </w:rPr>
            </w:pPr>
            <w:r>
              <w:rPr>
                <w:sz w:val="22"/>
                <w:szCs w:val="22"/>
                <w:lang w:eastAsia="en-US"/>
              </w:rPr>
              <w:t>0</w:t>
            </w:r>
          </w:p>
        </w:tc>
        <w:tc>
          <w:tcPr>
            <w:tcW w:w="1274" w:type="dxa"/>
            <w:tcBorders>
              <w:top w:val="single" w:sz="4" w:space="0" w:color="auto"/>
              <w:left w:val="single" w:sz="4" w:space="0" w:color="auto"/>
              <w:bottom w:val="single" w:sz="4" w:space="0" w:color="auto"/>
              <w:right w:val="single" w:sz="4" w:space="0" w:color="auto"/>
            </w:tcBorders>
            <w:vAlign w:val="center"/>
            <w:hideMark/>
          </w:tcPr>
          <w:p w:rsidR="005727C2" w:rsidRDefault="005727C2">
            <w:pPr>
              <w:autoSpaceDE w:val="0"/>
              <w:autoSpaceDN w:val="0"/>
              <w:adjustRightInd w:val="0"/>
              <w:spacing w:after="0" w:line="240" w:lineRule="auto"/>
              <w:jc w:val="center"/>
              <w:rPr>
                <w:lang w:eastAsia="en-US"/>
              </w:rPr>
            </w:pPr>
            <w:r>
              <w:rPr>
                <w:sz w:val="22"/>
                <w:szCs w:val="22"/>
                <w:lang w:eastAsia="en-US"/>
              </w:rPr>
              <w:t>0</w:t>
            </w:r>
          </w:p>
        </w:tc>
        <w:tc>
          <w:tcPr>
            <w:tcW w:w="710" w:type="dxa"/>
            <w:tcBorders>
              <w:top w:val="single" w:sz="4" w:space="0" w:color="auto"/>
              <w:left w:val="single" w:sz="4" w:space="0" w:color="auto"/>
              <w:bottom w:val="single" w:sz="4" w:space="0" w:color="auto"/>
              <w:right w:val="single" w:sz="4" w:space="0" w:color="auto"/>
            </w:tcBorders>
            <w:vAlign w:val="center"/>
            <w:hideMark/>
          </w:tcPr>
          <w:p w:rsidR="005727C2" w:rsidRDefault="005727C2">
            <w:pPr>
              <w:autoSpaceDE w:val="0"/>
              <w:autoSpaceDN w:val="0"/>
              <w:adjustRightInd w:val="0"/>
              <w:spacing w:after="0" w:line="240" w:lineRule="auto"/>
              <w:jc w:val="center"/>
              <w:rPr>
                <w:lang w:eastAsia="en-US"/>
              </w:rPr>
            </w:pPr>
            <w:r>
              <w:rPr>
                <w:sz w:val="22"/>
                <w:szCs w:val="22"/>
                <w:lang w:eastAsia="en-US"/>
              </w:rPr>
              <w:t>0</w:t>
            </w:r>
          </w:p>
        </w:tc>
        <w:tc>
          <w:tcPr>
            <w:tcW w:w="709" w:type="dxa"/>
            <w:tcBorders>
              <w:top w:val="single" w:sz="4" w:space="0" w:color="auto"/>
              <w:left w:val="single" w:sz="4" w:space="0" w:color="auto"/>
              <w:bottom w:val="single" w:sz="4" w:space="0" w:color="auto"/>
              <w:right w:val="single" w:sz="4" w:space="0" w:color="auto"/>
            </w:tcBorders>
            <w:vAlign w:val="center"/>
            <w:hideMark/>
          </w:tcPr>
          <w:p w:rsidR="005727C2" w:rsidRDefault="005727C2">
            <w:pPr>
              <w:autoSpaceDE w:val="0"/>
              <w:autoSpaceDN w:val="0"/>
              <w:adjustRightInd w:val="0"/>
              <w:spacing w:after="0" w:line="240" w:lineRule="auto"/>
              <w:jc w:val="center"/>
              <w:rPr>
                <w:lang w:eastAsia="en-US"/>
              </w:rPr>
            </w:pPr>
            <w:r>
              <w:rPr>
                <w:sz w:val="22"/>
                <w:szCs w:val="22"/>
                <w:lang w:eastAsia="en-US"/>
              </w:rPr>
              <w:t>0</w:t>
            </w:r>
          </w:p>
        </w:tc>
        <w:tc>
          <w:tcPr>
            <w:tcW w:w="851" w:type="dxa"/>
            <w:tcBorders>
              <w:top w:val="single" w:sz="4" w:space="0" w:color="auto"/>
              <w:left w:val="single" w:sz="4" w:space="0" w:color="auto"/>
              <w:bottom w:val="single" w:sz="4" w:space="0" w:color="auto"/>
              <w:right w:val="single" w:sz="4" w:space="0" w:color="auto"/>
            </w:tcBorders>
            <w:vAlign w:val="center"/>
            <w:hideMark/>
          </w:tcPr>
          <w:p w:rsidR="005727C2" w:rsidRDefault="005727C2">
            <w:pPr>
              <w:autoSpaceDE w:val="0"/>
              <w:autoSpaceDN w:val="0"/>
              <w:adjustRightInd w:val="0"/>
              <w:spacing w:after="0" w:line="240" w:lineRule="auto"/>
              <w:jc w:val="center"/>
              <w:rPr>
                <w:lang w:eastAsia="en-US"/>
              </w:rPr>
            </w:pPr>
            <w:r>
              <w:rPr>
                <w:sz w:val="22"/>
                <w:szCs w:val="22"/>
                <w:lang w:eastAsia="en-US"/>
              </w:rPr>
              <w:t>0</w:t>
            </w:r>
          </w:p>
        </w:tc>
      </w:tr>
      <w:tr w:rsidR="005727C2" w:rsidTr="00533808">
        <w:trPr>
          <w:trHeight w:val="31"/>
        </w:trPr>
        <w:tc>
          <w:tcPr>
            <w:tcW w:w="534" w:type="dxa"/>
            <w:tcBorders>
              <w:top w:val="single" w:sz="4" w:space="0" w:color="auto"/>
              <w:left w:val="single" w:sz="4" w:space="0" w:color="auto"/>
              <w:bottom w:val="single" w:sz="4" w:space="0" w:color="auto"/>
              <w:right w:val="single" w:sz="4" w:space="0" w:color="auto"/>
            </w:tcBorders>
            <w:vAlign w:val="center"/>
            <w:hideMark/>
          </w:tcPr>
          <w:p w:rsidR="005727C2" w:rsidRDefault="005727C2">
            <w:pPr>
              <w:autoSpaceDE w:val="0"/>
              <w:autoSpaceDN w:val="0"/>
              <w:adjustRightInd w:val="0"/>
              <w:spacing w:after="0" w:line="240" w:lineRule="auto"/>
              <w:jc w:val="center"/>
              <w:rPr>
                <w:lang w:eastAsia="en-US"/>
              </w:rPr>
            </w:pPr>
            <w:r>
              <w:rPr>
                <w:sz w:val="22"/>
                <w:szCs w:val="22"/>
                <w:lang w:eastAsia="en-US"/>
              </w:rPr>
              <w:t>4</w:t>
            </w:r>
          </w:p>
        </w:tc>
        <w:tc>
          <w:tcPr>
            <w:tcW w:w="3824" w:type="dxa"/>
            <w:tcBorders>
              <w:top w:val="single" w:sz="4" w:space="0" w:color="auto"/>
              <w:left w:val="single" w:sz="4" w:space="0" w:color="auto"/>
              <w:bottom w:val="single" w:sz="4" w:space="0" w:color="auto"/>
              <w:right w:val="single" w:sz="4" w:space="0" w:color="auto"/>
            </w:tcBorders>
            <w:vAlign w:val="center"/>
            <w:hideMark/>
          </w:tcPr>
          <w:p w:rsidR="005727C2" w:rsidRDefault="005727C2">
            <w:pPr>
              <w:autoSpaceDE w:val="0"/>
              <w:autoSpaceDN w:val="0"/>
              <w:adjustRightInd w:val="0"/>
              <w:spacing w:after="0" w:line="240" w:lineRule="auto"/>
              <w:rPr>
                <w:lang w:eastAsia="en-US"/>
              </w:rPr>
            </w:pPr>
            <w:r>
              <w:rPr>
                <w:sz w:val="22"/>
                <w:szCs w:val="22"/>
                <w:lang w:eastAsia="en-US"/>
              </w:rPr>
              <w:t xml:space="preserve">Доля проверок, проведенных органами государственного контроля (надзора), муниципального контроля с нарушениями требований </w:t>
            </w:r>
            <w:hyperlink r:id="rId107" w:history="1">
              <w:r>
                <w:rPr>
                  <w:rStyle w:val="af0"/>
                  <w:sz w:val="22"/>
                  <w:szCs w:val="22"/>
                  <w:lang w:eastAsia="en-US"/>
                </w:rPr>
                <w:t>законодательства</w:t>
              </w:r>
            </w:hyperlink>
            <w:r>
              <w:rPr>
                <w:sz w:val="22"/>
                <w:szCs w:val="22"/>
                <w:lang w:eastAsia="en-US"/>
              </w:rPr>
              <w:t xml:space="preserve"> Российской Федерации о порядке их проведения, по результатам выявления которых к должностным лицам органов государственного контроля (надзора), </w:t>
            </w:r>
            <w:r>
              <w:rPr>
                <w:sz w:val="22"/>
                <w:szCs w:val="22"/>
                <w:lang w:eastAsia="en-US"/>
              </w:rPr>
              <w:lastRenderedPageBreak/>
              <w:t>муниципального контроля, осуществившим такие проверки, применены меры дисциплинарного, административного наказания (в процентах от общего числа проведенных проверок)</w:t>
            </w:r>
          </w:p>
        </w:tc>
        <w:tc>
          <w:tcPr>
            <w:tcW w:w="1279" w:type="dxa"/>
            <w:tcBorders>
              <w:top w:val="single" w:sz="4" w:space="0" w:color="auto"/>
              <w:left w:val="single" w:sz="4" w:space="0" w:color="auto"/>
              <w:bottom w:val="single" w:sz="4" w:space="0" w:color="auto"/>
              <w:right w:val="single" w:sz="4" w:space="0" w:color="auto"/>
            </w:tcBorders>
            <w:vAlign w:val="center"/>
            <w:hideMark/>
          </w:tcPr>
          <w:p w:rsidR="005727C2" w:rsidRDefault="005727C2">
            <w:pPr>
              <w:autoSpaceDE w:val="0"/>
              <w:autoSpaceDN w:val="0"/>
              <w:adjustRightInd w:val="0"/>
              <w:spacing w:after="0" w:line="240" w:lineRule="auto"/>
              <w:jc w:val="center"/>
              <w:rPr>
                <w:lang w:eastAsia="en-US"/>
              </w:rPr>
            </w:pPr>
            <w:r>
              <w:rPr>
                <w:sz w:val="22"/>
                <w:szCs w:val="22"/>
                <w:lang w:eastAsia="en-US"/>
              </w:rPr>
              <w:lastRenderedPageBreak/>
              <w:t>0</w:t>
            </w:r>
          </w:p>
        </w:tc>
        <w:tc>
          <w:tcPr>
            <w:tcW w:w="1274" w:type="dxa"/>
            <w:tcBorders>
              <w:top w:val="single" w:sz="4" w:space="0" w:color="auto"/>
              <w:left w:val="single" w:sz="4" w:space="0" w:color="auto"/>
              <w:bottom w:val="single" w:sz="4" w:space="0" w:color="auto"/>
              <w:right w:val="single" w:sz="4" w:space="0" w:color="auto"/>
            </w:tcBorders>
            <w:vAlign w:val="center"/>
            <w:hideMark/>
          </w:tcPr>
          <w:p w:rsidR="005727C2" w:rsidRDefault="005727C2">
            <w:pPr>
              <w:autoSpaceDE w:val="0"/>
              <w:autoSpaceDN w:val="0"/>
              <w:adjustRightInd w:val="0"/>
              <w:spacing w:after="0" w:line="240" w:lineRule="auto"/>
              <w:jc w:val="center"/>
              <w:rPr>
                <w:lang w:eastAsia="en-US"/>
              </w:rPr>
            </w:pPr>
            <w:r>
              <w:rPr>
                <w:sz w:val="22"/>
                <w:szCs w:val="22"/>
                <w:lang w:eastAsia="en-US"/>
              </w:rPr>
              <w:t>0</w:t>
            </w:r>
          </w:p>
        </w:tc>
        <w:tc>
          <w:tcPr>
            <w:tcW w:w="710" w:type="dxa"/>
            <w:tcBorders>
              <w:top w:val="single" w:sz="4" w:space="0" w:color="auto"/>
              <w:left w:val="single" w:sz="4" w:space="0" w:color="auto"/>
              <w:bottom w:val="single" w:sz="4" w:space="0" w:color="auto"/>
              <w:right w:val="single" w:sz="4" w:space="0" w:color="auto"/>
            </w:tcBorders>
            <w:vAlign w:val="center"/>
            <w:hideMark/>
          </w:tcPr>
          <w:p w:rsidR="005727C2" w:rsidRDefault="005727C2">
            <w:pPr>
              <w:autoSpaceDE w:val="0"/>
              <w:autoSpaceDN w:val="0"/>
              <w:adjustRightInd w:val="0"/>
              <w:spacing w:after="0" w:line="240" w:lineRule="auto"/>
              <w:jc w:val="center"/>
              <w:rPr>
                <w:lang w:eastAsia="en-US"/>
              </w:rPr>
            </w:pPr>
            <w:r>
              <w:rPr>
                <w:sz w:val="22"/>
                <w:szCs w:val="22"/>
                <w:lang w:eastAsia="en-US"/>
              </w:rPr>
              <w:t>0</w:t>
            </w:r>
          </w:p>
        </w:tc>
        <w:tc>
          <w:tcPr>
            <w:tcW w:w="709" w:type="dxa"/>
            <w:tcBorders>
              <w:top w:val="single" w:sz="4" w:space="0" w:color="auto"/>
              <w:left w:val="single" w:sz="4" w:space="0" w:color="auto"/>
              <w:bottom w:val="single" w:sz="4" w:space="0" w:color="auto"/>
              <w:right w:val="single" w:sz="4" w:space="0" w:color="auto"/>
            </w:tcBorders>
            <w:vAlign w:val="center"/>
            <w:hideMark/>
          </w:tcPr>
          <w:p w:rsidR="005727C2" w:rsidRDefault="005727C2">
            <w:pPr>
              <w:autoSpaceDE w:val="0"/>
              <w:autoSpaceDN w:val="0"/>
              <w:adjustRightInd w:val="0"/>
              <w:spacing w:after="0" w:line="240" w:lineRule="auto"/>
              <w:jc w:val="center"/>
              <w:rPr>
                <w:lang w:eastAsia="en-US"/>
              </w:rPr>
            </w:pPr>
            <w:r>
              <w:rPr>
                <w:sz w:val="22"/>
                <w:szCs w:val="22"/>
                <w:lang w:eastAsia="en-US"/>
              </w:rPr>
              <w:t>0</w:t>
            </w:r>
          </w:p>
        </w:tc>
        <w:tc>
          <w:tcPr>
            <w:tcW w:w="851" w:type="dxa"/>
            <w:tcBorders>
              <w:top w:val="single" w:sz="4" w:space="0" w:color="auto"/>
              <w:left w:val="single" w:sz="4" w:space="0" w:color="auto"/>
              <w:bottom w:val="single" w:sz="4" w:space="0" w:color="auto"/>
              <w:right w:val="single" w:sz="4" w:space="0" w:color="auto"/>
            </w:tcBorders>
            <w:vAlign w:val="center"/>
            <w:hideMark/>
          </w:tcPr>
          <w:p w:rsidR="005727C2" w:rsidRDefault="005727C2">
            <w:pPr>
              <w:autoSpaceDE w:val="0"/>
              <w:autoSpaceDN w:val="0"/>
              <w:adjustRightInd w:val="0"/>
              <w:spacing w:after="0" w:line="240" w:lineRule="auto"/>
              <w:jc w:val="center"/>
              <w:rPr>
                <w:lang w:eastAsia="en-US"/>
              </w:rPr>
            </w:pPr>
            <w:r>
              <w:rPr>
                <w:sz w:val="22"/>
                <w:szCs w:val="22"/>
                <w:lang w:eastAsia="en-US"/>
              </w:rPr>
              <w:t>0</w:t>
            </w:r>
          </w:p>
        </w:tc>
      </w:tr>
      <w:tr w:rsidR="005727C2" w:rsidTr="00533808">
        <w:trPr>
          <w:trHeight w:val="31"/>
        </w:trPr>
        <w:tc>
          <w:tcPr>
            <w:tcW w:w="534" w:type="dxa"/>
            <w:tcBorders>
              <w:top w:val="single" w:sz="4" w:space="0" w:color="auto"/>
              <w:left w:val="single" w:sz="4" w:space="0" w:color="auto"/>
              <w:bottom w:val="single" w:sz="4" w:space="0" w:color="auto"/>
              <w:right w:val="single" w:sz="4" w:space="0" w:color="auto"/>
            </w:tcBorders>
            <w:vAlign w:val="center"/>
            <w:hideMark/>
          </w:tcPr>
          <w:p w:rsidR="005727C2" w:rsidRDefault="005727C2">
            <w:pPr>
              <w:autoSpaceDE w:val="0"/>
              <w:autoSpaceDN w:val="0"/>
              <w:adjustRightInd w:val="0"/>
              <w:spacing w:after="0" w:line="240" w:lineRule="auto"/>
              <w:jc w:val="center"/>
              <w:rPr>
                <w:lang w:eastAsia="en-US"/>
              </w:rPr>
            </w:pPr>
            <w:r>
              <w:rPr>
                <w:sz w:val="22"/>
                <w:szCs w:val="22"/>
                <w:lang w:eastAsia="en-US"/>
              </w:rPr>
              <w:lastRenderedPageBreak/>
              <w:t>5</w:t>
            </w:r>
          </w:p>
        </w:tc>
        <w:tc>
          <w:tcPr>
            <w:tcW w:w="3824" w:type="dxa"/>
            <w:tcBorders>
              <w:top w:val="single" w:sz="4" w:space="0" w:color="auto"/>
              <w:left w:val="single" w:sz="4" w:space="0" w:color="auto"/>
              <w:bottom w:val="single" w:sz="4" w:space="0" w:color="auto"/>
              <w:right w:val="single" w:sz="4" w:space="0" w:color="auto"/>
            </w:tcBorders>
            <w:vAlign w:val="center"/>
            <w:hideMark/>
          </w:tcPr>
          <w:p w:rsidR="005727C2" w:rsidRDefault="005727C2">
            <w:pPr>
              <w:autoSpaceDE w:val="0"/>
              <w:autoSpaceDN w:val="0"/>
              <w:adjustRightInd w:val="0"/>
              <w:spacing w:after="0" w:line="240" w:lineRule="auto"/>
              <w:rPr>
                <w:lang w:eastAsia="en-US"/>
              </w:rPr>
            </w:pPr>
            <w:r>
              <w:rPr>
                <w:sz w:val="22"/>
                <w:szCs w:val="22"/>
                <w:lang w:eastAsia="en-US"/>
              </w:rPr>
              <w:t>Доля юридических лиц, индивидуальных предпринимателей, в отношении которых органами государственного контроля (надзора), муниципального контроля были проведены проверки (в процентах от общего количества юридических лиц, индивидуальных предпринимателей, осуществляющих деятельность на территории Российской Федерации, соответствующего субъекта Российской Федерации, соответствующего муниципального образования, деятельность которых подлежит государственному контролю (надзору), муниципальному контролю</w:t>
            </w:r>
          </w:p>
        </w:tc>
        <w:tc>
          <w:tcPr>
            <w:tcW w:w="1279" w:type="dxa"/>
            <w:tcBorders>
              <w:top w:val="single" w:sz="4" w:space="0" w:color="auto"/>
              <w:left w:val="single" w:sz="4" w:space="0" w:color="auto"/>
              <w:bottom w:val="single" w:sz="4" w:space="0" w:color="auto"/>
              <w:right w:val="single" w:sz="4" w:space="0" w:color="auto"/>
            </w:tcBorders>
            <w:vAlign w:val="center"/>
            <w:hideMark/>
          </w:tcPr>
          <w:p w:rsidR="005727C2" w:rsidRDefault="005727C2">
            <w:pPr>
              <w:autoSpaceDE w:val="0"/>
              <w:autoSpaceDN w:val="0"/>
              <w:adjustRightInd w:val="0"/>
              <w:spacing w:after="0" w:line="240" w:lineRule="auto"/>
              <w:jc w:val="center"/>
              <w:rPr>
                <w:lang w:eastAsia="en-US"/>
              </w:rPr>
            </w:pPr>
            <w:r>
              <w:rPr>
                <w:sz w:val="22"/>
                <w:szCs w:val="22"/>
                <w:lang w:eastAsia="en-US"/>
              </w:rPr>
              <w:t>1,91</w:t>
            </w:r>
          </w:p>
        </w:tc>
        <w:tc>
          <w:tcPr>
            <w:tcW w:w="1274" w:type="dxa"/>
            <w:tcBorders>
              <w:top w:val="single" w:sz="4" w:space="0" w:color="auto"/>
              <w:left w:val="single" w:sz="4" w:space="0" w:color="auto"/>
              <w:bottom w:val="single" w:sz="4" w:space="0" w:color="auto"/>
              <w:right w:val="single" w:sz="4" w:space="0" w:color="auto"/>
            </w:tcBorders>
            <w:vAlign w:val="center"/>
            <w:hideMark/>
          </w:tcPr>
          <w:p w:rsidR="005727C2" w:rsidRDefault="005727C2">
            <w:pPr>
              <w:autoSpaceDE w:val="0"/>
              <w:autoSpaceDN w:val="0"/>
              <w:adjustRightInd w:val="0"/>
              <w:spacing w:after="0" w:line="240" w:lineRule="auto"/>
              <w:jc w:val="center"/>
              <w:rPr>
                <w:lang w:eastAsia="en-US"/>
              </w:rPr>
            </w:pPr>
            <w:r>
              <w:rPr>
                <w:sz w:val="22"/>
                <w:szCs w:val="22"/>
                <w:lang w:eastAsia="en-US"/>
              </w:rPr>
              <w:t>1,23</w:t>
            </w:r>
          </w:p>
        </w:tc>
        <w:tc>
          <w:tcPr>
            <w:tcW w:w="710" w:type="dxa"/>
            <w:tcBorders>
              <w:top w:val="single" w:sz="4" w:space="0" w:color="auto"/>
              <w:left w:val="single" w:sz="4" w:space="0" w:color="auto"/>
              <w:bottom w:val="single" w:sz="4" w:space="0" w:color="auto"/>
              <w:right w:val="single" w:sz="4" w:space="0" w:color="auto"/>
            </w:tcBorders>
            <w:vAlign w:val="center"/>
            <w:hideMark/>
          </w:tcPr>
          <w:p w:rsidR="005727C2" w:rsidRDefault="005727C2">
            <w:pPr>
              <w:autoSpaceDE w:val="0"/>
              <w:autoSpaceDN w:val="0"/>
              <w:adjustRightInd w:val="0"/>
              <w:spacing w:after="0" w:line="240" w:lineRule="auto"/>
              <w:jc w:val="center"/>
              <w:rPr>
                <w:lang w:eastAsia="en-US"/>
              </w:rPr>
            </w:pPr>
            <w:r>
              <w:rPr>
                <w:sz w:val="22"/>
                <w:szCs w:val="22"/>
                <w:lang w:eastAsia="en-US"/>
              </w:rPr>
              <w:t>1,75</w:t>
            </w:r>
          </w:p>
        </w:tc>
        <w:tc>
          <w:tcPr>
            <w:tcW w:w="709" w:type="dxa"/>
            <w:tcBorders>
              <w:top w:val="single" w:sz="4" w:space="0" w:color="auto"/>
              <w:left w:val="single" w:sz="4" w:space="0" w:color="auto"/>
              <w:bottom w:val="single" w:sz="4" w:space="0" w:color="auto"/>
              <w:right w:val="single" w:sz="4" w:space="0" w:color="auto"/>
            </w:tcBorders>
            <w:vAlign w:val="center"/>
            <w:hideMark/>
          </w:tcPr>
          <w:p w:rsidR="005727C2" w:rsidRDefault="005727C2">
            <w:pPr>
              <w:autoSpaceDE w:val="0"/>
              <w:autoSpaceDN w:val="0"/>
              <w:adjustRightInd w:val="0"/>
              <w:spacing w:after="0" w:line="240" w:lineRule="auto"/>
              <w:jc w:val="center"/>
              <w:rPr>
                <w:lang w:eastAsia="en-US"/>
              </w:rPr>
            </w:pPr>
            <w:r>
              <w:rPr>
                <w:sz w:val="22"/>
                <w:szCs w:val="22"/>
                <w:lang w:eastAsia="en-US"/>
              </w:rPr>
              <w:t>3,39</w:t>
            </w:r>
          </w:p>
        </w:tc>
        <w:tc>
          <w:tcPr>
            <w:tcW w:w="851" w:type="dxa"/>
            <w:tcBorders>
              <w:top w:val="single" w:sz="4" w:space="0" w:color="auto"/>
              <w:left w:val="single" w:sz="4" w:space="0" w:color="auto"/>
              <w:bottom w:val="single" w:sz="4" w:space="0" w:color="auto"/>
              <w:right w:val="single" w:sz="4" w:space="0" w:color="auto"/>
            </w:tcBorders>
            <w:vAlign w:val="center"/>
            <w:hideMark/>
          </w:tcPr>
          <w:p w:rsidR="005727C2" w:rsidRDefault="005727C2">
            <w:pPr>
              <w:autoSpaceDE w:val="0"/>
              <w:autoSpaceDN w:val="0"/>
              <w:adjustRightInd w:val="0"/>
              <w:spacing w:after="0" w:line="240" w:lineRule="auto"/>
              <w:jc w:val="center"/>
              <w:rPr>
                <w:lang w:eastAsia="en-US"/>
              </w:rPr>
            </w:pPr>
            <w:r>
              <w:rPr>
                <w:sz w:val="22"/>
                <w:szCs w:val="22"/>
                <w:lang w:eastAsia="en-US"/>
              </w:rPr>
              <w:t>-1,64</w:t>
            </w:r>
          </w:p>
        </w:tc>
      </w:tr>
      <w:tr w:rsidR="005727C2" w:rsidTr="00533808">
        <w:trPr>
          <w:trHeight w:val="31"/>
        </w:trPr>
        <w:tc>
          <w:tcPr>
            <w:tcW w:w="534" w:type="dxa"/>
            <w:tcBorders>
              <w:top w:val="single" w:sz="4" w:space="0" w:color="auto"/>
              <w:left w:val="single" w:sz="4" w:space="0" w:color="auto"/>
              <w:bottom w:val="single" w:sz="4" w:space="0" w:color="auto"/>
              <w:right w:val="single" w:sz="4" w:space="0" w:color="auto"/>
            </w:tcBorders>
            <w:vAlign w:val="center"/>
            <w:hideMark/>
          </w:tcPr>
          <w:p w:rsidR="005727C2" w:rsidRDefault="005727C2">
            <w:pPr>
              <w:autoSpaceDE w:val="0"/>
              <w:autoSpaceDN w:val="0"/>
              <w:adjustRightInd w:val="0"/>
              <w:spacing w:after="0" w:line="240" w:lineRule="auto"/>
              <w:jc w:val="center"/>
              <w:rPr>
                <w:lang w:eastAsia="en-US"/>
              </w:rPr>
            </w:pPr>
            <w:r>
              <w:rPr>
                <w:sz w:val="22"/>
                <w:szCs w:val="22"/>
                <w:lang w:eastAsia="en-US"/>
              </w:rPr>
              <w:t>6</w:t>
            </w:r>
          </w:p>
        </w:tc>
        <w:tc>
          <w:tcPr>
            <w:tcW w:w="3824" w:type="dxa"/>
            <w:tcBorders>
              <w:top w:val="single" w:sz="4" w:space="0" w:color="auto"/>
              <w:left w:val="single" w:sz="4" w:space="0" w:color="auto"/>
              <w:bottom w:val="single" w:sz="4" w:space="0" w:color="auto"/>
              <w:right w:val="single" w:sz="4" w:space="0" w:color="auto"/>
            </w:tcBorders>
            <w:vAlign w:val="center"/>
            <w:hideMark/>
          </w:tcPr>
          <w:p w:rsidR="005727C2" w:rsidRDefault="005727C2">
            <w:pPr>
              <w:autoSpaceDE w:val="0"/>
              <w:autoSpaceDN w:val="0"/>
              <w:adjustRightInd w:val="0"/>
              <w:spacing w:after="0" w:line="240" w:lineRule="auto"/>
              <w:rPr>
                <w:lang w:eastAsia="en-US"/>
              </w:rPr>
            </w:pPr>
            <w:r>
              <w:rPr>
                <w:sz w:val="22"/>
                <w:szCs w:val="22"/>
                <w:lang w:eastAsia="en-US"/>
              </w:rPr>
              <w:t>Среднее количество проверок, проведенных в отношении одного юридического лица, индивидуального предпринимателя</w:t>
            </w:r>
          </w:p>
        </w:tc>
        <w:tc>
          <w:tcPr>
            <w:tcW w:w="1279" w:type="dxa"/>
            <w:tcBorders>
              <w:top w:val="single" w:sz="4" w:space="0" w:color="auto"/>
              <w:left w:val="single" w:sz="4" w:space="0" w:color="auto"/>
              <w:bottom w:val="single" w:sz="4" w:space="0" w:color="auto"/>
              <w:right w:val="single" w:sz="4" w:space="0" w:color="auto"/>
            </w:tcBorders>
            <w:vAlign w:val="center"/>
            <w:hideMark/>
          </w:tcPr>
          <w:p w:rsidR="005727C2" w:rsidRDefault="005727C2">
            <w:pPr>
              <w:autoSpaceDE w:val="0"/>
              <w:autoSpaceDN w:val="0"/>
              <w:adjustRightInd w:val="0"/>
              <w:spacing w:after="0" w:line="240" w:lineRule="auto"/>
              <w:jc w:val="center"/>
              <w:rPr>
                <w:lang w:eastAsia="en-US"/>
              </w:rPr>
            </w:pPr>
            <w:r>
              <w:rPr>
                <w:sz w:val="22"/>
                <w:szCs w:val="22"/>
                <w:lang w:eastAsia="en-US"/>
              </w:rPr>
              <w:t>1,08</w:t>
            </w:r>
          </w:p>
        </w:tc>
        <w:tc>
          <w:tcPr>
            <w:tcW w:w="1274" w:type="dxa"/>
            <w:tcBorders>
              <w:top w:val="single" w:sz="4" w:space="0" w:color="auto"/>
              <w:left w:val="single" w:sz="4" w:space="0" w:color="auto"/>
              <w:bottom w:val="single" w:sz="4" w:space="0" w:color="auto"/>
              <w:right w:val="single" w:sz="4" w:space="0" w:color="auto"/>
            </w:tcBorders>
            <w:vAlign w:val="center"/>
            <w:hideMark/>
          </w:tcPr>
          <w:p w:rsidR="005727C2" w:rsidRDefault="005727C2">
            <w:pPr>
              <w:autoSpaceDE w:val="0"/>
              <w:autoSpaceDN w:val="0"/>
              <w:adjustRightInd w:val="0"/>
              <w:spacing w:after="0" w:line="240" w:lineRule="auto"/>
              <w:jc w:val="center"/>
              <w:rPr>
                <w:lang w:eastAsia="en-US"/>
              </w:rPr>
            </w:pPr>
            <w:r>
              <w:rPr>
                <w:sz w:val="22"/>
                <w:szCs w:val="22"/>
                <w:lang w:eastAsia="en-US"/>
              </w:rPr>
              <w:t>3,00</w:t>
            </w:r>
          </w:p>
        </w:tc>
        <w:tc>
          <w:tcPr>
            <w:tcW w:w="710" w:type="dxa"/>
            <w:tcBorders>
              <w:top w:val="single" w:sz="4" w:space="0" w:color="auto"/>
              <w:left w:val="single" w:sz="4" w:space="0" w:color="auto"/>
              <w:bottom w:val="single" w:sz="4" w:space="0" w:color="auto"/>
              <w:right w:val="single" w:sz="4" w:space="0" w:color="auto"/>
            </w:tcBorders>
            <w:vAlign w:val="center"/>
            <w:hideMark/>
          </w:tcPr>
          <w:p w:rsidR="005727C2" w:rsidRDefault="005727C2">
            <w:pPr>
              <w:autoSpaceDE w:val="0"/>
              <w:autoSpaceDN w:val="0"/>
              <w:adjustRightInd w:val="0"/>
              <w:spacing w:after="0" w:line="240" w:lineRule="auto"/>
              <w:jc w:val="center"/>
              <w:rPr>
                <w:lang w:eastAsia="en-US"/>
              </w:rPr>
            </w:pPr>
            <w:r>
              <w:rPr>
                <w:sz w:val="22"/>
                <w:szCs w:val="22"/>
                <w:lang w:eastAsia="en-US"/>
              </w:rPr>
              <w:t>1,44</w:t>
            </w:r>
          </w:p>
        </w:tc>
        <w:tc>
          <w:tcPr>
            <w:tcW w:w="709" w:type="dxa"/>
            <w:tcBorders>
              <w:top w:val="single" w:sz="4" w:space="0" w:color="auto"/>
              <w:left w:val="single" w:sz="4" w:space="0" w:color="auto"/>
              <w:bottom w:val="single" w:sz="4" w:space="0" w:color="auto"/>
              <w:right w:val="single" w:sz="4" w:space="0" w:color="auto"/>
            </w:tcBorders>
            <w:vAlign w:val="center"/>
            <w:hideMark/>
          </w:tcPr>
          <w:p w:rsidR="005727C2" w:rsidRDefault="005727C2">
            <w:pPr>
              <w:autoSpaceDE w:val="0"/>
              <w:autoSpaceDN w:val="0"/>
              <w:adjustRightInd w:val="0"/>
              <w:spacing w:after="0" w:line="240" w:lineRule="auto"/>
              <w:jc w:val="center"/>
              <w:rPr>
                <w:lang w:eastAsia="en-US"/>
              </w:rPr>
            </w:pPr>
            <w:r>
              <w:rPr>
                <w:sz w:val="22"/>
                <w:szCs w:val="22"/>
                <w:lang w:eastAsia="en-US"/>
              </w:rPr>
              <w:t>1,42</w:t>
            </w:r>
          </w:p>
        </w:tc>
        <w:tc>
          <w:tcPr>
            <w:tcW w:w="851" w:type="dxa"/>
            <w:tcBorders>
              <w:top w:val="single" w:sz="4" w:space="0" w:color="auto"/>
              <w:left w:val="single" w:sz="4" w:space="0" w:color="auto"/>
              <w:bottom w:val="single" w:sz="4" w:space="0" w:color="auto"/>
              <w:right w:val="single" w:sz="4" w:space="0" w:color="auto"/>
            </w:tcBorders>
            <w:vAlign w:val="center"/>
            <w:hideMark/>
          </w:tcPr>
          <w:p w:rsidR="005727C2" w:rsidRDefault="005727C2">
            <w:pPr>
              <w:autoSpaceDE w:val="0"/>
              <w:autoSpaceDN w:val="0"/>
              <w:adjustRightInd w:val="0"/>
              <w:spacing w:after="0" w:line="240" w:lineRule="auto"/>
              <w:jc w:val="center"/>
              <w:rPr>
                <w:lang w:eastAsia="en-US"/>
              </w:rPr>
            </w:pPr>
            <w:r>
              <w:rPr>
                <w:sz w:val="22"/>
                <w:szCs w:val="22"/>
                <w:lang w:eastAsia="en-US"/>
              </w:rPr>
              <w:t>+0,02</w:t>
            </w:r>
          </w:p>
        </w:tc>
      </w:tr>
      <w:tr w:rsidR="005727C2" w:rsidTr="00533808">
        <w:trPr>
          <w:trHeight w:val="240"/>
        </w:trPr>
        <w:tc>
          <w:tcPr>
            <w:tcW w:w="534" w:type="dxa"/>
            <w:tcBorders>
              <w:top w:val="single" w:sz="4" w:space="0" w:color="auto"/>
              <w:left w:val="single" w:sz="4" w:space="0" w:color="auto"/>
              <w:bottom w:val="single" w:sz="4" w:space="0" w:color="auto"/>
              <w:right w:val="single" w:sz="4" w:space="0" w:color="auto"/>
            </w:tcBorders>
            <w:vAlign w:val="center"/>
            <w:hideMark/>
          </w:tcPr>
          <w:p w:rsidR="005727C2" w:rsidRDefault="005727C2">
            <w:pPr>
              <w:autoSpaceDE w:val="0"/>
              <w:autoSpaceDN w:val="0"/>
              <w:adjustRightInd w:val="0"/>
              <w:spacing w:after="0" w:line="240" w:lineRule="auto"/>
              <w:jc w:val="center"/>
              <w:rPr>
                <w:lang w:eastAsia="en-US"/>
              </w:rPr>
            </w:pPr>
            <w:r>
              <w:rPr>
                <w:sz w:val="22"/>
                <w:szCs w:val="22"/>
                <w:lang w:eastAsia="en-US"/>
              </w:rPr>
              <w:t>7</w:t>
            </w:r>
          </w:p>
        </w:tc>
        <w:tc>
          <w:tcPr>
            <w:tcW w:w="3824" w:type="dxa"/>
            <w:tcBorders>
              <w:top w:val="single" w:sz="4" w:space="0" w:color="auto"/>
              <w:left w:val="single" w:sz="4" w:space="0" w:color="auto"/>
              <w:bottom w:val="single" w:sz="4" w:space="0" w:color="auto"/>
              <w:right w:val="single" w:sz="4" w:space="0" w:color="auto"/>
            </w:tcBorders>
            <w:vAlign w:val="center"/>
            <w:hideMark/>
          </w:tcPr>
          <w:p w:rsidR="005727C2" w:rsidRDefault="005727C2">
            <w:pPr>
              <w:autoSpaceDE w:val="0"/>
              <w:autoSpaceDN w:val="0"/>
              <w:adjustRightInd w:val="0"/>
              <w:spacing w:after="0" w:line="240" w:lineRule="auto"/>
              <w:rPr>
                <w:lang w:eastAsia="en-US"/>
              </w:rPr>
            </w:pPr>
            <w:r>
              <w:rPr>
                <w:sz w:val="22"/>
                <w:szCs w:val="22"/>
                <w:lang w:eastAsia="en-US"/>
              </w:rPr>
              <w:t>Доля проведенных внеплановых проверок (в процентах от общего количества проведенных проверок)</w:t>
            </w:r>
          </w:p>
        </w:tc>
        <w:tc>
          <w:tcPr>
            <w:tcW w:w="1279" w:type="dxa"/>
            <w:tcBorders>
              <w:top w:val="single" w:sz="4" w:space="0" w:color="auto"/>
              <w:left w:val="single" w:sz="4" w:space="0" w:color="auto"/>
              <w:bottom w:val="single" w:sz="4" w:space="0" w:color="auto"/>
              <w:right w:val="single" w:sz="4" w:space="0" w:color="auto"/>
            </w:tcBorders>
            <w:vAlign w:val="center"/>
            <w:hideMark/>
          </w:tcPr>
          <w:p w:rsidR="005727C2" w:rsidRDefault="005727C2">
            <w:pPr>
              <w:autoSpaceDE w:val="0"/>
              <w:autoSpaceDN w:val="0"/>
              <w:adjustRightInd w:val="0"/>
              <w:spacing w:after="0" w:line="240" w:lineRule="auto"/>
              <w:jc w:val="center"/>
              <w:rPr>
                <w:lang w:eastAsia="en-US"/>
              </w:rPr>
            </w:pPr>
            <w:r>
              <w:rPr>
                <w:sz w:val="22"/>
                <w:szCs w:val="22"/>
                <w:lang w:eastAsia="en-US"/>
              </w:rPr>
              <w:t>21,42</w:t>
            </w:r>
          </w:p>
        </w:tc>
        <w:tc>
          <w:tcPr>
            <w:tcW w:w="1274" w:type="dxa"/>
            <w:tcBorders>
              <w:top w:val="single" w:sz="4" w:space="0" w:color="auto"/>
              <w:left w:val="single" w:sz="4" w:space="0" w:color="auto"/>
              <w:bottom w:val="single" w:sz="4" w:space="0" w:color="auto"/>
              <w:right w:val="single" w:sz="4" w:space="0" w:color="auto"/>
            </w:tcBorders>
            <w:vAlign w:val="center"/>
            <w:hideMark/>
          </w:tcPr>
          <w:p w:rsidR="005727C2" w:rsidRDefault="005727C2">
            <w:pPr>
              <w:autoSpaceDE w:val="0"/>
              <w:autoSpaceDN w:val="0"/>
              <w:adjustRightInd w:val="0"/>
              <w:spacing w:after="0" w:line="240" w:lineRule="auto"/>
              <w:jc w:val="center"/>
              <w:rPr>
                <w:lang w:eastAsia="en-US"/>
              </w:rPr>
            </w:pPr>
            <w:r>
              <w:rPr>
                <w:sz w:val="22"/>
                <w:szCs w:val="22"/>
                <w:lang w:eastAsia="en-US"/>
              </w:rPr>
              <w:t>77,78</w:t>
            </w:r>
          </w:p>
        </w:tc>
        <w:tc>
          <w:tcPr>
            <w:tcW w:w="710" w:type="dxa"/>
            <w:tcBorders>
              <w:top w:val="single" w:sz="4" w:space="0" w:color="auto"/>
              <w:left w:val="single" w:sz="4" w:space="0" w:color="auto"/>
              <w:bottom w:val="single" w:sz="4" w:space="0" w:color="auto"/>
              <w:right w:val="single" w:sz="4" w:space="0" w:color="auto"/>
            </w:tcBorders>
            <w:vAlign w:val="center"/>
            <w:hideMark/>
          </w:tcPr>
          <w:p w:rsidR="005727C2" w:rsidRDefault="005727C2">
            <w:pPr>
              <w:autoSpaceDE w:val="0"/>
              <w:autoSpaceDN w:val="0"/>
              <w:adjustRightInd w:val="0"/>
              <w:spacing w:after="0" w:line="240" w:lineRule="auto"/>
              <w:jc w:val="center"/>
              <w:rPr>
                <w:lang w:eastAsia="en-US"/>
              </w:rPr>
            </w:pPr>
            <w:r>
              <w:rPr>
                <w:sz w:val="22"/>
                <w:szCs w:val="22"/>
                <w:lang w:eastAsia="en-US"/>
              </w:rPr>
              <w:t>43,48</w:t>
            </w:r>
          </w:p>
        </w:tc>
        <w:tc>
          <w:tcPr>
            <w:tcW w:w="709" w:type="dxa"/>
            <w:tcBorders>
              <w:top w:val="single" w:sz="4" w:space="0" w:color="auto"/>
              <w:left w:val="single" w:sz="4" w:space="0" w:color="auto"/>
              <w:bottom w:val="single" w:sz="4" w:space="0" w:color="auto"/>
              <w:right w:val="single" w:sz="4" w:space="0" w:color="auto"/>
            </w:tcBorders>
            <w:vAlign w:val="center"/>
            <w:hideMark/>
          </w:tcPr>
          <w:p w:rsidR="005727C2" w:rsidRDefault="005727C2">
            <w:pPr>
              <w:autoSpaceDE w:val="0"/>
              <w:autoSpaceDN w:val="0"/>
              <w:adjustRightInd w:val="0"/>
              <w:spacing w:after="0" w:line="240" w:lineRule="auto"/>
              <w:jc w:val="center"/>
              <w:rPr>
                <w:lang w:eastAsia="en-US"/>
              </w:rPr>
            </w:pPr>
            <w:r>
              <w:rPr>
                <w:sz w:val="22"/>
                <w:szCs w:val="22"/>
                <w:lang w:eastAsia="en-US"/>
              </w:rPr>
              <w:t>38,24</w:t>
            </w:r>
          </w:p>
        </w:tc>
        <w:tc>
          <w:tcPr>
            <w:tcW w:w="851" w:type="dxa"/>
            <w:tcBorders>
              <w:top w:val="single" w:sz="4" w:space="0" w:color="auto"/>
              <w:left w:val="single" w:sz="4" w:space="0" w:color="auto"/>
              <w:bottom w:val="single" w:sz="4" w:space="0" w:color="auto"/>
              <w:right w:val="single" w:sz="4" w:space="0" w:color="auto"/>
            </w:tcBorders>
            <w:vAlign w:val="center"/>
            <w:hideMark/>
          </w:tcPr>
          <w:p w:rsidR="005727C2" w:rsidRDefault="005727C2">
            <w:pPr>
              <w:autoSpaceDE w:val="0"/>
              <w:autoSpaceDN w:val="0"/>
              <w:adjustRightInd w:val="0"/>
              <w:spacing w:after="0" w:line="240" w:lineRule="auto"/>
              <w:jc w:val="center"/>
              <w:rPr>
                <w:lang w:eastAsia="en-US"/>
              </w:rPr>
            </w:pPr>
            <w:r>
              <w:rPr>
                <w:sz w:val="22"/>
                <w:szCs w:val="22"/>
                <w:lang w:eastAsia="en-US"/>
              </w:rPr>
              <w:t>+5,24</w:t>
            </w:r>
          </w:p>
        </w:tc>
      </w:tr>
      <w:tr w:rsidR="005727C2" w:rsidTr="00533808">
        <w:trPr>
          <w:trHeight w:val="31"/>
        </w:trPr>
        <w:tc>
          <w:tcPr>
            <w:tcW w:w="534" w:type="dxa"/>
            <w:tcBorders>
              <w:top w:val="single" w:sz="4" w:space="0" w:color="auto"/>
              <w:left w:val="single" w:sz="4" w:space="0" w:color="auto"/>
              <w:bottom w:val="single" w:sz="4" w:space="0" w:color="auto"/>
              <w:right w:val="single" w:sz="4" w:space="0" w:color="auto"/>
            </w:tcBorders>
            <w:vAlign w:val="center"/>
            <w:hideMark/>
          </w:tcPr>
          <w:p w:rsidR="005727C2" w:rsidRDefault="005727C2">
            <w:pPr>
              <w:autoSpaceDE w:val="0"/>
              <w:autoSpaceDN w:val="0"/>
              <w:adjustRightInd w:val="0"/>
              <w:spacing w:after="0" w:line="240" w:lineRule="auto"/>
              <w:jc w:val="center"/>
              <w:rPr>
                <w:lang w:eastAsia="en-US"/>
              </w:rPr>
            </w:pPr>
            <w:r>
              <w:rPr>
                <w:sz w:val="22"/>
                <w:szCs w:val="22"/>
                <w:lang w:eastAsia="en-US"/>
              </w:rPr>
              <w:t>8</w:t>
            </w:r>
          </w:p>
        </w:tc>
        <w:tc>
          <w:tcPr>
            <w:tcW w:w="3824" w:type="dxa"/>
            <w:tcBorders>
              <w:top w:val="single" w:sz="4" w:space="0" w:color="auto"/>
              <w:left w:val="single" w:sz="4" w:space="0" w:color="auto"/>
              <w:bottom w:val="single" w:sz="4" w:space="0" w:color="auto"/>
              <w:right w:val="single" w:sz="4" w:space="0" w:color="auto"/>
            </w:tcBorders>
            <w:vAlign w:val="center"/>
            <w:hideMark/>
          </w:tcPr>
          <w:p w:rsidR="005727C2" w:rsidRDefault="005727C2">
            <w:pPr>
              <w:autoSpaceDE w:val="0"/>
              <w:autoSpaceDN w:val="0"/>
              <w:adjustRightInd w:val="0"/>
              <w:spacing w:after="0" w:line="240" w:lineRule="auto"/>
              <w:rPr>
                <w:lang w:eastAsia="en-US"/>
              </w:rPr>
            </w:pPr>
            <w:r>
              <w:rPr>
                <w:sz w:val="22"/>
                <w:szCs w:val="22"/>
                <w:lang w:eastAsia="en-US"/>
              </w:rPr>
              <w:t>Доля правонарушений, выявленных по итогам проведения внеплановых проверок (в процентах от общего числа правонарушений, выявленных по итогам проверок)</w:t>
            </w:r>
          </w:p>
        </w:tc>
        <w:tc>
          <w:tcPr>
            <w:tcW w:w="1279" w:type="dxa"/>
            <w:tcBorders>
              <w:top w:val="single" w:sz="4" w:space="0" w:color="auto"/>
              <w:left w:val="single" w:sz="4" w:space="0" w:color="auto"/>
              <w:bottom w:val="single" w:sz="4" w:space="0" w:color="auto"/>
              <w:right w:val="single" w:sz="4" w:space="0" w:color="auto"/>
            </w:tcBorders>
            <w:vAlign w:val="center"/>
            <w:hideMark/>
          </w:tcPr>
          <w:p w:rsidR="005727C2" w:rsidRDefault="005727C2">
            <w:pPr>
              <w:autoSpaceDE w:val="0"/>
              <w:autoSpaceDN w:val="0"/>
              <w:adjustRightInd w:val="0"/>
              <w:spacing w:after="0" w:line="240" w:lineRule="auto"/>
              <w:jc w:val="center"/>
              <w:rPr>
                <w:lang w:eastAsia="en-US"/>
              </w:rPr>
            </w:pPr>
            <w:r>
              <w:rPr>
                <w:sz w:val="22"/>
                <w:szCs w:val="22"/>
                <w:lang w:eastAsia="en-US"/>
              </w:rPr>
              <w:t>15,38</w:t>
            </w:r>
          </w:p>
        </w:tc>
        <w:tc>
          <w:tcPr>
            <w:tcW w:w="1274" w:type="dxa"/>
            <w:tcBorders>
              <w:top w:val="single" w:sz="4" w:space="0" w:color="auto"/>
              <w:left w:val="single" w:sz="4" w:space="0" w:color="auto"/>
              <w:bottom w:val="single" w:sz="4" w:space="0" w:color="auto"/>
              <w:right w:val="single" w:sz="4" w:space="0" w:color="auto"/>
            </w:tcBorders>
            <w:vAlign w:val="center"/>
            <w:hideMark/>
          </w:tcPr>
          <w:p w:rsidR="005727C2" w:rsidRDefault="005727C2">
            <w:pPr>
              <w:autoSpaceDE w:val="0"/>
              <w:autoSpaceDN w:val="0"/>
              <w:adjustRightInd w:val="0"/>
              <w:spacing w:after="0" w:line="240" w:lineRule="auto"/>
              <w:jc w:val="center"/>
              <w:rPr>
                <w:lang w:eastAsia="en-US"/>
              </w:rPr>
            </w:pPr>
            <w:r>
              <w:rPr>
                <w:sz w:val="22"/>
                <w:szCs w:val="22"/>
                <w:lang w:eastAsia="en-US"/>
              </w:rPr>
              <w:t>75,00</w:t>
            </w:r>
          </w:p>
        </w:tc>
        <w:tc>
          <w:tcPr>
            <w:tcW w:w="710" w:type="dxa"/>
            <w:tcBorders>
              <w:top w:val="single" w:sz="4" w:space="0" w:color="auto"/>
              <w:left w:val="single" w:sz="4" w:space="0" w:color="auto"/>
              <w:bottom w:val="single" w:sz="4" w:space="0" w:color="auto"/>
              <w:right w:val="single" w:sz="4" w:space="0" w:color="auto"/>
            </w:tcBorders>
            <w:vAlign w:val="center"/>
            <w:hideMark/>
          </w:tcPr>
          <w:p w:rsidR="005727C2" w:rsidRDefault="005727C2">
            <w:pPr>
              <w:autoSpaceDE w:val="0"/>
              <w:autoSpaceDN w:val="0"/>
              <w:adjustRightInd w:val="0"/>
              <w:spacing w:after="0" w:line="240" w:lineRule="auto"/>
              <w:jc w:val="center"/>
              <w:rPr>
                <w:lang w:eastAsia="en-US"/>
              </w:rPr>
            </w:pPr>
            <w:r>
              <w:rPr>
                <w:sz w:val="22"/>
                <w:szCs w:val="22"/>
                <w:lang w:eastAsia="en-US"/>
              </w:rPr>
              <w:t>29,41</w:t>
            </w:r>
          </w:p>
        </w:tc>
        <w:tc>
          <w:tcPr>
            <w:tcW w:w="709" w:type="dxa"/>
            <w:tcBorders>
              <w:top w:val="single" w:sz="4" w:space="0" w:color="auto"/>
              <w:left w:val="single" w:sz="4" w:space="0" w:color="auto"/>
              <w:bottom w:val="single" w:sz="4" w:space="0" w:color="auto"/>
              <w:right w:val="single" w:sz="4" w:space="0" w:color="auto"/>
            </w:tcBorders>
            <w:vAlign w:val="center"/>
            <w:hideMark/>
          </w:tcPr>
          <w:p w:rsidR="005727C2" w:rsidRDefault="005727C2">
            <w:pPr>
              <w:autoSpaceDE w:val="0"/>
              <w:autoSpaceDN w:val="0"/>
              <w:adjustRightInd w:val="0"/>
              <w:spacing w:after="0" w:line="240" w:lineRule="auto"/>
              <w:jc w:val="center"/>
              <w:rPr>
                <w:lang w:eastAsia="en-US"/>
              </w:rPr>
            </w:pPr>
            <w:r>
              <w:rPr>
                <w:sz w:val="22"/>
                <w:szCs w:val="22"/>
                <w:lang w:eastAsia="en-US"/>
              </w:rPr>
              <w:t>18,75</w:t>
            </w:r>
          </w:p>
        </w:tc>
        <w:tc>
          <w:tcPr>
            <w:tcW w:w="851" w:type="dxa"/>
            <w:tcBorders>
              <w:top w:val="single" w:sz="4" w:space="0" w:color="auto"/>
              <w:left w:val="single" w:sz="4" w:space="0" w:color="auto"/>
              <w:bottom w:val="single" w:sz="4" w:space="0" w:color="auto"/>
              <w:right w:val="single" w:sz="4" w:space="0" w:color="auto"/>
            </w:tcBorders>
            <w:vAlign w:val="center"/>
            <w:hideMark/>
          </w:tcPr>
          <w:p w:rsidR="005727C2" w:rsidRDefault="005727C2">
            <w:pPr>
              <w:autoSpaceDE w:val="0"/>
              <w:autoSpaceDN w:val="0"/>
              <w:adjustRightInd w:val="0"/>
              <w:spacing w:after="0" w:line="240" w:lineRule="auto"/>
              <w:jc w:val="center"/>
              <w:rPr>
                <w:lang w:eastAsia="en-US"/>
              </w:rPr>
            </w:pPr>
            <w:r>
              <w:rPr>
                <w:sz w:val="22"/>
                <w:szCs w:val="22"/>
                <w:lang w:eastAsia="en-US"/>
              </w:rPr>
              <w:t>+10,66</w:t>
            </w:r>
          </w:p>
        </w:tc>
      </w:tr>
      <w:tr w:rsidR="005727C2" w:rsidTr="00533808">
        <w:trPr>
          <w:trHeight w:val="31"/>
        </w:trPr>
        <w:tc>
          <w:tcPr>
            <w:tcW w:w="534" w:type="dxa"/>
            <w:tcBorders>
              <w:top w:val="single" w:sz="4" w:space="0" w:color="auto"/>
              <w:left w:val="single" w:sz="4" w:space="0" w:color="auto"/>
              <w:bottom w:val="single" w:sz="4" w:space="0" w:color="auto"/>
              <w:right w:val="single" w:sz="4" w:space="0" w:color="auto"/>
            </w:tcBorders>
            <w:vAlign w:val="center"/>
            <w:hideMark/>
          </w:tcPr>
          <w:p w:rsidR="005727C2" w:rsidRDefault="005727C2">
            <w:pPr>
              <w:autoSpaceDE w:val="0"/>
              <w:autoSpaceDN w:val="0"/>
              <w:adjustRightInd w:val="0"/>
              <w:spacing w:after="0" w:line="240" w:lineRule="auto"/>
              <w:jc w:val="center"/>
              <w:rPr>
                <w:lang w:eastAsia="en-US"/>
              </w:rPr>
            </w:pPr>
            <w:r>
              <w:rPr>
                <w:sz w:val="22"/>
                <w:szCs w:val="22"/>
                <w:lang w:eastAsia="en-US"/>
              </w:rPr>
              <w:t>9</w:t>
            </w:r>
          </w:p>
        </w:tc>
        <w:tc>
          <w:tcPr>
            <w:tcW w:w="3824" w:type="dxa"/>
            <w:tcBorders>
              <w:top w:val="single" w:sz="4" w:space="0" w:color="auto"/>
              <w:left w:val="single" w:sz="4" w:space="0" w:color="auto"/>
              <w:bottom w:val="single" w:sz="4" w:space="0" w:color="auto"/>
              <w:right w:val="single" w:sz="4" w:space="0" w:color="auto"/>
            </w:tcBorders>
            <w:vAlign w:val="center"/>
            <w:hideMark/>
          </w:tcPr>
          <w:p w:rsidR="005727C2" w:rsidRDefault="005727C2">
            <w:pPr>
              <w:autoSpaceDE w:val="0"/>
              <w:autoSpaceDN w:val="0"/>
              <w:adjustRightInd w:val="0"/>
              <w:spacing w:after="0" w:line="240" w:lineRule="auto"/>
              <w:rPr>
                <w:lang w:eastAsia="en-US"/>
              </w:rPr>
            </w:pPr>
            <w:r>
              <w:rPr>
                <w:sz w:val="22"/>
                <w:szCs w:val="22"/>
                <w:lang w:eastAsia="en-US"/>
              </w:rPr>
              <w:t>Доля внеплановых проверок, проведенных по фактам нарушений, с которыми связано возникновение угрозы причинения вреда жизни и здоровью граждан, вреда животным, растениям, окружающей среде, объектам культурного наследия (памятникам истории и культуры) народов Российской Федерации, имуществу физических и юридических лиц, безопасности государства, а также угрозы чрезвычайных ситуаций природного и техногенного характера, с целью предотвращения угрозы причинения такого вреда (в процентах от общего количества проведенных внеплановых проверок)</w:t>
            </w:r>
          </w:p>
        </w:tc>
        <w:tc>
          <w:tcPr>
            <w:tcW w:w="1279" w:type="dxa"/>
            <w:tcBorders>
              <w:top w:val="single" w:sz="4" w:space="0" w:color="auto"/>
              <w:left w:val="single" w:sz="4" w:space="0" w:color="auto"/>
              <w:bottom w:val="single" w:sz="4" w:space="0" w:color="auto"/>
              <w:right w:val="single" w:sz="4" w:space="0" w:color="auto"/>
            </w:tcBorders>
            <w:vAlign w:val="center"/>
            <w:hideMark/>
          </w:tcPr>
          <w:p w:rsidR="005727C2" w:rsidRDefault="005727C2">
            <w:pPr>
              <w:autoSpaceDE w:val="0"/>
              <w:autoSpaceDN w:val="0"/>
              <w:adjustRightInd w:val="0"/>
              <w:spacing w:after="0" w:line="240" w:lineRule="auto"/>
              <w:jc w:val="center"/>
              <w:rPr>
                <w:lang w:eastAsia="en-US"/>
              </w:rPr>
            </w:pPr>
            <w:r>
              <w:rPr>
                <w:sz w:val="22"/>
                <w:szCs w:val="22"/>
                <w:lang w:eastAsia="en-US"/>
              </w:rPr>
              <w:t>0</w:t>
            </w:r>
          </w:p>
        </w:tc>
        <w:tc>
          <w:tcPr>
            <w:tcW w:w="1274" w:type="dxa"/>
            <w:tcBorders>
              <w:top w:val="single" w:sz="4" w:space="0" w:color="auto"/>
              <w:left w:val="single" w:sz="4" w:space="0" w:color="auto"/>
              <w:bottom w:val="single" w:sz="4" w:space="0" w:color="auto"/>
              <w:right w:val="single" w:sz="4" w:space="0" w:color="auto"/>
            </w:tcBorders>
            <w:vAlign w:val="center"/>
            <w:hideMark/>
          </w:tcPr>
          <w:p w:rsidR="005727C2" w:rsidRDefault="005727C2">
            <w:pPr>
              <w:autoSpaceDE w:val="0"/>
              <w:autoSpaceDN w:val="0"/>
              <w:adjustRightInd w:val="0"/>
              <w:spacing w:after="0" w:line="240" w:lineRule="auto"/>
              <w:jc w:val="center"/>
              <w:rPr>
                <w:lang w:eastAsia="en-US"/>
              </w:rPr>
            </w:pPr>
            <w:r>
              <w:rPr>
                <w:sz w:val="22"/>
                <w:szCs w:val="22"/>
                <w:lang w:eastAsia="en-US"/>
              </w:rPr>
              <w:t>0</w:t>
            </w:r>
          </w:p>
        </w:tc>
        <w:tc>
          <w:tcPr>
            <w:tcW w:w="710" w:type="dxa"/>
            <w:tcBorders>
              <w:top w:val="single" w:sz="4" w:space="0" w:color="auto"/>
              <w:left w:val="single" w:sz="4" w:space="0" w:color="auto"/>
              <w:bottom w:val="single" w:sz="4" w:space="0" w:color="auto"/>
              <w:right w:val="single" w:sz="4" w:space="0" w:color="auto"/>
            </w:tcBorders>
            <w:vAlign w:val="center"/>
            <w:hideMark/>
          </w:tcPr>
          <w:p w:rsidR="005727C2" w:rsidRDefault="005727C2">
            <w:pPr>
              <w:autoSpaceDE w:val="0"/>
              <w:autoSpaceDN w:val="0"/>
              <w:adjustRightInd w:val="0"/>
              <w:spacing w:after="0" w:line="240" w:lineRule="auto"/>
              <w:jc w:val="center"/>
              <w:rPr>
                <w:lang w:eastAsia="en-US"/>
              </w:rPr>
            </w:pPr>
            <w:r>
              <w:rPr>
                <w:sz w:val="22"/>
                <w:szCs w:val="22"/>
                <w:lang w:eastAsia="en-US"/>
              </w:rPr>
              <w:t>0</w:t>
            </w:r>
          </w:p>
        </w:tc>
        <w:tc>
          <w:tcPr>
            <w:tcW w:w="709" w:type="dxa"/>
            <w:tcBorders>
              <w:top w:val="single" w:sz="4" w:space="0" w:color="auto"/>
              <w:left w:val="single" w:sz="4" w:space="0" w:color="auto"/>
              <w:bottom w:val="single" w:sz="4" w:space="0" w:color="auto"/>
              <w:right w:val="single" w:sz="4" w:space="0" w:color="auto"/>
            </w:tcBorders>
            <w:vAlign w:val="center"/>
            <w:hideMark/>
          </w:tcPr>
          <w:p w:rsidR="005727C2" w:rsidRDefault="005727C2">
            <w:pPr>
              <w:autoSpaceDE w:val="0"/>
              <w:autoSpaceDN w:val="0"/>
              <w:adjustRightInd w:val="0"/>
              <w:spacing w:after="0" w:line="240" w:lineRule="auto"/>
              <w:jc w:val="center"/>
              <w:rPr>
                <w:lang w:eastAsia="en-US"/>
              </w:rPr>
            </w:pPr>
            <w:r>
              <w:rPr>
                <w:sz w:val="22"/>
                <w:szCs w:val="22"/>
                <w:lang w:eastAsia="en-US"/>
              </w:rPr>
              <w:t>0</w:t>
            </w:r>
          </w:p>
        </w:tc>
        <w:tc>
          <w:tcPr>
            <w:tcW w:w="851" w:type="dxa"/>
            <w:tcBorders>
              <w:top w:val="single" w:sz="4" w:space="0" w:color="auto"/>
              <w:left w:val="single" w:sz="4" w:space="0" w:color="auto"/>
              <w:bottom w:val="single" w:sz="4" w:space="0" w:color="auto"/>
              <w:right w:val="single" w:sz="4" w:space="0" w:color="auto"/>
            </w:tcBorders>
            <w:vAlign w:val="center"/>
            <w:hideMark/>
          </w:tcPr>
          <w:p w:rsidR="005727C2" w:rsidRDefault="005727C2">
            <w:pPr>
              <w:autoSpaceDE w:val="0"/>
              <w:autoSpaceDN w:val="0"/>
              <w:adjustRightInd w:val="0"/>
              <w:spacing w:after="0" w:line="240" w:lineRule="auto"/>
              <w:jc w:val="center"/>
              <w:rPr>
                <w:lang w:eastAsia="en-US"/>
              </w:rPr>
            </w:pPr>
            <w:r>
              <w:rPr>
                <w:sz w:val="22"/>
                <w:szCs w:val="22"/>
                <w:lang w:eastAsia="en-US"/>
              </w:rPr>
              <w:t>0</w:t>
            </w:r>
          </w:p>
        </w:tc>
      </w:tr>
      <w:tr w:rsidR="005727C2" w:rsidTr="00533808">
        <w:trPr>
          <w:trHeight w:val="31"/>
        </w:trPr>
        <w:tc>
          <w:tcPr>
            <w:tcW w:w="534" w:type="dxa"/>
            <w:tcBorders>
              <w:top w:val="single" w:sz="4" w:space="0" w:color="auto"/>
              <w:left w:val="single" w:sz="4" w:space="0" w:color="auto"/>
              <w:bottom w:val="single" w:sz="4" w:space="0" w:color="auto"/>
              <w:right w:val="single" w:sz="4" w:space="0" w:color="auto"/>
            </w:tcBorders>
            <w:vAlign w:val="center"/>
            <w:hideMark/>
          </w:tcPr>
          <w:p w:rsidR="005727C2" w:rsidRDefault="005727C2">
            <w:pPr>
              <w:autoSpaceDE w:val="0"/>
              <w:autoSpaceDN w:val="0"/>
              <w:adjustRightInd w:val="0"/>
              <w:spacing w:after="0" w:line="240" w:lineRule="auto"/>
              <w:jc w:val="center"/>
              <w:rPr>
                <w:lang w:eastAsia="en-US"/>
              </w:rPr>
            </w:pPr>
            <w:r>
              <w:rPr>
                <w:sz w:val="22"/>
                <w:szCs w:val="22"/>
                <w:lang w:eastAsia="en-US"/>
              </w:rPr>
              <w:t>10</w:t>
            </w:r>
          </w:p>
        </w:tc>
        <w:tc>
          <w:tcPr>
            <w:tcW w:w="3824" w:type="dxa"/>
            <w:tcBorders>
              <w:top w:val="single" w:sz="4" w:space="0" w:color="auto"/>
              <w:left w:val="single" w:sz="4" w:space="0" w:color="auto"/>
              <w:bottom w:val="single" w:sz="4" w:space="0" w:color="auto"/>
              <w:right w:val="single" w:sz="4" w:space="0" w:color="auto"/>
            </w:tcBorders>
            <w:vAlign w:val="center"/>
            <w:hideMark/>
          </w:tcPr>
          <w:p w:rsidR="005727C2" w:rsidRDefault="005727C2">
            <w:pPr>
              <w:autoSpaceDE w:val="0"/>
              <w:autoSpaceDN w:val="0"/>
              <w:adjustRightInd w:val="0"/>
              <w:spacing w:after="0" w:line="240" w:lineRule="auto"/>
              <w:rPr>
                <w:lang w:eastAsia="en-US"/>
              </w:rPr>
            </w:pPr>
            <w:r>
              <w:rPr>
                <w:sz w:val="22"/>
                <w:szCs w:val="22"/>
                <w:lang w:eastAsia="en-US"/>
              </w:rPr>
              <w:t xml:space="preserve">Доля внеплановых проверок, проведенных по фактам нарушений обязательных требований, с которыми связано причинение вреда </w:t>
            </w:r>
            <w:r>
              <w:rPr>
                <w:sz w:val="22"/>
                <w:szCs w:val="22"/>
                <w:lang w:eastAsia="en-US"/>
              </w:rPr>
              <w:lastRenderedPageBreak/>
              <w:t>жизни и здоровью граждан, вреда животным, растениям, окружающей среде, объектам культурного наследия (памятникам истории и культуры) народов Российской Федерации, имуществу физических и юридических лиц, безопасности государства, а также возникновение чрезвычайных ситуаций природного и техногенного характера, с целью прекращения дальнейшего причинения вреда и ликвидации последствий таких нарушений (в процентах от общего количества проведенных внеплановых проверок)</w:t>
            </w:r>
          </w:p>
        </w:tc>
        <w:tc>
          <w:tcPr>
            <w:tcW w:w="1279" w:type="dxa"/>
            <w:tcBorders>
              <w:top w:val="single" w:sz="4" w:space="0" w:color="auto"/>
              <w:left w:val="single" w:sz="4" w:space="0" w:color="auto"/>
              <w:bottom w:val="single" w:sz="4" w:space="0" w:color="auto"/>
              <w:right w:val="single" w:sz="4" w:space="0" w:color="auto"/>
            </w:tcBorders>
            <w:vAlign w:val="center"/>
            <w:hideMark/>
          </w:tcPr>
          <w:p w:rsidR="005727C2" w:rsidRDefault="005727C2">
            <w:pPr>
              <w:autoSpaceDE w:val="0"/>
              <w:autoSpaceDN w:val="0"/>
              <w:adjustRightInd w:val="0"/>
              <w:spacing w:after="0" w:line="240" w:lineRule="auto"/>
              <w:jc w:val="center"/>
              <w:rPr>
                <w:lang w:eastAsia="en-US"/>
              </w:rPr>
            </w:pPr>
            <w:r>
              <w:rPr>
                <w:sz w:val="22"/>
                <w:szCs w:val="22"/>
                <w:lang w:eastAsia="en-US"/>
              </w:rPr>
              <w:lastRenderedPageBreak/>
              <w:t>0</w:t>
            </w:r>
          </w:p>
        </w:tc>
        <w:tc>
          <w:tcPr>
            <w:tcW w:w="1274" w:type="dxa"/>
            <w:tcBorders>
              <w:top w:val="single" w:sz="4" w:space="0" w:color="auto"/>
              <w:left w:val="single" w:sz="4" w:space="0" w:color="auto"/>
              <w:bottom w:val="single" w:sz="4" w:space="0" w:color="auto"/>
              <w:right w:val="single" w:sz="4" w:space="0" w:color="auto"/>
            </w:tcBorders>
            <w:vAlign w:val="center"/>
            <w:hideMark/>
          </w:tcPr>
          <w:p w:rsidR="005727C2" w:rsidRDefault="005727C2">
            <w:pPr>
              <w:autoSpaceDE w:val="0"/>
              <w:autoSpaceDN w:val="0"/>
              <w:adjustRightInd w:val="0"/>
              <w:spacing w:after="0" w:line="240" w:lineRule="auto"/>
              <w:jc w:val="center"/>
              <w:rPr>
                <w:lang w:eastAsia="en-US"/>
              </w:rPr>
            </w:pPr>
            <w:r>
              <w:rPr>
                <w:sz w:val="22"/>
                <w:szCs w:val="22"/>
                <w:lang w:eastAsia="en-US"/>
              </w:rPr>
              <w:t>0</w:t>
            </w:r>
          </w:p>
        </w:tc>
        <w:tc>
          <w:tcPr>
            <w:tcW w:w="710" w:type="dxa"/>
            <w:tcBorders>
              <w:top w:val="single" w:sz="4" w:space="0" w:color="auto"/>
              <w:left w:val="single" w:sz="4" w:space="0" w:color="auto"/>
              <w:bottom w:val="single" w:sz="4" w:space="0" w:color="auto"/>
              <w:right w:val="single" w:sz="4" w:space="0" w:color="auto"/>
            </w:tcBorders>
            <w:vAlign w:val="center"/>
            <w:hideMark/>
          </w:tcPr>
          <w:p w:rsidR="005727C2" w:rsidRDefault="005727C2">
            <w:pPr>
              <w:autoSpaceDE w:val="0"/>
              <w:autoSpaceDN w:val="0"/>
              <w:adjustRightInd w:val="0"/>
              <w:spacing w:after="0" w:line="240" w:lineRule="auto"/>
              <w:jc w:val="center"/>
              <w:rPr>
                <w:lang w:eastAsia="en-US"/>
              </w:rPr>
            </w:pPr>
            <w:r>
              <w:rPr>
                <w:sz w:val="22"/>
                <w:szCs w:val="22"/>
                <w:lang w:eastAsia="en-US"/>
              </w:rPr>
              <w:t>0</w:t>
            </w:r>
          </w:p>
        </w:tc>
        <w:tc>
          <w:tcPr>
            <w:tcW w:w="709" w:type="dxa"/>
            <w:tcBorders>
              <w:top w:val="single" w:sz="4" w:space="0" w:color="auto"/>
              <w:left w:val="single" w:sz="4" w:space="0" w:color="auto"/>
              <w:bottom w:val="single" w:sz="4" w:space="0" w:color="auto"/>
              <w:right w:val="single" w:sz="4" w:space="0" w:color="auto"/>
            </w:tcBorders>
            <w:vAlign w:val="center"/>
            <w:hideMark/>
          </w:tcPr>
          <w:p w:rsidR="005727C2" w:rsidRDefault="005727C2">
            <w:pPr>
              <w:autoSpaceDE w:val="0"/>
              <w:autoSpaceDN w:val="0"/>
              <w:adjustRightInd w:val="0"/>
              <w:spacing w:after="0" w:line="240" w:lineRule="auto"/>
              <w:jc w:val="center"/>
              <w:rPr>
                <w:lang w:eastAsia="en-US"/>
              </w:rPr>
            </w:pPr>
            <w:r>
              <w:rPr>
                <w:sz w:val="22"/>
                <w:szCs w:val="22"/>
                <w:lang w:eastAsia="en-US"/>
              </w:rPr>
              <w:t>0</w:t>
            </w:r>
          </w:p>
        </w:tc>
        <w:tc>
          <w:tcPr>
            <w:tcW w:w="851" w:type="dxa"/>
            <w:tcBorders>
              <w:top w:val="single" w:sz="4" w:space="0" w:color="auto"/>
              <w:left w:val="single" w:sz="4" w:space="0" w:color="auto"/>
              <w:bottom w:val="single" w:sz="4" w:space="0" w:color="auto"/>
              <w:right w:val="single" w:sz="4" w:space="0" w:color="auto"/>
            </w:tcBorders>
            <w:vAlign w:val="center"/>
            <w:hideMark/>
          </w:tcPr>
          <w:p w:rsidR="005727C2" w:rsidRDefault="005727C2">
            <w:pPr>
              <w:autoSpaceDE w:val="0"/>
              <w:autoSpaceDN w:val="0"/>
              <w:adjustRightInd w:val="0"/>
              <w:spacing w:after="0" w:line="240" w:lineRule="auto"/>
              <w:jc w:val="center"/>
              <w:rPr>
                <w:lang w:eastAsia="en-US"/>
              </w:rPr>
            </w:pPr>
            <w:r>
              <w:rPr>
                <w:sz w:val="22"/>
                <w:szCs w:val="22"/>
                <w:lang w:eastAsia="en-US"/>
              </w:rPr>
              <w:t>0</w:t>
            </w:r>
          </w:p>
        </w:tc>
      </w:tr>
      <w:tr w:rsidR="005727C2" w:rsidTr="00533808">
        <w:trPr>
          <w:trHeight w:val="308"/>
        </w:trPr>
        <w:tc>
          <w:tcPr>
            <w:tcW w:w="534" w:type="dxa"/>
            <w:tcBorders>
              <w:top w:val="single" w:sz="4" w:space="0" w:color="auto"/>
              <w:left w:val="single" w:sz="4" w:space="0" w:color="auto"/>
              <w:bottom w:val="single" w:sz="4" w:space="0" w:color="auto"/>
              <w:right w:val="single" w:sz="4" w:space="0" w:color="auto"/>
            </w:tcBorders>
            <w:vAlign w:val="center"/>
            <w:hideMark/>
          </w:tcPr>
          <w:p w:rsidR="005727C2" w:rsidRDefault="005727C2">
            <w:pPr>
              <w:autoSpaceDE w:val="0"/>
              <w:autoSpaceDN w:val="0"/>
              <w:adjustRightInd w:val="0"/>
              <w:spacing w:after="0" w:line="240" w:lineRule="auto"/>
              <w:jc w:val="center"/>
              <w:rPr>
                <w:lang w:eastAsia="en-US"/>
              </w:rPr>
            </w:pPr>
            <w:r>
              <w:rPr>
                <w:sz w:val="22"/>
                <w:szCs w:val="22"/>
                <w:lang w:eastAsia="en-US"/>
              </w:rPr>
              <w:lastRenderedPageBreak/>
              <w:t>11</w:t>
            </w:r>
          </w:p>
        </w:tc>
        <w:tc>
          <w:tcPr>
            <w:tcW w:w="3824" w:type="dxa"/>
            <w:tcBorders>
              <w:top w:val="single" w:sz="4" w:space="0" w:color="auto"/>
              <w:left w:val="single" w:sz="4" w:space="0" w:color="auto"/>
              <w:bottom w:val="single" w:sz="4" w:space="0" w:color="auto"/>
              <w:right w:val="single" w:sz="4" w:space="0" w:color="auto"/>
            </w:tcBorders>
            <w:vAlign w:val="center"/>
            <w:hideMark/>
          </w:tcPr>
          <w:p w:rsidR="005727C2" w:rsidRDefault="005727C2">
            <w:pPr>
              <w:autoSpaceDE w:val="0"/>
              <w:autoSpaceDN w:val="0"/>
              <w:adjustRightInd w:val="0"/>
              <w:spacing w:after="0" w:line="240" w:lineRule="auto"/>
              <w:rPr>
                <w:bCs/>
                <w:lang w:eastAsia="en-US"/>
              </w:rPr>
            </w:pPr>
            <w:r>
              <w:rPr>
                <w:bCs/>
                <w:sz w:val="22"/>
                <w:szCs w:val="22"/>
                <w:lang w:eastAsia="en-US"/>
              </w:rPr>
              <w:t>Доля проверок, по итогам которых выявлены правонарушения (в процентах от общего числа проведенных плановых и внеплановых проверок)</w:t>
            </w:r>
          </w:p>
        </w:tc>
        <w:tc>
          <w:tcPr>
            <w:tcW w:w="1279" w:type="dxa"/>
            <w:tcBorders>
              <w:top w:val="single" w:sz="4" w:space="0" w:color="auto"/>
              <w:left w:val="single" w:sz="4" w:space="0" w:color="auto"/>
              <w:bottom w:val="single" w:sz="4" w:space="0" w:color="auto"/>
              <w:right w:val="single" w:sz="4" w:space="0" w:color="auto"/>
            </w:tcBorders>
            <w:vAlign w:val="center"/>
            <w:hideMark/>
          </w:tcPr>
          <w:p w:rsidR="005727C2" w:rsidRDefault="005727C2">
            <w:pPr>
              <w:autoSpaceDE w:val="0"/>
              <w:autoSpaceDN w:val="0"/>
              <w:adjustRightInd w:val="0"/>
              <w:spacing w:after="0" w:line="240" w:lineRule="auto"/>
              <w:jc w:val="center"/>
              <w:rPr>
                <w:lang w:eastAsia="en-US"/>
              </w:rPr>
            </w:pPr>
            <w:r>
              <w:rPr>
                <w:sz w:val="22"/>
                <w:szCs w:val="22"/>
                <w:lang w:eastAsia="en-US"/>
              </w:rPr>
              <w:t>57,14</w:t>
            </w:r>
          </w:p>
        </w:tc>
        <w:tc>
          <w:tcPr>
            <w:tcW w:w="1274" w:type="dxa"/>
            <w:tcBorders>
              <w:top w:val="single" w:sz="4" w:space="0" w:color="auto"/>
              <w:left w:val="single" w:sz="4" w:space="0" w:color="auto"/>
              <w:bottom w:val="single" w:sz="4" w:space="0" w:color="auto"/>
              <w:right w:val="single" w:sz="4" w:space="0" w:color="auto"/>
            </w:tcBorders>
            <w:vAlign w:val="center"/>
            <w:hideMark/>
          </w:tcPr>
          <w:p w:rsidR="005727C2" w:rsidRDefault="005727C2">
            <w:pPr>
              <w:autoSpaceDE w:val="0"/>
              <w:autoSpaceDN w:val="0"/>
              <w:adjustRightInd w:val="0"/>
              <w:spacing w:after="0" w:line="240" w:lineRule="auto"/>
              <w:jc w:val="center"/>
              <w:rPr>
                <w:lang w:eastAsia="en-US"/>
              </w:rPr>
            </w:pPr>
            <w:r>
              <w:rPr>
                <w:sz w:val="22"/>
                <w:szCs w:val="22"/>
                <w:lang w:eastAsia="en-US"/>
              </w:rPr>
              <w:t>44,44</w:t>
            </w:r>
          </w:p>
        </w:tc>
        <w:tc>
          <w:tcPr>
            <w:tcW w:w="710" w:type="dxa"/>
            <w:tcBorders>
              <w:top w:val="single" w:sz="4" w:space="0" w:color="auto"/>
              <w:left w:val="single" w:sz="4" w:space="0" w:color="auto"/>
              <w:bottom w:val="single" w:sz="4" w:space="0" w:color="auto"/>
              <w:right w:val="single" w:sz="4" w:space="0" w:color="auto"/>
            </w:tcBorders>
            <w:vAlign w:val="center"/>
            <w:hideMark/>
          </w:tcPr>
          <w:p w:rsidR="005727C2" w:rsidRDefault="005727C2">
            <w:pPr>
              <w:autoSpaceDE w:val="0"/>
              <w:autoSpaceDN w:val="0"/>
              <w:adjustRightInd w:val="0"/>
              <w:spacing w:after="0" w:line="240" w:lineRule="auto"/>
              <w:jc w:val="center"/>
              <w:rPr>
                <w:lang w:eastAsia="en-US"/>
              </w:rPr>
            </w:pPr>
            <w:r>
              <w:rPr>
                <w:sz w:val="22"/>
                <w:szCs w:val="22"/>
                <w:lang w:eastAsia="en-US"/>
              </w:rPr>
              <w:t>52,17</w:t>
            </w:r>
          </w:p>
        </w:tc>
        <w:tc>
          <w:tcPr>
            <w:tcW w:w="709" w:type="dxa"/>
            <w:tcBorders>
              <w:top w:val="single" w:sz="4" w:space="0" w:color="auto"/>
              <w:left w:val="single" w:sz="4" w:space="0" w:color="auto"/>
              <w:bottom w:val="single" w:sz="4" w:space="0" w:color="auto"/>
              <w:right w:val="single" w:sz="4" w:space="0" w:color="auto"/>
            </w:tcBorders>
            <w:vAlign w:val="center"/>
            <w:hideMark/>
          </w:tcPr>
          <w:p w:rsidR="005727C2" w:rsidRDefault="005727C2">
            <w:pPr>
              <w:autoSpaceDE w:val="0"/>
              <w:autoSpaceDN w:val="0"/>
              <w:adjustRightInd w:val="0"/>
              <w:spacing w:after="0" w:line="240" w:lineRule="auto"/>
              <w:jc w:val="center"/>
              <w:rPr>
                <w:lang w:eastAsia="en-US"/>
              </w:rPr>
            </w:pPr>
            <w:r>
              <w:rPr>
                <w:sz w:val="22"/>
                <w:szCs w:val="22"/>
                <w:lang w:eastAsia="en-US"/>
              </w:rPr>
              <w:t>35,29</w:t>
            </w:r>
          </w:p>
        </w:tc>
        <w:tc>
          <w:tcPr>
            <w:tcW w:w="851" w:type="dxa"/>
            <w:tcBorders>
              <w:top w:val="single" w:sz="4" w:space="0" w:color="auto"/>
              <w:left w:val="single" w:sz="4" w:space="0" w:color="auto"/>
              <w:bottom w:val="single" w:sz="4" w:space="0" w:color="auto"/>
              <w:right w:val="single" w:sz="4" w:space="0" w:color="auto"/>
            </w:tcBorders>
            <w:vAlign w:val="center"/>
            <w:hideMark/>
          </w:tcPr>
          <w:p w:rsidR="005727C2" w:rsidRDefault="005727C2">
            <w:pPr>
              <w:autoSpaceDE w:val="0"/>
              <w:autoSpaceDN w:val="0"/>
              <w:adjustRightInd w:val="0"/>
              <w:spacing w:after="0" w:line="240" w:lineRule="auto"/>
              <w:jc w:val="center"/>
              <w:rPr>
                <w:lang w:eastAsia="en-US"/>
              </w:rPr>
            </w:pPr>
            <w:r>
              <w:rPr>
                <w:sz w:val="22"/>
                <w:szCs w:val="22"/>
                <w:lang w:eastAsia="en-US"/>
              </w:rPr>
              <w:t>+16,88</w:t>
            </w:r>
          </w:p>
        </w:tc>
      </w:tr>
      <w:tr w:rsidR="005727C2" w:rsidTr="00533808">
        <w:trPr>
          <w:trHeight w:val="31"/>
        </w:trPr>
        <w:tc>
          <w:tcPr>
            <w:tcW w:w="534" w:type="dxa"/>
            <w:tcBorders>
              <w:top w:val="single" w:sz="4" w:space="0" w:color="auto"/>
              <w:left w:val="single" w:sz="4" w:space="0" w:color="auto"/>
              <w:bottom w:val="single" w:sz="4" w:space="0" w:color="auto"/>
              <w:right w:val="single" w:sz="4" w:space="0" w:color="auto"/>
            </w:tcBorders>
            <w:vAlign w:val="center"/>
            <w:hideMark/>
          </w:tcPr>
          <w:p w:rsidR="005727C2" w:rsidRDefault="005727C2">
            <w:pPr>
              <w:autoSpaceDE w:val="0"/>
              <w:autoSpaceDN w:val="0"/>
              <w:adjustRightInd w:val="0"/>
              <w:spacing w:after="0" w:line="240" w:lineRule="auto"/>
              <w:jc w:val="center"/>
              <w:rPr>
                <w:lang w:eastAsia="en-US"/>
              </w:rPr>
            </w:pPr>
            <w:r>
              <w:rPr>
                <w:sz w:val="22"/>
                <w:szCs w:val="22"/>
                <w:lang w:eastAsia="en-US"/>
              </w:rPr>
              <w:t>12</w:t>
            </w:r>
          </w:p>
        </w:tc>
        <w:tc>
          <w:tcPr>
            <w:tcW w:w="3824" w:type="dxa"/>
            <w:tcBorders>
              <w:top w:val="single" w:sz="4" w:space="0" w:color="auto"/>
              <w:left w:val="single" w:sz="4" w:space="0" w:color="auto"/>
              <w:bottom w:val="single" w:sz="4" w:space="0" w:color="auto"/>
              <w:right w:val="single" w:sz="4" w:space="0" w:color="auto"/>
            </w:tcBorders>
            <w:vAlign w:val="center"/>
            <w:hideMark/>
          </w:tcPr>
          <w:p w:rsidR="005727C2" w:rsidRDefault="005727C2">
            <w:pPr>
              <w:autoSpaceDE w:val="0"/>
              <w:autoSpaceDN w:val="0"/>
              <w:adjustRightInd w:val="0"/>
              <w:spacing w:after="0" w:line="240" w:lineRule="auto"/>
              <w:rPr>
                <w:lang w:eastAsia="en-US"/>
              </w:rPr>
            </w:pPr>
            <w:r>
              <w:rPr>
                <w:sz w:val="22"/>
                <w:szCs w:val="22"/>
                <w:lang w:eastAsia="en-US"/>
              </w:rPr>
              <w:t>Доля проверок, по итогам которых по результатам выявленных правонарушений были возбуждены дела об административных правонарушениях (в процентах от общего числа проверок, по итогам которых были выявлены правонарушения)</w:t>
            </w:r>
          </w:p>
        </w:tc>
        <w:tc>
          <w:tcPr>
            <w:tcW w:w="1279" w:type="dxa"/>
            <w:tcBorders>
              <w:top w:val="single" w:sz="4" w:space="0" w:color="auto"/>
              <w:left w:val="single" w:sz="4" w:space="0" w:color="auto"/>
              <w:bottom w:val="single" w:sz="4" w:space="0" w:color="auto"/>
              <w:right w:val="single" w:sz="4" w:space="0" w:color="auto"/>
            </w:tcBorders>
            <w:vAlign w:val="center"/>
            <w:hideMark/>
          </w:tcPr>
          <w:p w:rsidR="005727C2" w:rsidRDefault="005727C2">
            <w:pPr>
              <w:autoSpaceDE w:val="0"/>
              <w:autoSpaceDN w:val="0"/>
              <w:adjustRightInd w:val="0"/>
              <w:spacing w:after="0" w:line="240" w:lineRule="auto"/>
              <w:jc w:val="center"/>
              <w:rPr>
                <w:lang w:eastAsia="en-US"/>
              </w:rPr>
            </w:pPr>
            <w:r>
              <w:rPr>
                <w:sz w:val="22"/>
                <w:szCs w:val="22"/>
                <w:lang w:eastAsia="en-US"/>
              </w:rPr>
              <w:t>100</w:t>
            </w:r>
          </w:p>
        </w:tc>
        <w:tc>
          <w:tcPr>
            <w:tcW w:w="1274" w:type="dxa"/>
            <w:tcBorders>
              <w:top w:val="single" w:sz="4" w:space="0" w:color="auto"/>
              <w:left w:val="single" w:sz="4" w:space="0" w:color="auto"/>
              <w:bottom w:val="single" w:sz="4" w:space="0" w:color="auto"/>
              <w:right w:val="single" w:sz="4" w:space="0" w:color="auto"/>
            </w:tcBorders>
            <w:vAlign w:val="center"/>
            <w:hideMark/>
          </w:tcPr>
          <w:p w:rsidR="005727C2" w:rsidRDefault="005727C2">
            <w:pPr>
              <w:autoSpaceDE w:val="0"/>
              <w:autoSpaceDN w:val="0"/>
              <w:adjustRightInd w:val="0"/>
              <w:spacing w:after="0" w:line="240" w:lineRule="auto"/>
              <w:jc w:val="center"/>
              <w:rPr>
                <w:lang w:eastAsia="en-US"/>
              </w:rPr>
            </w:pPr>
            <w:r>
              <w:rPr>
                <w:sz w:val="22"/>
                <w:szCs w:val="22"/>
                <w:lang w:eastAsia="en-US"/>
              </w:rPr>
              <w:t>100</w:t>
            </w:r>
          </w:p>
        </w:tc>
        <w:tc>
          <w:tcPr>
            <w:tcW w:w="710" w:type="dxa"/>
            <w:tcBorders>
              <w:top w:val="single" w:sz="4" w:space="0" w:color="auto"/>
              <w:left w:val="single" w:sz="4" w:space="0" w:color="auto"/>
              <w:bottom w:val="single" w:sz="4" w:space="0" w:color="auto"/>
              <w:right w:val="single" w:sz="4" w:space="0" w:color="auto"/>
            </w:tcBorders>
            <w:vAlign w:val="center"/>
            <w:hideMark/>
          </w:tcPr>
          <w:p w:rsidR="005727C2" w:rsidRDefault="005727C2">
            <w:pPr>
              <w:autoSpaceDE w:val="0"/>
              <w:autoSpaceDN w:val="0"/>
              <w:adjustRightInd w:val="0"/>
              <w:spacing w:after="0" w:line="240" w:lineRule="auto"/>
              <w:jc w:val="center"/>
              <w:rPr>
                <w:lang w:eastAsia="en-US"/>
              </w:rPr>
            </w:pPr>
            <w:r>
              <w:rPr>
                <w:sz w:val="22"/>
                <w:szCs w:val="22"/>
                <w:lang w:eastAsia="en-US"/>
              </w:rPr>
              <w:t>100</w:t>
            </w:r>
          </w:p>
        </w:tc>
        <w:tc>
          <w:tcPr>
            <w:tcW w:w="709" w:type="dxa"/>
            <w:tcBorders>
              <w:top w:val="single" w:sz="4" w:space="0" w:color="auto"/>
              <w:left w:val="single" w:sz="4" w:space="0" w:color="auto"/>
              <w:bottom w:val="single" w:sz="4" w:space="0" w:color="auto"/>
              <w:right w:val="single" w:sz="4" w:space="0" w:color="auto"/>
            </w:tcBorders>
            <w:vAlign w:val="center"/>
            <w:hideMark/>
          </w:tcPr>
          <w:p w:rsidR="005727C2" w:rsidRDefault="005727C2">
            <w:pPr>
              <w:autoSpaceDE w:val="0"/>
              <w:autoSpaceDN w:val="0"/>
              <w:adjustRightInd w:val="0"/>
              <w:spacing w:after="0" w:line="240" w:lineRule="auto"/>
              <w:jc w:val="center"/>
              <w:rPr>
                <w:lang w:eastAsia="en-US"/>
              </w:rPr>
            </w:pPr>
            <w:r>
              <w:rPr>
                <w:sz w:val="22"/>
                <w:szCs w:val="22"/>
                <w:lang w:eastAsia="en-US"/>
              </w:rPr>
              <w:t>91,66</w:t>
            </w:r>
          </w:p>
        </w:tc>
        <w:tc>
          <w:tcPr>
            <w:tcW w:w="851" w:type="dxa"/>
            <w:tcBorders>
              <w:top w:val="single" w:sz="4" w:space="0" w:color="auto"/>
              <w:left w:val="single" w:sz="4" w:space="0" w:color="auto"/>
              <w:bottom w:val="single" w:sz="4" w:space="0" w:color="auto"/>
              <w:right w:val="single" w:sz="4" w:space="0" w:color="auto"/>
            </w:tcBorders>
            <w:vAlign w:val="center"/>
            <w:hideMark/>
          </w:tcPr>
          <w:p w:rsidR="005727C2" w:rsidRDefault="005727C2">
            <w:pPr>
              <w:autoSpaceDE w:val="0"/>
              <w:autoSpaceDN w:val="0"/>
              <w:adjustRightInd w:val="0"/>
              <w:spacing w:after="0" w:line="240" w:lineRule="auto"/>
              <w:jc w:val="center"/>
              <w:rPr>
                <w:lang w:eastAsia="en-US"/>
              </w:rPr>
            </w:pPr>
            <w:r>
              <w:rPr>
                <w:sz w:val="22"/>
                <w:szCs w:val="22"/>
                <w:lang w:eastAsia="en-US"/>
              </w:rPr>
              <w:t>+8,34</w:t>
            </w:r>
          </w:p>
        </w:tc>
      </w:tr>
      <w:tr w:rsidR="005727C2" w:rsidTr="00533808">
        <w:trPr>
          <w:trHeight w:val="31"/>
        </w:trPr>
        <w:tc>
          <w:tcPr>
            <w:tcW w:w="534" w:type="dxa"/>
            <w:tcBorders>
              <w:top w:val="single" w:sz="4" w:space="0" w:color="auto"/>
              <w:left w:val="single" w:sz="4" w:space="0" w:color="auto"/>
              <w:bottom w:val="single" w:sz="4" w:space="0" w:color="auto"/>
              <w:right w:val="single" w:sz="4" w:space="0" w:color="auto"/>
            </w:tcBorders>
            <w:vAlign w:val="center"/>
            <w:hideMark/>
          </w:tcPr>
          <w:p w:rsidR="005727C2" w:rsidRDefault="005727C2">
            <w:pPr>
              <w:autoSpaceDE w:val="0"/>
              <w:autoSpaceDN w:val="0"/>
              <w:adjustRightInd w:val="0"/>
              <w:spacing w:after="0" w:line="240" w:lineRule="auto"/>
              <w:jc w:val="center"/>
              <w:rPr>
                <w:lang w:eastAsia="en-US"/>
              </w:rPr>
            </w:pPr>
            <w:r>
              <w:rPr>
                <w:sz w:val="22"/>
                <w:szCs w:val="22"/>
                <w:lang w:eastAsia="en-US"/>
              </w:rPr>
              <w:t>13</w:t>
            </w:r>
          </w:p>
        </w:tc>
        <w:tc>
          <w:tcPr>
            <w:tcW w:w="3824" w:type="dxa"/>
            <w:tcBorders>
              <w:top w:val="single" w:sz="4" w:space="0" w:color="auto"/>
              <w:left w:val="single" w:sz="4" w:space="0" w:color="auto"/>
              <w:bottom w:val="single" w:sz="4" w:space="0" w:color="auto"/>
              <w:right w:val="single" w:sz="4" w:space="0" w:color="auto"/>
            </w:tcBorders>
            <w:vAlign w:val="center"/>
            <w:hideMark/>
          </w:tcPr>
          <w:p w:rsidR="005727C2" w:rsidRDefault="005727C2">
            <w:pPr>
              <w:autoSpaceDE w:val="0"/>
              <w:autoSpaceDN w:val="0"/>
              <w:adjustRightInd w:val="0"/>
              <w:spacing w:after="0" w:line="240" w:lineRule="auto"/>
              <w:rPr>
                <w:lang w:eastAsia="en-US"/>
              </w:rPr>
            </w:pPr>
            <w:r>
              <w:rPr>
                <w:sz w:val="22"/>
                <w:szCs w:val="22"/>
                <w:lang w:eastAsia="en-US"/>
              </w:rPr>
              <w:t>Доля проверок, по итогам которых по фактам выявленных нарушений наложены административные наказания (в процентах от общего числа проверок, по итогам которых по результатам выявленных правонарушений возбуждены дела об административных правонарушениях)</w:t>
            </w:r>
          </w:p>
        </w:tc>
        <w:tc>
          <w:tcPr>
            <w:tcW w:w="1279" w:type="dxa"/>
            <w:tcBorders>
              <w:top w:val="single" w:sz="4" w:space="0" w:color="auto"/>
              <w:left w:val="single" w:sz="4" w:space="0" w:color="auto"/>
              <w:bottom w:val="single" w:sz="4" w:space="0" w:color="auto"/>
              <w:right w:val="single" w:sz="4" w:space="0" w:color="auto"/>
            </w:tcBorders>
            <w:vAlign w:val="center"/>
            <w:hideMark/>
          </w:tcPr>
          <w:p w:rsidR="005727C2" w:rsidRDefault="005727C2">
            <w:pPr>
              <w:autoSpaceDE w:val="0"/>
              <w:autoSpaceDN w:val="0"/>
              <w:adjustRightInd w:val="0"/>
              <w:spacing w:after="0" w:line="240" w:lineRule="auto"/>
              <w:jc w:val="center"/>
              <w:rPr>
                <w:lang w:eastAsia="en-US"/>
              </w:rPr>
            </w:pPr>
            <w:r>
              <w:rPr>
                <w:sz w:val="22"/>
                <w:szCs w:val="22"/>
                <w:lang w:eastAsia="en-US"/>
              </w:rPr>
              <w:t>87,50</w:t>
            </w:r>
          </w:p>
        </w:tc>
        <w:tc>
          <w:tcPr>
            <w:tcW w:w="1274" w:type="dxa"/>
            <w:tcBorders>
              <w:top w:val="single" w:sz="4" w:space="0" w:color="auto"/>
              <w:left w:val="single" w:sz="4" w:space="0" w:color="auto"/>
              <w:bottom w:val="single" w:sz="4" w:space="0" w:color="auto"/>
              <w:right w:val="single" w:sz="4" w:space="0" w:color="auto"/>
            </w:tcBorders>
            <w:vAlign w:val="center"/>
            <w:hideMark/>
          </w:tcPr>
          <w:p w:rsidR="005727C2" w:rsidRDefault="005727C2">
            <w:pPr>
              <w:autoSpaceDE w:val="0"/>
              <w:autoSpaceDN w:val="0"/>
              <w:adjustRightInd w:val="0"/>
              <w:spacing w:after="0" w:line="240" w:lineRule="auto"/>
              <w:jc w:val="center"/>
              <w:rPr>
                <w:lang w:eastAsia="en-US"/>
              </w:rPr>
            </w:pPr>
            <w:r>
              <w:rPr>
                <w:sz w:val="22"/>
                <w:szCs w:val="22"/>
                <w:lang w:eastAsia="en-US"/>
              </w:rPr>
              <w:t>100</w:t>
            </w:r>
          </w:p>
        </w:tc>
        <w:tc>
          <w:tcPr>
            <w:tcW w:w="710" w:type="dxa"/>
            <w:tcBorders>
              <w:top w:val="single" w:sz="4" w:space="0" w:color="auto"/>
              <w:left w:val="single" w:sz="4" w:space="0" w:color="auto"/>
              <w:bottom w:val="single" w:sz="4" w:space="0" w:color="auto"/>
              <w:right w:val="single" w:sz="4" w:space="0" w:color="auto"/>
            </w:tcBorders>
            <w:vAlign w:val="center"/>
            <w:hideMark/>
          </w:tcPr>
          <w:p w:rsidR="005727C2" w:rsidRDefault="005727C2">
            <w:pPr>
              <w:autoSpaceDE w:val="0"/>
              <w:autoSpaceDN w:val="0"/>
              <w:adjustRightInd w:val="0"/>
              <w:spacing w:after="0" w:line="240" w:lineRule="auto"/>
              <w:jc w:val="center"/>
              <w:rPr>
                <w:lang w:eastAsia="en-US"/>
              </w:rPr>
            </w:pPr>
            <w:r>
              <w:rPr>
                <w:sz w:val="22"/>
                <w:szCs w:val="22"/>
                <w:lang w:eastAsia="en-US"/>
              </w:rPr>
              <w:t>91,67</w:t>
            </w:r>
          </w:p>
        </w:tc>
        <w:tc>
          <w:tcPr>
            <w:tcW w:w="709" w:type="dxa"/>
            <w:tcBorders>
              <w:top w:val="single" w:sz="4" w:space="0" w:color="auto"/>
              <w:left w:val="single" w:sz="4" w:space="0" w:color="auto"/>
              <w:bottom w:val="single" w:sz="4" w:space="0" w:color="auto"/>
              <w:right w:val="single" w:sz="4" w:space="0" w:color="auto"/>
            </w:tcBorders>
            <w:vAlign w:val="center"/>
            <w:hideMark/>
          </w:tcPr>
          <w:p w:rsidR="005727C2" w:rsidRDefault="005727C2">
            <w:pPr>
              <w:autoSpaceDE w:val="0"/>
              <w:autoSpaceDN w:val="0"/>
              <w:adjustRightInd w:val="0"/>
              <w:spacing w:after="0" w:line="240" w:lineRule="auto"/>
              <w:jc w:val="center"/>
              <w:rPr>
                <w:lang w:eastAsia="en-US"/>
              </w:rPr>
            </w:pPr>
            <w:r>
              <w:rPr>
                <w:sz w:val="22"/>
                <w:szCs w:val="22"/>
                <w:lang w:eastAsia="en-US"/>
              </w:rPr>
              <w:t>90,91</w:t>
            </w:r>
          </w:p>
        </w:tc>
        <w:tc>
          <w:tcPr>
            <w:tcW w:w="851" w:type="dxa"/>
            <w:tcBorders>
              <w:top w:val="single" w:sz="4" w:space="0" w:color="auto"/>
              <w:left w:val="single" w:sz="4" w:space="0" w:color="auto"/>
              <w:bottom w:val="single" w:sz="4" w:space="0" w:color="auto"/>
              <w:right w:val="single" w:sz="4" w:space="0" w:color="auto"/>
            </w:tcBorders>
            <w:vAlign w:val="center"/>
            <w:hideMark/>
          </w:tcPr>
          <w:p w:rsidR="005727C2" w:rsidRDefault="005727C2">
            <w:pPr>
              <w:autoSpaceDE w:val="0"/>
              <w:autoSpaceDN w:val="0"/>
              <w:adjustRightInd w:val="0"/>
              <w:spacing w:after="0" w:line="240" w:lineRule="auto"/>
              <w:jc w:val="center"/>
              <w:rPr>
                <w:lang w:eastAsia="en-US"/>
              </w:rPr>
            </w:pPr>
            <w:r>
              <w:rPr>
                <w:sz w:val="22"/>
                <w:szCs w:val="22"/>
                <w:lang w:eastAsia="en-US"/>
              </w:rPr>
              <w:t>+0,76</w:t>
            </w:r>
          </w:p>
        </w:tc>
      </w:tr>
      <w:tr w:rsidR="005727C2" w:rsidTr="00533808">
        <w:trPr>
          <w:trHeight w:val="31"/>
        </w:trPr>
        <w:tc>
          <w:tcPr>
            <w:tcW w:w="534" w:type="dxa"/>
            <w:tcBorders>
              <w:top w:val="single" w:sz="4" w:space="0" w:color="auto"/>
              <w:left w:val="single" w:sz="4" w:space="0" w:color="auto"/>
              <w:bottom w:val="single" w:sz="4" w:space="0" w:color="auto"/>
              <w:right w:val="single" w:sz="4" w:space="0" w:color="auto"/>
            </w:tcBorders>
            <w:vAlign w:val="center"/>
            <w:hideMark/>
          </w:tcPr>
          <w:p w:rsidR="005727C2" w:rsidRDefault="005727C2">
            <w:pPr>
              <w:autoSpaceDE w:val="0"/>
              <w:autoSpaceDN w:val="0"/>
              <w:adjustRightInd w:val="0"/>
              <w:spacing w:after="0" w:line="240" w:lineRule="auto"/>
              <w:jc w:val="center"/>
              <w:rPr>
                <w:lang w:eastAsia="en-US"/>
              </w:rPr>
            </w:pPr>
            <w:r>
              <w:rPr>
                <w:sz w:val="22"/>
                <w:szCs w:val="22"/>
                <w:lang w:eastAsia="en-US"/>
              </w:rPr>
              <w:t>14</w:t>
            </w:r>
          </w:p>
        </w:tc>
        <w:tc>
          <w:tcPr>
            <w:tcW w:w="3824" w:type="dxa"/>
            <w:tcBorders>
              <w:top w:val="single" w:sz="4" w:space="0" w:color="auto"/>
              <w:left w:val="single" w:sz="4" w:space="0" w:color="auto"/>
              <w:bottom w:val="single" w:sz="4" w:space="0" w:color="auto"/>
              <w:right w:val="single" w:sz="4" w:space="0" w:color="auto"/>
            </w:tcBorders>
            <w:vAlign w:val="center"/>
            <w:hideMark/>
          </w:tcPr>
          <w:p w:rsidR="005727C2" w:rsidRDefault="005727C2">
            <w:pPr>
              <w:autoSpaceDE w:val="0"/>
              <w:autoSpaceDN w:val="0"/>
              <w:adjustRightInd w:val="0"/>
              <w:spacing w:after="0" w:line="240" w:lineRule="auto"/>
              <w:rPr>
                <w:lang w:eastAsia="en-US"/>
              </w:rPr>
            </w:pPr>
            <w:r>
              <w:rPr>
                <w:sz w:val="22"/>
                <w:szCs w:val="22"/>
                <w:lang w:eastAsia="en-US"/>
              </w:rPr>
              <w:t>Доля юридических лиц, индивидуальных предпринимателей, в деятельности которых выявлены нарушения обязательных требований, представляющие непосредственную угрозу причинения вреда жизни и здоровью граждан, вреда животным, растениям, окружающей среде, объектам культурного наследия (памятникам истории и культуры) народов Российской Федерации, имуществу физических и юридических лиц, безопасности государства, а также угрозу чрезвычайных ситуаций природного и техногенного характера (в процентах от общего числа проверенных лиц)</w:t>
            </w:r>
          </w:p>
        </w:tc>
        <w:tc>
          <w:tcPr>
            <w:tcW w:w="1279" w:type="dxa"/>
            <w:tcBorders>
              <w:top w:val="single" w:sz="4" w:space="0" w:color="auto"/>
              <w:left w:val="single" w:sz="4" w:space="0" w:color="auto"/>
              <w:bottom w:val="single" w:sz="4" w:space="0" w:color="auto"/>
              <w:right w:val="single" w:sz="4" w:space="0" w:color="auto"/>
            </w:tcBorders>
            <w:vAlign w:val="center"/>
            <w:hideMark/>
          </w:tcPr>
          <w:p w:rsidR="005727C2" w:rsidRDefault="005727C2">
            <w:pPr>
              <w:autoSpaceDE w:val="0"/>
              <w:autoSpaceDN w:val="0"/>
              <w:adjustRightInd w:val="0"/>
              <w:spacing w:after="0" w:line="240" w:lineRule="auto"/>
              <w:jc w:val="center"/>
              <w:rPr>
                <w:lang w:eastAsia="en-US"/>
              </w:rPr>
            </w:pPr>
            <w:r>
              <w:rPr>
                <w:sz w:val="22"/>
                <w:szCs w:val="22"/>
                <w:lang w:eastAsia="en-US"/>
              </w:rPr>
              <w:t>0</w:t>
            </w:r>
          </w:p>
        </w:tc>
        <w:tc>
          <w:tcPr>
            <w:tcW w:w="1274" w:type="dxa"/>
            <w:tcBorders>
              <w:top w:val="single" w:sz="4" w:space="0" w:color="auto"/>
              <w:left w:val="single" w:sz="4" w:space="0" w:color="auto"/>
              <w:bottom w:val="single" w:sz="4" w:space="0" w:color="auto"/>
              <w:right w:val="single" w:sz="4" w:space="0" w:color="auto"/>
            </w:tcBorders>
            <w:vAlign w:val="center"/>
            <w:hideMark/>
          </w:tcPr>
          <w:p w:rsidR="005727C2" w:rsidRDefault="005727C2">
            <w:pPr>
              <w:autoSpaceDE w:val="0"/>
              <w:autoSpaceDN w:val="0"/>
              <w:adjustRightInd w:val="0"/>
              <w:spacing w:after="0" w:line="240" w:lineRule="auto"/>
              <w:jc w:val="center"/>
              <w:rPr>
                <w:lang w:eastAsia="en-US"/>
              </w:rPr>
            </w:pPr>
            <w:r>
              <w:rPr>
                <w:sz w:val="22"/>
                <w:szCs w:val="22"/>
                <w:lang w:eastAsia="en-US"/>
              </w:rPr>
              <w:t>0</w:t>
            </w:r>
          </w:p>
        </w:tc>
        <w:tc>
          <w:tcPr>
            <w:tcW w:w="710" w:type="dxa"/>
            <w:tcBorders>
              <w:top w:val="single" w:sz="4" w:space="0" w:color="auto"/>
              <w:left w:val="single" w:sz="4" w:space="0" w:color="auto"/>
              <w:bottom w:val="single" w:sz="4" w:space="0" w:color="auto"/>
              <w:right w:val="single" w:sz="4" w:space="0" w:color="auto"/>
            </w:tcBorders>
            <w:vAlign w:val="center"/>
            <w:hideMark/>
          </w:tcPr>
          <w:p w:rsidR="005727C2" w:rsidRDefault="005727C2">
            <w:pPr>
              <w:autoSpaceDE w:val="0"/>
              <w:autoSpaceDN w:val="0"/>
              <w:adjustRightInd w:val="0"/>
              <w:spacing w:after="0" w:line="240" w:lineRule="auto"/>
              <w:jc w:val="center"/>
              <w:rPr>
                <w:lang w:eastAsia="en-US"/>
              </w:rPr>
            </w:pPr>
            <w:r>
              <w:rPr>
                <w:sz w:val="22"/>
                <w:szCs w:val="22"/>
                <w:lang w:eastAsia="en-US"/>
              </w:rPr>
              <w:t>0</w:t>
            </w:r>
          </w:p>
        </w:tc>
        <w:tc>
          <w:tcPr>
            <w:tcW w:w="709" w:type="dxa"/>
            <w:tcBorders>
              <w:top w:val="single" w:sz="4" w:space="0" w:color="auto"/>
              <w:left w:val="single" w:sz="4" w:space="0" w:color="auto"/>
              <w:bottom w:val="single" w:sz="4" w:space="0" w:color="auto"/>
              <w:right w:val="single" w:sz="4" w:space="0" w:color="auto"/>
            </w:tcBorders>
            <w:vAlign w:val="center"/>
            <w:hideMark/>
          </w:tcPr>
          <w:p w:rsidR="005727C2" w:rsidRDefault="005727C2">
            <w:pPr>
              <w:autoSpaceDE w:val="0"/>
              <w:autoSpaceDN w:val="0"/>
              <w:adjustRightInd w:val="0"/>
              <w:spacing w:after="0" w:line="240" w:lineRule="auto"/>
              <w:jc w:val="center"/>
              <w:rPr>
                <w:lang w:eastAsia="en-US"/>
              </w:rPr>
            </w:pPr>
            <w:r>
              <w:rPr>
                <w:sz w:val="22"/>
                <w:szCs w:val="22"/>
                <w:lang w:eastAsia="en-US"/>
              </w:rPr>
              <w:t>0</w:t>
            </w:r>
          </w:p>
        </w:tc>
        <w:tc>
          <w:tcPr>
            <w:tcW w:w="851" w:type="dxa"/>
            <w:tcBorders>
              <w:top w:val="single" w:sz="4" w:space="0" w:color="auto"/>
              <w:left w:val="single" w:sz="4" w:space="0" w:color="auto"/>
              <w:bottom w:val="single" w:sz="4" w:space="0" w:color="auto"/>
              <w:right w:val="single" w:sz="4" w:space="0" w:color="auto"/>
            </w:tcBorders>
            <w:vAlign w:val="center"/>
            <w:hideMark/>
          </w:tcPr>
          <w:p w:rsidR="005727C2" w:rsidRDefault="005727C2">
            <w:pPr>
              <w:autoSpaceDE w:val="0"/>
              <w:autoSpaceDN w:val="0"/>
              <w:adjustRightInd w:val="0"/>
              <w:spacing w:after="0" w:line="240" w:lineRule="auto"/>
              <w:jc w:val="center"/>
              <w:rPr>
                <w:lang w:eastAsia="en-US"/>
              </w:rPr>
            </w:pPr>
            <w:r>
              <w:rPr>
                <w:sz w:val="22"/>
                <w:szCs w:val="22"/>
                <w:lang w:eastAsia="en-US"/>
              </w:rPr>
              <w:t>0</w:t>
            </w:r>
          </w:p>
        </w:tc>
      </w:tr>
      <w:tr w:rsidR="005727C2" w:rsidTr="00533808">
        <w:trPr>
          <w:trHeight w:val="1266"/>
        </w:trPr>
        <w:tc>
          <w:tcPr>
            <w:tcW w:w="534" w:type="dxa"/>
            <w:tcBorders>
              <w:top w:val="single" w:sz="4" w:space="0" w:color="auto"/>
              <w:left w:val="single" w:sz="4" w:space="0" w:color="auto"/>
              <w:bottom w:val="single" w:sz="4" w:space="0" w:color="auto"/>
              <w:right w:val="single" w:sz="4" w:space="0" w:color="auto"/>
            </w:tcBorders>
            <w:vAlign w:val="center"/>
            <w:hideMark/>
          </w:tcPr>
          <w:p w:rsidR="005727C2" w:rsidRDefault="005727C2">
            <w:pPr>
              <w:autoSpaceDE w:val="0"/>
              <w:autoSpaceDN w:val="0"/>
              <w:adjustRightInd w:val="0"/>
              <w:spacing w:after="0" w:line="240" w:lineRule="auto"/>
              <w:jc w:val="center"/>
              <w:rPr>
                <w:lang w:eastAsia="en-US"/>
              </w:rPr>
            </w:pPr>
            <w:r>
              <w:rPr>
                <w:sz w:val="22"/>
                <w:szCs w:val="22"/>
                <w:lang w:eastAsia="en-US"/>
              </w:rPr>
              <w:lastRenderedPageBreak/>
              <w:t>15</w:t>
            </w:r>
          </w:p>
        </w:tc>
        <w:tc>
          <w:tcPr>
            <w:tcW w:w="3824" w:type="dxa"/>
            <w:tcBorders>
              <w:top w:val="single" w:sz="4" w:space="0" w:color="auto"/>
              <w:left w:val="single" w:sz="4" w:space="0" w:color="auto"/>
              <w:bottom w:val="single" w:sz="4" w:space="0" w:color="auto"/>
              <w:right w:val="single" w:sz="4" w:space="0" w:color="auto"/>
            </w:tcBorders>
            <w:vAlign w:val="center"/>
            <w:hideMark/>
          </w:tcPr>
          <w:p w:rsidR="005727C2" w:rsidRDefault="005727C2">
            <w:pPr>
              <w:autoSpaceDE w:val="0"/>
              <w:autoSpaceDN w:val="0"/>
              <w:adjustRightInd w:val="0"/>
              <w:spacing w:after="0" w:line="240" w:lineRule="auto"/>
              <w:rPr>
                <w:lang w:eastAsia="en-US"/>
              </w:rPr>
            </w:pPr>
            <w:r>
              <w:rPr>
                <w:sz w:val="22"/>
                <w:szCs w:val="22"/>
                <w:lang w:eastAsia="en-US"/>
              </w:rPr>
              <w:t>Доля юридических лиц, индивидуальных предпринимателей, в деятельности которых выявлены нарушения обязательных требований, явившиеся причиной причинения вреда жизни и здоровью граждан, вреда животным, растениям, окружающей среде, объектам культурного наследия (памятникам истории и культуры) народов Российской Федерации, имуществу физических и юридических лиц, безопасности государства, а также возникновения чрезвычайных ситуаций природного и техногенного характера (в процентах от общего числа проверенных лиц)</w:t>
            </w:r>
          </w:p>
        </w:tc>
        <w:tc>
          <w:tcPr>
            <w:tcW w:w="1279" w:type="dxa"/>
            <w:tcBorders>
              <w:top w:val="single" w:sz="4" w:space="0" w:color="auto"/>
              <w:left w:val="single" w:sz="4" w:space="0" w:color="auto"/>
              <w:bottom w:val="single" w:sz="4" w:space="0" w:color="auto"/>
              <w:right w:val="single" w:sz="4" w:space="0" w:color="auto"/>
            </w:tcBorders>
            <w:vAlign w:val="center"/>
            <w:hideMark/>
          </w:tcPr>
          <w:p w:rsidR="005727C2" w:rsidRDefault="005727C2">
            <w:pPr>
              <w:autoSpaceDE w:val="0"/>
              <w:autoSpaceDN w:val="0"/>
              <w:adjustRightInd w:val="0"/>
              <w:spacing w:after="0" w:line="240" w:lineRule="auto"/>
              <w:jc w:val="center"/>
              <w:rPr>
                <w:lang w:eastAsia="en-US"/>
              </w:rPr>
            </w:pPr>
            <w:r>
              <w:rPr>
                <w:sz w:val="22"/>
                <w:szCs w:val="22"/>
                <w:lang w:eastAsia="en-US"/>
              </w:rPr>
              <w:t>0</w:t>
            </w:r>
          </w:p>
        </w:tc>
        <w:tc>
          <w:tcPr>
            <w:tcW w:w="1274" w:type="dxa"/>
            <w:tcBorders>
              <w:top w:val="single" w:sz="4" w:space="0" w:color="auto"/>
              <w:left w:val="single" w:sz="4" w:space="0" w:color="auto"/>
              <w:bottom w:val="single" w:sz="4" w:space="0" w:color="auto"/>
              <w:right w:val="single" w:sz="4" w:space="0" w:color="auto"/>
            </w:tcBorders>
            <w:vAlign w:val="center"/>
            <w:hideMark/>
          </w:tcPr>
          <w:p w:rsidR="005727C2" w:rsidRDefault="005727C2">
            <w:pPr>
              <w:autoSpaceDE w:val="0"/>
              <w:autoSpaceDN w:val="0"/>
              <w:adjustRightInd w:val="0"/>
              <w:spacing w:after="0" w:line="240" w:lineRule="auto"/>
              <w:jc w:val="center"/>
              <w:rPr>
                <w:lang w:eastAsia="en-US"/>
              </w:rPr>
            </w:pPr>
            <w:r>
              <w:rPr>
                <w:sz w:val="22"/>
                <w:szCs w:val="22"/>
                <w:lang w:eastAsia="en-US"/>
              </w:rPr>
              <w:t>0</w:t>
            </w:r>
          </w:p>
        </w:tc>
        <w:tc>
          <w:tcPr>
            <w:tcW w:w="710" w:type="dxa"/>
            <w:tcBorders>
              <w:top w:val="single" w:sz="4" w:space="0" w:color="auto"/>
              <w:left w:val="single" w:sz="4" w:space="0" w:color="auto"/>
              <w:bottom w:val="single" w:sz="4" w:space="0" w:color="auto"/>
              <w:right w:val="single" w:sz="4" w:space="0" w:color="auto"/>
            </w:tcBorders>
            <w:vAlign w:val="center"/>
            <w:hideMark/>
          </w:tcPr>
          <w:p w:rsidR="005727C2" w:rsidRDefault="005727C2">
            <w:pPr>
              <w:autoSpaceDE w:val="0"/>
              <w:autoSpaceDN w:val="0"/>
              <w:adjustRightInd w:val="0"/>
              <w:spacing w:after="0" w:line="240" w:lineRule="auto"/>
              <w:jc w:val="center"/>
              <w:rPr>
                <w:lang w:eastAsia="en-US"/>
              </w:rPr>
            </w:pPr>
            <w:r>
              <w:rPr>
                <w:sz w:val="22"/>
                <w:szCs w:val="22"/>
                <w:lang w:eastAsia="en-US"/>
              </w:rPr>
              <w:t>0</w:t>
            </w:r>
          </w:p>
        </w:tc>
        <w:tc>
          <w:tcPr>
            <w:tcW w:w="709" w:type="dxa"/>
            <w:tcBorders>
              <w:top w:val="single" w:sz="4" w:space="0" w:color="auto"/>
              <w:left w:val="single" w:sz="4" w:space="0" w:color="auto"/>
              <w:bottom w:val="single" w:sz="4" w:space="0" w:color="auto"/>
              <w:right w:val="single" w:sz="4" w:space="0" w:color="auto"/>
            </w:tcBorders>
            <w:vAlign w:val="center"/>
            <w:hideMark/>
          </w:tcPr>
          <w:p w:rsidR="005727C2" w:rsidRDefault="005727C2">
            <w:pPr>
              <w:autoSpaceDE w:val="0"/>
              <w:autoSpaceDN w:val="0"/>
              <w:adjustRightInd w:val="0"/>
              <w:spacing w:after="0" w:line="240" w:lineRule="auto"/>
              <w:jc w:val="center"/>
              <w:rPr>
                <w:lang w:eastAsia="en-US"/>
              </w:rPr>
            </w:pPr>
            <w:r>
              <w:rPr>
                <w:sz w:val="22"/>
                <w:szCs w:val="22"/>
                <w:lang w:eastAsia="en-US"/>
              </w:rPr>
              <w:t>0</w:t>
            </w:r>
          </w:p>
        </w:tc>
        <w:tc>
          <w:tcPr>
            <w:tcW w:w="851" w:type="dxa"/>
            <w:tcBorders>
              <w:top w:val="single" w:sz="4" w:space="0" w:color="auto"/>
              <w:left w:val="single" w:sz="4" w:space="0" w:color="auto"/>
              <w:bottom w:val="single" w:sz="4" w:space="0" w:color="auto"/>
              <w:right w:val="single" w:sz="4" w:space="0" w:color="auto"/>
            </w:tcBorders>
            <w:vAlign w:val="center"/>
            <w:hideMark/>
          </w:tcPr>
          <w:p w:rsidR="005727C2" w:rsidRDefault="005727C2">
            <w:pPr>
              <w:autoSpaceDE w:val="0"/>
              <w:autoSpaceDN w:val="0"/>
              <w:adjustRightInd w:val="0"/>
              <w:spacing w:after="0" w:line="240" w:lineRule="auto"/>
              <w:jc w:val="center"/>
              <w:rPr>
                <w:lang w:eastAsia="en-US"/>
              </w:rPr>
            </w:pPr>
            <w:r>
              <w:rPr>
                <w:sz w:val="22"/>
                <w:szCs w:val="22"/>
                <w:lang w:eastAsia="en-US"/>
              </w:rPr>
              <w:t>0</w:t>
            </w:r>
          </w:p>
        </w:tc>
      </w:tr>
      <w:tr w:rsidR="005727C2" w:rsidTr="00533808">
        <w:trPr>
          <w:trHeight w:val="31"/>
        </w:trPr>
        <w:tc>
          <w:tcPr>
            <w:tcW w:w="534" w:type="dxa"/>
            <w:tcBorders>
              <w:top w:val="single" w:sz="4" w:space="0" w:color="auto"/>
              <w:left w:val="single" w:sz="4" w:space="0" w:color="auto"/>
              <w:bottom w:val="single" w:sz="4" w:space="0" w:color="auto"/>
              <w:right w:val="single" w:sz="4" w:space="0" w:color="auto"/>
            </w:tcBorders>
            <w:vAlign w:val="center"/>
            <w:hideMark/>
          </w:tcPr>
          <w:p w:rsidR="005727C2" w:rsidRDefault="005727C2">
            <w:pPr>
              <w:autoSpaceDE w:val="0"/>
              <w:autoSpaceDN w:val="0"/>
              <w:adjustRightInd w:val="0"/>
              <w:spacing w:after="0" w:line="240" w:lineRule="auto"/>
              <w:jc w:val="center"/>
              <w:rPr>
                <w:lang w:eastAsia="en-US"/>
              </w:rPr>
            </w:pPr>
            <w:r>
              <w:rPr>
                <w:sz w:val="22"/>
                <w:szCs w:val="22"/>
                <w:lang w:eastAsia="en-US"/>
              </w:rPr>
              <w:t>16</w:t>
            </w:r>
          </w:p>
        </w:tc>
        <w:tc>
          <w:tcPr>
            <w:tcW w:w="3824" w:type="dxa"/>
            <w:tcBorders>
              <w:top w:val="single" w:sz="4" w:space="0" w:color="auto"/>
              <w:left w:val="single" w:sz="4" w:space="0" w:color="auto"/>
              <w:bottom w:val="single" w:sz="4" w:space="0" w:color="auto"/>
              <w:right w:val="single" w:sz="4" w:space="0" w:color="auto"/>
            </w:tcBorders>
            <w:vAlign w:val="center"/>
            <w:hideMark/>
          </w:tcPr>
          <w:p w:rsidR="005727C2" w:rsidRDefault="005727C2">
            <w:pPr>
              <w:autoSpaceDE w:val="0"/>
              <w:autoSpaceDN w:val="0"/>
              <w:adjustRightInd w:val="0"/>
              <w:spacing w:after="0" w:line="240" w:lineRule="auto"/>
              <w:rPr>
                <w:lang w:eastAsia="en-US"/>
              </w:rPr>
            </w:pPr>
            <w:r>
              <w:rPr>
                <w:sz w:val="22"/>
                <w:szCs w:val="22"/>
                <w:lang w:eastAsia="en-US"/>
              </w:rPr>
              <w:t>Количество случаев причинения юридическими лицами, индивидуальными предпринимателями вреда жизни и здоровью граждан, вреда животным, растениям, окружающей среде, объектам культурного наследия (памятникам истории и культуры) народов Российской Федерации, имуществу физических и юридических лиц, безопасности государства, а также чрезвычайных ситуаций природного и техногенного характера (по видам ущерба)</w:t>
            </w:r>
          </w:p>
        </w:tc>
        <w:tc>
          <w:tcPr>
            <w:tcW w:w="1279" w:type="dxa"/>
            <w:tcBorders>
              <w:top w:val="single" w:sz="4" w:space="0" w:color="auto"/>
              <w:left w:val="single" w:sz="4" w:space="0" w:color="auto"/>
              <w:bottom w:val="single" w:sz="4" w:space="0" w:color="auto"/>
              <w:right w:val="single" w:sz="4" w:space="0" w:color="auto"/>
            </w:tcBorders>
            <w:vAlign w:val="center"/>
            <w:hideMark/>
          </w:tcPr>
          <w:p w:rsidR="005727C2" w:rsidRDefault="005727C2">
            <w:pPr>
              <w:autoSpaceDE w:val="0"/>
              <w:autoSpaceDN w:val="0"/>
              <w:adjustRightInd w:val="0"/>
              <w:spacing w:after="0" w:line="240" w:lineRule="auto"/>
              <w:jc w:val="center"/>
              <w:rPr>
                <w:lang w:eastAsia="en-US"/>
              </w:rPr>
            </w:pPr>
            <w:r>
              <w:rPr>
                <w:sz w:val="22"/>
                <w:szCs w:val="22"/>
                <w:lang w:eastAsia="en-US"/>
              </w:rPr>
              <w:t>0</w:t>
            </w:r>
          </w:p>
        </w:tc>
        <w:tc>
          <w:tcPr>
            <w:tcW w:w="1274" w:type="dxa"/>
            <w:tcBorders>
              <w:top w:val="single" w:sz="4" w:space="0" w:color="auto"/>
              <w:left w:val="single" w:sz="4" w:space="0" w:color="auto"/>
              <w:bottom w:val="single" w:sz="4" w:space="0" w:color="auto"/>
              <w:right w:val="single" w:sz="4" w:space="0" w:color="auto"/>
            </w:tcBorders>
            <w:vAlign w:val="center"/>
            <w:hideMark/>
          </w:tcPr>
          <w:p w:rsidR="005727C2" w:rsidRDefault="005727C2">
            <w:pPr>
              <w:autoSpaceDE w:val="0"/>
              <w:autoSpaceDN w:val="0"/>
              <w:adjustRightInd w:val="0"/>
              <w:spacing w:after="0" w:line="240" w:lineRule="auto"/>
              <w:jc w:val="center"/>
              <w:rPr>
                <w:lang w:eastAsia="en-US"/>
              </w:rPr>
            </w:pPr>
            <w:r>
              <w:rPr>
                <w:sz w:val="22"/>
                <w:szCs w:val="22"/>
                <w:lang w:eastAsia="en-US"/>
              </w:rPr>
              <w:t>0</w:t>
            </w:r>
          </w:p>
        </w:tc>
        <w:tc>
          <w:tcPr>
            <w:tcW w:w="710" w:type="dxa"/>
            <w:tcBorders>
              <w:top w:val="single" w:sz="4" w:space="0" w:color="auto"/>
              <w:left w:val="single" w:sz="4" w:space="0" w:color="auto"/>
              <w:bottom w:val="single" w:sz="4" w:space="0" w:color="auto"/>
              <w:right w:val="single" w:sz="4" w:space="0" w:color="auto"/>
            </w:tcBorders>
            <w:vAlign w:val="center"/>
            <w:hideMark/>
          </w:tcPr>
          <w:p w:rsidR="005727C2" w:rsidRDefault="005727C2">
            <w:pPr>
              <w:autoSpaceDE w:val="0"/>
              <w:autoSpaceDN w:val="0"/>
              <w:adjustRightInd w:val="0"/>
              <w:spacing w:after="0" w:line="240" w:lineRule="auto"/>
              <w:jc w:val="center"/>
              <w:rPr>
                <w:lang w:eastAsia="en-US"/>
              </w:rPr>
            </w:pPr>
            <w:r>
              <w:rPr>
                <w:sz w:val="22"/>
                <w:szCs w:val="22"/>
                <w:lang w:eastAsia="en-US"/>
              </w:rPr>
              <w:t>0</w:t>
            </w:r>
          </w:p>
        </w:tc>
        <w:tc>
          <w:tcPr>
            <w:tcW w:w="709" w:type="dxa"/>
            <w:tcBorders>
              <w:top w:val="single" w:sz="4" w:space="0" w:color="auto"/>
              <w:left w:val="single" w:sz="4" w:space="0" w:color="auto"/>
              <w:bottom w:val="single" w:sz="4" w:space="0" w:color="auto"/>
              <w:right w:val="single" w:sz="4" w:space="0" w:color="auto"/>
            </w:tcBorders>
            <w:vAlign w:val="center"/>
            <w:hideMark/>
          </w:tcPr>
          <w:p w:rsidR="005727C2" w:rsidRDefault="005727C2">
            <w:pPr>
              <w:autoSpaceDE w:val="0"/>
              <w:autoSpaceDN w:val="0"/>
              <w:adjustRightInd w:val="0"/>
              <w:spacing w:after="0" w:line="240" w:lineRule="auto"/>
              <w:jc w:val="center"/>
              <w:rPr>
                <w:lang w:eastAsia="en-US"/>
              </w:rPr>
            </w:pPr>
            <w:r>
              <w:rPr>
                <w:sz w:val="22"/>
                <w:szCs w:val="22"/>
                <w:lang w:eastAsia="en-US"/>
              </w:rPr>
              <w:t>0</w:t>
            </w:r>
          </w:p>
        </w:tc>
        <w:tc>
          <w:tcPr>
            <w:tcW w:w="851" w:type="dxa"/>
            <w:tcBorders>
              <w:top w:val="single" w:sz="4" w:space="0" w:color="auto"/>
              <w:left w:val="single" w:sz="4" w:space="0" w:color="auto"/>
              <w:bottom w:val="single" w:sz="4" w:space="0" w:color="auto"/>
              <w:right w:val="single" w:sz="4" w:space="0" w:color="auto"/>
            </w:tcBorders>
            <w:vAlign w:val="center"/>
            <w:hideMark/>
          </w:tcPr>
          <w:p w:rsidR="005727C2" w:rsidRDefault="005727C2">
            <w:pPr>
              <w:autoSpaceDE w:val="0"/>
              <w:autoSpaceDN w:val="0"/>
              <w:adjustRightInd w:val="0"/>
              <w:spacing w:after="0" w:line="240" w:lineRule="auto"/>
              <w:jc w:val="center"/>
              <w:rPr>
                <w:lang w:eastAsia="en-US"/>
              </w:rPr>
            </w:pPr>
            <w:r>
              <w:rPr>
                <w:sz w:val="22"/>
                <w:szCs w:val="22"/>
                <w:lang w:eastAsia="en-US"/>
              </w:rPr>
              <w:t>0</w:t>
            </w:r>
          </w:p>
        </w:tc>
      </w:tr>
      <w:tr w:rsidR="005727C2" w:rsidTr="00533808">
        <w:trPr>
          <w:trHeight w:val="1309"/>
        </w:trPr>
        <w:tc>
          <w:tcPr>
            <w:tcW w:w="534" w:type="dxa"/>
            <w:tcBorders>
              <w:top w:val="single" w:sz="4" w:space="0" w:color="auto"/>
              <w:left w:val="single" w:sz="4" w:space="0" w:color="auto"/>
              <w:bottom w:val="single" w:sz="4" w:space="0" w:color="auto"/>
              <w:right w:val="single" w:sz="4" w:space="0" w:color="auto"/>
            </w:tcBorders>
            <w:vAlign w:val="center"/>
            <w:hideMark/>
          </w:tcPr>
          <w:p w:rsidR="005727C2" w:rsidRDefault="005727C2">
            <w:pPr>
              <w:autoSpaceDE w:val="0"/>
              <w:autoSpaceDN w:val="0"/>
              <w:adjustRightInd w:val="0"/>
              <w:spacing w:after="0" w:line="240" w:lineRule="auto"/>
              <w:jc w:val="center"/>
              <w:rPr>
                <w:lang w:eastAsia="en-US"/>
              </w:rPr>
            </w:pPr>
            <w:r>
              <w:rPr>
                <w:sz w:val="22"/>
                <w:szCs w:val="22"/>
                <w:lang w:eastAsia="en-US"/>
              </w:rPr>
              <w:t>17</w:t>
            </w:r>
          </w:p>
        </w:tc>
        <w:tc>
          <w:tcPr>
            <w:tcW w:w="3824" w:type="dxa"/>
            <w:tcBorders>
              <w:top w:val="single" w:sz="4" w:space="0" w:color="auto"/>
              <w:left w:val="single" w:sz="4" w:space="0" w:color="auto"/>
              <w:bottom w:val="single" w:sz="4" w:space="0" w:color="auto"/>
              <w:right w:val="single" w:sz="4" w:space="0" w:color="auto"/>
            </w:tcBorders>
            <w:vAlign w:val="center"/>
            <w:hideMark/>
          </w:tcPr>
          <w:p w:rsidR="005727C2" w:rsidRDefault="005727C2">
            <w:pPr>
              <w:autoSpaceDE w:val="0"/>
              <w:autoSpaceDN w:val="0"/>
              <w:adjustRightInd w:val="0"/>
              <w:spacing w:after="0" w:line="240" w:lineRule="auto"/>
              <w:rPr>
                <w:lang w:eastAsia="en-US"/>
              </w:rPr>
            </w:pPr>
            <w:r>
              <w:rPr>
                <w:sz w:val="22"/>
                <w:szCs w:val="22"/>
                <w:lang w:eastAsia="en-US"/>
              </w:rPr>
              <w:t>Доля выявленных при проведении проверок правонарушений, связанных с неисполнением предписаний (в процентах от общего числа выявленных правонарушений)</w:t>
            </w:r>
          </w:p>
        </w:tc>
        <w:tc>
          <w:tcPr>
            <w:tcW w:w="1279" w:type="dxa"/>
            <w:tcBorders>
              <w:top w:val="single" w:sz="4" w:space="0" w:color="auto"/>
              <w:left w:val="single" w:sz="4" w:space="0" w:color="auto"/>
              <w:bottom w:val="single" w:sz="4" w:space="0" w:color="auto"/>
              <w:right w:val="single" w:sz="4" w:space="0" w:color="auto"/>
            </w:tcBorders>
            <w:vAlign w:val="center"/>
            <w:hideMark/>
          </w:tcPr>
          <w:p w:rsidR="005727C2" w:rsidRDefault="005727C2">
            <w:pPr>
              <w:autoSpaceDE w:val="0"/>
              <w:autoSpaceDN w:val="0"/>
              <w:adjustRightInd w:val="0"/>
              <w:spacing w:after="0" w:line="240" w:lineRule="auto"/>
              <w:jc w:val="center"/>
              <w:rPr>
                <w:lang w:eastAsia="en-US"/>
              </w:rPr>
            </w:pPr>
            <w:r>
              <w:rPr>
                <w:sz w:val="22"/>
                <w:szCs w:val="22"/>
                <w:lang w:eastAsia="en-US"/>
              </w:rPr>
              <w:t>0</w:t>
            </w:r>
          </w:p>
        </w:tc>
        <w:tc>
          <w:tcPr>
            <w:tcW w:w="1274" w:type="dxa"/>
            <w:tcBorders>
              <w:top w:val="single" w:sz="4" w:space="0" w:color="auto"/>
              <w:left w:val="single" w:sz="4" w:space="0" w:color="auto"/>
              <w:bottom w:val="single" w:sz="4" w:space="0" w:color="auto"/>
              <w:right w:val="single" w:sz="4" w:space="0" w:color="auto"/>
            </w:tcBorders>
            <w:vAlign w:val="center"/>
            <w:hideMark/>
          </w:tcPr>
          <w:p w:rsidR="005727C2" w:rsidRDefault="005727C2">
            <w:pPr>
              <w:autoSpaceDE w:val="0"/>
              <w:autoSpaceDN w:val="0"/>
              <w:adjustRightInd w:val="0"/>
              <w:spacing w:after="0" w:line="240" w:lineRule="auto"/>
              <w:jc w:val="center"/>
              <w:rPr>
                <w:lang w:eastAsia="en-US"/>
              </w:rPr>
            </w:pPr>
            <w:r>
              <w:rPr>
                <w:sz w:val="22"/>
                <w:szCs w:val="22"/>
                <w:lang w:eastAsia="en-US"/>
              </w:rPr>
              <w:t>0</w:t>
            </w:r>
          </w:p>
        </w:tc>
        <w:tc>
          <w:tcPr>
            <w:tcW w:w="710" w:type="dxa"/>
            <w:tcBorders>
              <w:top w:val="single" w:sz="4" w:space="0" w:color="auto"/>
              <w:left w:val="single" w:sz="4" w:space="0" w:color="auto"/>
              <w:bottom w:val="single" w:sz="4" w:space="0" w:color="auto"/>
              <w:right w:val="single" w:sz="4" w:space="0" w:color="auto"/>
            </w:tcBorders>
            <w:vAlign w:val="center"/>
            <w:hideMark/>
          </w:tcPr>
          <w:p w:rsidR="005727C2" w:rsidRDefault="005727C2">
            <w:pPr>
              <w:autoSpaceDE w:val="0"/>
              <w:autoSpaceDN w:val="0"/>
              <w:adjustRightInd w:val="0"/>
              <w:spacing w:after="0" w:line="240" w:lineRule="auto"/>
              <w:jc w:val="center"/>
              <w:rPr>
                <w:lang w:eastAsia="en-US"/>
              </w:rPr>
            </w:pPr>
            <w:r>
              <w:rPr>
                <w:sz w:val="22"/>
                <w:szCs w:val="22"/>
                <w:lang w:eastAsia="en-US"/>
              </w:rPr>
              <w:t>0</w:t>
            </w:r>
          </w:p>
        </w:tc>
        <w:tc>
          <w:tcPr>
            <w:tcW w:w="709" w:type="dxa"/>
            <w:tcBorders>
              <w:top w:val="single" w:sz="4" w:space="0" w:color="auto"/>
              <w:left w:val="single" w:sz="4" w:space="0" w:color="auto"/>
              <w:bottom w:val="single" w:sz="4" w:space="0" w:color="auto"/>
              <w:right w:val="single" w:sz="4" w:space="0" w:color="auto"/>
            </w:tcBorders>
            <w:vAlign w:val="center"/>
            <w:hideMark/>
          </w:tcPr>
          <w:p w:rsidR="005727C2" w:rsidRDefault="005727C2">
            <w:pPr>
              <w:autoSpaceDE w:val="0"/>
              <w:autoSpaceDN w:val="0"/>
              <w:adjustRightInd w:val="0"/>
              <w:spacing w:after="0" w:line="240" w:lineRule="auto"/>
              <w:jc w:val="center"/>
              <w:rPr>
                <w:lang w:eastAsia="en-US"/>
              </w:rPr>
            </w:pPr>
            <w:r>
              <w:rPr>
                <w:sz w:val="22"/>
                <w:szCs w:val="22"/>
                <w:lang w:eastAsia="en-US"/>
              </w:rPr>
              <w:t>0</w:t>
            </w:r>
          </w:p>
        </w:tc>
        <w:tc>
          <w:tcPr>
            <w:tcW w:w="851" w:type="dxa"/>
            <w:tcBorders>
              <w:top w:val="single" w:sz="4" w:space="0" w:color="auto"/>
              <w:left w:val="single" w:sz="4" w:space="0" w:color="auto"/>
              <w:bottom w:val="single" w:sz="4" w:space="0" w:color="auto"/>
              <w:right w:val="single" w:sz="4" w:space="0" w:color="auto"/>
            </w:tcBorders>
            <w:vAlign w:val="center"/>
            <w:hideMark/>
          </w:tcPr>
          <w:p w:rsidR="005727C2" w:rsidRDefault="005727C2">
            <w:pPr>
              <w:autoSpaceDE w:val="0"/>
              <w:autoSpaceDN w:val="0"/>
              <w:adjustRightInd w:val="0"/>
              <w:spacing w:after="0" w:line="240" w:lineRule="auto"/>
              <w:jc w:val="center"/>
              <w:rPr>
                <w:lang w:eastAsia="en-US"/>
              </w:rPr>
            </w:pPr>
            <w:r>
              <w:rPr>
                <w:sz w:val="22"/>
                <w:szCs w:val="22"/>
                <w:lang w:eastAsia="en-US"/>
              </w:rPr>
              <w:t>0</w:t>
            </w:r>
          </w:p>
        </w:tc>
      </w:tr>
      <w:tr w:rsidR="005727C2" w:rsidTr="00533808">
        <w:trPr>
          <w:trHeight w:val="31"/>
        </w:trPr>
        <w:tc>
          <w:tcPr>
            <w:tcW w:w="534" w:type="dxa"/>
            <w:tcBorders>
              <w:top w:val="single" w:sz="4" w:space="0" w:color="auto"/>
              <w:left w:val="single" w:sz="4" w:space="0" w:color="auto"/>
              <w:bottom w:val="single" w:sz="4" w:space="0" w:color="auto"/>
              <w:right w:val="single" w:sz="4" w:space="0" w:color="auto"/>
            </w:tcBorders>
            <w:vAlign w:val="center"/>
            <w:hideMark/>
          </w:tcPr>
          <w:p w:rsidR="005727C2" w:rsidRDefault="005727C2">
            <w:pPr>
              <w:autoSpaceDE w:val="0"/>
              <w:autoSpaceDN w:val="0"/>
              <w:adjustRightInd w:val="0"/>
              <w:spacing w:after="0" w:line="240" w:lineRule="auto"/>
              <w:jc w:val="center"/>
              <w:rPr>
                <w:lang w:eastAsia="en-US"/>
              </w:rPr>
            </w:pPr>
            <w:r>
              <w:rPr>
                <w:sz w:val="22"/>
                <w:szCs w:val="22"/>
                <w:lang w:eastAsia="en-US"/>
              </w:rPr>
              <w:t>18</w:t>
            </w:r>
          </w:p>
        </w:tc>
        <w:tc>
          <w:tcPr>
            <w:tcW w:w="3824" w:type="dxa"/>
            <w:tcBorders>
              <w:top w:val="single" w:sz="4" w:space="0" w:color="auto"/>
              <w:left w:val="single" w:sz="4" w:space="0" w:color="auto"/>
              <w:bottom w:val="single" w:sz="4" w:space="0" w:color="auto"/>
              <w:right w:val="single" w:sz="4" w:space="0" w:color="auto"/>
            </w:tcBorders>
            <w:vAlign w:val="center"/>
            <w:hideMark/>
          </w:tcPr>
          <w:p w:rsidR="005727C2" w:rsidRDefault="005727C2">
            <w:pPr>
              <w:autoSpaceDE w:val="0"/>
              <w:autoSpaceDN w:val="0"/>
              <w:adjustRightInd w:val="0"/>
              <w:spacing w:after="0" w:line="240" w:lineRule="auto"/>
              <w:rPr>
                <w:lang w:eastAsia="en-US"/>
              </w:rPr>
            </w:pPr>
            <w:r>
              <w:rPr>
                <w:sz w:val="22"/>
                <w:szCs w:val="22"/>
                <w:lang w:eastAsia="en-US"/>
              </w:rPr>
              <w:t>Отношение суммы взысканных административных штрафов к общей сумме наложенных административных штрафов (в процентах) **</w:t>
            </w:r>
          </w:p>
        </w:tc>
        <w:tc>
          <w:tcPr>
            <w:tcW w:w="1279" w:type="dxa"/>
            <w:tcBorders>
              <w:top w:val="single" w:sz="4" w:space="0" w:color="auto"/>
              <w:left w:val="single" w:sz="4" w:space="0" w:color="auto"/>
              <w:bottom w:val="single" w:sz="4" w:space="0" w:color="auto"/>
              <w:right w:val="single" w:sz="4" w:space="0" w:color="auto"/>
            </w:tcBorders>
            <w:vAlign w:val="center"/>
            <w:hideMark/>
          </w:tcPr>
          <w:p w:rsidR="005727C2" w:rsidRDefault="005727C2">
            <w:pPr>
              <w:autoSpaceDE w:val="0"/>
              <w:autoSpaceDN w:val="0"/>
              <w:adjustRightInd w:val="0"/>
              <w:spacing w:after="0" w:line="240" w:lineRule="auto"/>
              <w:jc w:val="center"/>
              <w:rPr>
                <w:lang w:eastAsia="en-US"/>
              </w:rPr>
            </w:pPr>
            <w:r>
              <w:rPr>
                <w:sz w:val="22"/>
                <w:szCs w:val="22"/>
                <w:lang w:eastAsia="en-US"/>
              </w:rPr>
              <w:t>28,85</w:t>
            </w:r>
          </w:p>
        </w:tc>
        <w:tc>
          <w:tcPr>
            <w:tcW w:w="1274" w:type="dxa"/>
            <w:tcBorders>
              <w:top w:val="single" w:sz="4" w:space="0" w:color="auto"/>
              <w:left w:val="single" w:sz="4" w:space="0" w:color="auto"/>
              <w:bottom w:val="single" w:sz="4" w:space="0" w:color="auto"/>
              <w:right w:val="single" w:sz="4" w:space="0" w:color="auto"/>
            </w:tcBorders>
            <w:vAlign w:val="center"/>
            <w:hideMark/>
          </w:tcPr>
          <w:p w:rsidR="005727C2" w:rsidRDefault="005727C2">
            <w:pPr>
              <w:autoSpaceDE w:val="0"/>
              <w:autoSpaceDN w:val="0"/>
              <w:adjustRightInd w:val="0"/>
              <w:spacing w:after="0" w:line="240" w:lineRule="auto"/>
              <w:jc w:val="center"/>
              <w:rPr>
                <w:lang w:eastAsia="en-US"/>
              </w:rPr>
            </w:pPr>
            <w:r>
              <w:rPr>
                <w:sz w:val="22"/>
                <w:szCs w:val="22"/>
                <w:lang w:eastAsia="en-US"/>
              </w:rPr>
              <w:t>62,91</w:t>
            </w:r>
          </w:p>
        </w:tc>
        <w:tc>
          <w:tcPr>
            <w:tcW w:w="710" w:type="dxa"/>
            <w:tcBorders>
              <w:top w:val="single" w:sz="4" w:space="0" w:color="auto"/>
              <w:left w:val="single" w:sz="4" w:space="0" w:color="auto"/>
              <w:bottom w:val="single" w:sz="4" w:space="0" w:color="auto"/>
              <w:right w:val="single" w:sz="4" w:space="0" w:color="auto"/>
            </w:tcBorders>
            <w:vAlign w:val="center"/>
            <w:hideMark/>
          </w:tcPr>
          <w:p w:rsidR="005727C2" w:rsidRDefault="005727C2">
            <w:pPr>
              <w:autoSpaceDE w:val="0"/>
              <w:autoSpaceDN w:val="0"/>
              <w:adjustRightInd w:val="0"/>
              <w:spacing w:after="0" w:line="240" w:lineRule="auto"/>
              <w:jc w:val="center"/>
              <w:rPr>
                <w:lang w:eastAsia="en-US"/>
              </w:rPr>
            </w:pPr>
            <w:r>
              <w:rPr>
                <w:sz w:val="22"/>
                <w:szCs w:val="22"/>
                <w:lang w:eastAsia="en-US"/>
              </w:rPr>
              <w:t>41,58</w:t>
            </w:r>
          </w:p>
        </w:tc>
        <w:tc>
          <w:tcPr>
            <w:tcW w:w="709" w:type="dxa"/>
            <w:tcBorders>
              <w:top w:val="single" w:sz="4" w:space="0" w:color="auto"/>
              <w:left w:val="single" w:sz="4" w:space="0" w:color="auto"/>
              <w:bottom w:val="single" w:sz="4" w:space="0" w:color="auto"/>
              <w:right w:val="single" w:sz="4" w:space="0" w:color="auto"/>
            </w:tcBorders>
            <w:vAlign w:val="center"/>
            <w:hideMark/>
          </w:tcPr>
          <w:p w:rsidR="005727C2" w:rsidRDefault="005727C2">
            <w:pPr>
              <w:autoSpaceDE w:val="0"/>
              <w:autoSpaceDN w:val="0"/>
              <w:adjustRightInd w:val="0"/>
              <w:spacing w:after="0" w:line="240" w:lineRule="auto"/>
              <w:jc w:val="center"/>
              <w:rPr>
                <w:lang w:eastAsia="en-US"/>
              </w:rPr>
            </w:pPr>
            <w:r>
              <w:rPr>
                <w:sz w:val="22"/>
                <w:szCs w:val="22"/>
                <w:lang w:eastAsia="en-US"/>
              </w:rPr>
              <w:t>81,82</w:t>
            </w:r>
          </w:p>
        </w:tc>
        <w:tc>
          <w:tcPr>
            <w:tcW w:w="851" w:type="dxa"/>
            <w:tcBorders>
              <w:top w:val="single" w:sz="4" w:space="0" w:color="auto"/>
              <w:left w:val="single" w:sz="4" w:space="0" w:color="auto"/>
              <w:bottom w:val="single" w:sz="4" w:space="0" w:color="auto"/>
              <w:right w:val="single" w:sz="4" w:space="0" w:color="auto"/>
            </w:tcBorders>
            <w:vAlign w:val="center"/>
            <w:hideMark/>
          </w:tcPr>
          <w:p w:rsidR="005727C2" w:rsidRDefault="005727C2">
            <w:pPr>
              <w:autoSpaceDE w:val="0"/>
              <w:autoSpaceDN w:val="0"/>
              <w:adjustRightInd w:val="0"/>
              <w:spacing w:after="0" w:line="240" w:lineRule="auto"/>
              <w:jc w:val="center"/>
              <w:rPr>
                <w:lang w:eastAsia="en-US"/>
              </w:rPr>
            </w:pPr>
            <w:r>
              <w:rPr>
                <w:sz w:val="22"/>
                <w:szCs w:val="22"/>
                <w:lang w:eastAsia="en-US"/>
              </w:rPr>
              <w:t>-40,24</w:t>
            </w:r>
          </w:p>
        </w:tc>
      </w:tr>
      <w:tr w:rsidR="005727C2" w:rsidTr="00533808">
        <w:trPr>
          <w:trHeight w:val="31"/>
        </w:trPr>
        <w:tc>
          <w:tcPr>
            <w:tcW w:w="534" w:type="dxa"/>
            <w:tcBorders>
              <w:top w:val="single" w:sz="4" w:space="0" w:color="auto"/>
              <w:left w:val="single" w:sz="4" w:space="0" w:color="auto"/>
              <w:bottom w:val="single" w:sz="4" w:space="0" w:color="auto"/>
              <w:right w:val="single" w:sz="4" w:space="0" w:color="auto"/>
            </w:tcBorders>
            <w:vAlign w:val="center"/>
            <w:hideMark/>
          </w:tcPr>
          <w:p w:rsidR="005727C2" w:rsidRDefault="005727C2">
            <w:pPr>
              <w:autoSpaceDE w:val="0"/>
              <w:autoSpaceDN w:val="0"/>
              <w:adjustRightInd w:val="0"/>
              <w:spacing w:after="0" w:line="240" w:lineRule="auto"/>
              <w:jc w:val="center"/>
              <w:rPr>
                <w:lang w:eastAsia="en-US"/>
              </w:rPr>
            </w:pPr>
            <w:r>
              <w:rPr>
                <w:sz w:val="22"/>
                <w:szCs w:val="22"/>
                <w:lang w:eastAsia="en-US"/>
              </w:rPr>
              <w:t>19</w:t>
            </w:r>
          </w:p>
        </w:tc>
        <w:tc>
          <w:tcPr>
            <w:tcW w:w="3824" w:type="dxa"/>
            <w:tcBorders>
              <w:top w:val="single" w:sz="4" w:space="0" w:color="auto"/>
              <w:left w:val="single" w:sz="4" w:space="0" w:color="auto"/>
              <w:bottom w:val="single" w:sz="4" w:space="0" w:color="auto"/>
              <w:right w:val="single" w:sz="4" w:space="0" w:color="auto"/>
            </w:tcBorders>
            <w:vAlign w:val="center"/>
            <w:hideMark/>
          </w:tcPr>
          <w:p w:rsidR="005727C2" w:rsidRDefault="005727C2">
            <w:pPr>
              <w:autoSpaceDE w:val="0"/>
              <w:autoSpaceDN w:val="0"/>
              <w:adjustRightInd w:val="0"/>
              <w:spacing w:after="0" w:line="240" w:lineRule="auto"/>
              <w:rPr>
                <w:lang w:eastAsia="en-US"/>
              </w:rPr>
            </w:pPr>
            <w:r>
              <w:rPr>
                <w:sz w:val="22"/>
                <w:szCs w:val="22"/>
                <w:lang w:eastAsia="en-US"/>
              </w:rPr>
              <w:t>Средний размер наложенного административного штрафа в т.ч. (в тыс. рублей):</w:t>
            </w:r>
          </w:p>
        </w:tc>
        <w:tc>
          <w:tcPr>
            <w:tcW w:w="1279" w:type="dxa"/>
            <w:tcBorders>
              <w:top w:val="single" w:sz="4" w:space="0" w:color="auto"/>
              <w:left w:val="single" w:sz="4" w:space="0" w:color="auto"/>
              <w:bottom w:val="single" w:sz="4" w:space="0" w:color="auto"/>
              <w:right w:val="single" w:sz="4" w:space="0" w:color="auto"/>
            </w:tcBorders>
            <w:vAlign w:val="center"/>
            <w:hideMark/>
          </w:tcPr>
          <w:p w:rsidR="005727C2" w:rsidRDefault="005727C2">
            <w:pPr>
              <w:autoSpaceDE w:val="0"/>
              <w:autoSpaceDN w:val="0"/>
              <w:adjustRightInd w:val="0"/>
              <w:spacing w:after="0" w:line="240" w:lineRule="auto"/>
              <w:jc w:val="center"/>
              <w:rPr>
                <w:lang w:eastAsia="en-US"/>
              </w:rPr>
            </w:pPr>
            <w:r>
              <w:rPr>
                <w:sz w:val="22"/>
                <w:szCs w:val="22"/>
                <w:lang w:eastAsia="en-US"/>
              </w:rPr>
              <w:t>38,42</w:t>
            </w:r>
          </w:p>
        </w:tc>
        <w:tc>
          <w:tcPr>
            <w:tcW w:w="1274" w:type="dxa"/>
            <w:tcBorders>
              <w:top w:val="single" w:sz="4" w:space="0" w:color="auto"/>
              <w:left w:val="single" w:sz="4" w:space="0" w:color="auto"/>
              <w:bottom w:val="single" w:sz="4" w:space="0" w:color="auto"/>
              <w:right w:val="single" w:sz="4" w:space="0" w:color="auto"/>
            </w:tcBorders>
            <w:vAlign w:val="center"/>
            <w:hideMark/>
          </w:tcPr>
          <w:p w:rsidR="005727C2" w:rsidRDefault="005727C2">
            <w:pPr>
              <w:autoSpaceDE w:val="0"/>
              <w:autoSpaceDN w:val="0"/>
              <w:adjustRightInd w:val="0"/>
              <w:spacing w:after="0" w:line="240" w:lineRule="auto"/>
              <w:jc w:val="center"/>
              <w:rPr>
                <w:lang w:eastAsia="en-US"/>
              </w:rPr>
            </w:pPr>
            <w:r>
              <w:rPr>
                <w:sz w:val="22"/>
                <w:szCs w:val="22"/>
                <w:lang w:eastAsia="en-US"/>
              </w:rPr>
              <w:t>68,75</w:t>
            </w:r>
          </w:p>
        </w:tc>
        <w:tc>
          <w:tcPr>
            <w:tcW w:w="710" w:type="dxa"/>
            <w:tcBorders>
              <w:top w:val="single" w:sz="4" w:space="0" w:color="auto"/>
              <w:left w:val="single" w:sz="4" w:space="0" w:color="auto"/>
              <w:bottom w:val="single" w:sz="4" w:space="0" w:color="auto"/>
              <w:right w:val="single" w:sz="4" w:space="0" w:color="auto"/>
            </w:tcBorders>
            <w:vAlign w:val="center"/>
            <w:hideMark/>
          </w:tcPr>
          <w:p w:rsidR="005727C2" w:rsidRDefault="005727C2">
            <w:pPr>
              <w:autoSpaceDE w:val="0"/>
              <w:autoSpaceDN w:val="0"/>
              <w:adjustRightInd w:val="0"/>
              <w:spacing w:after="0" w:line="240" w:lineRule="auto"/>
              <w:jc w:val="center"/>
              <w:rPr>
                <w:lang w:eastAsia="en-US"/>
              </w:rPr>
            </w:pPr>
            <w:r>
              <w:rPr>
                <w:sz w:val="22"/>
                <w:szCs w:val="22"/>
                <w:lang w:eastAsia="en-US"/>
              </w:rPr>
              <w:t>46,00</w:t>
            </w:r>
          </w:p>
        </w:tc>
        <w:tc>
          <w:tcPr>
            <w:tcW w:w="709" w:type="dxa"/>
            <w:tcBorders>
              <w:top w:val="single" w:sz="4" w:space="0" w:color="auto"/>
              <w:left w:val="single" w:sz="4" w:space="0" w:color="auto"/>
              <w:bottom w:val="single" w:sz="4" w:space="0" w:color="auto"/>
              <w:right w:val="single" w:sz="4" w:space="0" w:color="auto"/>
            </w:tcBorders>
            <w:vAlign w:val="center"/>
            <w:hideMark/>
          </w:tcPr>
          <w:p w:rsidR="005727C2" w:rsidRDefault="005727C2">
            <w:pPr>
              <w:autoSpaceDE w:val="0"/>
              <w:autoSpaceDN w:val="0"/>
              <w:adjustRightInd w:val="0"/>
              <w:spacing w:after="0" w:line="240" w:lineRule="auto"/>
              <w:jc w:val="center"/>
              <w:rPr>
                <w:lang w:eastAsia="en-US"/>
              </w:rPr>
            </w:pPr>
            <w:r>
              <w:rPr>
                <w:sz w:val="22"/>
                <w:szCs w:val="22"/>
                <w:lang w:eastAsia="en-US"/>
              </w:rPr>
              <w:t>55,00</w:t>
            </w:r>
          </w:p>
        </w:tc>
        <w:tc>
          <w:tcPr>
            <w:tcW w:w="851" w:type="dxa"/>
            <w:tcBorders>
              <w:top w:val="single" w:sz="4" w:space="0" w:color="auto"/>
              <w:left w:val="single" w:sz="4" w:space="0" w:color="auto"/>
              <w:bottom w:val="single" w:sz="4" w:space="0" w:color="auto"/>
              <w:right w:val="single" w:sz="4" w:space="0" w:color="auto"/>
            </w:tcBorders>
            <w:vAlign w:val="center"/>
            <w:hideMark/>
          </w:tcPr>
          <w:p w:rsidR="005727C2" w:rsidRDefault="005727C2">
            <w:pPr>
              <w:autoSpaceDE w:val="0"/>
              <w:autoSpaceDN w:val="0"/>
              <w:adjustRightInd w:val="0"/>
              <w:spacing w:after="0" w:line="240" w:lineRule="auto"/>
              <w:jc w:val="center"/>
              <w:rPr>
                <w:lang w:eastAsia="en-US"/>
              </w:rPr>
            </w:pPr>
            <w:r>
              <w:rPr>
                <w:sz w:val="22"/>
                <w:szCs w:val="22"/>
                <w:lang w:eastAsia="en-US"/>
              </w:rPr>
              <w:t>-9</w:t>
            </w:r>
          </w:p>
        </w:tc>
      </w:tr>
      <w:tr w:rsidR="005727C2" w:rsidTr="00533808">
        <w:trPr>
          <w:trHeight w:val="31"/>
        </w:trPr>
        <w:tc>
          <w:tcPr>
            <w:tcW w:w="534" w:type="dxa"/>
            <w:tcBorders>
              <w:top w:val="single" w:sz="4" w:space="0" w:color="auto"/>
              <w:left w:val="single" w:sz="4" w:space="0" w:color="auto"/>
              <w:bottom w:val="single" w:sz="4" w:space="0" w:color="auto"/>
              <w:right w:val="single" w:sz="4" w:space="0" w:color="auto"/>
            </w:tcBorders>
            <w:vAlign w:val="center"/>
          </w:tcPr>
          <w:p w:rsidR="005727C2" w:rsidRDefault="005727C2">
            <w:pPr>
              <w:autoSpaceDE w:val="0"/>
              <w:autoSpaceDN w:val="0"/>
              <w:adjustRightInd w:val="0"/>
              <w:spacing w:after="0" w:line="240" w:lineRule="auto"/>
              <w:jc w:val="center"/>
              <w:rPr>
                <w:lang w:eastAsia="en-US"/>
              </w:rPr>
            </w:pPr>
          </w:p>
        </w:tc>
        <w:tc>
          <w:tcPr>
            <w:tcW w:w="3824" w:type="dxa"/>
            <w:tcBorders>
              <w:top w:val="single" w:sz="4" w:space="0" w:color="auto"/>
              <w:left w:val="single" w:sz="4" w:space="0" w:color="auto"/>
              <w:bottom w:val="single" w:sz="4" w:space="0" w:color="auto"/>
              <w:right w:val="single" w:sz="4" w:space="0" w:color="auto"/>
            </w:tcBorders>
            <w:vAlign w:val="center"/>
            <w:hideMark/>
          </w:tcPr>
          <w:p w:rsidR="005727C2" w:rsidRDefault="005727C2">
            <w:pPr>
              <w:autoSpaceDE w:val="0"/>
              <w:autoSpaceDN w:val="0"/>
              <w:adjustRightInd w:val="0"/>
              <w:spacing w:after="0" w:line="240" w:lineRule="auto"/>
              <w:rPr>
                <w:lang w:eastAsia="en-US"/>
              </w:rPr>
            </w:pPr>
            <w:r>
              <w:rPr>
                <w:sz w:val="22"/>
                <w:szCs w:val="22"/>
                <w:lang w:eastAsia="en-US"/>
              </w:rPr>
              <w:t>на должностных лиц</w:t>
            </w:r>
          </w:p>
        </w:tc>
        <w:tc>
          <w:tcPr>
            <w:tcW w:w="1279" w:type="dxa"/>
            <w:tcBorders>
              <w:top w:val="single" w:sz="4" w:space="0" w:color="auto"/>
              <w:left w:val="single" w:sz="4" w:space="0" w:color="auto"/>
              <w:bottom w:val="single" w:sz="4" w:space="0" w:color="auto"/>
              <w:right w:val="single" w:sz="4" w:space="0" w:color="auto"/>
            </w:tcBorders>
            <w:vAlign w:val="center"/>
            <w:hideMark/>
          </w:tcPr>
          <w:p w:rsidR="005727C2" w:rsidRDefault="005727C2">
            <w:pPr>
              <w:autoSpaceDE w:val="0"/>
              <w:autoSpaceDN w:val="0"/>
              <w:adjustRightInd w:val="0"/>
              <w:spacing w:after="0" w:line="240" w:lineRule="auto"/>
              <w:jc w:val="center"/>
              <w:rPr>
                <w:lang w:eastAsia="en-US"/>
              </w:rPr>
            </w:pPr>
            <w:r>
              <w:rPr>
                <w:sz w:val="22"/>
                <w:szCs w:val="22"/>
                <w:lang w:eastAsia="en-US"/>
              </w:rPr>
              <w:t>18,50</w:t>
            </w:r>
          </w:p>
        </w:tc>
        <w:tc>
          <w:tcPr>
            <w:tcW w:w="1274" w:type="dxa"/>
            <w:tcBorders>
              <w:top w:val="single" w:sz="4" w:space="0" w:color="auto"/>
              <w:left w:val="single" w:sz="4" w:space="0" w:color="auto"/>
              <w:bottom w:val="single" w:sz="4" w:space="0" w:color="auto"/>
              <w:right w:val="single" w:sz="4" w:space="0" w:color="auto"/>
            </w:tcBorders>
            <w:vAlign w:val="center"/>
            <w:hideMark/>
          </w:tcPr>
          <w:p w:rsidR="005727C2" w:rsidRDefault="005727C2">
            <w:pPr>
              <w:autoSpaceDE w:val="0"/>
              <w:autoSpaceDN w:val="0"/>
              <w:adjustRightInd w:val="0"/>
              <w:spacing w:after="0" w:line="240" w:lineRule="auto"/>
              <w:jc w:val="center"/>
              <w:rPr>
                <w:lang w:eastAsia="en-US"/>
              </w:rPr>
            </w:pPr>
            <w:r>
              <w:rPr>
                <w:sz w:val="22"/>
                <w:szCs w:val="22"/>
                <w:lang w:eastAsia="en-US"/>
              </w:rPr>
              <w:t>25,00</w:t>
            </w:r>
          </w:p>
        </w:tc>
        <w:tc>
          <w:tcPr>
            <w:tcW w:w="710" w:type="dxa"/>
            <w:tcBorders>
              <w:top w:val="single" w:sz="4" w:space="0" w:color="auto"/>
              <w:left w:val="single" w:sz="4" w:space="0" w:color="auto"/>
              <w:bottom w:val="single" w:sz="4" w:space="0" w:color="auto"/>
              <w:right w:val="single" w:sz="4" w:space="0" w:color="auto"/>
            </w:tcBorders>
            <w:vAlign w:val="center"/>
            <w:hideMark/>
          </w:tcPr>
          <w:p w:rsidR="005727C2" w:rsidRDefault="005727C2">
            <w:pPr>
              <w:autoSpaceDE w:val="0"/>
              <w:autoSpaceDN w:val="0"/>
              <w:adjustRightInd w:val="0"/>
              <w:spacing w:after="0" w:line="240" w:lineRule="auto"/>
              <w:jc w:val="center"/>
              <w:rPr>
                <w:lang w:eastAsia="en-US"/>
              </w:rPr>
            </w:pPr>
            <w:r>
              <w:rPr>
                <w:sz w:val="22"/>
                <w:szCs w:val="22"/>
                <w:lang w:eastAsia="en-US"/>
              </w:rPr>
              <w:t>19,43</w:t>
            </w:r>
          </w:p>
        </w:tc>
        <w:tc>
          <w:tcPr>
            <w:tcW w:w="709" w:type="dxa"/>
            <w:tcBorders>
              <w:top w:val="single" w:sz="4" w:space="0" w:color="auto"/>
              <w:left w:val="single" w:sz="4" w:space="0" w:color="auto"/>
              <w:bottom w:val="single" w:sz="4" w:space="0" w:color="auto"/>
              <w:right w:val="single" w:sz="4" w:space="0" w:color="auto"/>
            </w:tcBorders>
            <w:vAlign w:val="center"/>
            <w:hideMark/>
          </w:tcPr>
          <w:p w:rsidR="005727C2" w:rsidRDefault="005727C2">
            <w:pPr>
              <w:autoSpaceDE w:val="0"/>
              <w:autoSpaceDN w:val="0"/>
              <w:adjustRightInd w:val="0"/>
              <w:spacing w:after="0" w:line="240" w:lineRule="auto"/>
              <w:jc w:val="center"/>
              <w:rPr>
                <w:lang w:eastAsia="en-US"/>
              </w:rPr>
            </w:pPr>
            <w:r>
              <w:rPr>
                <w:sz w:val="22"/>
                <w:szCs w:val="22"/>
                <w:lang w:eastAsia="en-US"/>
              </w:rPr>
              <w:t>25,00</w:t>
            </w:r>
          </w:p>
        </w:tc>
        <w:tc>
          <w:tcPr>
            <w:tcW w:w="851" w:type="dxa"/>
            <w:tcBorders>
              <w:top w:val="single" w:sz="4" w:space="0" w:color="auto"/>
              <w:left w:val="single" w:sz="4" w:space="0" w:color="auto"/>
              <w:bottom w:val="single" w:sz="4" w:space="0" w:color="auto"/>
              <w:right w:val="single" w:sz="4" w:space="0" w:color="auto"/>
            </w:tcBorders>
            <w:vAlign w:val="center"/>
            <w:hideMark/>
          </w:tcPr>
          <w:p w:rsidR="005727C2" w:rsidRDefault="005727C2">
            <w:pPr>
              <w:autoSpaceDE w:val="0"/>
              <w:autoSpaceDN w:val="0"/>
              <w:adjustRightInd w:val="0"/>
              <w:spacing w:after="0" w:line="240" w:lineRule="auto"/>
              <w:jc w:val="center"/>
              <w:rPr>
                <w:lang w:eastAsia="en-US"/>
              </w:rPr>
            </w:pPr>
            <w:r>
              <w:rPr>
                <w:sz w:val="22"/>
                <w:szCs w:val="22"/>
                <w:lang w:eastAsia="en-US"/>
              </w:rPr>
              <w:t>-5,57</w:t>
            </w:r>
          </w:p>
        </w:tc>
      </w:tr>
      <w:tr w:rsidR="005727C2" w:rsidTr="00533808">
        <w:trPr>
          <w:trHeight w:val="31"/>
        </w:trPr>
        <w:tc>
          <w:tcPr>
            <w:tcW w:w="534" w:type="dxa"/>
            <w:tcBorders>
              <w:top w:val="single" w:sz="4" w:space="0" w:color="auto"/>
              <w:left w:val="single" w:sz="4" w:space="0" w:color="auto"/>
              <w:bottom w:val="single" w:sz="4" w:space="0" w:color="auto"/>
              <w:right w:val="single" w:sz="4" w:space="0" w:color="auto"/>
            </w:tcBorders>
            <w:vAlign w:val="center"/>
          </w:tcPr>
          <w:p w:rsidR="005727C2" w:rsidRDefault="005727C2">
            <w:pPr>
              <w:autoSpaceDE w:val="0"/>
              <w:autoSpaceDN w:val="0"/>
              <w:adjustRightInd w:val="0"/>
              <w:spacing w:after="0" w:line="240" w:lineRule="auto"/>
              <w:jc w:val="center"/>
              <w:rPr>
                <w:lang w:eastAsia="en-US"/>
              </w:rPr>
            </w:pPr>
          </w:p>
        </w:tc>
        <w:tc>
          <w:tcPr>
            <w:tcW w:w="3824" w:type="dxa"/>
            <w:tcBorders>
              <w:top w:val="single" w:sz="4" w:space="0" w:color="auto"/>
              <w:left w:val="single" w:sz="4" w:space="0" w:color="auto"/>
              <w:bottom w:val="single" w:sz="4" w:space="0" w:color="auto"/>
              <w:right w:val="single" w:sz="4" w:space="0" w:color="auto"/>
            </w:tcBorders>
            <w:vAlign w:val="center"/>
            <w:hideMark/>
          </w:tcPr>
          <w:p w:rsidR="005727C2" w:rsidRDefault="005727C2">
            <w:pPr>
              <w:autoSpaceDE w:val="0"/>
              <w:autoSpaceDN w:val="0"/>
              <w:adjustRightInd w:val="0"/>
              <w:spacing w:after="0" w:line="240" w:lineRule="auto"/>
              <w:rPr>
                <w:lang w:eastAsia="en-US"/>
              </w:rPr>
            </w:pPr>
            <w:r>
              <w:rPr>
                <w:sz w:val="22"/>
                <w:szCs w:val="22"/>
                <w:lang w:eastAsia="en-US"/>
              </w:rPr>
              <w:t>на юридических лиц</w:t>
            </w:r>
          </w:p>
        </w:tc>
        <w:tc>
          <w:tcPr>
            <w:tcW w:w="1279" w:type="dxa"/>
            <w:tcBorders>
              <w:top w:val="single" w:sz="4" w:space="0" w:color="auto"/>
              <w:left w:val="single" w:sz="4" w:space="0" w:color="auto"/>
              <w:bottom w:val="single" w:sz="4" w:space="0" w:color="auto"/>
              <w:right w:val="single" w:sz="4" w:space="0" w:color="auto"/>
            </w:tcBorders>
            <w:vAlign w:val="center"/>
            <w:hideMark/>
          </w:tcPr>
          <w:p w:rsidR="005727C2" w:rsidRDefault="005727C2">
            <w:pPr>
              <w:autoSpaceDE w:val="0"/>
              <w:autoSpaceDN w:val="0"/>
              <w:adjustRightInd w:val="0"/>
              <w:spacing w:after="0" w:line="240" w:lineRule="auto"/>
              <w:jc w:val="center"/>
              <w:rPr>
                <w:lang w:eastAsia="en-US"/>
              </w:rPr>
            </w:pPr>
            <w:r>
              <w:rPr>
                <w:sz w:val="22"/>
                <w:szCs w:val="22"/>
                <w:lang w:eastAsia="en-US"/>
              </w:rPr>
              <w:t>58,33</w:t>
            </w:r>
          </w:p>
        </w:tc>
        <w:tc>
          <w:tcPr>
            <w:tcW w:w="1274" w:type="dxa"/>
            <w:tcBorders>
              <w:top w:val="single" w:sz="4" w:space="0" w:color="auto"/>
              <w:left w:val="single" w:sz="4" w:space="0" w:color="auto"/>
              <w:bottom w:val="single" w:sz="4" w:space="0" w:color="auto"/>
              <w:right w:val="single" w:sz="4" w:space="0" w:color="auto"/>
            </w:tcBorders>
            <w:vAlign w:val="center"/>
            <w:hideMark/>
          </w:tcPr>
          <w:p w:rsidR="005727C2" w:rsidRDefault="005727C2">
            <w:pPr>
              <w:autoSpaceDE w:val="0"/>
              <w:autoSpaceDN w:val="0"/>
              <w:adjustRightInd w:val="0"/>
              <w:spacing w:after="0" w:line="240" w:lineRule="auto"/>
              <w:jc w:val="center"/>
              <w:rPr>
                <w:lang w:eastAsia="en-US"/>
              </w:rPr>
            </w:pPr>
            <w:r>
              <w:rPr>
                <w:sz w:val="22"/>
                <w:szCs w:val="22"/>
                <w:lang w:eastAsia="en-US"/>
              </w:rPr>
              <w:t>83,33</w:t>
            </w:r>
          </w:p>
        </w:tc>
        <w:tc>
          <w:tcPr>
            <w:tcW w:w="710" w:type="dxa"/>
            <w:tcBorders>
              <w:top w:val="single" w:sz="4" w:space="0" w:color="auto"/>
              <w:left w:val="single" w:sz="4" w:space="0" w:color="auto"/>
              <w:bottom w:val="single" w:sz="4" w:space="0" w:color="auto"/>
              <w:right w:val="single" w:sz="4" w:space="0" w:color="auto"/>
            </w:tcBorders>
            <w:vAlign w:val="center"/>
            <w:hideMark/>
          </w:tcPr>
          <w:p w:rsidR="005727C2" w:rsidRDefault="005727C2">
            <w:pPr>
              <w:autoSpaceDE w:val="0"/>
              <w:autoSpaceDN w:val="0"/>
              <w:adjustRightInd w:val="0"/>
              <w:spacing w:after="0" w:line="240" w:lineRule="auto"/>
              <w:jc w:val="center"/>
              <w:rPr>
                <w:lang w:eastAsia="en-US"/>
              </w:rPr>
            </w:pPr>
            <w:r>
              <w:rPr>
                <w:sz w:val="22"/>
                <w:szCs w:val="22"/>
                <w:lang w:eastAsia="en-US"/>
              </w:rPr>
              <w:t>66,67</w:t>
            </w:r>
          </w:p>
        </w:tc>
        <w:tc>
          <w:tcPr>
            <w:tcW w:w="709" w:type="dxa"/>
            <w:tcBorders>
              <w:top w:val="single" w:sz="4" w:space="0" w:color="auto"/>
              <w:left w:val="single" w:sz="4" w:space="0" w:color="auto"/>
              <w:bottom w:val="single" w:sz="4" w:space="0" w:color="auto"/>
              <w:right w:val="single" w:sz="4" w:space="0" w:color="auto"/>
            </w:tcBorders>
            <w:vAlign w:val="center"/>
            <w:hideMark/>
          </w:tcPr>
          <w:p w:rsidR="005727C2" w:rsidRDefault="005727C2">
            <w:pPr>
              <w:autoSpaceDE w:val="0"/>
              <w:autoSpaceDN w:val="0"/>
              <w:adjustRightInd w:val="0"/>
              <w:spacing w:after="0" w:line="240" w:lineRule="auto"/>
              <w:jc w:val="center"/>
              <w:rPr>
                <w:lang w:eastAsia="en-US"/>
              </w:rPr>
            </w:pPr>
            <w:r>
              <w:rPr>
                <w:sz w:val="22"/>
                <w:szCs w:val="22"/>
                <w:lang w:eastAsia="en-US"/>
              </w:rPr>
              <w:t>62,50</w:t>
            </w:r>
          </w:p>
        </w:tc>
        <w:tc>
          <w:tcPr>
            <w:tcW w:w="851" w:type="dxa"/>
            <w:tcBorders>
              <w:top w:val="single" w:sz="4" w:space="0" w:color="auto"/>
              <w:left w:val="single" w:sz="4" w:space="0" w:color="auto"/>
              <w:bottom w:val="single" w:sz="4" w:space="0" w:color="auto"/>
              <w:right w:val="single" w:sz="4" w:space="0" w:color="auto"/>
            </w:tcBorders>
            <w:vAlign w:val="center"/>
            <w:hideMark/>
          </w:tcPr>
          <w:p w:rsidR="005727C2" w:rsidRDefault="005727C2">
            <w:pPr>
              <w:autoSpaceDE w:val="0"/>
              <w:autoSpaceDN w:val="0"/>
              <w:adjustRightInd w:val="0"/>
              <w:spacing w:after="0" w:line="240" w:lineRule="auto"/>
              <w:jc w:val="center"/>
              <w:rPr>
                <w:lang w:eastAsia="en-US"/>
              </w:rPr>
            </w:pPr>
            <w:r>
              <w:rPr>
                <w:sz w:val="22"/>
                <w:szCs w:val="22"/>
                <w:lang w:eastAsia="en-US"/>
              </w:rPr>
              <w:t>+4,17</w:t>
            </w:r>
          </w:p>
        </w:tc>
      </w:tr>
      <w:tr w:rsidR="005727C2" w:rsidTr="00533808">
        <w:trPr>
          <w:trHeight w:val="31"/>
        </w:trPr>
        <w:tc>
          <w:tcPr>
            <w:tcW w:w="534" w:type="dxa"/>
            <w:tcBorders>
              <w:top w:val="single" w:sz="4" w:space="0" w:color="auto"/>
              <w:left w:val="single" w:sz="4" w:space="0" w:color="auto"/>
              <w:bottom w:val="single" w:sz="4" w:space="0" w:color="auto"/>
              <w:right w:val="single" w:sz="4" w:space="0" w:color="auto"/>
            </w:tcBorders>
            <w:vAlign w:val="center"/>
            <w:hideMark/>
          </w:tcPr>
          <w:p w:rsidR="005727C2" w:rsidRDefault="005727C2">
            <w:pPr>
              <w:autoSpaceDE w:val="0"/>
              <w:autoSpaceDN w:val="0"/>
              <w:adjustRightInd w:val="0"/>
              <w:spacing w:after="0" w:line="240" w:lineRule="auto"/>
              <w:jc w:val="center"/>
              <w:rPr>
                <w:lang w:eastAsia="en-US"/>
              </w:rPr>
            </w:pPr>
            <w:r>
              <w:rPr>
                <w:sz w:val="22"/>
                <w:szCs w:val="22"/>
                <w:lang w:eastAsia="en-US"/>
              </w:rPr>
              <w:t>20</w:t>
            </w:r>
          </w:p>
        </w:tc>
        <w:tc>
          <w:tcPr>
            <w:tcW w:w="3824" w:type="dxa"/>
            <w:tcBorders>
              <w:top w:val="single" w:sz="4" w:space="0" w:color="auto"/>
              <w:left w:val="single" w:sz="4" w:space="0" w:color="auto"/>
              <w:bottom w:val="single" w:sz="4" w:space="0" w:color="auto"/>
              <w:right w:val="single" w:sz="4" w:space="0" w:color="auto"/>
            </w:tcBorders>
            <w:vAlign w:val="center"/>
            <w:hideMark/>
          </w:tcPr>
          <w:p w:rsidR="005727C2" w:rsidRDefault="005727C2">
            <w:pPr>
              <w:autoSpaceDE w:val="0"/>
              <w:autoSpaceDN w:val="0"/>
              <w:adjustRightInd w:val="0"/>
              <w:spacing w:after="0" w:line="240" w:lineRule="auto"/>
              <w:rPr>
                <w:lang w:eastAsia="en-US"/>
              </w:rPr>
            </w:pPr>
            <w:r>
              <w:rPr>
                <w:sz w:val="22"/>
                <w:szCs w:val="22"/>
                <w:lang w:eastAsia="en-US"/>
              </w:rPr>
              <w:t>Доля проверок, по результатам которых материалы о выявленных нарушениях переданы в уполномоченные органы для возбуждения уголовных дел (в процентах от общего количества проверок, в результате которых выявлены нарушения обязательных требований)</w:t>
            </w:r>
          </w:p>
        </w:tc>
        <w:tc>
          <w:tcPr>
            <w:tcW w:w="1279" w:type="dxa"/>
            <w:tcBorders>
              <w:top w:val="single" w:sz="4" w:space="0" w:color="auto"/>
              <w:left w:val="single" w:sz="4" w:space="0" w:color="auto"/>
              <w:bottom w:val="single" w:sz="4" w:space="0" w:color="auto"/>
              <w:right w:val="single" w:sz="4" w:space="0" w:color="auto"/>
            </w:tcBorders>
            <w:vAlign w:val="center"/>
            <w:hideMark/>
          </w:tcPr>
          <w:p w:rsidR="005727C2" w:rsidRDefault="005727C2">
            <w:pPr>
              <w:autoSpaceDE w:val="0"/>
              <w:autoSpaceDN w:val="0"/>
              <w:adjustRightInd w:val="0"/>
              <w:spacing w:after="0" w:line="240" w:lineRule="auto"/>
              <w:jc w:val="center"/>
              <w:rPr>
                <w:lang w:eastAsia="en-US"/>
              </w:rPr>
            </w:pPr>
            <w:r>
              <w:rPr>
                <w:sz w:val="22"/>
                <w:szCs w:val="22"/>
                <w:lang w:eastAsia="en-US"/>
              </w:rPr>
              <w:t>0</w:t>
            </w:r>
          </w:p>
        </w:tc>
        <w:tc>
          <w:tcPr>
            <w:tcW w:w="1274" w:type="dxa"/>
            <w:tcBorders>
              <w:top w:val="single" w:sz="4" w:space="0" w:color="auto"/>
              <w:left w:val="single" w:sz="4" w:space="0" w:color="auto"/>
              <w:bottom w:val="single" w:sz="4" w:space="0" w:color="auto"/>
              <w:right w:val="single" w:sz="4" w:space="0" w:color="auto"/>
            </w:tcBorders>
            <w:vAlign w:val="center"/>
            <w:hideMark/>
          </w:tcPr>
          <w:p w:rsidR="005727C2" w:rsidRDefault="005727C2">
            <w:pPr>
              <w:autoSpaceDE w:val="0"/>
              <w:autoSpaceDN w:val="0"/>
              <w:adjustRightInd w:val="0"/>
              <w:spacing w:after="0" w:line="240" w:lineRule="auto"/>
              <w:jc w:val="center"/>
              <w:rPr>
                <w:lang w:eastAsia="en-US"/>
              </w:rPr>
            </w:pPr>
            <w:r>
              <w:rPr>
                <w:sz w:val="22"/>
                <w:szCs w:val="22"/>
                <w:lang w:eastAsia="en-US"/>
              </w:rPr>
              <w:t>0</w:t>
            </w:r>
          </w:p>
        </w:tc>
        <w:tc>
          <w:tcPr>
            <w:tcW w:w="710" w:type="dxa"/>
            <w:tcBorders>
              <w:top w:val="single" w:sz="4" w:space="0" w:color="auto"/>
              <w:left w:val="single" w:sz="4" w:space="0" w:color="auto"/>
              <w:bottom w:val="single" w:sz="4" w:space="0" w:color="auto"/>
              <w:right w:val="single" w:sz="4" w:space="0" w:color="auto"/>
            </w:tcBorders>
            <w:vAlign w:val="center"/>
            <w:hideMark/>
          </w:tcPr>
          <w:p w:rsidR="005727C2" w:rsidRDefault="005727C2">
            <w:pPr>
              <w:autoSpaceDE w:val="0"/>
              <w:autoSpaceDN w:val="0"/>
              <w:adjustRightInd w:val="0"/>
              <w:spacing w:after="0" w:line="240" w:lineRule="auto"/>
              <w:jc w:val="center"/>
              <w:rPr>
                <w:lang w:eastAsia="en-US"/>
              </w:rPr>
            </w:pPr>
            <w:r>
              <w:rPr>
                <w:sz w:val="22"/>
                <w:szCs w:val="22"/>
                <w:lang w:eastAsia="en-US"/>
              </w:rPr>
              <w:t>0</w:t>
            </w:r>
          </w:p>
        </w:tc>
        <w:tc>
          <w:tcPr>
            <w:tcW w:w="709" w:type="dxa"/>
            <w:tcBorders>
              <w:top w:val="single" w:sz="4" w:space="0" w:color="auto"/>
              <w:left w:val="single" w:sz="4" w:space="0" w:color="auto"/>
              <w:bottom w:val="single" w:sz="4" w:space="0" w:color="auto"/>
              <w:right w:val="single" w:sz="4" w:space="0" w:color="auto"/>
            </w:tcBorders>
            <w:vAlign w:val="center"/>
            <w:hideMark/>
          </w:tcPr>
          <w:p w:rsidR="005727C2" w:rsidRDefault="005727C2">
            <w:pPr>
              <w:autoSpaceDE w:val="0"/>
              <w:autoSpaceDN w:val="0"/>
              <w:adjustRightInd w:val="0"/>
              <w:spacing w:after="0" w:line="240" w:lineRule="auto"/>
              <w:jc w:val="center"/>
              <w:rPr>
                <w:lang w:eastAsia="en-US"/>
              </w:rPr>
            </w:pPr>
            <w:r>
              <w:rPr>
                <w:sz w:val="22"/>
                <w:szCs w:val="22"/>
                <w:lang w:eastAsia="en-US"/>
              </w:rPr>
              <w:t>0</w:t>
            </w:r>
          </w:p>
        </w:tc>
        <w:tc>
          <w:tcPr>
            <w:tcW w:w="851" w:type="dxa"/>
            <w:tcBorders>
              <w:top w:val="single" w:sz="4" w:space="0" w:color="auto"/>
              <w:left w:val="single" w:sz="4" w:space="0" w:color="auto"/>
              <w:bottom w:val="single" w:sz="4" w:space="0" w:color="auto"/>
              <w:right w:val="single" w:sz="4" w:space="0" w:color="auto"/>
            </w:tcBorders>
            <w:vAlign w:val="center"/>
            <w:hideMark/>
          </w:tcPr>
          <w:p w:rsidR="005727C2" w:rsidRDefault="005727C2">
            <w:pPr>
              <w:autoSpaceDE w:val="0"/>
              <w:autoSpaceDN w:val="0"/>
              <w:adjustRightInd w:val="0"/>
              <w:spacing w:after="0" w:line="240" w:lineRule="auto"/>
              <w:jc w:val="center"/>
              <w:rPr>
                <w:lang w:eastAsia="en-US"/>
              </w:rPr>
            </w:pPr>
            <w:r>
              <w:rPr>
                <w:sz w:val="22"/>
                <w:szCs w:val="22"/>
                <w:lang w:eastAsia="en-US"/>
              </w:rPr>
              <w:t>0</w:t>
            </w:r>
          </w:p>
        </w:tc>
      </w:tr>
    </w:tbl>
    <w:p w:rsidR="005727C2" w:rsidRDefault="005727C2" w:rsidP="005727C2">
      <w:pPr>
        <w:pStyle w:val="17"/>
        <w:shd w:val="clear" w:color="auto" w:fill="auto"/>
        <w:spacing w:before="0" w:line="240" w:lineRule="auto"/>
        <w:ind w:left="20" w:right="40" w:firstLine="709"/>
      </w:pPr>
      <w:r>
        <w:lastRenderedPageBreak/>
        <w:t>__________</w:t>
      </w:r>
    </w:p>
    <w:p w:rsidR="005727C2" w:rsidRDefault="005727C2" w:rsidP="005727C2">
      <w:pPr>
        <w:autoSpaceDE w:val="0"/>
        <w:autoSpaceDN w:val="0"/>
        <w:adjustRightInd w:val="0"/>
        <w:spacing w:after="0" w:line="240" w:lineRule="auto"/>
        <w:ind w:firstLine="709"/>
        <w:jc w:val="both"/>
      </w:pPr>
      <w:r>
        <w:t xml:space="preserve">Примечание: </w:t>
      </w:r>
    </w:p>
    <w:p w:rsidR="005727C2" w:rsidRDefault="005727C2" w:rsidP="005727C2">
      <w:pPr>
        <w:autoSpaceDE w:val="0"/>
        <w:autoSpaceDN w:val="0"/>
        <w:adjustRightInd w:val="0"/>
        <w:spacing w:after="0" w:line="240" w:lineRule="auto"/>
        <w:ind w:firstLine="709"/>
        <w:jc w:val="both"/>
      </w:pPr>
      <w:r>
        <w:t>* приводится в сравнении показателей 2019 года с показателями 2018 года, при этом «+» - увеличение значения, «-» уменьшение значения;</w:t>
      </w:r>
    </w:p>
    <w:p w:rsidR="005727C2" w:rsidRDefault="005727C2" w:rsidP="005727C2">
      <w:pPr>
        <w:autoSpaceDE w:val="0"/>
        <w:autoSpaceDN w:val="0"/>
        <w:adjustRightInd w:val="0"/>
        <w:spacing w:after="0" w:line="240" w:lineRule="auto"/>
        <w:ind w:firstLine="709"/>
        <w:jc w:val="both"/>
      </w:pPr>
      <w:r>
        <w:t>** в общей сумме наложенных административных штрафов, в том числе учтены суммы наложенных штрафов, срок уплаты которых еще не наступил в 2019 году.</w:t>
      </w:r>
    </w:p>
    <w:p w:rsidR="005727C2" w:rsidRDefault="005727C2" w:rsidP="005727C2">
      <w:pPr>
        <w:autoSpaceDE w:val="0"/>
        <w:autoSpaceDN w:val="0"/>
        <w:adjustRightInd w:val="0"/>
        <w:spacing w:after="0" w:line="240" w:lineRule="auto"/>
        <w:ind w:firstLine="709"/>
        <w:jc w:val="both"/>
        <w:rPr>
          <w:sz w:val="28"/>
          <w:szCs w:val="28"/>
        </w:rPr>
      </w:pPr>
    </w:p>
    <w:p w:rsidR="005727C2" w:rsidRDefault="005727C2" w:rsidP="005727C2">
      <w:pPr>
        <w:autoSpaceDE w:val="0"/>
        <w:autoSpaceDN w:val="0"/>
        <w:adjustRightInd w:val="0"/>
        <w:spacing w:after="0" w:line="240" w:lineRule="auto"/>
        <w:ind w:firstLine="709"/>
        <w:jc w:val="both"/>
        <w:rPr>
          <w:rFonts w:eastAsia="Calibri"/>
          <w:sz w:val="28"/>
          <w:szCs w:val="28"/>
        </w:rPr>
      </w:pPr>
      <w:r>
        <w:rPr>
          <w:sz w:val="28"/>
          <w:szCs w:val="28"/>
        </w:rPr>
        <w:t xml:space="preserve">Увеличение количества нарушений, выявленных в ходе внеплановых проверок, связано: с неисполнением подконтрольными субъектами в установленный срок предписаний об устранении нарушений обязательных требований, выданных департаментом по результатам плановых/внеплановых проверок; с выявлением нарушений обязательных требований в ходе внеплановых проверок, проведенных на основании требований органов прокуратуры, а также в отношении субъектов естественных монополий на основании статьи 7 </w:t>
      </w:r>
      <w:r>
        <w:rPr>
          <w:rFonts w:eastAsia="Calibri"/>
          <w:sz w:val="28"/>
          <w:szCs w:val="28"/>
        </w:rPr>
        <w:t>Федерального закона от 17.08.1995 № 147-ФЗ «О естественных монополиях».</w:t>
      </w:r>
    </w:p>
    <w:p w:rsidR="005727C2" w:rsidRDefault="005727C2" w:rsidP="005727C2">
      <w:pPr>
        <w:autoSpaceDE w:val="0"/>
        <w:autoSpaceDN w:val="0"/>
        <w:adjustRightInd w:val="0"/>
        <w:spacing w:after="0" w:line="240" w:lineRule="auto"/>
        <w:ind w:firstLine="709"/>
        <w:jc w:val="both"/>
        <w:rPr>
          <w:bCs/>
          <w:sz w:val="28"/>
          <w:szCs w:val="28"/>
        </w:rPr>
      </w:pPr>
      <w:r>
        <w:rPr>
          <w:bCs/>
          <w:sz w:val="28"/>
          <w:szCs w:val="28"/>
        </w:rPr>
        <w:t>Рост показателя «Доля проверок, по итогам которых выявлены правонарушения (в процентах от общего числа проведенных плановых и внеплановых проверок)» кроме вышеуказанных причин также обусловлен повышением эффективности планирования контрольных мероприятий.</w:t>
      </w:r>
    </w:p>
    <w:p w:rsidR="005727C2" w:rsidRDefault="005727C2" w:rsidP="005727C2">
      <w:pPr>
        <w:autoSpaceDE w:val="0"/>
        <w:autoSpaceDN w:val="0"/>
        <w:adjustRightInd w:val="0"/>
        <w:spacing w:after="0" w:line="240" w:lineRule="auto"/>
        <w:ind w:firstLine="709"/>
        <w:jc w:val="both"/>
        <w:rPr>
          <w:sz w:val="28"/>
          <w:szCs w:val="28"/>
        </w:rPr>
      </w:pPr>
      <w:r>
        <w:rPr>
          <w:sz w:val="28"/>
          <w:szCs w:val="28"/>
        </w:rPr>
        <w:t>Отношение суммы взысканных административных штрафов к общей сумме наложенных административных штрафов снизилось на 49% в сравнении с 2018 годом в связи тем, что на конец отчетного 2019 года сроки уплаты штрафов, наложенных в 2019 году, еще не наступили.</w:t>
      </w:r>
    </w:p>
    <w:p w:rsidR="005727C2" w:rsidRDefault="005727C2" w:rsidP="005727C2">
      <w:pPr>
        <w:autoSpaceDE w:val="0"/>
        <w:autoSpaceDN w:val="0"/>
        <w:adjustRightInd w:val="0"/>
        <w:spacing w:after="0" w:line="240" w:lineRule="auto"/>
        <w:ind w:firstLine="709"/>
        <w:jc w:val="both"/>
        <w:rPr>
          <w:sz w:val="28"/>
          <w:szCs w:val="28"/>
        </w:rPr>
      </w:pPr>
      <w:r>
        <w:rPr>
          <w:sz w:val="28"/>
          <w:szCs w:val="28"/>
        </w:rPr>
        <w:t>Средний размер штрафа, наложенного на должностное лицо, увеличился в 2018 году, т.к. в 2017 году на должностных лиц штрафы не накладывались.</w:t>
      </w:r>
    </w:p>
    <w:p w:rsidR="005727C2" w:rsidRDefault="005727C2" w:rsidP="005727C2">
      <w:pPr>
        <w:autoSpaceDE w:val="0"/>
        <w:autoSpaceDN w:val="0"/>
        <w:adjustRightInd w:val="0"/>
        <w:spacing w:after="0" w:line="240" w:lineRule="auto"/>
        <w:ind w:firstLine="709"/>
        <w:jc w:val="both"/>
        <w:rPr>
          <w:sz w:val="28"/>
          <w:szCs w:val="28"/>
        </w:rPr>
      </w:pPr>
      <w:r>
        <w:rPr>
          <w:sz w:val="28"/>
          <w:szCs w:val="28"/>
        </w:rPr>
        <w:t>Оценка ущерба, предотвращенного в результате осуществления департаментом контроля (надзора), не проводилась, поскольку методики расчета размеров такого ущерба отсутствуют.</w:t>
      </w:r>
    </w:p>
    <w:p w:rsidR="005727C2" w:rsidRDefault="005727C2" w:rsidP="005727C2">
      <w:pPr>
        <w:spacing w:after="0" w:line="240" w:lineRule="auto"/>
        <w:ind w:firstLine="757"/>
        <w:jc w:val="center"/>
        <w:rPr>
          <w:rFonts w:eastAsiaTheme="minorHAnsi"/>
          <w:b/>
          <w:lang w:eastAsia="en-US"/>
        </w:rPr>
      </w:pPr>
    </w:p>
    <w:p w:rsidR="005727C2" w:rsidRDefault="005727C2" w:rsidP="005727C2">
      <w:pPr>
        <w:spacing w:after="0" w:line="240" w:lineRule="auto"/>
        <w:ind w:firstLine="757"/>
        <w:jc w:val="center"/>
        <w:rPr>
          <w:rFonts w:eastAsiaTheme="minorHAnsi"/>
          <w:b/>
          <w:lang w:eastAsia="en-US"/>
        </w:rPr>
      </w:pPr>
      <w:r>
        <w:rPr>
          <w:rFonts w:eastAsiaTheme="minorHAnsi"/>
          <w:b/>
          <w:lang w:eastAsia="en-US"/>
        </w:rPr>
        <w:t xml:space="preserve">Особенности осуществления регионального государственного контроля (надзора), осуществляемого департаментом </w:t>
      </w:r>
    </w:p>
    <w:p w:rsidR="005727C2" w:rsidRDefault="005727C2" w:rsidP="005727C2">
      <w:pPr>
        <w:spacing w:after="0" w:line="240" w:lineRule="auto"/>
        <w:ind w:firstLine="757"/>
        <w:jc w:val="center"/>
        <w:rPr>
          <w:rFonts w:eastAsiaTheme="minorHAnsi"/>
          <w:b/>
          <w:lang w:eastAsia="en-US"/>
        </w:rPr>
      </w:pPr>
      <w:r>
        <w:rPr>
          <w:rFonts w:eastAsiaTheme="minorHAnsi"/>
          <w:b/>
          <w:lang w:eastAsia="en-US"/>
        </w:rPr>
        <w:t>(на основании сведений ведомственных статистических наблюдений)</w:t>
      </w:r>
    </w:p>
    <w:p w:rsidR="005727C2" w:rsidRDefault="005727C2" w:rsidP="005727C2">
      <w:pPr>
        <w:spacing w:after="0" w:line="240" w:lineRule="auto"/>
        <w:ind w:firstLine="757"/>
        <w:jc w:val="center"/>
        <w:rPr>
          <w:i/>
          <w:sz w:val="20"/>
          <w:szCs w:val="20"/>
        </w:rPr>
      </w:pPr>
    </w:p>
    <w:tbl>
      <w:tblPr>
        <w:tblStyle w:val="aff"/>
        <w:tblW w:w="9750" w:type="dxa"/>
        <w:tblLayout w:type="fixed"/>
        <w:tblLook w:val="04A0" w:firstRow="1" w:lastRow="0" w:firstColumn="1" w:lastColumn="0" w:noHBand="0" w:noVBand="1"/>
      </w:tblPr>
      <w:tblGrid>
        <w:gridCol w:w="1953"/>
        <w:gridCol w:w="1134"/>
        <w:gridCol w:w="1276"/>
        <w:gridCol w:w="1276"/>
        <w:gridCol w:w="1275"/>
        <w:gridCol w:w="1702"/>
        <w:gridCol w:w="1134"/>
      </w:tblGrid>
      <w:tr w:rsidR="005727C2" w:rsidTr="005727C2">
        <w:trPr>
          <w:trHeight w:val="375"/>
        </w:trPr>
        <w:tc>
          <w:tcPr>
            <w:tcW w:w="9747" w:type="dxa"/>
            <w:gridSpan w:val="7"/>
            <w:tcBorders>
              <w:top w:val="single" w:sz="4" w:space="0" w:color="auto"/>
              <w:left w:val="single" w:sz="4" w:space="0" w:color="auto"/>
              <w:bottom w:val="single" w:sz="4" w:space="0" w:color="auto"/>
              <w:right w:val="single" w:sz="4" w:space="0" w:color="auto"/>
            </w:tcBorders>
            <w:hideMark/>
          </w:tcPr>
          <w:p w:rsidR="005727C2" w:rsidRDefault="005727C2">
            <w:pPr>
              <w:spacing w:after="0"/>
              <w:jc w:val="center"/>
              <w:rPr>
                <w:sz w:val="18"/>
                <w:szCs w:val="18"/>
                <w:lang w:eastAsia="en-US"/>
              </w:rPr>
            </w:pPr>
            <w:r>
              <w:rPr>
                <w:sz w:val="18"/>
                <w:szCs w:val="18"/>
                <w:lang w:eastAsia="en-US"/>
              </w:rPr>
              <w:t xml:space="preserve">Результаты проведения департаментом </w:t>
            </w:r>
          </w:p>
          <w:p w:rsidR="005727C2" w:rsidRDefault="005727C2">
            <w:pPr>
              <w:spacing w:after="0"/>
              <w:jc w:val="center"/>
              <w:rPr>
                <w:sz w:val="18"/>
                <w:szCs w:val="18"/>
                <w:lang w:eastAsia="en-US"/>
              </w:rPr>
            </w:pPr>
            <w:r>
              <w:rPr>
                <w:sz w:val="18"/>
                <w:szCs w:val="18"/>
                <w:lang w:eastAsia="en-US"/>
              </w:rPr>
              <w:t xml:space="preserve">плановых проверок в 2019 году </w:t>
            </w:r>
          </w:p>
        </w:tc>
      </w:tr>
      <w:tr w:rsidR="005727C2" w:rsidTr="005727C2">
        <w:tc>
          <w:tcPr>
            <w:tcW w:w="1951" w:type="dxa"/>
            <w:tcBorders>
              <w:top w:val="single" w:sz="4" w:space="0" w:color="auto"/>
              <w:left w:val="single" w:sz="4" w:space="0" w:color="auto"/>
              <w:bottom w:val="single" w:sz="4" w:space="0" w:color="auto"/>
              <w:right w:val="single" w:sz="4" w:space="0" w:color="auto"/>
            </w:tcBorders>
            <w:hideMark/>
          </w:tcPr>
          <w:p w:rsidR="005727C2" w:rsidRDefault="005727C2">
            <w:pPr>
              <w:spacing w:after="0"/>
              <w:jc w:val="center"/>
              <w:rPr>
                <w:sz w:val="18"/>
                <w:szCs w:val="18"/>
                <w:lang w:eastAsia="en-US"/>
              </w:rPr>
            </w:pPr>
            <w:r>
              <w:rPr>
                <w:sz w:val="18"/>
                <w:szCs w:val="18"/>
                <w:lang w:eastAsia="en-US"/>
              </w:rPr>
              <w:t>Сфера осуществления контроля (надзора)</w:t>
            </w:r>
          </w:p>
        </w:tc>
        <w:tc>
          <w:tcPr>
            <w:tcW w:w="1134" w:type="dxa"/>
            <w:tcBorders>
              <w:top w:val="single" w:sz="4" w:space="0" w:color="auto"/>
              <w:left w:val="single" w:sz="4" w:space="0" w:color="auto"/>
              <w:bottom w:val="single" w:sz="4" w:space="0" w:color="auto"/>
              <w:right w:val="single" w:sz="4" w:space="0" w:color="auto"/>
            </w:tcBorders>
            <w:hideMark/>
          </w:tcPr>
          <w:p w:rsidR="005727C2" w:rsidRDefault="005727C2">
            <w:pPr>
              <w:spacing w:after="0"/>
              <w:jc w:val="center"/>
              <w:rPr>
                <w:sz w:val="18"/>
                <w:szCs w:val="18"/>
                <w:lang w:eastAsia="en-US"/>
              </w:rPr>
            </w:pPr>
            <w:r>
              <w:rPr>
                <w:sz w:val="18"/>
                <w:szCs w:val="18"/>
                <w:lang w:eastAsia="en-US"/>
              </w:rPr>
              <w:t>Проведено</w:t>
            </w:r>
          </w:p>
          <w:p w:rsidR="005727C2" w:rsidRDefault="005727C2">
            <w:pPr>
              <w:spacing w:after="0"/>
              <w:jc w:val="center"/>
              <w:rPr>
                <w:sz w:val="18"/>
                <w:szCs w:val="18"/>
                <w:lang w:eastAsia="en-US"/>
              </w:rPr>
            </w:pPr>
            <w:r>
              <w:rPr>
                <w:sz w:val="18"/>
                <w:szCs w:val="18"/>
                <w:lang w:eastAsia="en-US"/>
              </w:rPr>
              <w:t>проверок</w:t>
            </w:r>
          </w:p>
        </w:tc>
        <w:tc>
          <w:tcPr>
            <w:tcW w:w="1276" w:type="dxa"/>
            <w:tcBorders>
              <w:top w:val="single" w:sz="4" w:space="0" w:color="auto"/>
              <w:left w:val="single" w:sz="4" w:space="0" w:color="auto"/>
              <w:bottom w:val="single" w:sz="4" w:space="0" w:color="auto"/>
              <w:right w:val="single" w:sz="4" w:space="0" w:color="auto"/>
            </w:tcBorders>
            <w:hideMark/>
          </w:tcPr>
          <w:p w:rsidR="005727C2" w:rsidRDefault="005727C2">
            <w:pPr>
              <w:spacing w:after="0"/>
              <w:jc w:val="center"/>
              <w:rPr>
                <w:sz w:val="18"/>
                <w:szCs w:val="18"/>
                <w:lang w:eastAsia="en-US"/>
              </w:rPr>
            </w:pPr>
            <w:r>
              <w:rPr>
                <w:sz w:val="18"/>
                <w:szCs w:val="18"/>
                <w:lang w:eastAsia="en-US"/>
              </w:rPr>
              <w:t>Проверки, в ходе которых выявлены нарушения</w:t>
            </w:r>
          </w:p>
        </w:tc>
        <w:tc>
          <w:tcPr>
            <w:tcW w:w="1276" w:type="dxa"/>
            <w:tcBorders>
              <w:top w:val="single" w:sz="4" w:space="0" w:color="auto"/>
              <w:left w:val="single" w:sz="4" w:space="0" w:color="auto"/>
              <w:bottom w:val="single" w:sz="4" w:space="0" w:color="auto"/>
              <w:right w:val="single" w:sz="4" w:space="0" w:color="auto"/>
            </w:tcBorders>
            <w:hideMark/>
          </w:tcPr>
          <w:p w:rsidR="005727C2" w:rsidRDefault="005727C2">
            <w:pPr>
              <w:spacing w:after="0"/>
              <w:jc w:val="center"/>
              <w:rPr>
                <w:sz w:val="18"/>
                <w:szCs w:val="18"/>
                <w:lang w:eastAsia="en-US"/>
              </w:rPr>
            </w:pPr>
            <w:r>
              <w:rPr>
                <w:sz w:val="18"/>
                <w:szCs w:val="18"/>
                <w:lang w:eastAsia="en-US"/>
              </w:rPr>
              <w:t>Выдано предписаний</w:t>
            </w:r>
          </w:p>
        </w:tc>
        <w:tc>
          <w:tcPr>
            <w:tcW w:w="1275" w:type="dxa"/>
            <w:tcBorders>
              <w:top w:val="single" w:sz="4" w:space="0" w:color="auto"/>
              <w:left w:val="single" w:sz="4" w:space="0" w:color="auto"/>
              <w:bottom w:val="single" w:sz="4" w:space="0" w:color="auto"/>
              <w:right w:val="single" w:sz="4" w:space="0" w:color="auto"/>
            </w:tcBorders>
            <w:hideMark/>
          </w:tcPr>
          <w:p w:rsidR="005727C2" w:rsidRDefault="005727C2">
            <w:pPr>
              <w:spacing w:after="0"/>
              <w:jc w:val="center"/>
              <w:rPr>
                <w:sz w:val="18"/>
                <w:szCs w:val="18"/>
                <w:lang w:eastAsia="en-US"/>
              </w:rPr>
            </w:pPr>
            <w:r>
              <w:rPr>
                <w:sz w:val="18"/>
                <w:szCs w:val="18"/>
                <w:lang w:eastAsia="en-US"/>
              </w:rPr>
              <w:t>Выполнено предписаний</w:t>
            </w:r>
          </w:p>
        </w:tc>
        <w:tc>
          <w:tcPr>
            <w:tcW w:w="1701" w:type="dxa"/>
            <w:tcBorders>
              <w:top w:val="single" w:sz="4" w:space="0" w:color="auto"/>
              <w:left w:val="single" w:sz="4" w:space="0" w:color="auto"/>
              <w:bottom w:val="single" w:sz="4" w:space="0" w:color="auto"/>
              <w:right w:val="single" w:sz="4" w:space="0" w:color="auto"/>
            </w:tcBorders>
            <w:hideMark/>
          </w:tcPr>
          <w:p w:rsidR="005727C2" w:rsidRDefault="005727C2">
            <w:pPr>
              <w:spacing w:after="0"/>
              <w:jc w:val="center"/>
              <w:rPr>
                <w:sz w:val="18"/>
                <w:szCs w:val="18"/>
                <w:lang w:eastAsia="en-US"/>
              </w:rPr>
            </w:pPr>
            <w:r>
              <w:rPr>
                <w:sz w:val="18"/>
                <w:szCs w:val="18"/>
                <w:lang w:eastAsia="en-US"/>
              </w:rPr>
              <w:t>Количество проверок, по итогам которых наложены адм.наказания</w:t>
            </w:r>
          </w:p>
        </w:tc>
        <w:tc>
          <w:tcPr>
            <w:tcW w:w="1134" w:type="dxa"/>
            <w:tcBorders>
              <w:top w:val="single" w:sz="4" w:space="0" w:color="auto"/>
              <w:left w:val="single" w:sz="4" w:space="0" w:color="auto"/>
              <w:bottom w:val="single" w:sz="4" w:space="0" w:color="auto"/>
              <w:right w:val="single" w:sz="4" w:space="0" w:color="auto"/>
            </w:tcBorders>
            <w:hideMark/>
          </w:tcPr>
          <w:p w:rsidR="005727C2" w:rsidRDefault="005727C2">
            <w:pPr>
              <w:spacing w:after="0"/>
              <w:jc w:val="center"/>
              <w:rPr>
                <w:sz w:val="18"/>
                <w:szCs w:val="18"/>
                <w:lang w:eastAsia="en-US"/>
              </w:rPr>
            </w:pPr>
            <w:r>
              <w:rPr>
                <w:sz w:val="18"/>
                <w:szCs w:val="18"/>
                <w:lang w:eastAsia="en-US"/>
              </w:rPr>
              <w:t>Сумма администр. штрафов</w:t>
            </w:r>
          </w:p>
          <w:p w:rsidR="005727C2" w:rsidRDefault="005727C2">
            <w:pPr>
              <w:spacing w:after="0"/>
              <w:jc w:val="center"/>
              <w:rPr>
                <w:sz w:val="18"/>
                <w:szCs w:val="18"/>
                <w:lang w:eastAsia="en-US"/>
              </w:rPr>
            </w:pPr>
            <w:r>
              <w:rPr>
                <w:sz w:val="18"/>
                <w:szCs w:val="18"/>
                <w:lang w:eastAsia="en-US"/>
              </w:rPr>
              <w:t>руб.</w:t>
            </w:r>
          </w:p>
        </w:tc>
      </w:tr>
      <w:tr w:rsidR="005727C2" w:rsidTr="005727C2">
        <w:tc>
          <w:tcPr>
            <w:tcW w:w="1951" w:type="dxa"/>
            <w:tcBorders>
              <w:top w:val="single" w:sz="4" w:space="0" w:color="auto"/>
              <w:left w:val="single" w:sz="4" w:space="0" w:color="auto"/>
              <w:bottom w:val="single" w:sz="4" w:space="0" w:color="auto"/>
              <w:right w:val="single" w:sz="4" w:space="0" w:color="auto"/>
            </w:tcBorders>
            <w:hideMark/>
          </w:tcPr>
          <w:p w:rsidR="005727C2" w:rsidRDefault="005727C2">
            <w:pPr>
              <w:spacing w:after="0"/>
              <w:rPr>
                <w:sz w:val="20"/>
                <w:szCs w:val="20"/>
                <w:lang w:eastAsia="en-US"/>
              </w:rPr>
            </w:pPr>
            <w:r>
              <w:rPr>
                <w:sz w:val="20"/>
                <w:szCs w:val="20"/>
                <w:lang w:eastAsia="en-US"/>
              </w:rPr>
              <w:t>Электроэнергетика</w:t>
            </w:r>
          </w:p>
        </w:tc>
        <w:tc>
          <w:tcPr>
            <w:tcW w:w="1134" w:type="dxa"/>
            <w:tcBorders>
              <w:top w:val="single" w:sz="4" w:space="0" w:color="auto"/>
              <w:left w:val="single" w:sz="4" w:space="0" w:color="auto"/>
              <w:bottom w:val="single" w:sz="4" w:space="0" w:color="auto"/>
              <w:right w:val="single" w:sz="4" w:space="0" w:color="auto"/>
            </w:tcBorders>
            <w:hideMark/>
          </w:tcPr>
          <w:p w:rsidR="005727C2" w:rsidRDefault="005727C2">
            <w:pPr>
              <w:spacing w:after="0"/>
              <w:jc w:val="center"/>
              <w:rPr>
                <w:sz w:val="20"/>
                <w:szCs w:val="20"/>
                <w:lang w:eastAsia="en-US"/>
              </w:rPr>
            </w:pPr>
            <w:r>
              <w:rPr>
                <w:sz w:val="20"/>
                <w:szCs w:val="20"/>
                <w:lang w:eastAsia="en-US"/>
              </w:rPr>
              <w:t>2</w:t>
            </w:r>
          </w:p>
        </w:tc>
        <w:tc>
          <w:tcPr>
            <w:tcW w:w="1276" w:type="dxa"/>
            <w:tcBorders>
              <w:top w:val="single" w:sz="4" w:space="0" w:color="auto"/>
              <w:left w:val="single" w:sz="4" w:space="0" w:color="auto"/>
              <w:bottom w:val="single" w:sz="4" w:space="0" w:color="auto"/>
              <w:right w:val="single" w:sz="4" w:space="0" w:color="auto"/>
            </w:tcBorders>
            <w:hideMark/>
          </w:tcPr>
          <w:p w:rsidR="005727C2" w:rsidRDefault="005727C2">
            <w:pPr>
              <w:spacing w:after="0"/>
              <w:jc w:val="center"/>
              <w:rPr>
                <w:sz w:val="20"/>
                <w:szCs w:val="20"/>
                <w:lang w:eastAsia="en-US"/>
              </w:rPr>
            </w:pPr>
            <w:r>
              <w:rPr>
                <w:sz w:val="20"/>
                <w:szCs w:val="20"/>
                <w:lang w:eastAsia="en-US"/>
              </w:rPr>
              <w:t>2</w:t>
            </w:r>
          </w:p>
        </w:tc>
        <w:tc>
          <w:tcPr>
            <w:tcW w:w="1276" w:type="dxa"/>
            <w:tcBorders>
              <w:top w:val="single" w:sz="4" w:space="0" w:color="auto"/>
              <w:left w:val="single" w:sz="4" w:space="0" w:color="auto"/>
              <w:bottom w:val="single" w:sz="4" w:space="0" w:color="auto"/>
              <w:right w:val="single" w:sz="4" w:space="0" w:color="auto"/>
            </w:tcBorders>
            <w:hideMark/>
          </w:tcPr>
          <w:p w:rsidR="005727C2" w:rsidRDefault="005727C2">
            <w:pPr>
              <w:spacing w:after="0"/>
              <w:jc w:val="center"/>
              <w:rPr>
                <w:sz w:val="20"/>
                <w:szCs w:val="20"/>
                <w:lang w:eastAsia="en-US"/>
              </w:rPr>
            </w:pPr>
            <w:r>
              <w:rPr>
                <w:sz w:val="20"/>
                <w:szCs w:val="20"/>
                <w:lang w:eastAsia="en-US"/>
              </w:rPr>
              <w:t>1</w:t>
            </w:r>
          </w:p>
        </w:tc>
        <w:tc>
          <w:tcPr>
            <w:tcW w:w="1275" w:type="dxa"/>
            <w:tcBorders>
              <w:top w:val="single" w:sz="4" w:space="0" w:color="auto"/>
              <w:left w:val="single" w:sz="4" w:space="0" w:color="auto"/>
              <w:bottom w:val="single" w:sz="4" w:space="0" w:color="auto"/>
              <w:right w:val="single" w:sz="4" w:space="0" w:color="auto"/>
            </w:tcBorders>
            <w:hideMark/>
          </w:tcPr>
          <w:p w:rsidR="005727C2" w:rsidRDefault="005727C2">
            <w:pPr>
              <w:spacing w:after="0"/>
              <w:jc w:val="center"/>
              <w:rPr>
                <w:sz w:val="20"/>
                <w:szCs w:val="20"/>
                <w:lang w:eastAsia="en-US"/>
              </w:rPr>
            </w:pPr>
            <w:r>
              <w:rPr>
                <w:sz w:val="20"/>
                <w:szCs w:val="20"/>
                <w:lang w:eastAsia="en-US"/>
              </w:rPr>
              <w:t>1</w:t>
            </w:r>
          </w:p>
        </w:tc>
        <w:tc>
          <w:tcPr>
            <w:tcW w:w="1701" w:type="dxa"/>
            <w:tcBorders>
              <w:top w:val="single" w:sz="4" w:space="0" w:color="auto"/>
              <w:left w:val="single" w:sz="4" w:space="0" w:color="auto"/>
              <w:bottom w:val="single" w:sz="4" w:space="0" w:color="auto"/>
              <w:right w:val="single" w:sz="4" w:space="0" w:color="auto"/>
            </w:tcBorders>
            <w:hideMark/>
          </w:tcPr>
          <w:p w:rsidR="005727C2" w:rsidRDefault="005727C2">
            <w:pPr>
              <w:spacing w:after="0"/>
              <w:jc w:val="center"/>
              <w:rPr>
                <w:sz w:val="20"/>
                <w:szCs w:val="20"/>
                <w:lang w:eastAsia="en-US"/>
              </w:rPr>
            </w:pPr>
            <w:r>
              <w:rPr>
                <w:sz w:val="20"/>
                <w:szCs w:val="20"/>
                <w:lang w:eastAsia="en-US"/>
              </w:rPr>
              <w:t>2</w:t>
            </w:r>
          </w:p>
        </w:tc>
        <w:tc>
          <w:tcPr>
            <w:tcW w:w="1134" w:type="dxa"/>
            <w:tcBorders>
              <w:top w:val="single" w:sz="4" w:space="0" w:color="auto"/>
              <w:left w:val="single" w:sz="4" w:space="0" w:color="auto"/>
              <w:bottom w:val="single" w:sz="4" w:space="0" w:color="auto"/>
              <w:right w:val="single" w:sz="4" w:space="0" w:color="auto"/>
            </w:tcBorders>
            <w:hideMark/>
          </w:tcPr>
          <w:p w:rsidR="005727C2" w:rsidRDefault="005727C2">
            <w:pPr>
              <w:spacing w:after="0"/>
              <w:jc w:val="center"/>
              <w:rPr>
                <w:sz w:val="20"/>
                <w:szCs w:val="20"/>
                <w:lang w:eastAsia="en-US"/>
              </w:rPr>
            </w:pPr>
            <w:r>
              <w:rPr>
                <w:sz w:val="20"/>
                <w:szCs w:val="20"/>
                <w:lang w:eastAsia="en-US"/>
              </w:rPr>
              <w:t>30 000</w:t>
            </w:r>
          </w:p>
        </w:tc>
      </w:tr>
      <w:tr w:rsidR="005727C2" w:rsidTr="005727C2">
        <w:tc>
          <w:tcPr>
            <w:tcW w:w="1951" w:type="dxa"/>
            <w:tcBorders>
              <w:top w:val="single" w:sz="4" w:space="0" w:color="auto"/>
              <w:left w:val="single" w:sz="4" w:space="0" w:color="auto"/>
              <w:bottom w:val="single" w:sz="4" w:space="0" w:color="auto"/>
              <w:right w:val="single" w:sz="4" w:space="0" w:color="auto"/>
            </w:tcBorders>
            <w:hideMark/>
          </w:tcPr>
          <w:p w:rsidR="005727C2" w:rsidRDefault="005727C2">
            <w:pPr>
              <w:spacing w:after="0"/>
              <w:rPr>
                <w:sz w:val="20"/>
                <w:szCs w:val="20"/>
                <w:lang w:eastAsia="en-US"/>
              </w:rPr>
            </w:pPr>
            <w:r>
              <w:rPr>
                <w:sz w:val="20"/>
                <w:szCs w:val="20"/>
                <w:lang w:eastAsia="en-US"/>
              </w:rPr>
              <w:t>Теплоснабжение</w:t>
            </w:r>
          </w:p>
        </w:tc>
        <w:tc>
          <w:tcPr>
            <w:tcW w:w="1134" w:type="dxa"/>
            <w:tcBorders>
              <w:top w:val="single" w:sz="4" w:space="0" w:color="auto"/>
              <w:left w:val="single" w:sz="4" w:space="0" w:color="auto"/>
              <w:bottom w:val="single" w:sz="4" w:space="0" w:color="auto"/>
              <w:right w:val="single" w:sz="4" w:space="0" w:color="auto"/>
            </w:tcBorders>
            <w:hideMark/>
          </w:tcPr>
          <w:p w:rsidR="005727C2" w:rsidRDefault="005727C2">
            <w:pPr>
              <w:spacing w:after="0"/>
              <w:jc w:val="center"/>
              <w:rPr>
                <w:sz w:val="20"/>
                <w:szCs w:val="20"/>
                <w:lang w:eastAsia="en-US"/>
              </w:rPr>
            </w:pPr>
            <w:r>
              <w:rPr>
                <w:sz w:val="20"/>
                <w:szCs w:val="20"/>
                <w:lang w:eastAsia="en-US"/>
              </w:rPr>
              <w:t>6</w:t>
            </w:r>
          </w:p>
        </w:tc>
        <w:tc>
          <w:tcPr>
            <w:tcW w:w="1276" w:type="dxa"/>
            <w:tcBorders>
              <w:top w:val="single" w:sz="4" w:space="0" w:color="auto"/>
              <w:left w:val="single" w:sz="4" w:space="0" w:color="auto"/>
              <w:bottom w:val="single" w:sz="4" w:space="0" w:color="auto"/>
              <w:right w:val="single" w:sz="4" w:space="0" w:color="auto"/>
            </w:tcBorders>
            <w:hideMark/>
          </w:tcPr>
          <w:p w:rsidR="005727C2" w:rsidRDefault="005727C2">
            <w:pPr>
              <w:spacing w:after="0"/>
              <w:jc w:val="center"/>
              <w:rPr>
                <w:sz w:val="20"/>
                <w:szCs w:val="20"/>
                <w:lang w:eastAsia="en-US"/>
              </w:rPr>
            </w:pPr>
            <w:r>
              <w:rPr>
                <w:sz w:val="20"/>
                <w:szCs w:val="20"/>
                <w:lang w:eastAsia="en-US"/>
              </w:rPr>
              <w:t>-</w:t>
            </w:r>
          </w:p>
        </w:tc>
        <w:tc>
          <w:tcPr>
            <w:tcW w:w="1276" w:type="dxa"/>
            <w:tcBorders>
              <w:top w:val="single" w:sz="4" w:space="0" w:color="auto"/>
              <w:left w:val="single" w:sz="4" w:space="0" w:color="auto"/>
              <w:bottom w:val="single" w:sz="4" w:space="0" w:color="auto"/>
              <w:right w:val="single" w:sz="4" w:space="0" w:color="auto"/>
            </w:tcBorders>
            <w:hideMark/>
          </w:tcPr>
          <w:p w:rsidR="005727C2" w:rsidRDefault="005727C2">
            <w:pPr>
              <w:spacing w:after="0"/>
              <w:jc w:val="center"/>
              <w:rPr>
                <w:sz w:val="20"/>
                <w:szCs w:val="20"/>
                <w:lang w:eastAsia="en-US"/>
              </w:rPr>
            </w:pPr>
            <w:r>
              <w:rPr>
                <w:sz w:val="20"/>
                <w:szCs w:val="20"/>
                <w:lang w:eastAsia="en-US"/>
              </w:rPr>
              <w:t>-</w:t>
            </w:r>
          </w:p>
        </w:tc>
        <w:tc>
          <w:tcPr>
            <w:tcW w:w="1275" w:type="dxa"/>
            <w:tcBorders>
              <w:top w:val="single" w:sz="4" w:space="0" w:color="auto"/>
              <w:left w:val="single" w:sz="4" w:space="0" w:color="auto"/>
              <w:bottom w:val="single" w:sz="4" w:space="0" w:color="auto"/>
              <w:right w:val="single" w:sz="4" w:space="0" w:color="auto"/>
            </w:tcBorders>
            <w:hideMark/>
          </w:tcPr>
          <w:p w:rsidR="005727C2" w:rsidRDefault="005727C2">
            <w:pPr>
              <w:spacing w:after="0"/>
              <w:jc w:val="center"/>
              <w:rPr>
                <w:sz w:val="20"/>
                <w:szCs w:val="20"/>
                <w:lang w:eastAsia="en-US"/>
              </w:rPr>
            </w:pPr>
            <w:r>
              <w:rPr>
                <w:sz w:val="20"/>
                <w:szCs w:val="20"/>
                <w:lang w:eastAsia="en-US"/>
              </w:rPr>
              <w:t>-</w:t>
            </w:r>
          </w:p>
        </w:tc>
        <w:tc>
          <w:tcPr>
            <w:tcW w:w="1701" w:type="dxa"/>
            <w:tcBorders>
              <w:top w:val="single" w:sz="4" w:space="0" w:color="auto"/>
              <w:left w:val="single" w:sz="4" w:space="0" w:color="auto"/>
              <w:bottom w:val="single" w:sz="4" w:space="0" w:color="auto"/>
              <w:right w:val="single" w:sz="4" w:space="0" w:color="auto"/>
            </w:tcBorders>
            <w:hideMark/>
          </w:tcPr>
          <w:p w:rsidR="005727C2" w:rsidRDefault="005727C2">
            <w:pPr>
              <w:spacing w:after="0"/>
              <w:jc w:val="center"/>
              <w:rPr>
                <w:sz w:val="20"/>
                <w:szCs w:val="20"/>
                <w:lang w:eastAsia="en-US"/>
              </w:rPr>
            </w:pPr>
            <w:r>
              <w:rPr>
                <w:sz w:val="20"/>
                <w:szCs w:val="20"/>
                <w:lang w:eastAsia="en-US"/>
              </w:rPr>
              <w:t>-</w:t>
            </w:r>
          </w:p>
        </w:tc>
        <w:tc>
          <w:tcPr>
            <w:tcW w:w="1134" w:type="dxa"/>
            <w:tcBorders>
              <w:top w:val="single" w:sz="4" w:space="0" w:color="auto"/>
              <w:left w:val="single" w:sz="4" w:space="0" w:color="auto"/>
              <w:bottom w:val="single" w:sz="4" w:space="0" w:color="auto"/>
              <w:right w:val="single" w:sz="4" w:space="0" w:color="auto"/>
            </w:tcBorders>
            <w:hideMark/>
          </w:tcPr>
          <w:p w:rsidR="005727C2" w:rsidRDefault="005727C2">
            <w:pPr>
              <w:spacing w:after="0"/>
              <w:jc w:val="center"/>
              <w:rPr>
                <w:sz w:val="20"/>
                <w:szCs w:val="20"/>
                <w:lang w:eastAsia="en-US"/>
              </w:rPr>
            </w:pPr>
            <w:r>
              <w:rPr>
                <w:sz w:val="20"/>
                <w:szCs w:val="20"/>
                <w:lang w:eastAsia="en-US"/>
              </w:rPr>
              <w:t>-</w:t>
            </w:r>
          </w:p>
        </w:tc>
      </w:tr>
      <w:tr w:rsidR="005727C2" w:rsidTr="005727C2">
        <w:tc>
          <w:tcPr>
            <w:tcW w:w="1951" w:type="dxa"/>
            <w:tcBorders>
              <w:top w:val="single" w:sz="4" w:space="0" w:color="auto"/>
              <w:left w:val="single" w:sz="4" w:space="0" w:color="auto"/>
              <w:bottom w:val="single" w:sz="4" w:space="0" w:color="auto"/>
              <w:right w:val="single" w:sz="4" w:space="0" w:color="auto"/>
            </w:tcBorders>
            <w:hideMark/>
          </w:tcPr>
          <w:p w:rsidR="005727C2" w:rsidRDefault="005727C2">
            <w:pPr>
              <w:spacing w:after="0"/>
              <w:rPr>
                <w:sz w:val="20"/>
                <w:szCs w:val="20"/>
                <w:lang w:eastAsia="en-US"/>
              </w:rPr>
            </w:pPr>
            <w:r>
              <w:rPr>
                <w:sz w:val="20"/>
                <w:szCs w:val="20"/>
                <w:lang w:eastAsia="en-US"/>
              </w:rPr>
              <w:t>Газоснабжение</w:t>
            </w:r>
          </w:p>
        </w:tc>
        <w:tc>
          <w:tcPr>
            <w:tcW w:w="1134" w:type="dxa"/>
            <w:tcBorders>
              <w:top w:val="single" w:sz="4" w:space="0" w:color="auto"/>
              <w:left w:val="single" w:sz="4" w:space="0" w:color="auto"/>
              <w:bottom w:val="single" w:sz="4" w:space="0" w:color="auto"/>
              <w:right w:val="single" w:sz="4" w:space="0" w:color="auto"/>
            </w:tcBorders>
            <w:hideMark/>
          </w:tcPr>
          <w:p w:rsidR="005727C2" w:rsidRDefault="005727C2">
            <w:pPr>
              <w:spacing w:after="0"/>
              <w:jc w:val="center"/>
              <w:rPr>
                <w:sz w:val="20"/>
                <w:szCs w:val="20"/>
                <w:lang w:eastAsia="en-US"/>
              </w:rPr>
            </w:pPr>
            <w:r>
              <w:rPr>
                <w:sz w:val="20"/>
                <w:szCs w:val="20"/>
                <w:lang w:eastAsia="en-US"/>
              </w:rPr>
              <w:t>-</w:t>
            </w:r>
          </w:p>
        </w:tc>
        <w:tc>
          <w:tcPr>
            <w:tcW w:w="1276" w:type="dxa"/>
            <w:tcBorders>
              <w:top w:val="single" w:sz="4" w:space="0" w:color="auto"/>
              <w:left w:val="single" w:sz="4" w:space="0" w:color="auto"/>
              <w:bottom w:val="single" w:sz="4" w:space="0" w:color="auto"/>
              <w:right w:val="single" w:sz="4" w:space="0" w:color="auto"/>
            </w:tcBorders>
            <w:hideMark/>
          </w:tcPr>
          <w:p w:rsidR="005727C2" w:rsidRDefault="005727C2">
            <w:pPr>
              <w:spacing w:after="0"/>
              <w:jc w:val="center"/>
              <w:rPr>
                <w:sz w:val="20"/>
                <w:szCs w:val="20"/>
                <w:lang w:eastAsia="en-US"/>
              </w:rPr>
            </w:pPr>
            <w:r>
              <w:rPr>
                <w:sz w:val="20"/>
                <w:szCs w:val="20"/>
                <w:lang w:eastAsia="en-US"/>
              </w:rPr>
              <w:t>-</w:t>
            </w:r>
          </w:p>
        </w:tc>
        <w:tc>
          <w:tcPr>
            <w:tcW w:w="1276" w:type="dxa"/>
            <w:tcBorders>
              <w:top w:val="single" w:sz="4" w:space="0" w:color="auto"/>
              <w:left w:val="single" w:sz="4" w:space="0" w:color="auto"/>
              <w:bottom w:val="single" w:sz="4" w:space="0" w:color="auto"/>
              <w:right w:val="single" w:sz="4" w:space="0" w:color="auto"/>
            </w:tcBorders>
            <w:hideMark/>
          </w:tcPr>
          <w:p w:rsidR="005727C2" w:rsidRDefault="005727C2">
            <w:pPr>
              <w:spacing w:after="0"/>
              <w:jc w:val="center"/>
              <w:rPr>
                <w:sz w:val="20"/>
                <w:szCs w:val="20"/>
                <w:lang w:eastAsia="en-US"/>
              </w:rPr>
            </w:pPr>
            <w:r>
              <w:rPr>
                <w:sz w:val="20"/>
                <w:szCs w:val="20"/>
                <w:lang w:eastAsia="en-US"/>
              </w:rPr>
              <w:t>-</w:t>
            </w:r>
          </w:p>
        </w:tc>
        <w:tc>
          <w:tcPr>
            <w:tcW w:w="1275" w:type="dxa"/>
            <w:tcBorders>
              <w:top w:val="single" w:sz="4" w:space="0" w:color="auto"/>
              <w:left w:val="single" w:sz="4" w:space="0" w:color="auto"/>
              <w:bottom w:val="single" w:sz="4" w:space="0" w:color="auto"/>
              <w:right w:val="single" w:sz="4" w:space="0" w:color="auto"/>
            </w:tcBorders>
            <w:hideMark/>
          </w:tcPr>
          <w:p w:rsidR="005727C2" w:rsidRDefault="005727C2">
            <w:pPr>
              <w:spacing w:after="0"/>
              <w:jc w:val="center"/>
              <w:rPr>
                <w:sz w:val="20"/>
                <w:szCs w:val="20"/>
                <w:lang w:eastAsia="en-US"/>
              </w:rPr>
            </w:pPr>
            <w:r>
              <w:rPr>
                <w:sz w:val="20"/>
                <w:szCs w:val="20"/>
                <w:lang w:eastAsia="en-US"/>
              </w:rPr>
              <w:t>-</w:t>
            </w:r>
          </w:p>
        </w:tc>
        <w:tc>
          <w:tcPr>
            <w:tcW w:w="1701" w:type="dxa"/>
            <w:tcBorders>
              <w:top w:val="single" w:sz="4" w:space="0" w:color="auto"/>
              <w:left w:val="single" w:sz="4" w:space="0" w:color="auto"/>
              <w:bottom w:val="single" w:sz="4" w:space="0" w:color="auto"/>
              <w:right w:val="single" w:sz="4" w:space="0" w:color="auto"/>
            </w:tcBorders>
            <w:hideMark/>
          </w:tcPr>
          <w:p w:rsidR="005727C2" w:rsidRDefault="005727C2">
            <w:pPr>
              <w:spacing w:after="0"/>
              <w:jc w:val="center"/>
              <w:rPr>
                <w:sz w:val="20"/>
                <w:szCs w:val="20"/>
                <w:lang w:eastAsia="en-US"/>
              </w:rPr>
            </w:pPr>
            <w:r>
              <w:rPr>
                <w:sz w:val="20"/>
                <w:szCs w:val="20"/>
                <w:lang w:eastAsia="en-US"/>
              </w:rPr>
              <w:t>-</w:t>
            </w:r>
          </w:p>
        </w:tc>
        <w:tc>
          <w:tcPr>
            <w:tcW w:w="1134" w:type="dxa"/>
            <w:tcBorders>
              <w:top w:val="single" w:sz="4" w:space="0" w:color="auto"/>
              <w:left w:val="single" w:sz="4" w:space="0" w:color="auto"/>
              <w:bottom w:val="single" w:sz="4" w:space="0" w:color="auto"/>
              <w:right w:val="single" w:sz="4" w:space="0" w:color="auto"/>
            </w:tcBorders>
            <w:hideMark/>
          </w:tcPr>
          <w:p w:rsidR="005727C2" w:rsidRDefault="005727C2">
            <w:pPr>
              <w:spacing w:after="0"/>
              <w:jc w:val="center"/>
              <w:rPr>
                <w:sz w:val="20"/>
                <w:szCs w:val="20"/>
                <w:lang w:eastAsia="en-US"/>
              </w:rPr>
            </w:pPr>
            <w:r>
              <w:rPr>
                <w:sz w:val="20"/>
                <w:szCs w:val="20"/>
                <w:lang w:eastAsia="en-US"/>
              </w:rPr>
              <w:t>-</w:t>
            </w:r>
          </w:p>
        </w:tc>
      </w:tr>
      <w:tr w:rsidR="005727C2" w:rsidTr="005727C2">
        <w:tc>
          <w:tcPr>
            <w:tcW w:w="1951" w:type="dxa"/>
            <w:tcBorders>
              <w:top w:val="single" w:sz="4" w:space="0" w:color="auto"/>
              <w:left w:val="single" w:sz="4" w:space="0" w:color="auto"/>
              <w:bottom w:val="single" w:sz="4" w:space="0" w:color="auto"/>
              <w:right w:val="single" w:sz="4" w:space="0" w:color="auto"/>
            </w:tcBorders>
            <w:hideMark/>
          </w:tcPr>
          <w:p w:rsidR="005727C2" w:rsidRDefault="005727C2">
            <w:pPr>
              <w:spacing w:after="0"/>
              <w:rPr>
                <w:sz w:val="20"/>
                <w:szCs w:val="20"/>
                <w:lang w:eastAsia="en-US"/>
              </w:rPr>
            </w:pPr>
            <w:r>
              <w:rPr>
                <w:sz w:val="20"/>
                <w:szCs w:val="20"/>
                <w:lang w:eastAsia="en-US"/>
              </w:rPr>
              <w:t>Водоснабжение и водоотведение</w:t>
            </w:r>
          </w:p>
        </w:tc>
        <w:tc>
          <w:tcPr>
            <w:tcW w:w="1134" w:type="dxa"/>
            <w:tcBorders>
              <w:top w:val="single" w:sz="4" w:space="0" w:color="auto"/>
              <w:left w:val="single" w:sz="4" w:space="0" w:color="auto"/>
              <w:bottom w:val="single" w:sz="4" w:space="0" w:color="auto"/>
              <w:right w:val="single" w:sz="4" w:space="0" w:color="auto"/>
            </w:tcBorders>
            <w:hideMark/>
          </w:tcPr>
          <w:p w:rsidR="005727C2" w:rsidRDefault="005727C2">
            <w:pPr>
              <w:spacing w:after="0"/>
              <w:jc w:val="center"/>
              <w:rPr>
                <w:sz w:val="20"/>
                <w:szCs w:val="20"/>
                <w:lang w:eastAsia="en-US"/>
              </w:rPr>
            </w:pPr>
            <w:r>
              <w:rPr>
                <w:sz w:val="20"/>
                <w:szCs w:val="20"/>
                <w:lang w:eastAsia="en-US"/>
              </w:rPr>
              <w:t>4</w:t>
            </w:r>
          </w:p>
        </w:tc>
        <w:tc>
          <w:tcPr>
            <w:tcW w:w="1276" w:type="dxa"/>
            <w:tcBorders>
              <w:top w:val="single" w:sz="4" w:space="0" w:color="auto"/>
              <w:left w:val="single" w:sz="4" w:space="0" w:color="auto"/>
              <w:bottom w:val="single" w:sz="4" w:space="0" w:color="auto"/>
              <w:right w:val="single" w:sz="4" w:space="0" w:color="auto"/>
            </w:tcBorders>
            <w:hideMark/>
          </w:tcPr>
          <w:p w:rsidR="005727C2" w:rsidRDefault="005727C2">
            <w:pPr>
              <w:spacing w:after="0"/>
              <w:jc w:val="center"/>
              <w:rPr>
                <w:sz w:val="20"/>
                <w:szCs w:val="20"/>
                <w:lang w:eastAsia="en-US"/>
              </w:rPr>
            </w:pPr>
            <w:r>
              <w:rPr>
                <w:sz w:val="20"/>
                <w:szCs w:val="20"/>
                <w:lang w:eastAsia="en-US"/>
              </w:rPr>
              <w:t>3</w:t>
            </w:r>
          </w:p>
        </w:tc>
        <w:tc>
          <w:tcPr>
            <w:tcW w:w="1276" w:type="dxa"/>
            <w:tcBorders>
              <w:top w:val="single" w:sz="4" w:space="0" w:color="auto"/>
              <w:left w:val="single" w:sz="4" w:space="0" w:color="auto"/>
              <w:bottom w:val="single" w:sz="4" w:space="0" w:color="auto"/>
              <w:right w:val="single" w:sz="4" w:space="0" w:color="auto"/>
            </w:tcBorders>
            <w:hideMark/>
          </w:tcPr>
          <w:p w:rsidR="005727C2" w:rsidRDefault="005727C2">
            <w:pPr>
              <w:spacing w:after="0"/>
              <w:jc w:val="center"/>
              <w:rPr>
                <w:sz w:val="20"/>
                <w:szCs w:val="20"/>
                <w:lang w:eastAsia="en-US"/>
              </w:rPr>
            </w:pPr>
            <w:r>
              <w:rPr>
                <w:sz w:val="20"/>
                <w:szCs w:val="20"/>
                <w:lang w:eastAsia="en-US"/>
              </w:rPr>
              <w:t>3</w:t>
            </w:r>
          </w:p>
        </w:tc>
        <w:tc>
          <w:tcPr>
            <w:tcW w:w="1275" w:type="dxa"/>
            <w:tcBorders>
              <w:top w:val="single" w:sz="4" w:space="0" w:color="auto"/>
              <w:left w:val="single" w:sz="4" w:space="0" w:color="auto"/>
              <w:bottom w:val="single" w:sz="4" w:space="0" w:color="auto"/>
              <w:right w:val="single" w:sz="4" w:space="0" w:color="auto"/>
            </w:tcBorders>
            <w:hideMark/>
          </w:tcPr>
          <w:p w:rsidR="005727C2" w:rsidRDefault="005727C2">
            <w:pPr>
              <w:spacing w:after="0"/>
              <w:jc w:val="center"/>
              <w:rPr>
                <w:sz w:val="20"/>
                <w:szCs w:val="20"/>
                <w:lang w:eastAsia="en-US"/>
              </w:rPr>
            </w:pPr>
            <w:r>
              <w:rPr>
                <w:sz w:val="20"/>
                <w:szCs w:val="20"/>
                <w:lang w:eastAsia="en-US"/>
              </w:rPr>
              <w:t>2</w:t>
            </w:r>
          </w:p>
        </w:tc>
        <w:tc>
          <w:tcPr>
            <w:tcW w:w="1701" w:type="dxa"/>
            <w:tcBorders>
              <w:top w:val="single" w:sz="4" w:space="0" w:color="auto"/>
              <w:left w:val="single" w:sz="4" w:space="0" w:color="auto"/>
              <w:bottom w:val="single" w:sz="4" w:space="0" w:color="auto"/>
              <w:right w:val="single" w:sz="4" w:space="0" w:color="auto"/>
            </w:tcBorders>
            <w:hideMark/>
          </w:tcPr>
          <w:p w:rsidR="005727C2" w:rsidRDefault="005727C2">
            <w:pPr>
              <w:spacing w:after="0"/>
              <w:jc w:val="center"/>
              <w:rPr>
                <w:sz w:val="20"/>
                <w:szCs w:val="20"/>
                <w:lang w:eastAsia="en-US"/>
              </w:rPr>
            </w:pPr>
            <w:r>
              <w:rPr>
                <w:sz w:val="20"/>
                <w:szCs w:val="20"/>
                <w:lang w:eastAsia="en-US"/>
              </w:rPr>
              <w:t>3</w:t>
            </w:r>
          </w:p>
        </w:tc>
        <w:tc>
          <w:tcPr>
            <w:tcW w:w="1134" w:type="dxa"/>
            <w:tcBorders>
              <w:top w:val="single" w:sz="4" w:space="0" w:color="auto"/>
              <w:left w:val="single" w:sz="4" w:space="0" w:color="auto"/>
              <w:bottom w:val="single" w:sz="4" w:space="0" w:color="auto"/>
              <w:right w:val="single" w:sz="4" w:space="0" w:color="auto"/>
            </w:tcBorders>
            <w:hideMark/>
          </w:tcPr>
          <w:p w:rsidR="005727C2" w:rsidRDefault="005727C2">
            <w:pPr>
              <w:spacing w:after="0"/>
              <w:jc w:val="center"/>
              <w:rPr>
                <w:sz w:val="20"/>
                <w:szCs w:val="20"/>
                <w:lang w:eastAsia="en-US"/>
              </w:rPr>
            </w:pPr>
            <w:r>
              <w:rPr>
                <w:sz w:val="20"/>
                <w:szCs w:val="20"/>
                <w:lang w:eastAsia="en-US"/>
              </w:rPr>
              <w:t>281 000</w:t>
            </w:r>
          </w:p>
        </w:tc>
      </w:tr>
      <w:tr w:rsidR="005727C2" w:rsidTr="005727C2">
        <w:tc>
          <w:tcPr>
            <w:tcW w:w="1951" w:type="dxa"/>
            <w:tcBorders>
              <w:top w:val="single" w:sz="4" w:space="0" w:color="auto"/>
              <w:left w:val="single" w:sz="4" w:space="0" w:color="auto"/>
              <w:bottom w:val="single" w:sz="4" w:space="0" w:color="auto"/>
              <w:right w:val="single" w:sz="4" w:space="0" w:color="auto"/>
            </w:tcBorders>
            <w:hideMark/>
          </w:tcPr>
          <w:p w:rsidR="005727C2" w:rsidRDefault="005727C2">
            <w:pPr>
              <w:spacing w:after="0"/>
              <w:rPr>
                <w:sz w:val="20"/>
                <w:szCs w:val="20"/>
                <w:lang w:eastAsia="en-US"/>
              </w:rPr>
            </w:pPr>
            <w:r>
              <w:rPr>
                <w:sz w:val="20"/>
                <w:szCs w:val="20"/>
                <w:lang w:eastAsia="en-US"/>
              </w:rPr>
              <w:t xml:space="preserve">Транспортные услуги </w:t>
            </w:r>
          </w:p>
        </w:tc>
        <w:tc>
          <w:tcPr>
            <w:tcW w:w="1134" w:type="dxa"/>
            <w:tcBorders>
              <w:top w:val="single" w:sz="4" w:space="0" w:color="auto"/>
              <w:left w:val="single" w:sz="4" w:space="0" w:color="auto"/>
              <w:bottom w:val="single" w:sz="4" w:space="0" w:color="auto"/>
              <w:right w:val="single" w:sz="4" w:space="0" w:color="auto"/>
            </w:tcBorders>
            <w:hideMark/>
          </w:tcPr>
          <w:p w:rsidR="005727C2" w:rsidRDefault="005727C2">
            <w:pPr>
              <w:spacing w:after="0"/>
              <w:jc w:val="center"/>
              <w:rPr>
                <w:sz w:val="20"/>
                <w:szCs w:val="20"/>
                <w:lang w:eastAsia="en-US"/>
              </w:rPr>
            </w:pPr>
            <w:r>
              <w:rPr>
                <w:sz w:val="20"/>
                <w:szCs w:val="20"/>
                <w:lang w:eastAsia="en-US"/>
              </w:rPr>
              <w:t>1</w:t>
            </w:r>
          </w:p>
        </w:tc>
        <w:tc>
          <w:tcPr>
            <w:tcW w:w="1276" w:type="dxa"/>
            <w:tcBorders>
              <w:top w:val="single" w:sz="4" w:space="0" w:color="auto"/>
              <w:left w:val="single" w:sz="4" w:space="0" w:color="auto"/>
              <w:bottom w:val="single" w:sz="4" w:space="0" w:color="auto"/>
              <w:right w:val="single" w:sz="4" w:space="0" w:color="auto"/>
            </w:tcBorders>
            <w:hideMark/>
          </w:tcPr>
          <w:p w:rsidR="005727C2" w:rsidRDefault="005727C2">
            <w:pPr>
              <w:spacing w:after="0"/>
              <w:jc w:val="center"/>
              <w:rPr>
                <w:sz w:val="20"/>
                <w:szCs w:val="20"/>
                <w:lang w:eastAsia="en-US"/>
              </w:rPr>
            </w:pPr>
            <w:r>
              <w:rPr>
                <w:sz w:val="20"/>
                <w:szCs w:val="20"/>
                <w:lang w:eastAsia="en-US"/>
              </w:rPr>
              <w:t>1</w:t>
            </w:r>
          </w:p>
        </w:tc>
        <w:tc>
          <w:tcPr>
            <w:tcW w:w="1276" w:type="dxa"/>
            <w:tcBorders>
              <w:top w:val="single" w:sz="4" w:space="0" w:color="auto"/>
              <w:left w:val="single" w:sz="4" w:space="0" w:color="auto"/>
              <w:bottom w:val="single" w:sz="4" w:space="0" w:color="auto"/>
              <w:right w:val="single" w:sz="4" w:space="0" w:color="auto"/>
            </w:tcBorders>
            <w:hideMark/>
          </w:tcPr>
          <w:p w:rsidR="005727C2" w:rsidRDefault="005727C2">
            <w:pPr>
              <w:spacing w:after="0"/>
              <w:jc w:val="center"/>
              <w:rPr>
                <w:sz w:val="20"/>
                <w:szCs w:val="20"/>
                <w:lang w:eastAsia="en-US"/>
              </w:rPr>
            </w:pPr>
            <w:r>
              <w:rPr>
                <w:sz w:val="20"/>
                <w:szCs w:val="20"/>
                <w:lang w:eastAsia="en-US"/>
              </w:rPr>
              <w:t>1</w:t>
            </w:r>
          </w:p>
        </w:tc>
        <w:tc>
          <w:tcPr>
            <w:tcW w:w="1275" w:type="dxa"/>
            <w:tcBorders>
              <w:top w:val="single" w:sz="4" w:space="0" w:color="auto"/>
              <w:left w:val="single" w:sz="4" w:space="0" w:color="auto"/>
              <w:bottom w:val="single" w:sz="4" w:space="0" w:color="auto"/>
              <w:right w:val="single" w:sz="4" w:space="0" w:color="auto"/>
            </w:tcBorders>
            <w:hideMark/>
          </w:tcPr>
          <w:p w:rsidR="005727C2" w:rsidRDefault="005727C2">
            <w:pPr>
              <w:spacing w:after="0"/>
              <w:jc w:val="center"/>
              <w:rPr>
                <w:sz w:val="20"/>
                <w:szCs w:val="20"/>
                <w:lang w:eastAsia="en-US"/>
              </w:rPr>
            </w:pPr>
            <w:r>
              <w:rPr>
                <w:sz w:val="20"/>
                <w:szCs w:val="20"/>
                <w:lang w:eastAsia="en-US"/>
              </w:rPr>
              <w:t>1</w:t>
            </w:r>
          </w:p>
        </w:tc>
        <w:tc>
          <w:tcPr>
            <w:tcW w:w="1701" w:type="dxa"/>
            <w:tcBorders>
              <w:top w:val="single" w:sz="4" w:space="0" w:color="auto"/>
              <w:left w:val="single" w:sz="4" w:space="0" w:color="auto"/>
              <w:bottom w:val="single" w:sz="4" w:space="0" w:color="auto"/>
              <w:right w:val="single" w:sz="4" w:space="0" w:color="auto"/>
            </w:tcBorders>
            <w:hideMark/>
          </w:tcPr>
          <w:p w:rsidR="005727C2" w:rsidRDefault="005727C2">
            <w:pPr>
              <w:spacing w:after="0"/>
              <w:jc w:val="center"/>
              <w:rPr>
                <w:sz w:val="20"/>
                <w:szCs w:val="20"/>
                <w:lang w:eastAsia="en-US"/>
              </w:rPr>
            </w:pPr>
            <w:r>
              <w:rPr>
                <w:sz w:val="20"/>
                <w:szCs w:val="20"/>
                <w:lang w:eastAsia="en-US"/>
              </w:rPr>
              <w:t>1</w:t>
            </w:r>
          </w:p>
        </w:tc>
        <w:tc>
          <w:tcPr>
            <w:tcW w:w="1134" w:type="dxa"/>
            <w:tcBorders>
              <w:top w:val="single" w:sz="4" w:space="0" w:color="auto"/>
              <w:left w:val="single" w:sz="4" w:space="0" w:color="auto"/>
              <w:bottom w:val="single" w:sz="4" w:space="0" w:color="auto"/>
              <w:right w:val="single" w:sz="4" w:space="0" w:color="auto"/>
            </w:tcBorders>
            <w:hideMark/>
          </w:tcPr>
          <w:p w:rsidR="005727C2" w:rsidRDefault="005727C2">
            <w:pPr>
              <w:spacing w:after="0"/>
              <w:jc w:val="center"/>
              <w:rPr>
                <w:sz w:val="20"/>
                <w:szCs w:val="20"/>
                <w:lang w:eastAsia="en-US"/>
              </w:rPr>
            </w:pPr>
            <w:r>
              <w:rPr>
                <w:sz w:val="20"/>
                <w:szCs w:val="20"/>
                <w:lang w:eastAsia="en-US"/>
              </w:rPr>
              <w:t>50 000</w:t>
            </w:r>
          </w:p>
        </w:tc>
      </w:tr>
      <w:tr w:rsidR="005727C2" w:rsidTr="005727C2">
        <w:tc>
          <w:tcPr>
            <w:tcW w:w="1951" w:type="dxa"/>
            <w:tcBorders>
              <w:top w:val="single" w:sz="4" w:space="0" w:color="auto"/>
              <w:left w:val="single" w:sz="4" w:space="0" w:color="auto"/>
              <w:bottom w:val="single" w:sz="4" w:space="0" w:color="auto"/>
              <w:right w:val="single" w:sz="4" w:space="0" w:color="auto"/>
            </w:tcBorders>
            <w:hideMark/>
          </w:tcPr>
          <w:p w:rsidR="005727C2" w:rsidRDefault="005727C2">
            <w:pPr>
              <w:spacing w:after="0"/>
              <w:rPr>
                <w:sz w:val="20"/>
                <w:szCs w:val="20"/>
                <w:lang w:eastAsia="en-US"/>
              </w:rPr>
            </w:pPr>
            <w:r>
              <w:rPr>
                <w:sz w:val="20"/>
                <w:szCs w:val="20"/>
                <w:lang w:eastAsia="en-US"/>
              </w:rPr>
              <w:t xml:space="preserve">Реализация лекарственных </w:t>
            </w:r>
            <w:r>
              <w:rPr>
                <w:sz w:val="20"/>
                <w:szCs w:val="20"/>
                <w:lang w:eastAsia="en-US"/>
              </w:rPr>
              <w:lastRenderedPageBreak/>
              <w:t xml:space="preserve">препаратов, включенных в перечень ЖНВЛП </w:t>
            </w:r>
          </w:p>
        </w:tc>
        <w:tc>
          <w:tcPr>
            <w:tcW w:w="1134" w:type="dxa"/>
            <w:tcBorders>
              <w:top w:val="single" w:sz="4" w:space="0" w:color="auto"/>
              <w:left w:val="single" w:sz="4" w:space="0" w:color="auto"/>
              <w:bottom w:val="single" w:sz="4" w:space="0" w:color="auto"/>
              <w:right w:val="single" w:sz="4" w:space="0" w:color="auto"/>
            </w:tcBorders>
            <w:hideMark/>
          </w:tcPr>
          <w:p w:rsidR="005727C2" w:rsidRDefault="005727C2">
            <w:pPr>
              <w:spacing w:after="0"/>
              <w:jc w:val="center"/>
              <w:rPr>
                <w:sz w:val="20"/>
                <w:szCs w:val="20"/>
                <w:lang w:eastAsia="en-US"/>
              </w:rPr>
            </w:pPr>
            <w:r>
              <w:rPr>
                <w:sz w:val="20"/>
                <w:szCs w:val="20"/>
                <w:lang w:eastAsia="en-US"/>
              </w:rPr>
              <w:lastRenderedPageBreak/>
              <w:t>-</w:t>
            </w:r>
          </w:p>
        </w:tc>
        <w:tc>
          <w:tcPr>
            <w:tcW w:w="1276" w:type="dxa"/>
            <w:tcBorders>
              <w:top w:val="single" w:sz="4" w:space="0" w:color="auto"/>
              <w:left w:val="single" w:sz="4" w:space="0" w:color="auto"/>
              <w:bottom w:val="single" w:sz="4" w:space="0" w:color="auto"/>
              <w:right w:val="single" w:sz="4" w:space="0" w:color="auto"/>
            </w:tcBorders>
            <w:hideMark/>
          </w:tcPr>
          <w:p w:rsidR="005727C2" w:rsidRDefault="005727C2">
            <w:pPr>
              <w:spacing w:after="0"/>
              <w:jc w:val="center"/>
              <w:rPr>
                <w:sz w:val="20"/>
                <w:szCs w:val="20"/>
                <w:lang w:eastAsia="en-US"/>
              </w:rPr>
            </w:pPr>
            <w:r>
              <w:rPr>
                <w:sz w:val="20"/>
                <w:szCs w:val="20"/>
                <w:lang w:eastAsia="en-US"/>
              </w:rPr>
              <w:t>-</w:t>
            </w:r>
          </w:p>
        </w:tc>
        <w:tc>
          <w:tcPr>
            <w:tcW w:w="1276" w:type="dxa"/>
            <w:tcBorders>
              <w:top w:val="single" w:sz="4" w:space="0" w:color="auto"/>
              <w:left w:val="single" w:sz="4" w:space="0" w:color="auto"/>
              <w:bottom w:val="single" w:sz="4" w:space="0" w:color="auto"/>
              <w:right w:val="single" w:sz="4" w:space="0" w:color="auto"/>
            </w:tcBorders>
            <w:hideMark/>
          </w:tcPr>
          <w:p w:rsidR="005727C2" w:rsidRDefault="005727C2">
            <w:pPr>
              <w:spacing w:after="0"/>
              <w:jc w:val="center"/>
              <w:rPr>
                <w:sz w:val="20"/>
                <w:szCs w:val="20"/>
                <w:lang w:eastAsia="en-US"/>
              </w:rPr>
            </w:pPr>
            <w:r>
              <w:rPr>
                <w:sz w:val="20"/>
                <w:szCs w:val="20"/>
                <w:lang w:eastAsia="en-US"/>
              </w:rPr>
              <w:t>-</w:t>
            </w:r>
          </w:p>
        </w:tc>
        <w:tc>
          <w:tcPr>
            <w:tcW w:w="1275" w:type="dxa"/>
            <w:tcBorders>
              <w:top w:val="single" w:sz="4" w:space="0" w:color="auto"/>
              <w:left w:val="single" w:sz="4" w:space="0" w:color="auto"/>
              <w:bottom w:val="single" w:sz="4" w:space="0" w:color="auto"/>
              <w:right w:val="single" w:sz="4" w:space="0" w:color="auto"/>
            </w:tcBorders>
            <w:hideMark/>
          </w:tcPr>
          <w:p w:rsidR="005727C2" w:rsidRDefault="005727C2">
            <w:pPr>
              <w:spacing w:after="0"/>
              <w:jc w:val="center"/>
              <w:rPr>
                <w:sz w:val="20"/>
                <w:szCs w:val="20"/>
                <w:lang w:eastAsia="en-US"/>
              </w:rPr>
            </w:pPr>
            <w:r>
              <w:rPr>
                <w:sz w:val="20"/>
                <w:szCs w:val="20"/>
                <w:lang w:eastAsia="en-US"/>
              </w:rPr>
              <w:t>-</w:t>
            </w:r>
          </w:p>
        </w:tc>
        <w:tc>
          <w:tcPr>
            <w:tcW w:w="1701" w:type="dxa"/>
            <w:tcBorders>
              <w:top w:val="single" w:sz="4" w:space="0" w:color="auto"/>
              <w:left w:val="single" w:sz="4" w:space="0" w:color="auto"/>
              <w:bottom w:val="single" w:sz="4" w:space="0" w:color="auto"/>
              <w:right w:val="single" w:sz="4" w:space="0" w:color="auto"/>
            </w:tcBorders>
            <w:hideMark/>
          </w:tcPr>
          <w:p w:rsidR="005727C2" w:rsidRDefault="005727C2">
            <w:pPr>
              <w:spacing w:after="0"/>
              <w:jc w:val="center"/>
              <w:rPr>
                <w:sz w:val="20"/>
                <w:szCs w:val="20"/>
                <w:lang w:eastAsia="en-US"/>
              </w:rPr>
            </w:pPr>
            <w:r>
              <w:rPr>
                <w:sz w:val="20"/>
                <w:szCs w:val="20"/>
                <w:lang w:eastAsia="en-US"/>
              </w:rPr>
              <w:t>-</w:t>
            </w:r>
          </w:p>
        </w:tc>
        <w:tc>
          <w:tcPr>
            <w:tcW w:w="1134" w:type="dxa"/>
            <w:tcBorders>
              <w:top w:val="single" w:sz="4" w:space="0" w:color="auto"/>
              <w:left w:val="single" w:sz="4" w:space="0" w:color="auto"/>
              <w:bottom w:val="single" w:sz="4" w:space="0" w:color="auto"/>
              <w:right w:val="single" w:sz="4" w:space="0" w:color="auto"/>
            </w:tcBorders>
            <w:hideMark/>
          </w:tcPr>
          <w:p w:rsidR="005727C2" w:rsidRDefault="005727C2">
            <w:pPr>
              <w:spacing w:after="0"/>
              <w:jc w:val="center"/>
              <w:rPr>
                <w:sz w:val="20"/>
                <w:szCs w:val="20"/>
                <w:lang w:eastAsia="en-US"/>
              </w:rPr>
            </w:pPr>
            <w:r>
              <w:rPr>
                <w:sz w:val="20"/>
                <w:szCs w:val="20"/>
                <w:lang w:eastAsia="en-US"/>
              </w:rPr>
              <w:t>-</w:t>
            </w:r>
          </w:p>
        </w:tc>
      </w:tr>
      <w:tr w:rsidR="005727C2" w:rsidTr="005727C2">
        <w:tc>
          <w:tcPr>
            <w:tcW w:w="1951" w:type="dxa"/>
            <w:tcBorders>
              <w:top w:val="single" w:sz="4" w:space="0" w:color="auto"/>
              <w:left w:val="single" w:sz="4" w:space="0" w:color="auto"/>
              <w:bottom w:val="single" w:sz="4" w:space="0" w:color="auto"/>
              <w:right w:val="single" w:sz="4" w:space="0" w:color="auto"/>
            </w:tcBorders>
            <w:hideMark/>
          </w:tcPr>
          <w:p w:rsidR="005727C2" w:rsidRDefault="005727C2">
            <w:pPr>
              <w:spacing w:after="0"/>
              <w:rPr>
                <w:sz w:val="20"/>
                <w:szCs w:val="20"/>
                <w:lang w:eastAsia="en-US"/>
              </w:rPr>
            </w:pPr>
            <w:r>
              <w:rPr>
                <w:sz w:val="20"/>
                <w:szCs w:val="20"/>
                <w:lang w:eastAsia="en-US"/>
              </w:rPr>
              <w:lastRenderedPageBreak/>
              <w:t>Прочее (ТКО)</w:t>
            </w:r>
          </w:p>
        </w:tc>
        <w:tc>
          <w:tcPr>
            <w:tcW w:w="1134" w:type="dxa"/>
            <w:tcBorders>
              <w:top w:val="single" w:sz="4" w:space="0" w:color="auto"/>
              <w:left w:val="single" w:sz="4" w:space="0" w:color="auto"/>
              <w:bottom w:val="single" w:sz="4" w:space="0" w:color="auto"/>
              <w:right w:val="single" w:sz="4" w:space="0" w:color="auto"/>
            </w:tcBorders>
            <w:hideMark/>
          </w:tcPr>
          <w:p w:rsidR="005727C2" w:rsidRDefault="005727C2">
            <w:pPr>
              <w:spacing w:after="0"/>
              <w:jc w:val="center"/>
              <w:rPr>
                <w:sz w:val="20"/>
                <w:szCs w:val="20"/>
                <w:lang w:eastAsia="en-US"/>
              </w:rPr>
            </w:pPr>
            <w:r>
              <w:rPr>
                <w:sz w:val="20"/>
                <w:szCs w:val="20"/>
                <w:lang w:eastAsia="en-US"/>
              </w:rPr>
              <w:t>2</w:t>
            </w:r>
          </w:p>
        </w:tc>
        <w:tc>
          <w:tcPr>
            <w:tcW w:w="1276" w:type="dxa"/>
            <w:tcBorders>
              <w:top w:val="single" w:sz="4" w:space="0" w:color="auto"/>
              <w:left w:val="single" w:sz="4" w:space="0" w:color="auto"/>
              <w:bottom w:val="single" w:sz="4" w:space="0" w:color="auto"/>
              <w:right w:val="single" w:sz="4" w:space="0" w:color="auto"/>
            </w:tcBorders>
            <w:hideMark/>
          </w:tcPr>
          <w:p w:rsidR="005727C2" w:rsidRDefault="005727C2">
            <w:pPr>
              <w:spacing w:after="0"/>
              <w:jc w:val="center"/>
              <w:rPr>
                <w:sz w:val="20"/>
                <w:szCs w:val="20"/>
                <w:lang w:eastAsia="en-US"/>
              </w:rPr>
            </w:pPr>
            <w:r>
              <w:rPr>
                <w:sz w:val="20"/>
                <w:szCs w:val="20"/>
                <w:lang w:eastAsia="en-US"/>
              </w:rPr>
              <w:t>1</w:t>
            </w:r>
          </w:p>
        </w:tc>
        <w:tc>
          <w:tcPr>
            <w:tcW w:w="1276" w:type="dxa"/>
            <w:tcBorders>
              <w:top w:val="single" w:sz="4" w:space="0" w:color="auto"/>
              <w:left w:val="single" w:sz="4" w:space="0" w:color="auto"/>
              <w:bottom w:val="single" w:sz="4" w:space="0" w:color="auto"/>
              <w:right w:val="single" w:sz="4" w:space="0" w:color="auto"/>
            </w:tcBorders>
            <w:hideMark/>
          </w:tcPr>
          <w:p w:rsidR="005727C2" w:rsidRDefault="005727C2">
            <w:pPr>
              <w:spacing w:after="0"/>
              <w:jc w:val="center"/>
              <w:rPr>
                <w:sz w:val="20"/>
                <w:szCs w:val="20"/>
                <w:lang w:eastAsia="en-US"/>
              </w:rPr>
            </w:pPr>
            <w:r>
              <w:rPr>
                <w:sz w:val="20"/>
                <w:szCs w:val="20"/>
                <w:lang w:eastAsia="en-US"/>
              </w:rPr>
              <w:t>1</w:t>
            </w:r>
          </w:p>
        </w:tc>
        <w:tc>
          <w:tcPr>
            <w:tcW w:w="1275" w:type="dxa"/>
            <w:tcBorders>
              <w:top w:val="single" w:sz="4" w:space="0" w:color="auto"/>
              <w:left w:val="single" w:sz="4" w:space="0" w:color="auto"/>
              <w:bottom w:val="single" w:sz="4" w:space="0" w:color="auto"/>
              <w:right w:val="single" w:sz="4" w:space="0" w:color="auto"/>
            </w:tcBorders>
            <w:hideMark/>
          </w:tcPr>
          <w:p w:rsidR="005727C2" w:rsidRDefault="005727C2">
            <w:pPr>
              <w:spacing w:after="0"/>
              <w:jc w:val="center"/>
              <w:rPr>
                <w:sz w:val="20"/>
                <w:szCs w:val="20"/>
                <w:lang w:eastAsia="en-US"/>
              </w:rPr>
            </w:pPr>
            <w:r>
              <w:rPr>
                <w:sz w:val="20"/>
                <w:szCs w:val="20"/>
                <w:lang w:eastAsia="en-US"/>
              </w:rPr>
              <w:t>0</w:t>
            </w:r>
          </w:p>
        </w:tc>
        <w:tc>
          <w:tcPr>
            <w:tcW w:w="1701" w:type="dxa"/>
            <w:tcBorders>
              <w:top w:val="single" w:sz="4" w:space="0" w:color="auto"/>
              <w:left w:val="single" w:sz="4" w:space="0" w:color="auto"/>
              <w:bottom w:val="single" w:sz="4" w:space="0" w:color="auto"/>
              <w:right w:val="single" w:sz="4" w:space="0" w:color="auto"/>
            </w:tcBorders>
            <w:hideMark/>
          </w:tcPr>
          <w:p w:rsidR="005727C2" w:rsidRDefault="005727C2">
            <w:pPr>
              <w:spacing w:after="0"/>
              <w:jc w:val="center"/>
              <w:rPr>
                <w:sz w:val="20"/>
                <w:szCs w:val="20"/>
                <w:lang w:eastAsia="en-US"/>
              </w:rPr>
            </w:pPr>
            <w:r>
              <w:rPr>
                <w:sz w:val="20"/>
                <w:szCs w:val="20"/>
                <w:lang w:eastAsia="en-US"/>
              </w:rPr>
              <w:t>1</w:t>
            </w:r>
          </w:p>
        </w:tc>
        <w:tc>
          <w:tcPr>
            <w:tcW w:w="1134" w:type="dxa"/>
            <w:tcBorders>
              <w:top w:val="single" w:sz="4" w:space="0" w:color="auto"/>
              <w:left w:val="single" w:sz="4" w:space="0" w:color="auto"/>
              <w:bottom w:val="single" w:sz="4" w:space="0" w:color="auto"/>
              <w:right w:val="single" w:sz="4" w:space="0" w:color="auto"/>
            </w:tcBorders>
            <w:hideMark/>
          </w:tcPr>
          <w:p w:rsidR="005727C2" w:rsidRDefault="005727C2">
            <w:pPr>
              <w:spacing w:after="0"/>
              <w:jc w:val="center"/>
              <w:rPr>
                <w:sz w:val="20"/>
                <w:szCs w:val="20"/>
                <w:lang w:eastAsia="en-US"/>
              </w:rPr>
            </w:pPr>
            <w:r>
              <w:rPr>
                <w:sz w:val="20"/>
                <w:szCs w:val="20"/>
                <w:lang w:eastAsia="en-US"/>
              </w:rPr>
              <w:t>25 000</w:t>
            </w:r>
          </w:p>
        </w:tc>
      </w:tr>
      <w:tr w:rsidR="005727C2" w:rsidTr="005727C2">
        <w:tc>
          <w:tcPr>
            <w:tcW w:w="1951" w:type="dxa"/>
            <w:tcBorders>
              <w:top w:val="single" w:sz="4" w:space="0" w:color="auto"/>
              <w:left w:val="single" w:sz="4" w:space="0" w:color="auto"/>
              <w:bottom w:val="single" w:sz="4" w:space="0" w:color="auto"/>
              <w:right w:val="single" w:sz="4" w:space="0" w:color="auto"/>
            </w:tcBorders>
            <w:hideMark/>
          </w:tcPr>
          <w:p w:rsidR="005727C2" w:rsidRDefault="005727C2">
            <w:pPr>
              <w:spacing w:after="0"/>
              <w:rPr>
                <w:sz w:val="20"/>
                <w:szCs w:val="20"/>
                <w:lang w:eastAsia="en-US"/>
              </w:rPr>
            </w:pPr>
            <w:r>
              <w:rPr>
                <w:sz w:val="20"/>
                <w:szCs w:val="20"/>
                <w:lang w:eastAsia="en-US"/>
              </w:rPr>
              <w:t>ИТОГО*:</w:t>
            </w:r>
          </w:p>
        </w:tc>
        <w:tc>
          <w:tcPr>
            <w:tcW w:w="1134" w:type="dxa"/>
            <w:tcBorders>
              <w:top w:val="single" w:sz="4" w:space="0" w:color="auto"/>
              <w:left w:val="single" w:sz="4" w:space="0" w:color="auto"/>
              <w:bottom w:val="single" w:sz="4" w:space="0" w:color="auto"/>
              <w:right w:val="single" w:sz="4" w:space="0" w:color="auto"/>
            </w:tcBorders>
            <w:hideMark/>
          </w:tcPr>
          <w:p w:rsidR="005727C2" w:rsidRDefault="005727C2">
            <w:pPr>
              <w:spacing w:after="0"/>
              <w:jc w:val="center"/>
              <w:rPr>
                <w:sz w:val="20"/>
                <w:szCs w:val="20"/>
                <w:lang w:eastAsia="en-US"/>
              </w:rPr>
            </w:pPr>
            <w:r>
              <w:rPr>
                <w:sz w:val="20"/>
                <w:szCs w:val="20"/>
                <w:lang w:eastAsia="en-US"/>
              </w:rPr>
              <w:t>13</w:t>
            </w:r>
          </w:p>
        </w:tc>
        <w:tc>
          <w:tcPr>
            <w:tcW w:w="1276" w:type="dxa"/>
            <w:tcBorders>
              <w:top w:val="single" w:sz="4" w:space="0" w:color="auto"/>
              <w:left w:val="single" w:sz="4" w:space="0" w:color="auto"/>
              <w:bottom w:val="single" w:sz="4" w:space="0" w:color="auto"/>
              <w:right w:val="single" w:sz="4" w:space="0" w:color="auto"/>
            </w:tcBorders>
            <w:hideMark/>
          </w:tcPr>
          <w:p w:rsidR="005727C2" w:rsidRDefault="005727C2">
            <w:pPr>
              <w:spacing w:after="0"/>
              <w:jc w:val="center"/>
              <w:rPr>
                <w:sz w:val="20"/>
                <w:szCs w:val="20"/>
                <w:lang w:eastAsia="en-US"/>
              </w:rPr>
            </w:pPr>
            <w:r>
              <w:rPr>
                <w:sz w:val="20"/>
                <w:szCs w:val="20"/>
                <w:lang w:eastAsia="en-US"/>
              </w:rPr>
              <w:t>7</w:t>
            </w:r>
          </w:p>
        </w:tc>
        <w:tc>
          <w:tcPr>
            <w:tcW w:w="1276" w:type="dxa"/>
            <w:tcBorders>
              <w:top w:val="single" w:sz="4" w:space="0" w:color="auto"/>
              <w:left w:val="single" w:sz="4" w:space="0" w:color="auto"/>
              <w:bottom w:val="single" w:sz="4" w:space="0" w:color="auto"/>
              <w:right w:val="single" w:sz="4" w:space="0" w:color="auto"/>
            </w:tcBorders>
            <w:hideMark/>
          </w:tcPr>
          <w:p w:rsidR="005727C2" w:rsidRDefault="005727C2">
            <w:pPr>
              <w:spacing w:after="0"/>
              <w:jc w:val="center"/>
              <w:rPr>
                <w:sz w:val="20"/>
                <w:szCs w:val="20"/>
                <w:lang w:eastAsia="en-US"/>
              </w:rPr>
            </w:pPr>
            <w:r>
              <w:rPr>
                <w:sz w:val="20"/>
                <w:szCs w:val="20"/>
                <w:lang w:eastAsia="en-US"/>
              </w:rPr>
              <w:t>6</w:t>
            </w:r>
          </w:p>
        </w:tc>
        <w:tc>
          <w:tcPr>
            <w:tcW w:w="1275" w:type="dxa"/>
            <w:tcBorders>
              <w:top w:val="single" w:sz="4" w:space="0" w:color="auto"/>
              <w:left w:val="single" w:sz="4" w:space="0" w:color="auto"/>
              <w:bottom w:val="single" w:sz="4" w:space="0" w:color="auto"/>
              <w:right w:val="single" w:sz="4" w:space="0" w:color="auto"/>
            </w:tcBorders>
            <w:hideMark/>
          </w:tcPr>
          <w:p w:rsidR="005727C2" w:rsidRDefault="005727C2">
            <w:pPr>
              <w:spacing w:after="0"/>
              <w:jc w:val="center"/>
              <w:rPr>
                <w:sz w:val="20"/>
                <w:szCs w:val="20"/>
                <w:lang w:eastAsia="en-US"/>
              </w:rPr>
            </w:pPr>
            <w:r>
              <w:rPr>
                <w:sz w:val="20"/>
                <w:szCs w:val="20"/>
                <w:lang w:eastAsia="en-US"/>
              </w:rPr>
              <w:t>4</w:t>
            </w:r>
          </w:p>
        </w:tc>
        <w:tc>
          <w:tcPr>
            <w:tcW w:w="1701" w:type="dxa"/>
            <w:tcBorders>
              <w:top w:val="single" w:sz="4" w:space="0" w:color="auto"/>
              <w:left w:val="single" w:sz="4" w:space="0" w:color="auto"/>
              <w:bottom w:val="single" w:sz="4" w:space="0" w:color="auto"/>
              <w:right w:val="single" w:sz="4" w:space="0" w:color="auto"/>
            </w:tcBorders>
            <w:hideMark/>
          </w:tcPr>
          <w:p w:rsidR="005727C2" w:rsidRDefault="005727C2">
            <w:pPr>
              <w:spacing w:after="0"/>
              <w:jc w:val="center"/>
              <w:rPr>
                <w:sz w:val="20"/>
                <w:szCs w:val="20"/>
                <w:lang w:eastAsia="en-US"/>
              </w:rPr>
            </w:pPr>
            <w:r>
              <w:rPr>
                <w:sz w:val="20"/>
                <w:szCs w:val="20"/>
                <w:lang w:eastAsia="en-US"/>
              </w:rPr>
              <w:t>7</w:t>
            </w:r>
          </w:p>
        </w:tc>
        <w:tc>
          <w:tcPr>
            <w:tcW w:w="1134" w:type="dxa"/>
            <w:tcBorders>
              <w:top w:val="single" w:sz="4" w:space="0" w:color="auto"/>
              <w:left w:val="single" w:sz="4" w:space="0" w:color="auto"/>
              <w:bottom w:val="single" w:sz="4" w:space="0" w:color="auto"/>
              <w:right w:val="single" w:sz="4" w:space="0" w:color="auto"/>
            </w:tcBorders>
            <w:hideMark/>
          </w:tcPr>
          <w:p w:rsidR="005727C2" w:rsidRDefault="005727C2">
            <w:pPr>
              <w:spacing w:after="0"/>
              <w:jc w:val="center"/>
              <w:rPr>
                <w:sz w:val="20"/>
                <w:szCs w:val="20"/>
                <w:lang w:eastAsia="en-US"/>
              </w:rPr>
            </w:pPr>
            <w:r>
              <w:rPr>
                <w:sz w:val="20"/>
                <w:szCs w:val="20"/>
                <w:lang w:eastAsia="en-US"/>
              </w:rPr>
              <w:t>386 000</w:t>
            </w:r>
          </w:p>
        </w:tc>
      </w:tr>
    </w:tbl>
    <w:p w:rsidR="005727C2" w:rsidRDefault="005727C2" w:rsidP="005727C2">
      <w:pPr>
        <w:autoSpaceDE w:val="0"/>
        <w:autoSpaceDN w:val="0"/>
        <w:adjustRightInd w:val="0"/>
        <w:spacing w:after="0" w:line="240" w:lineRule="auto"/>
        <w:rPr>
          <w:rFonts w:eastAsiaTheme="minorHAnsi"/>
          <w:sz w:val="20"/>
          <w:szCs w:val="20"/>
          <w:lang w:eastAsia="en-US"/>
        </w:rPr>
      </w:pPr>
      <w:r>
        <w:rPr>
          <w:rFonts w:eastAsiaTheme="minorHAnsi"/>
          <w:sz w:val="20"/>
          <w:szCs w:val="20"/>
          <w:lang w:eastAsia="en-US"/>
        </w:rPr>
        <w:t>*</w:t>
      </w:r>
      <w:r>
        <w:rPr>
          <w:rFonts w:eastAsiaTheme="minorHAnsi"/>
          <w:i/>
          <w:sz w:val="20"/>
          <w:szCs w:val="20"/>
          <w:lang w:eastAsia="en-US"/>
        </w:rPr>
        <w:t>Итоговое количество плановых проверок не совпадает с количеством проверок по сферам, поскольку в рамках одной проверки в ряде случаев проверено исполнение обязательных требований в нескольких сферах</w:t>
      </w:r>
      <w:r>
        <w:rPr>
          <w:rFonts w:eastAsiaTheme="minorHAnsi"/>
          <w:sz w:val="20"/>
          <w:szCs w:val="20"/>
          <w:lang w:eastAsia="en-US"/>
        </w:rPr>
        <w:t>.</w:t>
      </w:r>
    </w:p>
    <w:p w:rsidR="005727C2" w:rsidRDefault="005727C2" w:rsidP="005727C2">
      <w:pPr>
        <w:spacing w:after="0" w:line="240" w:lineRule="auto"/>
        <w:ind w:firstLine="757"/>
      </w:pPr>
    </w:p>
    <w:p w:rsidR="005727C2" w:rsidRDefault="005727C2" w:rsidP="005727C2">
      <w:pPr>
        <w:spacing w:after="0" w:line="240" w:lineRule="auto"/>
        <w:ind w:firstLine="757"/>
        <w:jc w:val="right"/>
        <w:rPr>
          <w:i/>
          <w:sz w:val="20"/>
          <w:szCs w:val="20"/>
        </w:rPr>
      </w:pPr>
    </w:p>
    <w:tbl>
      <w:tblPr>
        <w:tblStyle w:val="aff"/>
        <w:tblW w:w="9750" w:type="dxa"/>
        <w:tblLayout w:type="fixed"/>
        <w:tblLook w:val="04A0" w:firstRow="1" w:lastRow="0" w:firstColumn="1" w:lastColumn="0" w:noHBand="0" w:noVBand="1"/>
      </w:tblPr>
      <w:tblGrid>
        <w:gridCol w:w="1990"/>
        <w:gridCol w:w="1131"/>
        <w:gridCol w:w="1385"/>
        <w:gridCol w:w="1134"/>
        <w:gridCol w:w="1275"/>
        <w:gridCol w:w="1539"/>
        <w:gridCol w:w="1296"/>
      </w:tblGrid>
      <w:tr w:rsidR="005727C2" w:rsidTr="005727C2">
        <w:tc>
          <w:tcPr>
            <w:tcW w:w="9747" w:type="dxa"/>
            <w:gridSpan w:val="7"/>
            <w:tcBorders>
              <w:top w:val="single" w:sz="4" w:space="0" w:color="auto"/>
              <w:left w:val="single" w:sz="4" w:space="0" w:color="auto"/>
              <w:bottom w:val="single" w:sz="4" w:space="0" w:color="auto"/>
              <w:right w:val="single" w:sz="4" w:space="0" w:color="auto"/>
            </w:tcBorders>
            <w:hideMark/>
          </w:tcPr>
          <w:p w:rsidR="005727C2" w:rsidRDefault="005727C2">
            <w:pPr>
              <w:spacing w:after="0"/>
              <w:jc w:val="center"/>
              <w:rPr>
                <w:b/>
                <w:lang w:eastAsia="en-US"/>
              </w:rPr>
            </w:pPr>
            <w:r>
              <w:rPr>
                <w:b/>
                <w:lang w:eastAsia="en-US"/>
              </w:rPr>
              <w:t xml:space="preserve">Результаты проведения департаментом </w:t>
            </w:r>
          </w:p>
          <w:p w:rsidR="005727C2" w:rsidRDefault="005727C2">
            <w:pPr>
              <w:spacing w:after="0"/>
              <w:jc w:val="center"/>
              <w:rPr>
                <w:b/>
                <w:sz w:val="18"/>
                <w:szCs w:val="18"/>
                <w:lang w:eastAsia="en-US"/>
              </w:rPr>
            </w:pPr>
            <w:r>
              <w:rPr>
                <w:b/>
                <w:lang w:eastAsia="en-US"/>
              </w:rPr>
              <w:t>внеплановых проверок в 2019 году</w:t>
            </w:r>
            <w:r>
              <w:rPr>
                <w:b/>
                <w:sz w:val="18"/>
                <w:szCs w:val="18"/>
                <w:lang w:eastAsia="en-US"/>
              </w:rPr>
              <w:t xml:space="preserve"> </w:t>
            </w:r>
          </w:p>
        </w:tc>
      </w:tr>
      <w:tr w:rsidR="005727C2" w:rsidTr="005727C2">
        <w:tc>
          <w:tcPr>
            <w:tcW w:w="1988" w:type="dxa"/>
            <w:tcBorders>
              <w:top w:val="single" w:sz="4" w:space="0" w:color="auto"/>
              <w:left w:val="single" w:sz="4" w:space="0" w:color="auto"/>
              <w:bottom w:val="single" w:sz="4" w:space="0" w:color="auto"/>
              <w:right w:val="single" w:sz="4" w:space="0" w:color="auto"/>
            </w:tcBorders>
            <w:hideMark/>
          </w:tcPr>
          <w:p w:rsidR="005727C2" w:rsidRDefault="005727C2">
            <w:pPr>
              <w:spacing w:after="0"/>
              <w:jc w:val="center"/>
              <w:rPr>
                <w:sz w:val="18"/>
                <w:szCs w:val="18"/>
                <w:lang w:eastAsia="en-US"/>
              </w:rPr>
            </w:pPr>
            <w:r>
              <w:rPr>
                <w:sz w:val="18"/>
                <w:szCs w:val="18"/>
                <w:lang w:eastAsia="en-US"/>
              </w:rPr>
              <w:t>Сфера осуществления контроля (надзора)</w:t>
            </w:r>
          </w:p>
        </w:tc>
        <w:tc>
          <w:tcPr>
            <w:tcW w:w="1130" w:type="dxa"/>
            <w:tcBorders>
              <w:top w:val="single" w:sz="4" w:space="0" w:color="auto"/>
              <w:left w:val="single" w:sz="4" w:space="0" w:color="auto"/>
              <w:bottom w:val="single" w:sz="4" w:space="0" w:color="auto"/>
              <w:right w:val="single" w:sz="4" w:space="0" w:color="auto"/>
            </w:tcBorders>
            <w:hideMark/>
          </w:tcPr>
          <w:p w:rsidR="005727C2" w:rsidRDefault="005727C2">
            <w:pPr>
              <w:spacing w:after="0"/>
              <w:jc w:val="center"/>
              <w:rPr>
                <w:sz w:val="18"/>
                <w:szCs w:val="18"/>
                <w:lang w:eastAsia="en-US"/>
              </w:rPr>
            </w:pPr>
            <w:r>
              <w:rPr>
                <w:sz w:val="18"/>
                <w:szCs w:val="18"/>
                <w:lang w:eastAsia="en-US"/>
              </w:rPr>
              <w:t>Проведено</w:t>
            </w:r>
          </w:p>
          <w:p w:rsidR="005727C2" w:rsidRDefault="005727C2">
            <w:pPr>
              <w:spacing w:after="0"/>
              <w:jc w:val="center"/>
              <w:rPr>
                <w:sz w:val="18"/>
                <w:szCs w:val="18"/>
                <w:lang w:eastAsia="en-US"/>
              </w:rPr>
            </w:pPr>
            <w:r>
              <w:rPr>
                <w:sz w:val="18"/>
                <w:szCs w:val="18"/>
                <w:lang w:eastAsia="en-US"/>
              </w:rPr>
              <w:t>проверок</w:t>
            </w:r>
          </w:p>
        </w:tc>
        <w:tc>
          <w:tcPr>
            <w:tcW w:w="1385" w:type="dxa"/>
            <w:tcBorders>
              <w:top w:val="single" w:sz="4" w:space="0" w:color="auto"/>
              <w:left w:val="single" w:sz="4" w:space="0" w:color="auto"/>
              <w:bottom w:val="single" w:sz="4" w:space="0" w:color="auto"/>
              <w:right w:val="single" w:sz="4" w:space="0" w:color="auto"/>
            </w:tcBorders>
            <w:hideMark/>
          </w:tcPr>
          <w:p w:rsidR="005727C2" w:rsidRDefault="005727C2">
            <w:pPr>
              <w:spacing w:after="0"/>
              <w:jc w:val="center"/>
              <w:rPr>
                <w:sz w:val="18"/>
                <w:szCs w:val="18"/>
                <w:lang w:eastAsia="en-US"/>
              </w:rPr>
            </w:pPr>
            <w:r>
              <w:rPr>
                <w:sz w:val="18"/>
                <w:szCs w:val="18"/>
                <w:lang w:eastAsia="en-US"/>
              </w:rPr>
              <w:t>Проверки, в ходе которых выявлены нарушения</w:t>
            </w:r>
          </w:p>
        </w:tc>
        <w:tc>
          <w:tcPr>
            <w:tcW w:w="1134" w:type="dxa"/>
            <w:tcBorders>
              <w:top w:val="single" w:sz="4" w:space="0" w:color="auto"/>
              <w:left w:val="single" w:sz="4" w:space="0" w:color="auto"/>
              <w:bottom w:val="single" w:sz="4" w:space="0" w:color="auto"/>
              <w:right w:val="single" w:sz="4" w:space="0" w:color="auto"/>
            </w:tcBorders>
            <w:hideMark/>
          </w:tcPr>
          <w:p w:rsidR="005727C2" w:rsidRDefault="005727C2">
            <w:pPr>
              <w:spacing w:after="0"/>
              <w:jc w:val="center"/>
              <w:rPr>
                <w:sz w:val="18"/>
                <w:szCs w:val="18"/>
                <w:lang w:eastAsia="en-US"/>
              </w:rPr>
            </w:pPr>
            <w:r>
              <w:rPr>
                <w:sz w:val="18"/>
                <w:szCs w:val="18"/>
                <w:lang w:eastAsia="en-US"/>
              </w:rPr>
              <w:t>Выдано предписаний</w:t>
            </w:r>
          </w:p>
        </w:tc>
        <w:tc>
          <w:tcPr>
            <w:tcW w:w="1275" w:type="dxa"/>
            <w:tcBorders>
              <w:top w:val="single" w:sz="4" w:space="0" w:color="auto"/>
              <w:left w:val="single" w:sz="4" w:space="0" w:color="auto"/>
              <w:bottom w:val="single" w:sz="4" w:space="0" w:color="auto"/>
              <w:right w:val="single" w:sz="4" w:space="0" w:color="auto"/>
            </w:tcBorders>
            <w:hideMark/>
          </w:tcPr>
          <w:p w:rsidR="005727C2" w:rsidRDefault="005727C2">
            <w:pPr>
              <w:spacing w:after="0"/>
              <w:jc w:val="center"/>
              <w:rPr>
                <w:sz w:val="18"/>
                <w:szCs w:val="18"/>
                <w:lang w:eastAsia="en-US"/>
              </w:rPr>
            </w:pPr>
            <w:r>
              <w:rPr>
                <w:sz w:val="18"/>
                <w:szCs w:val="18"/>
                <w:lang w:eastAsia="en-US"/>
              </w:rPr>
              <w:t>Выполнено предписаний</w:t>
            </w:r>
          </w:p>
        </w:tc>
        <w:tc>
          <w:tcPr>
            <w:tcW w:w="1539" w:type="dxa"/>
            <w:tcBorders>
              <w:top w:val="single" w:sz="4" w:space="0" w:color="auto"/>
              <w:left w:val="single" w:sz="4" w:space="0" w:color="auto"/>
              <w:bottom w:val="single" w:sz="4" w:space="0" w:color="auto"/>
              <w:right w:val="single" w:sz="4" w:space="0" w:color="auto"/>
            </w:tcBorders>
            <w:hideMark/>
          </w:tcPr>
          <w:p w:rsidR="005727C2" w:rsidRDefault="005727C2">
            <w:pPr>
              <w:spacing w:after="0"/>
              <w:jc w:val="center"/>
              <w:rPr>
                <w:sz w:val="18"/>
                <w:szCs w:val="18"/>
                <w:lang w:eastAsia="en-US"/>
              </w:rPr>
            </w:pPr>
            <w:r>
              <w:rPr>
                <w:sz w:val="18"/>
                <w:szCs w:val="18"/>
                <w:lang w:eastAsia="en-US"/>
              </w:rPr>
              <w:t>Количество проверок, по итогам которых наложены адм.наказания</w:t>
            </w:r>
          </w:p>
        </w:tc>
        <w:tc>
          <w:tcPr>
            <w:tcW w:w="1296" w:type="dxa"/>
            <w:tcBorders>
              <w:top w:val="single" w:sz="4" w:space="0" w:color="auto"/>
              <w:left w:val="single" w:sz="4" w:space="0" w:color="auto"/>
              <w:bottom w:val="single" w:sz="4" w:space="0" w:color="auto"/>
              <w:right w:val="single" w:sz="4" w:space="0" w:color="auto"/>
            </w:tcBorders>
            <w:hideMark/>
          </w:tcPr>
          <w:p w:rsidR="005727C2" w:rsidRDefault="005727C2">
            <w:pPr>
              <w:spacing w:after="0"/>
              <w:jc w:val="center"/>
              <w:rPr>
                <w:sz w:val="18"/>
                <w:szCs w:val="18"/>
                <w:lang w:eastAsia="en-US"/>
              </w:rPr>
            </w:pPr>
            <w:r>
              <w:rPr>
                <w:sz w:val="18"/>
                <w:szCs w:val="18"/>
                <w:lang w:eastAsia="en-US"/>
              </w:rPr>
              <w:t>Сумма администр. Штрафов</w:t>
            </w:r>
          </w:p>
          <w:p w:rsidR="005727C2" w:rsidRDefault="005727C2">
            <w:pPr>
              <w:spacing w:after="0"/>
              <w:jc w:val="center"/>
              <w:rPr>
                <w:sz w:val="18"/>
                <w:szCs w:val="18"/>
                <w:lang w:eastAsia="en-US"/>
              </w:rPr>
            </w:pPr>
            <w:r>
              <w:rPr>
                <w:sz w:val="18"/>
                <w:szCs w:val="18"/>
                <w:lang w:eastAsia="en-US"/>
              </w:rPr>
              <w:t>руб.</w:t>
            </w:r>
          </w:p>
        </w:tc>
      </w:tr>
      <w:tr w:rsidR="005727C2" w:rsidTr="005727C2">
        <w:tc>
          <w:tcPr>
            <w:tcW w:w="1988" w:type="dxa"/>
            <w:tcBorders>
              <w:top w:val="single" w:sz="4" w:space="0" w:color="auto"/>
              <w:left w:val="single" w:sz="4" w:space="0" w:color="auto"/>
              <w:bottom w:val="single" w:sz="4" w:space="0" w:color="auto"/>
              <w:right w:val="single" w:sz="4" w:space="0" w:color="auto"/>
            </w:tcBorders>
            <w:hideMark/>
          </w:tcPr>
          <w:p w:rsidR="005727C2" w:rsidRDefault="005727C2">
            <w:pPr>
              <w:spacing w:after="0"/>
              <w:rPr>
                <w:sz w:val="20"/>
                <w:szCs w:val="20"/>
                <w:lang w:eastAsia="en-US"/>
              </w:rPr>
            </w:pPr>
            <w:r>
              <w:rPr>
                <w:b/>
                <w:sz w:val="20"/>
                <w:szCs w:val="20"/>
                <w:lang w:eastAsia="en-US"/>
              </w:rPr>
              <w:t>Электроэнергетика</w:t>
            </w:r>
          </w:p>
        </w:tc>
        <w:tc>
          <w:tcPr>
            <w:tcW w:w="1130" w:type="dxa"/>
            <w:tcBorders>
              <w:top w:val="single" w:sz="4" w:space="0" w:color="auto"/>
              <w:left w:val="single" w:sz="4" w:space="0" w:color="auto"/>
              <w:bottom w:val="single" w:sz="4" w:space="0" w:color="auto"/>
              <w:right w:val="single" w:sz="4" w:space="0" w:color="auto"/>
            </w:tcBorders>
            <w:hideMark/>
          </w:tcPr>
          <w:p w:rsidR="005727C2" w:rsidRDefault="005727C2">
            <w:pPr>
              <w:spacing w:after="0"/>
              <w:jc w:val="center"/>
              <w:rPr>
                <w:sz w:val="20"/>
                <w:szCs w:val="20"/>
                <w:lang w:eastAsia="en-US"/>
              </w:rPr>
            </w:pPr>
            <w:r>
              <w:rPr>
                <w:sz w:val="20"/>
                <w:szCs w:val="20"/>
                <w:lang w:eastAsia="en-US"/>
              </w:rPr>
              <w:t>1</w:t>
            </w:r>
          </w:p>
        </w:tc>
        <w:tc>
          <w:tcPr>
            <w:tcW w:w="1385" w:type="dxa"/>
            <w:tcBorders>
              <w:top w:val="single" w:sz="4" w:space="0" w:color="auto"/>
              <w:left w:val="single" w:sz="4" w:space="0" w:color="auto"/>
              <w:bottom w:val="single" w:sz="4" w:space="0" w:color="auto"/>
              <w:right w:val="single" w:sz="4" w:space="0" w:color="auto"/>
            </w:tcBorders>
            <w:hideMark/>
          </w:tcPr>
          <w:p w:rsidR="005727C2" w:rsidRDefault="005727C2">
            <w:pPr>
              <w:spacing w:after="0"/>
              <w:jc w:val="center"/>
              <w:rPr>
                <w:sz w:val="20"/>
                <w:szCs w:val="20"/>
                <w:lang w:eastAsia="en-US"/>
              </w:rPr>
            </w:pPr>
            <w:r>
              <w:rPr>
                <w:sz w:val="20"/>
                <w:szCs w:val="20"/>
                <w:lang w:eastAsia="en-US"/>
              </w:rPr>
              <w:t>-</w:t>
            </w:r>
          </w:p>
        </w:tc>
        <w:tc>
          <w:tcPr>
            <w:tcW w:w="1134" w:type="dxa"/>
            <w:tcBorders>
              <w:top w:val="single" w:sz="4" w:space="0" w:color="auto"/>
              <w:left w:val="single" w:sz="4" w:space="0" w:color="auto"/>
              <w:bottom w:val="single" w:sz="4" w:space="0" w:color="auto"/>
              <w:right w:val="single" w:sz="4" w:space="0" w:color="auto"/>
            </w:tcBorders>
            <w:hideMark/>
          </w:tcPr>
          <w:p w:rsidR="005727C2" w:rsidRDefault="005727C2">
            <w:pPr>
              <w:spacing w:after="0"/>
              <w:jc w:val="center"/>
              <w:rPr>
                <w:sz w:val="20"/>
                <w:szCs w:val="20"/>
                <w:lang w:eastAsia="en-US"/>
              </w:rPr>
            </w:pPr>
            <w:r>
              <w:rPr>
                <w:sz w:val="20"/>
                <w:szCs w:val="20"/>
                <w:lang w:eastAsia="en-US"/>
              </w:rPr>
              <w:t>-</w:t>
            </w:r>
          </w:p>
        </w:tc>
        <w:tc>
          <w:tcPr>
            <w:tcW w:w="1275" w:type="dxa"/>
            <w:tcBorders>
              <w:top w:val="single" w:sz="4" w:space="0" w:color="auto"/>
              <w:left w:val="single" w:sz="4" w:space="0" w:color="auto"/>
              <w:bottom w:val="single" w:sz="4" w:space="0" w:color="auto"/>
              <w:right w:val="single" w:sz="4" w:space="0" w:color="auto"/>
            </w:tcBorders>
            <w:hideMark/>
          </w:tcPr>
          <w:p w:rsidR="005727C2" w:rsidRDefault="005727C2">
            <w:pPr>
              <w:spacing w:after="0"/>
              <w:jc w:val="center"/>
              <w:rPr>
                <w:sz w:val="20"/>
                <w:szCs w:val="20"/>
                <w:lang w:eastAsia="en-US"/>
              </w:rPr>
            </w:pPr>
            <w:r>
              <w:rPr>
                <w:sz w:val="20"/>
                <w:szCs w:val="20"/>
                <w:lang w:eastAsia="en-US"/>
              </w:rPr>
              <w:t>-</w:t>
            </w:r>
          </w:p>
        </w:tc>
        <w:tc>
          <w:tcPr>
            <w:tcW w:w="1539" w:type="dxa"/>
            <w:tcBorders>
              <w:top w:val="single" w:sz="4" w:space="0" w:color="auto"/>
              <w:left w:val="single" w:sz="4" w:space="0" w:color="auto"/>
              <w:bottom w:val="single" w:sz="4" w:space="0" w:color="auto"/>
              <w:right w:val="single" w:sz="4" w:space="0" w:color="auto"/>
            </w:tcBorders>
            <w:hideMark/>
          </w:tcPr>
          <w:p w:rsidR="005727C2" w:rsidRDefault="005727C2">
            <w:pPr>
              <w:spacing w:after="0"/>
              <w:jc w:val="center"/>
              <w:rPr>
                <w:sz w:val="20"/>
                <w:szCs w:val="20"/>
                <w:lang w:eastAsia="en-US"/>
              </w:rPr>
            </w:pPr>
            <w:r>
              <w:rPr>
                <w:sz w:val="20"/>
                <w:szCs w:val="20"/>
                <w:lang w:eastAsia="en-US"/>
              </w:rPr>
              <w:t>-</w:t>
            </w:r>
          </w:p>
        </w:tc>
        <w:tc>
          <w:tcPr>
            <w:tcW w:w="1296" w:type="dxa"/>
            <w:tcBorders>
              <w:top w:val="single" w:sz="4" w:space="0" w:color="auto"/>
              <w:left w:val="single" w:sz="4" w:space="0" w:color="auto"/>
              <w:bottom w:val="single" w:sz="4" w:space="0" w:color="auto"/>
              <w:right w:val="single" w:sz="4" w:space="0" w:color="auto"/>
            </w:tcBorders>
            <w:hideMark/>
          </w:tcPr>
          <w:p w:rsidR="005727C2" w:rsidRDefault="005727C2">
            <w:pPr>
              <w:spacing w:after="0"/>
              <w:jc w:val="center"/>
              <w:rPr>
                <w:sz w:val="20"/>
                <w:szCs w:val="20"/>
                <w:lang w:eastAsia="en-US"/>
              </w:rPr>
            </w:pPr>
            <w:r>
              <w:rPr>
                <w:sz w:val="20"/>
                <w:szCs w:val="20"/>
                <w:lang w:eastAsia="en-US"/>
              </w:rPr>
              <w:t>-</w:t>
            </w:r>
          </w:p>
        </w:tc>
      </w:tr>
      <w:tr w:rsidR="005727C2" w:rsidTr="005727C2">
        <w:tc>
          <w:tcPr>
            <w:tcW w:w="1988" w:type="dxa"/>
            <w:tcBorders>
              <w:top w:val="single" w:sz="4" w:space="0" w:color="auto"/>
              <w:left w:val="single" w:sz="4" w:space="0" w:color="auto"/>
              <w:bottom w:val="single" w:sz="4" w:space="0" w:color="auto"/>
              <w:right w:val="single" w:sz="4" w:space="0" w:color="auto"/>
            </w:tcBorders>
            <w:hideMark/>
          </w:tcPr>
          <w:p w:rsidR="005727C2" w:rsidRDefault="005727C2">
            <w:pPr>
              <w:spacing w:after="0"/>
              <w:rPr>
                <w:sz w:val="20"/>
                <w:szCs w:val="20"/>
                <w:lang w:eastAsia="en-US"/>
              </w:rPr>
            </w:pPr>
            <w:r>
              <w:rPr>
                <w:sz w:val="20"/>
                <w:szCs w:val="20"/>
                <w:lang w:eastAsia="en-US"/>
              </w:rPr>
              <w:t>из них: по контролю ранее выданных предписаний</w:t>
            </w:r>
          </w:p>
        </w:tc>
        <w:tc>
          <w:tcPr>
            <w:tcW w:w="1130" w:type="dxa"/>
            <w:tcBorders>
              <w:top w:val="single" w:sz="4" w:space="0" w:color="auto"/>
              <w:left w:val="single" w:sz="4" w:space="0" w:color="auto"/>
              <w:bottom w:val="single" w:sz="4" w:space="0" w:color="auto"/>
              <w:right w:val="single" w:sz="4" w:space="0" w:color="auto"/>
            </w:tcBorders>
            <w:hideMark/>
          </w:tcPr>
          <w:p w:rsidR="005727C2" w:rsidRDefault="005727C2">
            <w:pPr>
              <w:spacing w:after="0"/>
              <w:jc w:val="center"/>
              <w:rPr>
                <w:sz w:val="20"/>
                <w:szCs w:val="20"/>
                <w:lang w:eastAsia="en-US"/>
              </w:rPr>
            </w:pPr>
            <w:r>
              <w:rPr>
                <w:sz w:val="20"/>
                <w:szCs w:val="20"/>
                <w:lang w:eastAsia="en-US"/>
              </w:rPr>
              <w:t>1</w:t>
            </w:r>
          </w:p>
        </w:tc>
        <w:tc>
          <w:tcPr>
            <w:tcW w:w="1385" w:type="dxa"/>
            <w:tcBorders>
              <w:top w:val="single" w:sz="4" w:space="0" w:color="auto"/>
              <w:left w:val="single" w:sz="4" w:space="0" w:color="auto"/>
              <w:bottom w:val="single" w:sz="4" w:space="0" w:color="auto"/>
              <w:right w:val="single" w:sz="4" w:space="0" w:color="auto"/>
            </w:tcBorders>
            <w:hideMark/>
          </w:tcPr>
          <w:p w:rsidR="005727C2" w:rsidRDefault="005727C2">
            <w:pPr>
              <w:spacing w:after="0"/>
              <w:jc w:val="center"/>
              <w:rPr>
                <w:sz w:val="20"/>
                <w:szCs w:val="20"/>
                <w:lang w:eastAsia="en-US"/>
              </w:rPr>
            </w:pPr>
            <w:r>
              <w:rPr>
                <w:sz w:val="20"/>
                <w:szCs w:val="20"/>
                <w:lang w:eastAsia="en-US"/>
              </w:rPr>
              <w:t>-</w:t>
            </w:r>
          </w:p>
        </w:tc>
        <w:tc>
          <w:tcPr>
            <w:tcW w:w="1134" w:type="dxa"/>
            <w:tcBorders>
              <w:top w:val="single" w:sz="4" w:space="0" w:color="auto"/>
              <w:left w:val="single" w:sz="4" w:space="0" w:color="auto"/>
              <w:bottom w:val="single" w:sz="4" w:space="0" w:color="auto"/>
              <w:right w:val="single" w:sz="4" w:space="0" w:color="auto"/>
            </w:tcBorders>
            <w:hideMark/>
          </w:tcPr>
          <w:p w:rsidR="005727C2" w:rsidRDefault="005727C2">
            <w:pPr>
              <w:spacing w:after="0"/>
              <w:jc w:val="center"/>
              <w:rPr>
                <w:sz w:val="20"/>
                <w:szCs w:val="20"/>
                <w:lang w:eastAsia="en-US"/>
              </w:rPr>
            </w:pPr>
            <w:r>
              <w:rPr>
                <w:sz w:val="20"/>
                <w:szCs w:val="20"/>
                <w:lang w:eastAsia="en-US"/>
              </w:rPr>
              <w:t>-</w:t>
            </w:r>
          </w:p>
        </w:tc>
        <w:tc>
          <w:tcPr>
            <w:tcW w:w="1275" w:type="dxa"/>
            <w:tcBorders>
              <w:top w:val="single" w:sz="4" w:space="0" w:color="auto"/>
              <w:left w:val="single" w:sz="4" w:space="0" w:color="auto"/>
              <w:bottom w:val="single" w:sz="4" w:space="0" w:color="auto"/>
              <w:right w:val="single" w:sz="4" w:space="0" w:color="auto"/>
            </w:tcBorders>
            <w:hideMark/>
          </w:tcPr>
          <w:p w:rsidR="005727C2" w:rsidRDefault="005727C2">
            <w:pPr>
              <w:spacing w:after="0"/>
              <w:jc w:val="center"/>
              <w:rPr>
                <w:sz w:val="20"/>
                <w:szCs w:val="20"/>
                <w:lang w:eastAsia="en-US"/>
              </w:rPr>
            </w:pPr>
            <w:r>
              <w:rPr>
                <w:sz w:val="20"/>
                <w:szCs w:val="20"/>
                <w:lang w:eastAsia="en-US"/>
              </w:rPr>
              <w:t>-</w:t>
            </w:r>
          </w:p>
        </w:tc>
        <w:tc>
          <w:tcPr>
            <w:tcW w:w="1539" w:type="dxa"/>
            <w:tcBorders>
              <w:top w:val="single" w:sz="4" w:space="0" w:color="auto"/>
              <w:left w:val="single" w:sz="4" w:space="0" w:color="auto"/>
              <w:bottom w:val="single" w:sz="4" w:space="0" w:color="auto"/>
              <w:right w:val="single" w:sz="4" w:space="0" w:color="auto"/>
            </w:tcBorders>
            <w:hideMark/>
          </w:tcPr>
          <w:p w:rsidR="005727C2" w:rsidRDefault="005727C2">
            <w:pPr>
              <w:spacing w:after="0"/>
              <w:jc w:val="center"/>
              <w:rPr>
                <w:sz w:val="20"/>
                <w:szCs w:val="20"/>
                <w:lang w:eastAsia="en-US"/>
              </w:rPr>
            </w:pPr>
            <w:r>
              <w:rPr>
                <w:sz w:val="20"/>
                <w:szCs w:val="20"/>
                <w:lang w:eastAsia="en-US"/>
              </w:rPr>
              <w:t>-</w:t>
            </w:r>
          </w:p>
        </w:tc>
        <w:tc>
          <w:tcPr>
            <w:tcW w:w="1296" w:type="dxa"/>
            <w:tcBorders>
              <w:top w:val="single" w:sz="4" w:space="0" w:color="auto"/>
              <w:left w:val="single" w:sz="4" w:space="0" w:color="auto"/>
              <w:bottom w:val="single" w:sz="4" w:space="0" w:color="auto"/>
              <w:right w:val="single" w:sz="4" w:space="0" w:color="auto"/>
            </w:tcBorders>
            <w:hideMark/>
          </w:tcPr>
          <w:p w:rsidR="005727C2" w:rsidRDefault="005727C2">
            <w:pPr>
              <w:spacing w:after="0"/>
              <w:jc w:val="center"/>
              <w:rPr>
                <w:sz w:val="20"/>
                <w:szCs w:val="20"/>
                <w:lang w:eastAsia="en-US"/>
              </w:rPr>
            </w:pPr>
            <w:r>
              <w:rPr>
                <w:sz w:val="20"/>
                <w:szCs w:val="20"/>
                <w:lang w:eastAsia="en-US"/>
              </w:rPr>
              <w:t>-</w:t>
            </w:r>
          </w:p>
        </w:tc>
      </w:tr>
      <w:tr w:rsidR="005727C2" w:rsidTr="005727C2">
        <w:tc>
          <w:tcPr>
            <w:tcW w:w="1988" w:type="dxa"/>
            <w:tcBorders>
              <w:top w:val="single" w:sz="4" w:space="0" w:color="auto"/>
              <w:left w:val="single" w:sz="4" w:space="0" w:color="auto"/>
              <w:bottom w:val="single" w:sz="4" w:space="0" w:color="auto"/>
              <w:right w:val="single" w:sz="4" w:space="0" w:color="auto"/>
            </w:tcBorders>
            <w:hideMark/>
          </w:tcPr>
          <w:p w:rsidR="005727C2" w:rsidRDefault="005727C2">
            <w:pPr>
              <w:spacing w:after="0"/>
              <w:rPr>
                <w:b/>
                <w:sz w:val="20"/>
                <w:szCs w:val="20"/>
                <w:lang w:eastAsia="en-US"/>
              </w:rPr>
            </w:pPr>
            <w:r>
              <w:rPr>
                <w:b/>
                <w:sz w:val="20"/>
                <w:szCs w:val="20"/>
                <w:lang w:eastAsia="en-US"/>
              </w:rPr>
              <w:t>Теплоснабжение</w:t>
            </w:r>
          </w:p>
        </w:tc>
        <w:tc>
          <w:tcPr>
            <w:tcW w:w="1130" w:type="dxa"/>
            <w:tcBorders>
              <w:top w:val="single" w:sz="4" w:space="0" w:color="auto"/>
              <w:left w:val="single" w:sz="4" w:space="0" w:color="auto"/>
              <w:bottom w:val="single" w:sz="4" w:space="0" w:color="auto"/>
              <w:right w:val="single" w:sz="4" w:space="0" w:color="auto"/>
            </w:tcBorders>
            <w:hideMark/>
          </w:tcPr>
          <w:p w:rsidR="005727C2" w:rsidRDefault="005727C2">
            <w:pPr>
              <w:spacing w:after="0"/>
              <w:jc w:val="center"/>
              <w:rPr>
                <w:sz w:val="20"/>
                <w:szCs w:val="20"/>
                <w:lang w:eastAsia="en-US"/>
              </w:rPr>
            </w:pPr>
            <w:r>
              <w:rPr>
                <w:sz w:val="20"/>
                <w:szCs w:val="20"/>
                <w:lang w:eastAsia="en-US"/>
              </w:rPr>
              <w:t>-</w:t>
            </w:r>
          </w:p>
        </w:tc>
        <w:tc>
          <w:tcPr>
            <w:tcW w:w="1385" w:type="dxa"/>
            <w:tcBorders>
              <w:top w:val="single" w:sz="4" w:space="0" w:color="auto"/>
              <w:left w:val="single" w:sz="4" w:space="0" w:color="auto"/>
              <w:bottom w:val="single" w:sz="4" w:space="0" w:color="auto"/>
              <w:right w:val="single" w:sz="4" w:space="0" w:color="auto"/>
            </w:tcBorders>
            <w:hideMark/>
          </w:tcPr>
          <w:p w:rsidR="005727C2" w:rsidRDefault="005727C2">
            <w:pPr>
              <w:spacing w:after="0"/>
              <w:jc w:val="center"/>
              <w:rPr>
                <w:sz w:val="20"/>
                <w:szCs w:val="20"/>
                <w:lang w:eastAsia="en-US"/>
              </w:rPr>
            </w:pPr>
            <w:r>
              <w:rPr>
                <w:sz w:val="20"/>
                <w:szCs w:val="20"/>
                <w:lang w:eastAsia="en-US"/>
              </w:rPr>
              <w:t>-</w:t>
            </w:r>
          </w:p>
        </w:tc>
        <w:tc>
          <w:tcPr>
            <w:tcW w:w="1134" w:type="dxa"/>
            <w:tcBorders>
              <w:top w:val="single" w:sz="4" w:space="0" w:color="auto"/>
              <w:left w:val="single" w:sz="4" w:space="0" w:color="auto"/>
              <w:bottom w:val="single" w:sz="4" w:space="0" w:color="auto"/>
              <w:right w:val="single" w:sz="4" w:space="0" w:color="auto"/>
            </w:tcBorders>
            <w:hideMark/>
          </w:tcPr>
          <w:p w:rsidR="005727C2" w:rsidRDefault="005727C2">
            <w:pPr>
              <w:spacing w:after="0"/>
              <w:jc w:val="center"/>
              <w:rPr>
                <w:sz w:val="20"/>
                <w:szCs w:val="20"/>
                <w:lang w:eastAsia="en-US"/>
              </w:rPr>
            </w:pPr>
            <w:r>
              <w:rPr>
                <w:sz w:val="20"/>
                <w:szCs w:val="20"/>
                <w:lang w:eastAsia="en-US"/>
              </w:rPr>
              <w:t>-</w:t>
            </w:r>
          </w:p>
        </w:tc>
        <w:tc>
          <w:tcPr>
            <w:tcW w:w="1275" w:type="dxa"/>
            <w:tcBorders>
              <w:top w:val="single" w:sz="4" w:space="0" w:color="auto"/>
              <w:left w:val="single" w:sz="4" w:space="0" w:color="auto"/>
              <w:bottom w:val="single" w:sz="4" w:space="0" w:color="auto"/>
              <w:right w:val="single" w:sz="4" w:space="0" w:color="auto"/>
            </w:tcBorders>
            <w:hideMark/>
          </w:tcPr>
          <w:p w:rsidR="005727C2" w:rsidRDefault="005727C2">
            <w:pPr>
              <w:spacing w:after="0"/>
              <w:jc w:val="center"/>
              <w:rPr>
                <w:sz w:val="20"/>
                <w:szCs w:val="20"/>
                <w:lang w:eastAsia="en-US"/>
              </w:rPr>
            </w:pPr>
            <w:r>
              <w:rPr>
                <w:sz w:val="20"/>
                <w:szCs w:val="20"/>
                <w:lang w:eastAsia="en-US"/>
              </w:rPr>
              <w:t>-</w:t>
            </w:r>
          </w:p>
        </w:tc>
        <w:tc>
          <w:tcPr>
            <w:tcW w:w="1539" w:type="dxa"/>
            <w:tcBorders>
              <w:top w:val="single" w:sz="4" w:space="0" w:color="auto"/>
              <w:left w:val="single" w:sz="4" w:space="0" w:color="auto"/>
              <w:bottom w:val="single" w:sz="4" w:space="0" w:color="auto"/>
              <w:right w:val="single" w:sz="4" w:space="0" w:color="auto"/>
            </w:tcBorders>
            <w:hideMark/>
          </w:tcPr>
          <w:p w:rsidR="005727C2" w:rsidRDefault="005727C2">
            <w:pPr>
              <w:spacing w:after="0"/>
              <w:jc w:val="center"/>
              <w:rPr>
                <w:sz w:val="20"/>
                <w:szCs w:val="20"/>
                <w:lang w:eastAsia="en-US"/>
              </w:rPr>
            </w:pPr>
            <w:r>
              <w:rPr>
                <w:sz w:val="20"/>
                <w:szCs w:val="20"/>
                <w:lang w:eastAsia="en-US"/>
              </w:rPr>
              <w:t>-</w:t>
            </w:r>
          </w:p>
        </w:tc>
        <w:tc>
          <w:tcPr>
            <w:tcW w:w="1296" w:type="dxa"/>
            <w:tcBorders>
              <w:top w:val="single" w:sz="4" w:space="0" w:color="auto"/>
              <w:left w:val="single" w:sz="4" w:space="0" w:color="auto"/>
              <w:bottom w:val="single" w:sz="4" w:space="0" w:color="auto"/>
              <w:right w:val="single" w:sz="4" w:space="0" w:color="auto"/>
            </w:tcBorders>
            <w:hideMark/>
          </w:tcPr>
          <w:p w:rsidR="005727C2" w:rsidRDefault="005727C2">
            <w:pPr>
              <w:spacing w:after="0"/>
              <w:jc w:val="center"/>
              <w:rPr>
                <w:sz w:val="20"/>
                <w:szCs w:val="20"/>
                <w:lang w:eastAsia="en-US"/>
              </w:rPr>
            </w:pPr>
            <w:r>
              <w:rPr>
                <w:sz w:val="20"/>
                <w:szCs w:val="20"/>
                <w:lang w:eastAsia="en-US"/>
              </w:rPr>
              <w:t>-</w:t>
            </w:r>
          </w:p>
        </w:tc>
      </w:tr>
      <w:tr w:rsidR="005727C2" w:rsidTr="005727C2">
        <w:tc>
          <w:tcPr>
            <w:tcW w:w="1988" w:type="dxa"/>
            <w:tcBorders>
              <w:top w:val="single" w:sz="4" w:space="0" w:color="auto"/>
              <w:left w:val="single" w:sz="4" w:space="0" w:color="auto"/>
              <w:bottom w:val="single" w:sz="4" w:space="0" w:color="auto"/>
              <w:right w:val="single" w:sz="4" w:space="0" w:color="auto"/>
            </w:tcBorders>
            <w:hideMark/>
          </w:tcPr>
          <w:p w:rsidR="005727C2" w:rsidRDefault="005727C2">
            <w:pPr>
              <w:spacing w:after="0"/>
              <w:rPr>
                <w:sz w:val="20"/>
                <w:szCs w:val="20"/>
                <w:lang w:eastAsia="en-US"/>
              </w:rPr>
            </w:pPr>
            <w:r>
              <w:rPr>
                <w:sz w:val="20"/>
                <w:szCs w:val="20"/>
                <w:lang w:eastAsia="en-US"/>
              </w:rPr>
              <w:t>из них: по контролю ранее выданных предписаний</w:t>
            </w:r>
          </w:p>
        </w:tc>
        <w:tc>
          <w:tcPr>
            <w:tcW w:w="1130" w:type="dxa"/>
            <w:tcBorders>
              <w:top w:val="single" w:sz="4" w:space="0" w:color="auto"/>
              <w:left w:val="single" w:sz="4" w:space="0" w:color="auto"/>
              <w:bottom w:val="single" w:sz="4" w:space="0" w:color="auto"/>
              <w:right w:val="single" w:sz="4" w:space="0" w:color="auto"/>
            </w:tcBorders>
            <w:hideMark/>
          </w:tcPr>
          <w:p w:rsidR="005727C2" w:rsidRDefault="005727C2">
            <w:pPr>
              <w:spacing w:after="0"/>
              <w:jc w:val="center"/>
              <w:rPr>
                <w:sz w:val="20"/>
                <w:szCs w:val="20"/>
                <w:lang w:eastAsia="en-US"/>
              </w:rPr>
            </w:pPr>
            <w:r>
              <w:rPr>
                <w:sz w:val="20"/>
                <w:szCs w:val="20"/>
                <w:lang w:eastAsia="en-US"/>
              </w:rPr>
              <w:t>-</w:t>
            </w:r>
          </w:p>
        </w:tc>
        <w:tc>
          <w:tcPr>
            <w:tcW w:w="1385" w:type="dxa"/>
            <w:tcBorders>
              <w:top w:val="single" w:sz="4" w:space="0" w:color="auto"/>
              <w:left w:val="single" w:sz="4" w:space="0" w:color="auto"/>
              <w:bottom w:val="single" w:sz="4" w:space="0" w:color="auto"/>
              <w:right w:val="single" w:sz="4" w:space="0" w:color="auto"/>
            </w:tcBorders>
            <w:hideMark/>
          </w:tcPr>
          <w:p w:rsidR="005727C2" w:rsidRDefault="005727C2">
            <w:pPr>
              <w:spacing w:after="0"/>
              <w:jc w:val="center"/>
              <w:rPr>
                <w:sz w:val="20"/>
                <w:szCs w:val="20"/>
                <w:lang w:eastAsia="en-US"/>
              </w:rPr>
            </w:pPr>
            <w:r>
              <w:rPr>
                <w:sz w:val="20"/>
                <w:szCs w:val="20"/>
                <w:lang w:eastAsia="en-US"/>
              </w:rPr>
              <w:t>-</w:t>
            </w:r>
          </w:p>
        </w:tc>
        <w:tc>
          <w:tcPr>
            <w:tcW w:w="1134" w:type="dxa"/>
            <w:tcBorders>
              <w:top w:val="single" w:sz="4" w:space="0" w:color="auto"/>
              <w:left w:val="single" w:sz="4" w:space="0" w:color="auto"/>
              <w:bottom w:val="single" w:sz="4" w:space="0" w:color="auto"/>
              <w:right w:val="single" w:sz="4" w:space="0" w:color="auto"/>
            </w:tcBorders>
            <w:hideMark/>
          </w:tcPr>
          <w:p w:rsidR="005727C2" w:rsidRDefault="005727C2">
            <w:pPr>
              <w:spacing w:after="0"/>
              <w:jc w:val="center"/>
              <w:rPr>
                <w:sz w:val="20"/>
                <w:szCs w:val="20"/>
                <w:lang w:eastAsia="en-US"/>
              </w:rPr>
            </w:pPr>
            <w:r>
              <w:rPr>
                <w:sz w:val="20"/>
                <w:szCs w:val="20"/>
                <w:lang w:eastAsia="en-US"/>
              </w:rPr>
              <w:t>-</w:t>
            </w:r>
          </w:p>
        </w:tc>
        <w:tc>
          <w:tcPr>
            <w:tcW w:w="1275" w:type="dxa"/>
            <w:tcBorders>
              <w:top w:val="single" w:sz="4" w:space="0" w:color="auto"/>
              <w:left w:val="single" w:sz="4" w:space="0" w:color="auto"/>
              <w:bottom w:val="single" w:sz="4" w:space="0" w:color="auto"/>
              <w:right w:val="single" w:sz="4" w:space="0" w:color="auto"/>
            </w:tcBorders>
            <w:hideMark/>
          </w:tcPr>
          <w:p w:rsidR="005727C2" w:rsidRDefault="005727C2">
            <w:pPr>
              <w:spacing w:after="0"/>
              <w:jc w:val="center"/>
              <w:rPr>
                <w:sz w:val="20"/>
                <w:szCs w:val="20"/>
                <w:lang w:eastAsia="en-US"/>
              </w:rPr>
            </w:pPr>
            <w:r>
              <w:rPr>
                <w:sz w:val="20"/>
                <w:szCs w:val="20"/>
                <w:lang w:eastAsia="en-US"/>
              </w:rPr>
              <w:t>-</w:t>
            </w:r>
          </w:p>
        </w:tc>
        <w:tc>
          <w:tcPr>
            <w:tcW w:w="1539" w:type="dxa"/>
            <w:tcBorders>
              <w:top w:val="single" w:sz="4" w:space="0" w:color="auto"/>
              <w:left w:val="single" w:sz="4" w:space="0" w:color="auto"/>
              <w:bottom w:val="single" w:sz="4" w:space="0" w:color="auto"/>
              <w:right w:val="single" w:sz="4" w:space="0" w:color="auto"/>
            </w:tcBorders>
            <w:hideMark/>
          </w:tcPr>
          <w:p w:rsidR="005727C2" w:rsidRDefault="005727C2">
            <w:pPr>
              <w:spacing w:after="0"/>
              <w:jc w:val="center"/>
              <w:rPr>
                <w:sz w:val="20"/>
                <w:szCs w:val="20"/>
                <w:lang w:eastAsia="en-US"/>
              </w:rPr>
            </w:pPr>
            <w:r>
              <w:rPr>
                <w:sz w:val="20"/>
                <w:szCs w:val="20"/>
                <w:lang w:eastAsia="en-US"/>
              </w:rPr>
              <w:t>-</w:t>
            </w:r>
          </w:p>
        </w:tc>
        <w:tc>
          <w:tcPr>
            <w:tcW w:w="1296" w:type="dxa"/>
            <w:tcBorders>
              <w:top w:val="single" w:sz="4" w:space="0" w:color="auto"/>
              <w:left w:val="single" w:sz="4" w:space="0" w:color="auto"/>
              <w:bottom w:val="single" w:sz="4" w:space="0" w:color="auto"/>
              <w:right w:val="single" w:sz="4" w:space="0" w:color="auto"/>
            </w:tcBorders>
            <w:hideMark/>
          </w:tcPr>
          <w:p w:rsidR="005727C2" w:rsidRDefault="005727C2">
            <w:pPr>
              <w:spacing w:after="0"/>
              <w:jc w:val="center"/>
              <w:rPr>
                <w:sz w:val="20"/>
                <w:szCs w:val="20"/>
                <w:lang w:eastAsia="en-US"/>
              </w:rPr>
            </w:pPr>
            <w:r>
              <w:rPr>
                <w:sz w:val="20"/>
                <w:szCs w:val="20"/>
                <w:lang w:eastAsia="en-US"/>
              </w:rPr>
              <w:t>-</w:t>
            </w:r>
          </w:p>
        </w:tc>
      </w:tr>
      <w:tr w:rsidR="005727C2" w:rsidTr="005727C2">
        <w:tc>
          <w:tcPr>
            <w:tcW w:w="1988" w:type="dxa"/>
            <w:tcBorders>
              <w:top w:val="single" w:sz="4" w:space="0" w:color="auto"/>
              <w:left w:val="single" w:sz="4" w:space="0" w:color="auto"/>
              <w:bottom w:val="single" w:sz="4" w:space="0" w:color="auto"/>
              <w:right w:val="single" w:sz="4" w:space="0" w:color="auto"/>
            </w:tcBorders>
            <w:hideMark/>
          </w:tcPr>
          <w:p w:rsidR="005727C2" w:rsidRDefault="005727C2">
            <w:pPr>
              <w:spacing w:after="0"/>
              <w:rPr>
                <w:b/>
                <w:sz w:val="20"/>
                <w:szCs w:val="20"/>
                <w:lang w:eastAsia="en-US"/>
              </w:rPr>
            </w:pPr>
            <w:r>
              <w:rPr>
                <w:b/>
                <w:sz w:val="20"/>
                <w:szCs w:val="20"/>
                <w:lang w:eastAsia="en-US"/>
              </w:rPr>
              <w:t>Газоснабжение</w:t>
            </w:r>
          </w:p>
        </w:tc>
        <w:tc>
          <w:tcPr>
            <w:tcW w:w="1130" w:type="dxa"/>
            <w:tcBorders>
              <w:top w:val="single" w:sz="4" w:space="0" w:color="auto"/>
              <w:left w:val="single" w:sz="4" w:space="0" w:color="auto"/>
              <w:bottom w:val="single" w:sz="4" w:space="0" w:color="auto"/>
              <w:right w:val="single" w:sz="4" w:space="0" w:color="auto"/>
            </w:tcBorders>
            <w:hideMark/>
          </w:tcPr>
          <w:p w:rsidR="005727C2" w:rsidRDefault="005727C2">
            <w:pPr>
              <w:spacing w:after="0"/>
              <w:jc w:val="center"/>
              <w:rPr>
                <w:sz w:val="20"/>
                <w:szCs w:val="20"/>
                <w:lang w:eastAsia="en-US"/>
              </w:rPr>
            </w:pPr>
            <w:r>
              <w:rPr>
                <w:sz w:val="20"/>
                <w:szCs w:val="20"/>
                <w:lang w:eastAsia="en-US"/>
              </w:rPr>
              <w:t xml:space="preserve">3 </w:t>
            </w:r>
          </w:p>
        </w:tc>
        <w:tc>
          <w:tcPr>
            <w:tcW w:w="1385" w:type="dxa"/>
            <w:tcBorders>
              <w:top w:val="single" w:sz="4" w:space="0" w:color="auto"/>
              <w:left w:val="single" w:sz="4" w:space="0" w:color="auto"/>
              <w:bottom w:val="single" w:sz="4" w:space="0" w:color="auto"/>
              <w:right w:val="single" w:sz="4" w:space="0" w:color="auto"/>
            </w:tcBorders>
            <w:hideMark/>
          </w:tcPr>
          <w:p w:rsidR="005727C2" w:rsidRDefault="005727C2">
            <w:pPr>
              <w:spacing w:after="0"/>
              <w:jc w:val="center"/>
              <w:rPr>
                <w:sz w:val="20"/>
                <w:szCs w:val="20"/>
                <w:lang w:eastAsia="en-US"/>
              </w:rPr>
            </w:pPr>
            <w:r>
              <w:rPr>
                <w:sz w:val="20"/>
                <w:szCs w:val="20"/>
                <w:lang w:eastAsia="en-US"/>
              </w:rPr>
              <w:t xml:space="preserve">3 </w:t>
            </w:r>
          </w:p>
        </w:tc>
        <w:tc>
          <w:tcPr>
            <w:tcW w:w="1134" w:type="dxa"/>
            <w:tcBorders>
              <w:top w:val="single" w:sz="4" w:space="0" w:color="auto"/>
              <w:left w:val="single" w:sz="4" w:space="0" w:color="auto"/>
              <w:bottom w:val="single" w:sz="4" w:space="0" w:color="auto"/>
              <w:right w:val="single" w:sz="4" w:space="0" w:color="auto"/>
            </w:tcBorders>
            <w:hideMark/>
          </w:tcPr>
          <w:p w:rsidR="005727C2" w:rsidRDefault="005727C2">
            <w:pPr>
              <w:spacing w:after="0"/>
              <w:jc w:val="center"/>
              <w:rPr>
                <w:sz w:val="20"/>
                <w:szCs w:val="20"/>
                <w:lang w:eastAsia="en-US"/>
              </w:rPr>
            </w:pPr>
            <w:r>
              <w:rPr>
                <w:sz w:val="20"/>
                <w:szCs w:val="20"/>
                <w:lang w:eastAsia="en-US"/>
              </w:rPr>
              <w:t xml:space="preserve">1 </w:t>
            </w:r>
          </w:p>
        </w:tc>
        <w:tc>
          <w:tcPr>
            <w:tcW w:w="1275" w:type="dxa"/>
            <w:tcBorders>
              <w:top w:val="single" w:sz="4" w:space="0" w:color="auto"/>
              <w:left w:val="single" w:sz="4" w:space="0" w:color="auto"/>
              <w:bottom w:val="single" w:sz="4" w:space="0" w:color="auto"/>
              <w:right w:val="single" w:sz="4" w:space="0" w:color="auto"/>
            </w:tcBorders>
            <w:hideMark/>
          </w:tcPr>
          <w:p w:rsidR="005727C2" w:rsidRDefault="005727C2">
            <w:pPr>
              <w:spacing w:after="0"/>
              <w:jc w:val="center"/>
              <w:rPr>
                <w:sz w:val="20"/>
                <w:szCs w:val="20"/>
                <w:lang w:eastAsia="en-US"/>
              </w:rPr>
            </w:pPr>
            <w:r>
              <w:rPr>
                <w:sz w:val="20"/>
                <w:szCs w:val="20"/>
                <w:lang w:eastAsia="en-US"/>
              </w:rPr>
              <w:t>-</w:t>
            </w:r>
          </w:p>
        </w:tc>
        <w:tc>
          <w:tcPr>
            <w:tcW w:w="1539" w:type="dxa"/>
            <w:tcBorders>
              <w:top w:val="single" w:sz="4" w:space="0" w:color="auto"/>
              <w:left w:val="single" w:sz="4" w:space="0" w:color="auto"/>
              <w:bottom w:val="single" w:sz="4" w:space="0" w:color="auto"/>
              <w:right w:val="single" w:sz="4" w:space="0" w:color="auto"/>
            </w:tcBorders>
            <w:hideMark/>
          </w:tcPr>
          <w:p w:rsidR="005727C2" w:rsidRDefault="005727C2">
            <w:pPr>
              <w:spacing w:after="0"/>
              <w:jc w:val="center"/>
              <w:rPr>
                <w:sz w:val="20"/>
                <w:szCs w:val="20"/>
                <w:lang w:eastAsia="en-US"/>
              </w:rPr>
            </w:pPr>
            <w:r>
              <w:rPr>
                <w:sz w:val="20"/>
                <w:szCs w:val="20"/>
                <w:lang w:eastAsia="en-US"/>
              </w:rPr>
              <w:t>3</w:t>
            </w:r>
          </w:p>
        </w:tc>
        <w:tc>
          <w:tcPr>
            <w:tcW w:w="1296" w:type="dxa"/>
            <w:tcBorders>
              <w:top w:val="single" w:sz="4" w:space="0" w:color="auto"/>
              <w:left w:val="single" w:sz="4" w:space="0" w:color="auto"/>
              <w:bottom w:val="single" w:sz="4" w:space="0" w:color="auto"/>
              <w:right w:val="single" w:sz="4" w:space="0" w:color="auto"/>
            </w:tcBorders>
            <w:hideMark/>
          </w:tcPr>
          <w:p w:rsidR="005727C2" w:rsidRDefault="005727C2">
            <w:pPr>
              <w:spacing w:after="0"/>
              <w:jc w:val="center"/>
              <w:rPr>
                <w:sz w:val="20"/>
                <w:szCs w:val="20"/>
                <w:lang w:eastAsia="en-US"/>
              </w:rPr>
            </w:pPr>
            <w:r>
              <w:rPr>
                <w:sz w:val="20"/>
                <w:szCs w:val="20"/>
                <w:lang w:eastAsia="en-US"/>
              </w:rPr>
              <w:t xml:space="preserve">300 000 </w:t>
            </w:r>
          </w:p>
        </w:tc>
      </w:tr>
      <w:tr w:rsidR="005727C2" w:rsidTr="005727C2">
        <w:tc>
          <w:tcPr>
            <w:tcW w:w="1988" w:type="dxa"/>
            <w:tcBorders>
              <w:top w:val="single" w:sz="4" w:space="0" w:color="auto"/>
              <w:left w:val="single" w:sz="4" w:space="0" w:color="auto"/>
              <w:bottom w:val="single" w:sz="4" w:space="0" w:color="auto"/>
              <w:right w:val="single" w:sz="4" w:space="0" w:color="auto"/>
            </w:tcBorders>
            <w:hideMark/>
          </w:tcPr>
          <w:p w:rsidR="005727C2" w:rsidRDefault="005727C2">
            <w:pPr>
              <w:spacing w:after="0"/>
              <w:rPr>
                <w:sz w:val="20"/>
                <w:szCs w:val="20"/>
                <w:lang w:eastAsia="en-US"/>
              </w:rPr>
            </w:pPr>
            <w:r>
              <w:rPr>
                <w:sz w:val="20"/>
                <w:szCs w:val="20"/>
                <w:lang w:eastAsia="en-US"/>
              </w:rPr>
              <w:t>из них: по контролю ранее выданных предписаний</w:t>
            </w:r>
          </w:p>
        </w:tc>
        <w:tc>
          <w:tcPr>
            <w:tcW w:w="1130" w:type="dxa"/>
            <w:tcBorders>
              <w:top w:val="single" w:sz="4" w:space="0" w:color="auto"/>
              <w:left w:val="single" w:sz="4" w:space="0" w:color="auto"/>
              <w:bottom w:val="single" w:sz="4" w:space="0" w:color="auto"/>
              <w:right w:val="single" w:sz="4" w:space="0" w:color="auto"/>
            </w:tcBorders>
            <w:hideMark/>
          </w:tcPr>
          <w:p w:rsidR="005727C2" w:rsidRDefault="005727C2">
            <w:pPr>
              <w:spacing w:after="0"/>
              <w:jc w:val="center"/>
              <w:rPr>
                <w:sz w:val="20"/>
                <w:szCs w:val="20"/>
                <w:lang w:eastAsia="en-US"/>
              </w:rPr>
            </w:pPr>
            <w:r>
              <w:rPr>
                <w:sz w:val="20"/>
                <w:szCs w:val="20"/>
                <w:lang w:eastAsia="en-US"/>
              </w:rPr>
              <w:t>2</w:t>
            </w:r>
          </w:p>
        </w:tc>
        <w:tc>
          <w:tcPr>
            <w:tcW w:w="1385" w:type="dxa"/>
            <w:tcBorders>
              <w:top w:val="single" w:sz="4" w:space="0" w:color="auto"/>
              <w:left w:val="single" w:sz="4" w:space="0" w:color="auto"/>
              <w:bottom w:val="single" w:sz="4" w:space="0" w:color="auto"/>
              <w:right w:val="single" w:sz="4" w:space="0" w:color="auto"/>
            </w:tcBorders>
            <w:hideMark/>
          </w:tcPr>
          <w:p w:rsidR="005727C2" w:rsidRDefault="005727C2">
            <w:pPr>
              <w:spacing w:after="0"/>
              <w:jc w:val="center"/>
              <w:rPr>
                <w:sz w:val="20"/>
                <w:szCs w:val="20"/>
                <w:lang w:eastAsia="en-US"/>
              </w:rPr>
            </w:pPr>
            <w:r>
              <w:rPr>
                <w:sz w:val="20"/>
                <w:szCs w:val="20"/>
                <w:lang w:eastAsia="en-US"/>
              </w:rPr>
              <w:t>2</w:t>
            </w:r>
          </w:p>
        </w:tc>
        <w:tc>
          <w:tcPr>
            <w:tcW w:w="1134" w:type="dxa"/>
            <w:tcBorders>
              <w:top w:val="single" w:sz="4" w:space="0" w:color="auto"/>
              <w:left w:val="single" w:sz="4" w:space="0" w:color="auto"/>
              <w:bottom w:val="single" w:sz="4" w:space="0" w:color="auto"/>
              <w:right w:val="single" w:sz="4" w:space="0" w:color="auto"/>
            </w:tcBorders>
            <w:hideMark/>
          </w:tcPr>
          <w:p w:rsidR="005727C2" w:rsidRDefault="005727C2">
            <w:pPr>
              <w:spacing w:after="0"/>
              <w:jc w:val="center"/>
              <w:rPr>
                <w:sz w:val="20"/>
                <w:szCs w:val="20"/>
                <w:lang w:eastAsia="en-US"/>
              </w:rPr>
            </w:pPr>
            <w:r>
              <w:rPr>
                <w:sz w:val="20"/>
                <w:szCs w:val="20"/>
                <w:lang w:eastAsia="en-US"/>
              </w:rPr>
              <w:t>-</w:t>
            </w:r>
          </w:p>
        </w:tc>
        <w:tc>
          <w:tcPr>
            <w:tcW w:w="1275" w:type="dxa"/>
            <w:tcBorders>
              <w:top w:val="single" w:sz="4" w:space="0" w:color="auto"/>
              <w:left w:val="single" w:sz="4" w:space="0" w:color="auto"/>
              <w:bottom w:val="single" w:sz="4" w:space="0" w:color="auto"/>
              <w:right w:val="single" w:sz="4" w:space="0" w:color="auto"/>
            </w:tcBorders>
            <w:hideMark/>
          </w:tcPr>
          <w:p w:rsidR="005727C2" w:rsidRDefault="005727C2">
            <w:pPr>
              <w:spacing w:after="0"/>
              <w:jc w:val="center"/>
              <w:rPr>
                <w:sz w:val="20"/>
                <w:szCs w:val="20"/>
                <w:lang w:eastAsia="en-US"/>
              </w:rPr>
            </w:pPr>
            <w:r>
              <w:rPr>
                <w:sz w:val="20"/>
                <w:szCs w:val="20"/>
                <w:lang w:eastAsia="en-US"/>
              </w:rPr>
              <w:t>-</w:t>
            </w:r>
          </w:p>
        </w:tc>
        <w:tc>
          <w:tcPr>
            <w:tcW w:w="1539" w:type="dxa"/>
            <w:tcBorders>
              <w:top w:val="single" w:sz="4" w:space="0" w:color="auto"/>
              <w:left w:val="single" w:sz="4" w:space="0" w:color="auto"/>
              <w:bottom w:val="single" w:sz="4" w:space="0" w:color="auto"/>
              <w:right w:val="single" w:sz="4" w:space="0" w:color="auto"/>
            </w:tcBorders>
            <w:hideMark/>
          </w:tcPr>
          <w:p w:rsidR="005727C2" w:rsidRDefault="005727C2">
            <w:pPr>
              <w:spacing w:after="0"/>
              <w:jc w:val="center"/>
              <w:rPr>
                <w:sz w:val="20"/>
                <w:szCs w:val="20"/>
                <w:lang w:eastAsia="en-US"/>
              </w:rPr>
            </w:pPr>
            <w:r>
              <w:rPr>
                <w:sz w:val="20"/>
                <w:szCs w:val="20"/>
                <w:lang w:eastAsia="en-US"/>
              </w:rPr>
              <w:t>2</w:t>
            </w:r>
          </w:p>
        </w:tc>
        <w:tc>
          <w:tcPr>
            <w:tcW w:w="1296" w:type="dxa"/>
            <w:tcBorders>
              <w:top w:val="single" w:sz="4" w:space="0" w:color="auto"/>
              <w:left w:val="single" w:sz="4" w:space="0" w:color="auto"/>
              <w:bottom w:val="single" w:sz="4" w:space="0" w:color="auto"/>
              <w:right w:val="single" w:sz="4" w:space="0" w:color="auto"/>
            </w:tcBorders>
            <w:hideMark/>
          </w:tcPr>
          <w:p w:rsidR="005727C2" w:rsidRDefault="005727C2">
            <w:pPr>
              <w:spacing w:after="0"/>
              <w:jc w:val="center"/>
              <w:rPr>
                <w:sz w:val="20"/>
                <w:szCs w:val="20"/>
                <w:lang w:eastAsia="en-US"/>
              </w:rPr>
            </w:pPr>
            <w:r>
              <w:rPr>
                <w:sz w:val="20"/>
                <w:szCs w:val="20"/>
                <w:lang w:eastAsia="en-US"/>
              </w:rPr>
              <w:t>200 000</w:t>
            </w:r>
          </w:p>
        </w:tc>
      </w:tr>
      <w:tr w:rsidR="005727C2" w:rsidTr="005727C2">
        <w:tc>
          <w:tcPr>
            <w:tcW w:w="1988" w:type="dxa"/>
            <w:tcBorders>
              <w:top w:val="single" w:sz="4" w:space="0" w:color="auto"/>
              <w:left w:val="single" w:sz="4" w:space="0" w:color="auto"/>
              <w:bottom w:val="single" w:sz="4" w:space="0" w:color="auto"/>
              <w:right w:val="single" w:sz="4" w:space="0" w:color="auto"/>
            </w:tcBorders>
            <w:hideMark/>
          </w:tcPr>
          <w:p w:rsidR="005727C2" w:rsidRDefault="005727C2">
            <w:pPr>
              <w:spacing w:after="0"/>
              <w:rPr>
                <w:b/>
                <w:sz w:val="20"/>
                <w:szCs w:val="20"/>
                <w:lang w:eastAsia="en-US"/>
              </w:rPr>
            </w:pPr>
            <w:r>
              <w:rPr>
                <w:b/>
                <w:sz w:val="20"/>
                <w:szCs w:val="20"/>
                <w:lang w:eastAsia="en-US"/>
              </w:rPr>
              <w:t>Водоснабжение и водоотведение</w:t>
            </w:r>
          </w:p>
        </w:tc>
        <w:tc>
          <w:tcPr>
            <w:tcW w:w="1130" w:type="dxa"/>
            <w:tcBorders>
              <w:top w:val="single" w:sz="4" w:space="0" w:color="auto"/>
              <w:left w:val="single" w:sz="4" w:space="0" w:color="auto"/>
              <w:bottom w:val="single" w:sz="4" w:space="0" w:color="auto"/>
              <w:right w:val="single" w:sz="4" w:space="0" w:color="auto"/>
            </w:tcBorders>
            <w:hideMark/>
          </w:tcPr>
          <w:p w:rsidR="005727C2" w:rsidRDefault="005727C2">
            <w:pPr>
              <w:spacing w:after="0"/>
              <w:jc w:val="center"/>
              <w:rPr>
                <w:sz w:val="20"/>
                <w:szCs w:val="20"/>
                <w:lang w:eastAsia="en-US"/>
              </w:rPr>
            </w:pPr>
            <w:r>
              <w:rPr>
                <w:sz w:val="20"/>
                <w:szCs w:val="20"/>
                <w:lang w:eastAsia="en-US"/>
              </w:rPr>
              <w:t>5</w:t>
            </w:r>
          </w:p>
        </w:tc>
        <w:tc>
          <w:tcPr>
            <w:tcW w:w="1385" w:type="dxa"/>
            <w:tcBorders>
              <w:top w:val="single" w:sz="4" w:space="0" w:color="auto"/>
              <w:left w:val="single" w:sz="4" w:space="0" w:color="auto"/>
              <w:bottom w:val="single" w:sz="4" w:space="0" w:color="auto"/>
              <w:right w:val="single" w:sz="4" w:space="0" w:color="auto"/>
            </w:tcBorders>
            <w:hideMark/>
          </w:tcPr>
          <w:p w:rsidR="005727C2" w:rsidRDefault="005727C2">
            <w:pPr>
              <w:spacing w:after="0"/>
              <w:jc w:val="center"/>
              <w:rPr>
                <w:sz w:val="20"/>
                <w:szCs w:val="20"/>
                <w:lang w:eastAsia="en-US"/>
              </w:rPr>
            </w:pPr>
            <w:r>
              <w:rPr>
                <w:sz w:val="20"/>
                <w:szCs w:val="20"/>
                <w:lang w:eastAsia="en-US"/>
              </w:rPr>
              <w:t>2</w:t>
            </w:r>
          </w:p>
        </w:tc>
        <w:tc>
          <w:tcPr>
            <w:tcW w:w="1134" w:type="dxa"/>
            <w:tcBorders>
              <w:top w:val="single" w:sz="4" w:space="0" w:color="auto"/>
              <w:left w:val="single" w:sz="4" w:space="0" w:color="auto"/>
              <w:bottom w:val="single" w:sz="4" w:space="0" w:color="auto"/>
              <w:right w:val="single" w:sz="4" w:space="0" w:color="auto"/>
            </w:tcBorders>
            <w:hideMark/>
          </w:tcPr>
          <w:p w:rsidR="005727C2" w:rsidRDefault="005727C2">
            <w:pPr>
              <w:spacing w:after="0"/>
              <w:jc w:val="center"/>
              <w:rPr>
                <w:sz w:val="20"/>
                <w:szCs w:val="20"/>
                <w:lang w:eastAsia="en-US"/>
              </w:rPr>
            </w:pPr>
            <w:r>
              <w:rPr>
                <w:sz w:val="20"/>
                <w:szCs w:val="20"/>
                <w:lang w:eastAsia="en-US"/>
              </w:rPr>
              <w:t>1</w:t>
            </w:r>
          </w:p>
        </w:tc>
        <w:tc>
          <w:tcPr>
            <w:tcW w:w="1275" w:type="dxa"/>
            <w:tcBorders>
              <w:top w:val="single" w:sz="4" w:space="0" w:color="auto"/>
              <w:left w:val="single" w:sz="4" w:space="0" w:color="auto"/>
              <w:bottom w:val="single" w:sz="4" w:space="0" w:color="auto"/>
              <w:right w:val="single" w:sz="4" w:space="0" w:color="auto"/>
            </w:tcBorders>
            <w:hideMark/>
          </w:tcPr>
          <w:p w:rsidR="005727C2" w:rsidRDefault="005727C2">
            <w:pPr>
              <w:spacing w:after="0"/>
              <w:jc w:val="center"/>
              <w:rPr>
                <w:sz w:val="20"/>
                <w:szCs w:val="20"/>
                <w:lang w:eastAsia="en-US"/>
              </w:rPr>
            </w:pPr>
            <w:r>
              <w:rPr>
                <w:sz w:val="20"/>
                <w:szCs w:val="20"/>
                <w:lang w:eastAsia="en-US"/>
              </w:rPr>
              <w:t>1</w:t>
            </w:r>
          </w:p>
        </w:tc>
        <w:tc>
          <w:tcPr>
            <w:tcW w:w="1539" w:type="dxa"/>
            <w:tcBorders>
              <w:top w:val="single" w:sz="4" w:space="0" w:color="auto"/>
              <w:left w:val="single" w:sz="4" w:space="0" w:color="auto"/>
              <w:bottom w:val="single" w:sz="4" w:space="0" w:color="auto"/>
              <w:right w:val="single" w:sz="4" w:space="0" w:color="auto"/>
            </w:tcBorders>
            <w:hideMark/>
          </w:tcPr>
          <w:p w:rsidR="005727C2" w:rsidRDefault="005727C2">
            <w:pPr>
              <w:spacing w:after="0"/>
              <w:jc w:val="center"/>
              <w:rPr>
                <w:sz w:val="20"/>
                <w:szCs w:val="20"/>
                <w:lang w:eastAsia="en-US"/>
              </w:rPr>
            </w:pPr>
            <w:r>
              <w:rPr>
                <w:sz w:val="20"/>
                <w:szCs w:val="20"/>
                <w:lang w:eastAsia="en-US"/>
              </w:rPr>
              <w:t>1</w:t>
            </w:r>
          </w:p>
        </w:tc>
        <w:tc>
          <w:tcPr>
            <w:tcW w:w="1296" w:type="dxa"/>
            <w:tcBorders>
              <w:top w:val="single" w:sz="4" w:space="0" w:color="auto"/>
              <w:left w:val="single" w:sz="4" w:space="0" w:color="auto"/>
              <w:bottom w:val="single" w:sz="4" w:space="0" w:color="auto"/>
              <w:right w:val="single" w:sz="4" w:space="0" w:color="auto"/>
            </w:tcBorders>
            <w:hideMark/>
          </w:tcPr>
          <w:p w:rsidR="005727C2" w:rsidRDefault="005727C2">
            <w:pPr>
              <w:spacing w:after="0"/>
              <w:jc w:val="center"/>
              <w:rPr>
                <w:sz w:val="20"/>
                <w:szCs w:val="20"/>
                <w:lang w:eastAsia="en-US"/>
              </w:rPr>
            </w:pPr>
            <w:r>
              <w:rPr>
                <w:sz w:val="20"/>
                <w:szCs w:val="20"/>
                <w:lang w:eastAsia="en-US"/>
              </w:rPr>
              <w:t>50 000</w:t>
            </w:r>
          </w:p>
        </w:tc>
      </w:tr>
      <w:tr w:rsidR="005727C2" w:rsidTr="005727C2">
        <w:tc>
          <w:tcPr>
            <w:tcW w:w="1988" w:type="dxa"/>
            <w:tcBorders>
              <w:top w:val="single" w:sz="4" w:space="0" w:color="auto"/>
              <w:left w:val="single" w:sz="4" w:space="0" w:color="auto"/>
              <w:bottom w:val="single" w:sz="4" w:space="0" w:color="auto"/>
              <w:right w:val="single" w:sz="4" w:space="0" w:color="auto"/>
            </w:tcBorders>
            <w:hideMark/>
          </w:tcPr>
          <w:p w:rsidR="005727C2" w:rsidRDefault="005727C2">
            <w:pPr>
              <w:spacing w:after="0"/>
              <w:rPr>
                <w:sz w:val="20"/>
                <w:szCs w:val="20"/>
                <w:lang w:eastAsia="en-US"/>
              </w:rPr>
            </w:pPr>
            <w:r>
              <w:rPr>
                <w:sz w:val="20"/>
                <w:szCs w:val="20"/>
                <w:lang w:eastAsia="en-US"/>
              </w:rPr>
              <w:t>из них: по контролю ранее выданных предписаний</w:t>
            </w:r>
          </w:p>
        </w:tc>
        <w:tc>
          <w:tcPr>
            <w:tcW w:w="1130" w:type="dxa"/>
            <w:tcBorders>
              <w:top w:val="single" w:sz="4" w:space="0" w:color="auto"/>
              <w:left w:val="single" w:sz="4" w:space="0" w:color="auto"/>
              <w:bottom w:val="single" w:sz="4" w:space="0" w:color="auto"/>
              <w:right w:val="single" w:sz="4" w:space="0" w:color="auto"/>
            </w:tcBorders>
            <w:hideMark/>
          </w:tcPr>
          <w:p w:rsidR="005727C2" w:rsidRDefault="005727C2">
            <w:pPr>
              <w:spacing w:after="0"/>
              <w:jc w:val="center"/>
              <w:rPr>
                <w:sz w:val="20"/>
                <w:szCs w:val="20"/>
                <w:lang w:eastAsia="en-US"/>
              </w:rPr>
            </w:pPr>
            <w:r>
              <w:rPr>
                <w:sz w:val="20"/>
                <w:szCs w:val="20"/>
                <w:lang w:eastAsia="en-US"/>
              </w:rPr>
              <w:t>4</w:t>
            </w:r>
          </w:p>
        </w:tc>
        <w:tc>
          <w:tcPr>
            <w:tcW w:w="1385" w:type="dxa"/>
            <w:tcBorders>
              <w:top w:val="single" w:sz="4" w:space="0" w:color="auto"/>
              <w:left w:val="single" w:sz="4" w:space="0" w:color="auto"/>
              <w:bottom w:val="single" w:sz="4" w:space="0" w:color="auto"/>
              <w:right w:val="single" w:sz="4" w:space="0" w:color="auto"/>
            </w:tcBorders>
            <w:hideMark/>
          </w:tcPr>
          <w:p w:rsidR="005727C2" w:rsidRDefault="005727C2">
            <w:pPr>
              <w:spacing w:after="0"/>
              <w:jc w:val="center"/>
              <w:rPr>
                <w:sz w:val="20"/>
                <w:szCs w:val="20"/>
                <w:lang w:eastAsia="en-US"/>
              </w:rPr>
            </w:pPr>
            <w:r>
              <w:rPr>
                <w:sz w:val="20"/>
                <w:szCs w:val="20"/>
                <w:lang w:eastAsia="en-US"/>
              </w:rPr>
              <w:t>1</w:t>
            </w:r>
          </w:p>
        </w:tc>
        <w:tc>
          <w:tcPr>
            <w:tcW w:w="1134" w:type="dxa"/>
            <w:tcBorders>
              <w:top w:val="single" w:sz="4" w:space="0" w:color="auto"/>
              <w:left w:val="single" w:sz="4" w:space="0" w:color="auto"/>
              <w:bottom w:val="single" w:sz="4" w:space="0" w:color="auto"/>
              <w:right w:val="single" w:sz="4" w:space="0" w:color="auto"/>
            </w:tcBorders>
            <w:hideMark/>
          </w:tcPr>
          <w:p w:rsidR="005727C2" w:rsidRDefault="005727C2">
            <w:pPr>
              <w:spacing w:after="0"/>
              <w:jc w:val="center"/>
              <w:rPr>
                <w:sz w:val="20"/>
                <w:szCs w:val="20"/>
                <w:lang w:eastAsia="en-US"/>
              </w:rPr>
            </w:pPr>
            <w:r>
              <w:rPr>
                <w:sz w:val="20"/>
                <w:szCs w:val="20"/>
                <w:lang w:eastAsia="en-US"/>
              </w:rPr>
              <w:t>-</w:t>
            </w:r>
          </w:p>
        </w:tc>
        <w:tc>
          <w:tcPr>
            <w:tcW w:w="1275" w:type="dxa"/>
            <w:tcBorders>
              <w:top w:val="single" w:sz="4" w:space="0" w:color="auto"/>
              <w:left w:val="single" w:sz="4" w:space="0" w:color="auto"/>
              <w:bottom w:val="single" w:sz="4" w:space="0" w:color="auto"/>
              <w:right w:val="single" w:sz="4" w:space="0" w:color="auto"/>
            </w:tcBorders>
            <w:hideMark/>
          </w:tcPr>
          <w:p w:rsidR="005727C2" w:rsidRDefault="005727C2">
            <w:pPr>
              <w:spacing w:after="0"/>
              <w:jc w:val="center"/>
              <w:rPr>
                <w:sz w:val="20"/>
                <w:szCs w:val="20"/>
                <w:lang w:eastAsia="en-US"/>
              </w:rPr>
            </w:pPr>
            <w:r>
              <w:rPr>
                <w:sz w:val="20"/>
                <w:szCs w:val="20"/>
                <w:lang w:eastAsia="en-US"/>
              </w:rPr>
              <w:t>-</w:t>
            </w:r>
          </w:p>
        </w:tc>
        <w:tc>
          <w:tcPr>
            <w:tcW w:w="1539" w:type="dxa"/>
            <w:tcBorders>
              <w:top w:val="single" w:sz="4" w:space="0" w:color="auto"/>
              <w:left w:val="single" w:sz="4" w:space="0" w:color="auto"/>
              <w:bottom w:val="single" w:sz="4" w:space="0" w:color="auto"/>
              <w:right w:val="single" w:sz="4" w:space="0" w:color="auto"/>
            </w:tcBorders>
            <w:hideMark/>
          </w:tcPr>
          <w:p w:rsidR="005727C2" w:rsidRDefault="005727C2">
            <w:pPr>
              <w:spacing w:after="0"/>
              <w:jc w:val="center"/>
              <w:rPr>
                <w:sz w:val="20"/>
                <w:szCs w:val="20"/>
                <w:lang w:eastAsia="en-US"/>
              </w:rPr>
            </w:pPr>
            <w:r>
              <w:rPr>
                <w:sz w:val="20"/>
                <w:szCs w:val="20"/>
                <w:lang w:eastAsia="en-US"/>
              </w:rPr>
              <w:t>1</w:t>
            </w:r>
          </w:p>
        </w:tc>
        <w:tc>
          <w:tcPr>
            <w:tcW w:w="1296" w:type="dxa"/>
            <w:tcBorders>
              <w:top w:val="single" w:sz="4" w:space="0" w:color="auto"/>
              <w:left w:val="single" w:sz="4" w:space="0" w:color="auto"/>
              <w:bottom w:val="single" w:sz="4" w:space="0" w:color="auto"/>
              <w:right w:val="single" w:sz="4" w:space="0" w:color="auto"/>
            </w:tcBorders>
            <w:hideMark/>
          </w:tcPr>
          <w:p w:rsidR="005727C2" w:rsidRDefault="005727C2">
            <w:pPr>
              <w:spacing w:after="0"/>
              <w:jc w:val="center"/>
              <w:rPr>
                <w:sz w:val="20"/>
                <w:szCs w:val="20"/>
                <w:lang w:eastAsia="en-US"/>
              </w:rPr>
            </w:pPr>
            <w:r>
              <w:rPr>
                <w:sz w:val="20"/>
                <w:szCs w:val="20"/>
                <w:lang w:eastAsia="en-US"/>
              </w:rPr>
              <w:t>50 000</w:t>
            </w:r>
          </w:p>
        </w:tc>
      </w:tr>
      <w:tr w:rsidR="005727C2" w:rsidTr="005727C2">
        <w:tc>
          <w:tcPr>
            <w:tcW w:w="1988" w:type="dxa"/>
            <w:tcBorders>
              <w:top w:val="single" w:sz="4" w:space="0" w:color="auto"/>
              <w:left w:val="single" w:sz="4" w:space="0" w:color="auto"/>
              <w:bottom w:val="single" w:sz="4" w:space="0" w:color="auto"/>
              <w:right w:val="single" w:sz="4" w:space="0" w:color="auto"/>
            </w:tcBorders>
            <w:hideMark/>
          </w:tcPr>
          <w:p w:rsidR="005727C2" w:rsidRDefault="005727C2">
            <w:pPr>
              <w:spacing w:after="0"/>
              <w:rPr>
                <w:b/>
                <w:sz w:val="20"/>
                <w:szCs w:val="20"/>
                <w:lang w:eastAsia="en-US"/>
              </w:rPr>
            </w:pPr>
            <w:r>
              <w:rPr>
                <w:b/>
                <w:sz w:val="20"/>
                <w:szCs w:val="20"/>
                <w:lang w:eastAsia="en-US"/>
              </w:rPr>
              <w:t xml:space="preserve">Транспортные услуги </w:t>
            </w:r>
          </w:p>
        </w:tc>
        <w:tc>
          <w:tcPr>
            <w:tcW w:w="1130" w:type="dxa"/>
            <w:tcBorders>
              <w:top w:val="single" w:sz="4" w:space="0" w:color="auto"/>
              <w:left w:val="single" w:sz="4" w:space="0" w:color="auto"/>
              <w:bottom w:val="single" w:sz="4" w:space="0" w:color="auto"/>
              <w:right w:val="single" w:sz="4" w:space="0" w:color="auto"/>
            </w:tcBorders>
            <w:hideMark/>
          </w:tcPr>
          <w:p w:rsidR="005727C2" w:rsidRDefault="005727C2">
            <w:pPr>
              <w:spacing w:after="0"/>
              <w:jc w:val="center"/>
              <w:rPr>
                <w:sz w:val="20"/>
                <w:szCs w:val="20"/>
                <w:lang w:eastAsia="en-US"/>
              </w:rPr>
            </w:pPr>
            <w:r>
              <w:rPr>
                <w:sz w:val="20"/>
                <w:szCs w:val="20"/>
                <w:lang w:eastAsia="en-US"/>
              </w:rPr>
              <w:t>1</w:t>
            </w:r>
          </w:p>
        </w:tc>
        <w:tc>
          <w:tcPr>
            <w:tcW w:w="1385" w:type="dxa"/>
            <w:tcBorders>
              <w:top w:val="single" w:sz="4" w:space="0" w:color="auto"/>
              <w:left w:val="single" w:sz="4" w:space="0" w:color="auto"/>
              <w:bottom w:val="single" w:sz="4" w:space="0" w:color="auto"/>
              <w:right w:val="single" w:sz="4" w:space="0" w:color="auto"/>
            </w:tcBorders>
            <w:hideMark/>
          </w:tcPr>
          <w:p w:rsidR="005727C2" w:rsidRDefault="005727C2">
            <w:pPr>
              <w:spacing w:after="0"/>
              <w:jc w:val="center"/>
              <w:rPr>
                <w:sz w:val="20"/>
                <w:szCs w:val="20"/>
                <w:lang w:eastAsia="en-US"/>
              </w:rPr>
            </w:pPr>
            <w:r>
              <w:rPr>
                <w:sz w:val="20"/>
                <w:szCs w:val="20"/>
                <w:lang w:eastAsia="en-US"/>
              </w:rPr>
              <w:t>-</w:t>
            </w:r>
          </w:p>
        </w:tc>
        <w:tc>
          <w:tcPr>
            <w:tcW w:w="1134" w:type="dxa"/>
            <w:tcBorders>
              <w:top w:val="single" w:sz="4" w:space="0" w:color="auto"/>
              <w:left w:val="single" w:sz="4" w:space="0" w:color="auto"/>
              <w:bottom w:val="single" w:sz="4" w:space="0" w:color="auto"/>
              <w:right w:val="single" w:sz="4" w:space="0" w:color="auto"/>
            </w:tcBorders>
            <w:hideMark/>
          </w:tcPr>
          <w:p w:rsidR="005727C2" w:rsidRDefault="005727C2">
            <w:pPr>
              <w:spacing w:after="0"/>
              <w:jc w:val="center"/>
              <w:rPr>
                <w:sz w:val="20"/>
                <w:szCs w:val="20"/>
                <w:lang w:eastAsia="en-US"/>
              </w:rPr>
            </w:pPr>
            <w:r>
              <w:rPr>
                <w:sz w:val="20"/>
                <w:szCs w:val="20"/>
                <w:lang w:eastAsia="en-US"/>
              </w:rPr>
              <w:t>-</w:t>
            </w:r>
          </w:p>
        </w:tc>
        <w:tc>
          <w:tcPr>
            <w:tcW w:w="1275" w:type="dxa"/>
            <w:tcBorders>
              <w:top w:val="single" w:sz="4" w:space="0" w:color="auto"/>
              <w:left w:val="single" w:sz="4" w:space="0" w:color="auto"/>
              <w:bottom w:val="single" w:sz="4" w:space="0" w:color="auto"/>
              <w:right w:val="single" w:sz="4" w:space="0" w:color="auto"/>
            </w:tcBorders>
            <w:hideMark/>
          </w:tcPr>
          <w:p w:rsidR="005727C2" w:rsidRDefault="005727C2">
            <w:pPr>
              <w:spacing w:after="0"/>
              <w:jc w:val="center"/>
              <w:rPr>
                <w:sz w:val="20"/>
                <w:szCs w:val="20"/>
                <w:lang w:eastAsia="en-US"/>
              </w:rPr>
            </w:pPr>
            <w:r>
              <w:rPr>
                <w:sz w:val="20"/>
                <w:szCs w:val="20"/>
                <w:lang w:eastAsia="en-US"/>
              </w:rPr>
              <w:t>-</w:t>
            </w:r>
          </w:p>
        </w:tc>
        <w:tc>
          <w:tcPr>
            <w:tcW w:w="1539" w:type="dxa"/>
            <w:tcBorders>
              <w:top w:val="single" w:sz="4" w:space="0" w:color="auto"/>
              <w:left w:val="single" w:sz="4" w:space="0" w:color="auto"/>
              <w:bottom w:val="single" w:sz="4" w:space="0" w:color="auto"/>
              <w:right w:val="single" w:sz="4" w:space="0" w:color="auto"/>
            </w:tcBorders>
            <w:hideMark/>
          </w:tcPr>
          <w:p w:rsidR="005727C2" w:rsidRDefault="005727C2">
            <w:pPr>
              <w:spacing w:after="0"/>
              <w:jc w:val="center"/>
              <w:rPr>
                <w:sz w:val="20"/>
                <w:szCs w:val="20"/>
                <w:lang w:eastAsia="en-US"/>
              </w:rPr>
            </w:pPr>
            <w:r>
              <w:rPr>
                <w:sz w:val="20"/>
                <w:szCs w:val="20"/>
                <w:lang w:eastAsia="en-US"/>
              </w:rPr>
              <w:t>-</w:t>
            </w:r>
          </w:p>
        </w:tc>
        <w:tc>
          <w:tcPr>
            <w:tcW w:w="1296" w:type="dxa"/>
            <w:tcBorders>
              <w:top w:val="single" w:sz="4" w:space="0" w:color="auto"/>
              <w:left w:val="single" w:sz="4" w:space="0" w:color="auto"/>
              <w:bottom w:val="single" w:sz="4" w:space="0" w:color="auto"/>
              <w:right w:val="single" w:sz="4" w:space="0" w:color="auto"/>
            </w:tcBorders>
            <w:hideMark/>
          </w:tcPr>
          <w:p w:rsidR="005727C2" w:rsidRDefault="005727C2">
            <w:pPr>
              <w:spacing w:after="0"/>
              <w:jc w:val="center"/>
              <w:rPr>
                <w:sz w:val="20"/>
                <w:szCs w:val="20"/>
                <w:lang w:eastAsia="en-US"/>
              </w:rPr>
            </w:pPr>
            <w:r>
              <w:rPr>
                <w:sz w:val="20"/>
                <w:szCs w:val="20"/>
                <w:lang w:eastAsia="en-US"/>
              </w:rPr>
              <w:t>-</w:t>
            </w:r>
          </w:p>
        </w:tc>
      </w:tr>
      <w:tr w:rsidR="005727C2" w:rsidTr="005727C2">
        <w:tc>
          <w:tcPr>
            <w:tcW w:w="1988" w:type="dxa"/>
            <w:tcBorders>
              <w:top w:val="single" w:sz="4" w:space="0" w:color="auto"/>
              <w:left w:val="single" w:sz="4" w:space="0" w:color="auto"/>
              <w:bottom w:val="single" w:sz="4" w:space="0" w:color="auto"/>
              <w:right w:val="single" w:sz="4" w:space="0" w:color="auto"/>
            </w:tcBorders>
            <w:hideMark/>
          </w:tcPr>
          <w:p w:rsidR="005727C2" w:rsidRDefault="005727C2">
            <w:pPr>
              <w:spacing w:after="0"/>
              <w:rPr>
                <w:sz w:val="20"/>
                <w:szCs w:val="20"/>
                <w:lang w:eastAsia="en-US"/>
              </w:rPr>
            </w:pPr>
            <w:r>
              <w:rPr>
                <w:sz w:val="20"/>
                <w:szCs w:val="20"/>
                <w:lang w:eastAsia="en-US"/>
              </w:rPr>
              <w:t>из них: по контролю ранее выданных предписаний</w:t>
            </w:r>
          </w:p>
        </w:tc>
        <w:tc>
          <w:tcPr>
            <w:tcW w:w="1130" w:type="dxa"/>
            <w:tcBorders>
              <w:top w:val="single" w:sz="4" w:space="0" w:color="auto"/>
              <w:left w:val="single" w:sz="4" w:space="0" w:color="auto"/>
              <w:bottom w:val="single" w:sz="4" w:space="0" w:color="auto"/>
              <w:right w:val="single" w:sz="4" w:space="0" w:color="auto"/>
            </w:tcBorders>
            <w:hideMark/>
          </w:tcPr>
          <w:p w:rsidR="005727C2" w:rsidRDefault="005727C2">
            <w:pPr>
              <w:spacing w:after="0"/>
              <w:jc w:val="center"/>
              <w:rPr>
                <w:sz w:val="20"/>
                <w:szCs w:val="20"/>
                <w:lang w:eastAsia="en-US"/>
              </w:rPr>
            </w:pPr>
            <w:r>
              <w:rPr>
                <w:sz w:val="20"/>
                <w:szCs w:val="20"/>
                <w:lang w:eastAsia="en-US"/>
              </w:rPr>
              <w:t>1</w:t>
            </w:r>
          </w:p>
        </w:tc>
        <w:tc>
          <w:tcPr>
            <w:tcW w:w="1385" w:type="dxa"/>
            <w:tcBorders>
              <w:top w:val="single" w:sz="4" w:space="0" w:color="auto"/>
              <w:left w:val="single" w:sz="4" w:space="0" w:color="auto"/>
              <w:bottom w:val="single" w:sz="4" w:space="0" w:color="auto"/>
              <w:right w:val="single" w:sz="4" w:space="0" w:color="auto"/>
            </w:tcBorders>
            <w:hideMark/>
          </w:tcPr>
          <w:p w:rsidR="005727C2" w:rsidRDefault="005727C2">
            <w:pPr>
              <w:spacing w:after="0"/>
              <w:jc w:val="center"/>
              <w:rPr>
                <w:sz w:val="20"/>
                <w:szCs w:val="20"/>
                <w:lang w:eastAsia="en-US"/>
              </w:rPr>
            </w:pPr>
            <w:r>
              <w:rPr>
                <w:sz w:val="20"/>
                <w:szCs w:val="20"/>
                <w:lang w:eastAsia="en-US"/>
              </w:rPr>
              <w:t>-</w:t>
            </w:r>
          </w:p>
        </w:tc>
        <w:tc>
          <w:tcPr>
            <w:tcW w:w="1134" w:type="dxa"/>
            <w:tcBorders>
              <w:top w:val="single" w:sz="4" w:space="0" w:color="auto"/>
              <w:left w:val="single" w:sz="4" w:space="0" w:color="auto"/>
              <w:bottom w:val="single" w:sz="4" w:space="0" w:color="auto"/>
              <w:right w:val="single" w:sz="4" w:space="0" w:color="auto"/>
            </w:tcBorders>
            <w:hideMark/>
          </w:tcPr>
          <w:p w:rsidR="005727C2" w:rsidRDefault="005727C2">
            <w:pPr>
              <w:spacing w:after="0"/>
              <w:jc w:val="center"/>
              <w:rPr>
                <w:sz w:val="20"/>
                <w:szCs w:val="20"/>
                <w:lang w:eastAsia="en-US"/>
              </w:rPr>
            </w:pPr>
            <w:r>
              <w:rPr>
                <w:sz w:val="20"/>
                <w:szCs w:val="20"/>
                <w:lang w:eastAsia="en-US"/>
              </w:rPr>
              <w:t>-</w:t>
            </w:r>
          </w:p>
        </w:tc>
        <w:tc>
          <w:tcPr>
            <w:tcW w:w="1275" w:type="dxa"/>
            <w:tcBorders>
              <w:top w:val="single" w:sz="4" w:space="0" w:color="auto"/>
              <w:left w:val="single" w:sz="4" w:space="0" w:color="auto"/>
              <w:bottom w:val="single" w:sz="4" w:space="0" w:color="auto"/>
              <w:right w:val="single" w:sz="4" w:space="0" w:color="auto"/>
            </w:tcBorders>
            <w:hideMark/>
          </w:tcPr>
          <w:p w:rsidR="005727C2" w:rsidRDefault="005727C2">
            <w:pPr>
              <w:spacing w:after="0"/>
              <w:jc w:val="center"/>
              <w:rPr>
                <w:sz w:val="20"/>
                <w:szCs w:val="20"/>
                <w:lang w:eastAsia="en-US"/>
              </w:rPr>
            </w:pPr>
            <w:r>
              <w:rPr>
                <w:sz w:val="20"/>
                <w:szCs w:val="20"/>
                <w:lang w:eastAsia="en-US"/>
              </w:rPr>
              <w:t>-</w:t>
            </w:r>
          </w:p>
        </w:tc>
        <w:tc>
          <w:tcPr>
            <w:tcW w:w="1539" w:type="dxa"/>
            <w:tcBorders>
              <w:top w:val="single" w:sz="4" w:space="0" w:color="auto"/>
              <w:left w:val="single" w:sz="4" w:space="0" w:color="auto"/>
              <w:bottom w:val="single" w:sz="4" w:space="0" w:color="auto"/>
              <w:right w:val="single" w:sz="4" w:space="0" w:color="auto"/>
            </w:tcBorders>
            <w:hideMark/>
          </w:tcPr>
          <w:p w:rsidR="005727C2" w:rsidRDefault="005727C2">
            <w:pPr>
              <w:spacing w:after="0"/>
              <w:jc w:val="center"/>
              <w:rPr>
                <w:sz w:val="20"/>
                <w:szCs w:val="20"/>
                <w:lang w:eastAsia="en-US"/>
              </w:rPr>
            </w:pPr>
            <w:r>
              <w:rPr>
                <w:sz w:val="20"/>
                <w:szCs w:val="20"/>
                <w:lang w:eastAsia="en-US"/>
              </w:rPr>
              <w:t>-</w:t>
            </w:r>
          </w:p>
        </w:tc>
        <w:tc>
          <w:tcPr>
            <w:tcW w:w="1296" w:type="dxa"/>
            <w:tcBorders>
              <w:top w:val="single" w:sz="4" w:space="0" w:color="auto"/>
              <w:left w:val="single" w:sz="4" w:space="0" w:color="auto"/>
              <w:bottom w:val="single" w:sz="4" w:space="0" w:color="auto"/>
              <w:right w:val="single" w:sz="4" w:space="0" w:color="auto"/>
            </w:tcBorders>
            <w:hideMark/>
          </w:tcPr>
          <w:p w:rsidR="005727C2" w:rsidRDefault="005727C2">
            <w:pPr>
              <w:spacing w:after="0"/>
              <w:jc w:val="center"/>
              <w:rPr>
                <w:sz w:val="20"/>
                <w:szCs w:val="20"/>
                <w:lang w:eastAsia="en-US"/>
              </w:rPr>
            </w:pPr>
            <w:r>
              <w:rPr>
                <w:sz w:val="20"/>
                <w:szCs w:val="20"/>
                <w:lang w:eastAsia="en-US"/>
              </w:rPr>
              <w:t>-</w:t>
            </w:r>
          </w:p>
        </w:tc>
      </w:tr>
      <w:tr w:rsidR="005727C2" w:rsidTr="005727C2">
        <w:tc>
          <w:tcPr>
            <w:tcW w:w="1988" w:type="dxa"/>
            <w:tcBorders>
              <w:top w:val="single" w:sz="4" w:space="0" w:color="auto"/>
              <w:left w:val="single" w:sz="4" w:space="0" w:color="auto"/>
              <w:bottom w:val="single" w:sz="4" w:space="0" w:color="auto"/>
              <w:right w:val="single" w:sz="4" w:space="0" w:color="auto"/>
            </w:tcBorders>
            <w:hideMark/>
          </w:tcPr>
          <w:p w:rsidR="005727C2" w:rsidRDefault="005727C2">
            <w:pPr>
              <w:spacing w:after="0"/>
              <w:rPr>
                <w:b/>
                <w:sz w:val="20"/>
                <w:szCs w:val="20"/>
                <w:lang w:eastAsia="en-US"/>
              </w:rPr>
            </w:pPr>
            <w:r>
              <w:rPr>
                <w:b/>
                <w:sz w:val="20"/>
                <w:szCs w:val="20"/>
                <w:lang w:eastAsia="en-US"/>
              </w:rPr>
              <w:t>Реализация лекарственных препаратов, включенных в перечень ЖНВЛП</w:t>
            </w:r>
          </w:p>
        </w:tc>
        <w:tc>
          <w:tcPr>
            <w:tcW w:w="1130" w:type="dxa"/>
            <w:tcBorders>
              <w:top w:val="single" w:sz="4" w:space="0" w:color="auto"/>
              <w:left w:val="single" w:sz="4" w:space="0" w:color="auto"/>
              <w:bottom w:val="single" w:sz="4" w:space="0" w:color="auto"/>
              <w:right w:val="single" w:sz="4" w:space="0" w:color="auto"/>
            </w:tcBorders>
            <w:hideMark/>
          </w:tcPr>
          <w:p w:rsidR="005727C2" w:rsidRDefault="005727C2">
            <w:pPr>
              <w:spacing w:after="0"/>
              <w:jc w:val="center"/>
              <w:rPr>
                <w:sz w:val="20"/>
                <w:szCs w:val="20"/>
                <w:lang w:eastAsia="en-US"/>
              </w:rPr>
            </w:pPr>
            <w:r>
              <w:rPr>
                <w:sz w:val="20"/>
                <w:szCs w:val="20"/>
                <w:lang w:eastAsia="en-US"/>
              </w:rPr>
              <w:t>-</w:t>
            </w:r>
          </w:p>
        </w:tc>
        <w:tc>
          <w:tcPr>
            <w:tcW w:w="1385" w:type="dxa"/>
            <w:tcBorders>
              <w:top w:val="single" w:sz="4" w:space="0" w:color="auto"/>
              <w:left w:val="single" w:sz="4" w:space="0" w:color="auto"/>
              <w:bottom w:val="single" w:sz="4" w:space="0" w:color="auto"/>
              <w:right w:val="single" w:sz="4" w:space="0" w:color="auto"/>
            </w:tcBorders>
            <w:hideMark/>
          </w:tcPr>
          <w:p w:rsidR="005727C2" w:rsidRDefault="005727C2">
            <w:pPr>
              <w:spacing w:after="0"/>
              <w:jc w:val="center"/>
              <w:rPr>
                <w:sz w:val="20"/>
                <w:szCs w:val="20"/>
                <w:lang w:eastAsia="en-US"/>
              </w:rPr>
            </w:pPr>
            <w:r>
              <w:rPr>
                <w:sz w:val="20"/>
                <w:szCs w:val="20"/>
                <w:lang w:eastAsia="en-US"/>
              </w:rPr>
              <w:t>-</w:t>
            </w:r>
          </w:p>
        </w:tc>
        <w:tc>
          <w:tcPr>
            <w:tcW w:w="1134" w:type="dxa"/>
            <w:tcBorders>
              <w:top w:val="single" w:sz="4" w:space="0" w:color="auto"/>
              <w:left w:val="single" w:sz="4" w:space="0" w:color="auto"/>
              <w:bottom w:val="single" w:sz="4" w:space="0" w:color="auto"/>
              <w:right w:val="single" w:sz="4" w:space="0" w:color="auto"/>
            </w:tcBorders>
            <w:hideMark/>
          </w:tcPr>
          <w:p w:rsidR="005727C2" w:rsidRDefault="005727C2">
            <w:pPr>
              <w:spacing w:after="0"/>
              <w:jc w:val="center"/>
              <w:rPr>
                <w:sz w:val="20"/>
                <w:szCs w:val="20"/>
                <w:lang w:eastAsia="en-US"/>
              </w:rPr>
            </w:pPr>
            <w:r>
              <w:rPr>
                <w:sz w:val="20"/>
                <w:szCs w:val="20"/>
                <w:lang w:eastAsia="en-US"/>
              </w:rPr>
              <w:t>-</w:t>
            </w:r>
          </w:p>
        </w:tc>
        <w:tc>
          <w:tcPr>
            <w:tcW w:w="1275" w:type="dxa"/>
            <w:tcBorders>
              <w:top w:val="single" w:sz="4" w:space="0" w:color="auto"/>
              <w:left w:val="single" w:sz="4" w:space="0" w:color="auto"/>
              <w:bottom w:val="single" w:sz="4" w:space="0" w:color="auto"/>
              <w:right w:val="single" w:sz="4" w:space="0" w:color="auto"/>
            </w:tcBorders>
            <w:hideMark/>
          </w:tcPr>
          <w:p w:rsidR="005727C2" w:rsidRDefault="005727C2">
            <w:pPr>
              <w:spacing w:after="0"/>
              <w:jc w:val="center"/>
              <w:rPr>
                <w:sz w:val="20"/>
                <w:szCs w:val="20"/>
                <w:lang w:eastAsia="en-US"/>
              </w:rPr>
            </w:pPr>
            <w:r>
              <w:rPr>
                <w:sz w:val="20"/>
                <w:szCs w:val="20"/>
                <w:lang w:eastAsia="en-US"/>
              </w:rPr>
              <w:t>-</w:t>
            </w:r>
          </w:p>
        </w:tc>
        <w:tc>
          <w:tcPr>
            <w:tcW w:w="1539" w:type="dxa"/>
            <w:tcBorders>
              <w:top w:val="single" w:sz="4" w:space="0" w:color="auto"/>
              <w:left w:val="single" w:sz="4" w:space="0" w:color="auto"/>
              <w:bottom w:val="single" w:sz="4" w:space="0" w:color="auto"/>
              <w:right w:val="single" w:sz="4" w:space="0" w:color="auto"/>
            </w:tcBorders>
            <w:hideMark/>
          </w:tcPr>
          <w:p w:rsidR="005727C2" w:rsidRDefault="005727C2">
            <w:pPr>
              <w:spacing w:after="0"/>
              <w:jc w:val="center"/>
              <w:rPr>
                <w:sz w:val="20"/>
                <w:szCs w:val="20"/>
                <w:lang w:eastAsia="en-US"/>
              </w:rPr>
            </w:pPr>
            <w:r>
              <w:rPr>
                <w:sz w:val="20"/>
                <w:szCs w:val="20"/>
                <w:lang w:eastAsia="en-US"/>
              </w:rPr>
              <w:t>-</w:t>
            </w:r>
          </w:p>
        </w:tc>
        <w:tc>
          <w:tcPr>
            <w:tcW w:w="1296" w:type="dxa"/>
            <w:tcBorders>
              <w:top w:val="single" w:sz="4" w:space="0" w:color="auto"/>
              <w:left w:val="single" w:sz="4" w:space="0" w:color="auto"/>
              <w:bottom w:val="single" w:sz="4" w:space="0" w:color="auto"/>
              <w:right w:val="single" w:sz="4" w:space="0" w:color="auto"/>
            </w:tcBorders>
            <w:hideMark/>
          </w:tcPr>
          <w:p w:rsidR="005727C2" w:rsidRDefault="005727C2">
            <w:pPr>
              <w:spacing w:after="0"/>
              <w:jc w:val="center"/>
              <w:rPr>
                <w:sz w:val="20"/>
                <w:szCs w:val="20"/>
                <w:lang w:eastAsia="en-US"/>
              </w:rPr>
            </w:pPr>
            <w:r>
              <w:rPr>
                <w:sz w:val="20"/>
                <w:szCs w:val="20"/>
                <w:lang w:eastAsia="en-US"/>
              </w:rPr>
              <w:t>-</w:t>
            </w:r>
          </w:p>
        </w:tc>
      </w:tr>
      <w:tr w:rsidR="005727C2" w:rsidTr="005727C2">
        <w:tc>
          <w:tcPr>
            <w:tcW w:w="1988" w:type="dxa"/>
            <w:tcBorders>
              <w:top w:val="single" w:sz="4" w:space="0" w:color="auto"/>
              <w:left w:val="single" w:sz="4" w:space="0" w:color="auto"/>
              <w:bottom w:val="single" w:sz="4" w:space="0" w:color="auto"/>
              <w:right w:val="single" w:sz="4" w:space="0" w:color="auto"/>
            </w:tcBorders>
            <w:hideMark/>
          </w:tcPr>
          <w:p w:rsidR="005727C2" w:rsidRDefault="005727C2">
            <w:pPr>
              <w:spacing w:after="0"/>
              <w:rPr>
                <w:sz w:val="20"/>
                <w:szCs w:val="20"/>
                <w:lang w:eastAsia="en-US"/>
              </w:rPr>
            </w:pPr>
            <w:r>
              <w:rPr>
                <w:sz w:val="20"/>
                <w:szCs w:val="20"/>
                <w:lang w:eastAsia="en-US"/>
              </w:rPr>
              <w:t>из них: по контролю ранее выданных предписаний</w:t>
            </w:r>
          </w:p>
        </w:tc>
        <w:tc>
          <w:tcPr>
            <w:tcW w:w="1130" w:type="dxa"/>
            <w:tcBorders>
              <w:top w:val="single" w:sz="4" w:space="0" w:color="auto"/>
              <w:left w:val="single" w:sz="4" w:space="0" w:color="auto"/>
              <w:bottom w:val="single" w:sz="4" w:space="0" w:color="auto"/>
              <w:right w:val="single" w:sz="4" w:space="0" w:color="auto"/>
            </w:tcBorders>
            <w:hideMark/>
          </w:tcPr>
          <w:p w:rsidR="005727C2" w:rsidRDefault="005727C2">
            <w:pPr>
              <w:spacing w:after="0"/>
              <w:jc w:val="center"/>
              <w:rPr>
                <w:sz w:val="20"/>
                <w:szCs w:val="20"/>
                <w:lang w:eastAsia="en-US"/>
              </w:rPr>
            </w:pPr>
            <w:r>
              <w:rPr>
                <w:sz w:val="20"/>
                <w:szCs w:val="20"/>
                <w:lang w:eastAsia="en-US"/>
              </w:rPr>
              <w:t>-</w:t>
            </w:r>
          </w:p>
        </w:tc>
        <w:tc>
          <w:tcPr>
            <w:tcW w:w="1385" w:type="dxa"/>
            <w:tcBorders>
              <w:top w:val="single" w:sz="4" w:space="0" w:color="auto"/>
              <w:left w:val="single" w:sz="4" w:space="0" w:color="auto"/>
              <w:bottom w:val="single" w:sz="4" w:space="0" w:color="auto"/>
              <w:right w:val="single" w:sz="4" w:space="0" w:color="auto"/>
            </w:tcBorders>
            <w:hideMark/>
          </w:tcPr>
          <w:p w:rsidR="005727C2" w:rsidRDefault="005727C2">
            <w:pPr>
              <w:spacing w:after="0"/>
              <w:jc w:val="center"/>
              <w:rPr>
                <w:sz w:val="20"/>
                <w:szCs w:val="20"/>
                <w:lang w:eastAsia="en-US"/>
              </w:rPr>
            </w:pPr>
            <w:r>
              <w:rPr>
                <w:sz w:val="20"/>
                <w:szCs w:val="20"/>
                <w:lang w:eastAsia="en-US"/>
              </w:rPr>
              <w:t>-</w:t>
            </w:r>
          </w:p>
        </w:tc>
        <w:tc>
          <w:tcPr>
            <w:tcW w:w="1134" w:type="dxa"/>
            <w:tcBorders>
              <w:top w:val="single" w:sz="4" w:space="0" w:color="auto"/>
              <w:left w:val="single" w:sz="4" w:space="0" w:color="auto"/>
              <w:bottom w:val="single" w:sz="4" w:space="0" w:color="auto"/>
              <w:right w:val="single" w:sz="4" w:space="0" w:color="auto"/>
            </w:tcBorders>
            <w:hideMark/>
          </w:tcPr>
          <w:p w:rsidR="005727C2" w:rsidRDefault="005727C2">
            <w:pPr>
              <w:spacing w:after="0"/>
              <w:jc w:val="center"/>
              <w:rPr>
                <w:sz w:val="20"/>
                <w:szCs w:val="20"/>
                <w:lang w:eastAsia="en-US"/>
              </w:rPr>
            </w:pPr>
            <w:r>
              <w:rPr>
                <w:sz w:val="20"/>
                <w:szCs w:val="20"/>
                <w:lang w:eastAsia="en-US"/>
              </w:rPr>
              <w:t>-</w:t>
            </w:r>
          </w:p>
        </w:tc>
        <w:tc>
          <w:tcPr>
            <w:tcW w:w="1275" w:type="dxa"/>
            <w:tcBorders>
              <w:top w:val="single" w:sz="4" w:space="0" w:color="auto"/>
              <w:left w:val="single" w:sz="4" w:space="0" w:color="auto"/>
              <w:bottom w:val="single" w:sz="4" w:space="0" w:color="auto"/>
              <w:right w:val="single" w:sz="4" w:space="0" w:color="auto"/>
            </w:tcBorders>
            <w:hideMark/>
          </w:tcPr>
          <w:p w:rsidR="005727C2" w:rsidRDefault="005727C2">
            <w:pPr>
              <w:spacing w:after="0"/>
              <w:jc w:val="center"/>
              <w:rPr>
                <w:sz w:val="20"/>
                <w:szCs w:val="20"/>
                <w:lang w:eastAsia="en-US"/>
              </w:rPr>
            </w:pPr>
            <w:r>
              <w:rPr>
                <w:sz w:val="20"/>
                <w:szCs w:val="20"/>
                <w:lang w:eastAsia="en-US"/>
              </w:rPr>
              <w:t>-</w:t>
            </w:r>
          </w:p>
        </w:tc>
        <w:tc>
          <w:tcPr>
            <w:tcW w:w="1539" w:type="dxa"/>
            <w:tcBorders>
              <w:top w:val="single" w:sz="4" w:space="0" w:color="auto"/>
              <w:left w:val="single" w:sz="4" w:space="0" w:color="auto"/>
              <w:bottom w:val="single" w:sz="4" w:space="0" w:color="auto"/>
              <w:right w:val="single" w:sz="4" w:space="0" w:color="auto"/>
            </w:tcBorders>
            <w:hideMark/>
          </w:tcPr>
          <w:p w:rsidR="005727C2" w:rsidRDefault="005727C2">
            <w:pPr>
              <w:spacing w:after="0"/>
              <w:jc w:val="center"/>
              <w:rPr>
                <w:sz w:val="20"/>
                <w:szCs w:val="20"/>
                <w:lang w:eastAsia="en-US"/>
              </w:rPr>
            </w:pPr>
            <w:r>
              <w:rPr>
                <w:sz w:val="20"/>
                <w:szCs w:val="20"/>
                <w:lang w:eastAsia="en-US"/>
              </w:rPr>
              <w:t>-</w:t>
            </w:r>
          </w:p>
        </w:tc>
        <w:tc>
          <w:tcPr>
            <w:tcW w:w="1296" w:type="dxa"/>
            <w:tcBorders>
              <w:top w:val="single" w:sz="4" w:space="0" w:color="auto"/>
              <w:left w:val="single" w:sz="4" w:space="0" w:color="auto"/>
              <w:bottom w:val="single" w:sz="4" w:space="0" w:color="auto"/>
              <w:right w:val="single" w:sz="4" w:space="0" w:color="auto"/>
            </w:tcBorders>
            <w:hideMark/>
          </w:tcPr>
          <w:p w:rsidR="005727C2" w:rsidRDefault="005727C2">
            <w:pPr>
              <w:spacing w:after="0"/>
              <w:jc w:val="center"/>
              <w:rPr>
                <w:sz w:val="20"/>
                <w:szCs w:val="20"/>
                <w:lang w:eastAsia="en-US"/>
              </w:rPr>
            </w:pPr>
            <w:r>
              <w:rPr>
                <w:sz w:val="20"/>
                <w:szCs w:val="20"/>
                <w:lang w:eastAsia="en-US"/>
              </w:rPr>
              <w:t>-</w:t>
            </w:r>
          </w:p>
        </w:tc>
      </w:tr>
      <w:tr w:rsidR="005727C2" w:rsidTr="005727C2">
        <w:tc>
          <w:tcPr>
            <w:tcW w:w="1988" w:type="dxa"/>
            <w:tcBorders>
              <w:top w:val="single" w:sz="4" w:space="0" w:color="auto"/>
              <w:left w:val="single" w:sz="4" w:space="0" w:color="auto"/>
              <w:bottom w:val="single" w:sz="4" w:space="0" w:color="auto"/>
              <w:right w:val="single" w:sz="4" w:space="0" w:color="auto"/>
            </w:tcBorders>
            <w:hideMark/>
          </w:tcPr>
          <w:p w:rsidR="005727C2" w:rsidRDefault="005727C2">
            <w:pPr>
              <w:spacing w:after="0"/>
              <w:rPr>
                <w:b/>
                <w:sz w:val="20"/>
                <w:szCs w:val="20"/>
                <w:lang w:eastAsia="en-US"/>
              </w:rPr>
            </w:pPr>
            <w:r>
              <w:rPr>
                <w:b/>
                <w:sz w:val="20"/>
                <w:szCs w:val="20"/>
                <w:lang w:eastAsia="en-US"/>
              </w:rPr>
              <w:t>Прочее</w:t>
            </w:r>
          </w:p>
        </w:tc>
        <w:tc>
          <w:tcPr>
            <w:tcW w:w="1130" w:type="dxa"/>
            <w:tcBorders>
              <w:top w:val="single" w:sz="4" w:space="0" w:color="auto"/>
              <w:left w:val="single" w:sz="4" w:space="0" w:color="auto"/>
              <w:bottom w:val="single" w:sz="4" w:space="0" w:color="auto"/>
              <w:right w:val="single" w:sz="4" w:space="0" w:color="auto"/>
            </w:tcBorders>
            <w:hideMark/>
          </w:tcPr>
          <w:p w:rsidR="005727C2" w:rsidRDefault="005727C2">
            <w:pPr>
              <w:spacing w:after="0"/>
              <w:jc w:val="center"/>
              <w:rPr>
                <w:sz w:val="20"/>
                <w:szCs w:val="20"/>
                <w:lang w:eastAsia="en-US"/>
              </w:rPr>
            </w:pPr>
            <w:r>
              <w:rPr>
                <w:sz w:val="20"/>
                <w:szCs w:val="20"/>
                <w:lang w:eastAsia="en-US"/>
              </w:rPr>
              <w:t>-</w:t>
            </w:r>
          </w:p>
        </w:tc>
        <w:tc>
          <w:tcPr>
            <w:tcW w:w="1385" w:type="dxa"/>
            <w:tcBorders>
              <w:top w:val="single" w:sz="4" w:space="0" w:color="auto"/>
              <w:left w:val="single" w:sz="4" w:space="0" w:color="auto"/>
              <w:bottom w:val="single" w:sz="4" w:space="0" w:color="auto"/>
              <w:right w:val="single" w:sz="4" w:space="0" w:color="auto"/>
            </w:tcBorders>
            <w:hideMark/>
          </w:tcPr>
          <w:p w:rsidR="005727C2" w:rsidRDefault="005727C2">
            <w:pPr>
              <w:spacing w:after="0"/>
              <w:jc w:val="center"/>
              <w:rPr>
                <w:sz w:val="20"/>
                <w:szCs w:val="20"/>
                <w:lang w:eastAsia="en-US"/>
              </w:rPr>
            </w:pPr>
            <w:r>
              <w:rPr>
                <w:sz w:val="20"/>
                <w:szCs w:val="20"/>
                <w:lang w:eastAsia="en-US"/>
              </w:rPr>
              <w:t>-</w:t>
            </w:r>
          </w:p>
        </w:tc>
        <w:tc>
          <w:tcPr>
            <w:tcW w:w="1134" w:type="dxa"/>
            <w:tcBorders>
              <w:top w:val="single" w:sz="4" w:space="0" w:color="auto"/>
              <w:left w:val="single" w:sz="4" w:space="0" w:color="auto"/>
              <w:bottom w:val="single" w:sz="4" w:space="0" w:color="auto"/>
              <w:right w:val="single" w:sz="4" w:space="0" w:color="auto"/>
            </w:tcBorders>
            <w:hideMark/>
          </w:tcPr>
          <w:p w:rsidR="005727C2" w:rsidRDefault="005727C2">
            <w:pPr>
              <w:spacing w:after="0"/>
              <w:jc w:val="center"/>
              <w:rPr>
                <w:sz w:val="20"/>
                <w:szCs w:val="20"/>
                <w:lang w:eastAsia="en-US"/>
              </w:rPr>
            </w:pPr>
            <w:r>
              <w:rPr>
                <w:sz w:val="20"/>
                <w:szCs w:val="20"/>
                <w:lang w:eastAsia="en-US"/>
              </w:rPr>
              <w:t>-</w:t>
            </w:r>
          </w:p>
        </w:tc>
        <w:tc>
          <w:tcPr>
            <w:tcW w:w="1275" w:type="dxa"/>
            <w:tcBorders>
              <w:top w:val="single" w:sz="4" w:space="0" w:color="auto"/>
              <w:left w:val="single" w:sz="4" w:space="0" w:color="auto"/>
              <w:bottom w:val="single" w:sz="4" w:space="0" w:color="auto"/>
              <w:right w:val="single" w:sz="4" w:space="0" w:color="auto"/>
            </w:tcBorders>
            <w:hideMark/>
          </w:tcPr>
          <w:p w:rsidR="005727C2" w:rsidRDefault="005727C2">
            <w:pPr>
              <w:spacing w:after="0"/>
              <w:jc w:val="center"/>
              <w:rPr>
                <w:sz w:val="20"/>
                <w:szCs w:val="20"/>
                <w:lang w:eastAsia="en-US"/>
              </w:rPr>
            </w:pPr>
            <w:r>
              <w:rPr>
                <w:sz w:val="20"/>
                <w:szCs w:val="20"/>
                <w:lang w:eastAsia="en-US"/>
              </w:rPr>
              <w:t>-</w:t>
            </w:r>
          </w:p>
        </w:tc>
        <w:tc>
          <w:tcPr>
            <w:tcW w:w="1539" w:type="dxa"/>
            <w:tcBorders>
              <w:top w:val="single" w:sz="4" w:space="0" w:color="auto"/>
              <w:left w:val="single" w:sz="4" w:space="0" w:color="auto"/>
              <w:bottom w:val="single" w:sz="4" w:space="0" w:color="auto"/>
              <w:right w:val="single" w:sz="4" w:space="0" w:color="auto"/>
            </w:tcBorders>
            <w:hideMark/>
          </w:tcPr>
          <w:p w:rsidR="005727C2" w:rsidRDefault="005727C2">
            <w:pPr>
              <w:spacing w:after="0"/>
              <w:jc w:val="center"/>
              <w:rPr>
                <w:sz w:val="20"/>
                <w:szCs w:val="20"/>
                <w:lang w:eastAsia="en-US"/>
              </w:rPr>
            </w:pPr>
            <w:r>
              <w:rPr>
                <w:sz w:val="20"/>
                <w:szCs w:val="20"/>
                <w:lang w:eastAsia="en-US"/>
              </w:rPr>
              <w:t>-</w:t>
            </w:r>
          </w:p>
        </w:tc>
        <w:tc>
          <w:tcPr>
            <w:tcW w:w="1296" w:type="dxa"/>
            <w:tcBorders>
              <w:top w:val="single" w:sz="4" w:space="0" w:color="auto"/>
              <w:left w:val="single" w:sz="4" w:space="0" w:color="auto"/>
              <w:bottom w:val="single" w:sz="4" w:space="0" w:color="auto"/>
              <w:right w:val="single" w:sz="4" w:space="0" w:color="auto"/>
            </w:tcBorders>
            <w:hideMark/>
          </w:tcPr>
          <w:p w:rsidR="005727C2" w:rsidRDefault="005727C2">
            <w:pPr>
              <w:spacing w:after="0"/>
              <w:jc w:val="center"/>
              <w:rPr>
                <w:sz w:val="20"/>
                <w:szCs w:val="20"/>
                <w:lang w:eastAsia="en-US"/>
              </w:rPr>
            </w:pPr>
            <w:r>
              <w:rPr>
                <w:sz w:val="20"/>
                <w:szCs w:val="20"/>
                <w:lang w:eastAsia="en-US"/>
              </w:rPr>
              <w:t>-</w:t>
            </w:r>
          </w:p>
        </w:tc>
      </w:tr>
      <w:tr w:rsidR="005727C2" w:rsidTr="005727C2">
        <w:tc>
          <w:tcPr>
            <w:tcW w:w="1988" w:type="dxa"/>
            <w:tcBorders>
              <w:top w:val="single" w:sz="4" w:space="0" w:color="auto"/>
              <w:left w:val="single" w:sz="4" w:space="0" w:color="auto"/>
              <w:bottom w:val="single" w:sz="4" w:space="0" w:color="auto"/>
              <w:right w:val="single" w:sz="4" w:space="0" w:color="auto"/>
            </w:tcBorders>
            <w:hideMark/>
          </w:tcPr>
          <w:p w:rsidR="005727C2" w:rsidRDefault="005727C2">
            <w:pPr>
              <w:spacing w:after="0"/>
              <w:rPr>
                <w:sz w:val="20"/>
                <w:szCs w:val="20"/>
                <w:lang w:eastAsia="en-US"/>
              </w:rPr>
            </w:pPr>
            <w:r>
              <w:rPr>
                <w:sz w:val="20"/>
                <w:szCs w:val="20"/>
                <w:lang w:eastAsia="en-US"/>
              </w:rPr>
              <w:t>из них: по контролю ранее выданных предписаний</w:t>
            </w:r>
          </w:p>
        </w:tc>
        <w:tc>
          <w:tcPr>
            <w:tcW w:w="1130" w:type="dxa"/>
            <w:tcBorders>
              <w:top w:val="single" w:sz="4" w:space="0" w:color="auto"/>
              <w:left w:val="single" w:sz="4" w:space="0" w:color="auto"/>
              <w:bottom w:val="single" w:sz="4" w:space="0" w:color="auto"/>
              <w:right w:val="single" w:sz="4" w:space="0" w:color="auto"/>
            </w:tcBorders>
            <w:hideMark/>
          </w:tcPr>
          <w:p w:rsidR="005727C2" w:rsidRDefault="005727C2">
            <w:pPr>
              <w:spacing w:after="0"/>
              <w:jc w:val="center"/>
              <w:rPr>
                <w:sz w:val="20"/>
                <w:szCs w:val="20"/>
                <w:lang w:eastAsia="en-US"/>
              </w:rPr>
            </w:pPr>
            <w:r>
              <w:rPr>
                <w:sz w:val="20"/>
                <w:szCs w:val="20"/>
                <w:lang w:eastAsia="en-US"/>
              </w:rPr>
              <w:t>-</w:t>
            </w:r>
          </w:p>
        </w:tc>
        <w:tc>
          <w:tcPr>
            <w:tcW w:w="1385" w:type="dxa"/>
            <w:tcBorders>
              <w:top w:val="single" w:sz="4" w:space="0" w:color="auto"/>
              <w:left w:val="single" w:sz="4" w:space="0" w:color="auto"/>
              <w:bottom w:val="single" w:sz="4" w:space="0" w:color="auto"/>
              <w:right w:val="single" w:sz="4" w:space="0" w:color="auto"/>
            </w:tcBorders>
            <w:hideMark/>
          </w:tcPr>
          <w:p w:rsidR="005727C2" w:rsidRDefault="005727C2">
            <w:pPr>
              <w:spacing w:after="0"/>
              <w:jc w:val="center"/>
              <w:rPr>
                <w:sz w:val="20"/>
                <w:szCs w:val="20"/>
                <w:lang w:eastAsia="en-US"/>
              </w:rPr>
            </w:pPr>
            <w:r>
              <w:rPr>
                <w:sz w:val="20"/>
                <w:szCs w:val="20"/>
                <w:lang w:eastAsia="en-US"/>
              </w:rPr>
              <w:t>-</w:t>
            </w:r>
          </w:p>
        </w:tc>
        <w:tc>
          <w:tcPr>
            <w:tcW w:w="1134" w:type="dxa"/>
            <w:tcBorders>
              <w:top w:val="single" w:sz="4" w:space="0" w:color="auto"/>
              <w:left w:val="single" w:sz="4" w:space="0" w:color="auto"/>
              <w:bottom w:val="single" w:sz="4" w:space="0" w:color="auto"/>
              <w:right w:val="single" w:sz="4" w:space="0" w:color="auto"/>
            </w:tcBorders>
            <w:hideMark/>
          </w:tcPr>
          <w:p w:rsidR="005727C2" w:rsidRDefault="005727C2">
            <w:pPr>
              <w:spacing w:after="0"/>
              <w:jc w:val="center"/>
              <w:rPr>
                <w:sz w:val="20"/>
                <w:szCs w:val="20"/>
                <w:lang w:eastAsia="en-US"/>
              </w:rPr>
            </w:pPr>
            <w:r>
              <w:rPr>
                <w:sz w:val="20"/>
                <w:szCs w:val="20"/>
                <w:lang w:eastAsia="en-US"/>
              </w:rPr>
              <w:t>-</w:t>
            </w:r>
          </w:p>
        </w:tc>
        <w:tc>
          <w:tcPr>
            <w:tcW w:w="1275" w:type="dxa"/>
            <w:tcBorders>
              <w:top w:val="single" w:sz="4" w:space="0" w:color="auto"/>
              <w:left w:val="single" w:sz="4" w:space="0" w:color="auto"/>
              <w:bottom w:val="single" w:sz="4" w:space="0" w:color="auto"/>
              <w:right w:val="single" w:sz="4" w:space="0" w:color="auto"/>
            </w:tcBorders>
            <w:hideMark/>
          </w:tcPr>
          <w:p w:rsidR="005727C2" w:rsidRDefault="005727C2">
            <w:pPr>
              <w:spacing w:after="0"/>
              <w:jc w:val="center"/>
              <w:rPr>
                <w:sz w:val="20"/>
                <w:szCs w:val="20"/>
                <w:lang w:eastAsia="en-US"/>
              </w:rPr>
            </w:pPr>
            <w:r>
              <w:rPr>
                <w:sz w:val="20"/>
                <w:szCs w:val="20"/>
                <w:lang w:eastAsia="en-US"/>
              </w:rPr>
              <w:t>-</w:t>
            </w:r>
          </w:p>
        </w:tc>
        <w:tc>
          <w:tcPr>
            <w:tcW w:w="1539" w:type="dxa"/>
            <w:tcBorders>
              <w:top w:val="single" w:sz="4" w:space="0" w:color="auto"/>
              <w:left w:val="single" w:sz="4" w:space="0" w:color="auto"/>
              <w:bottom w:val="single" w:sz="4" w:space="0" w:color="auto"/>
              <w:right w:val="single" w:sz="4" w:space="0" w:color="auto"/>
            </w:tcBorders>
            <w:hideMark/>
          </w:tcPr>
          <w:p w:rsidR="005727C2" w:rsidRDefault="005727C2">
            <w:pPr>
              <w:spacing w:after="0"/>
              <w:jc w:val="center"/>
              <w:rPr>
                <w:sz w:val="20"/>
                <w:szCs w:val="20"/>
                <w:lang w:eastAsia="en-US"/>
              </w:rPr>
            </w:pPr>
            <w:r>
              <w:rPr>
                <w:sz w:val="20"/>
                <w:szCs w:val="20"/>
                <w:lang w:eastAsia="en-US"/>
              </w:rPr>
              <w:t>-</w:t>
            </w:r>
          </w:p>
        </w:tc>
        <w:tc>
          <w:tcPr>
            <w:tcW w:w="1296" w:type="dxa"/>
            <w:tcBorders>
              <w:top w:val="single" w:sz="4" w:space="0" w:color="auto"/>
              <w:left w:val="single" w:sz="4" w:space="0" w:color="auto"/>
              <w:bottom w:val="single" w:sz="4" w:space="0" w:color="auto"/>
              <w:right w:val="single" w:sz="4" w:space="0" w:color="auto"/>
            </w:tcBorders>
            <w:hideMark/>
          </w:tcPr>
          <w:p w:rsidR="005727C2" w:rsidRDefault="005727C2">
            <w:pPr>
              <w:spacing w:after="0"/>
              <w:jc w:val="center"/>
              <w:rPr>
                <w:sz w:val="20"/>
                <w:szCs w:val="20"/>
                <w:lang w:eastAsia="en-US"/>
              </w:rPr>
            </w:pPr>
            <w:r>
              <w:rPr>
                <w:sz w:val="20"/>
                <w:szCs w:val="20"/>
                <w:lang w:eastAsia="en-US"/>
              </w:rPr>
              <w:t>-</w:t>
            </w:r>
          </w:p>
        </w:tc>
      </w:tr>
      <w:tr w:rsidR="005727C2" w:rsidTr="005727C2">
        <w:tc>
          <w:tcPr>
            <w:tcW w:w="1988" w:type="dxa"/>
            <w:tcBorders>
              <w:top w:val="single" w:sz="4" w:space="0" w:color="auto"/>
              <w:left w:val="single" w:sz="4" w:space="0" w:color="auto"/>
              <w:bottom w:val="single" w:sz="4" w:space="0" w:color="auto"/>
              <w:right w:val="single" w:sz="4" w:space="0" w:color="auto"/>
            </w:tcBorders>
            <w:hideMark/>
          </w:tcPr>
          <w:p w:rsidR="005727C2" w:rsidRDefault="005727C2">
            <w:pPr>
              <w:spacing w:after="0"/>
              <w:rPr>
                <w:b/>
                <w:sz w:val="20"/>
                <w:szCs w:val="20"/>
                <w:lang w:eastAsia="en-US"/>
              </w:rPr>
            </w:pPr>
            <w:r>
              <w:rPr>
                <w:b/>
                <w:sz w:val="20"/>
                <w:szCs w:val="20"/>
                <w:lang w:eastAsia="en-US"/>
              </w:rPr>
              <w:t>ИТОГО:</w:t>
            </w:r>
          </w:p>
        </w:tc>
        <w:tc>
          <w:tcPr>
            <w:tcW w:w="1130" w:type="dxa"/>
            <w:tcBorders>
              <w:top w:val="single" w:sz="4" w:space="0" w:color="auto"/>
              <w:left w:val="single" w:sz="4" w:space="0" w:color="auto"/>
              <w:bottom w:val="single" w:sz="4" w:space="0" w:color="auto"/>
              <w:right w:val="single" w:sz="4" w:space="0" w:color="auto"/>
            </w:tcBorders>
            <w:hideMark/>
          </w:tcPr>
          <w:p w:rsidR="005727C2" w:rsidRDefault="005727C2">
            <w:pPr>
              <w:spacing w:after="0"/>
              <w:jc w:val="center"/>
              <w:rPr>
                <w:sz w:val="20"/>
                <w:szCs w:val="20"/>
                <w:lang w:eastAsia="en-US"/>
              </w:rPr>
            </w:pPr>
            <w:r>
              <w:rPr>
                <w:sz w:val="20"/>
                <w:szCs w:val="20"/>
                <w:lang w:eastAsia="en-US"/>
              </w:rPr>
              <w:t>10</w:t>
            </w:r>
          </w:p>
        </w:tc>
        <w:tc>
          <w:tcPr>
            <w:tcW w:w="1385" w:type="dxa"/>
            <w:tcBorders>
              <w:top w:val="single" w:sz="4" w:space="0" w:color="auto"/>
              <w:left w:val="single" w:sz="4" w:space="0" w:color="auto"/>
              <w:bottom w:val="single" w:sz="4" w:space="0" w:color="auto"/>
              <w:right w:val="single" w:sz="4" w:space="0" w:color="auto"/>
            </w:tcBorders>
            <w:hideMark/>
          </w:tcPr>
          <w:p w:rsidR="005727C2" w:rsidRDefault="005727C2">
            <w:pPr>
              <w:spacing w:after="0"/>
              <w:jc w:val="center"/>
              <w:rPr>
                <w:sz w:val="20"/>
                <w:szCs w:val="20"/>
                <w:lang w:eastAsia="en-US"/>
              </w:rPr>
            </w:pPr>
            <w:r>
              <w:rPr>
                <w:sz w:val="20"/>
                <w:szCs w:val="20"/>
                <w:lang w:eastAsia="en-US"/>
              </w:rPr>
              <w:t>5</w:t>
            </w:r>
          </w:p>
        </w:tc>
        <w:tc>
          <w:tcPr>
            <w:tcW w:w="1134" w:type="dxa"/>
            <w:tcBorders>
              <w:top w:val="single" w:sz="4" w:space="0" w:color="auto"/>
              <w:left w:val="single" w:sz="4" w:space="0" w:color="auto"/>
              <w:bottom w:val="single" w:sz="4" w:space="0" w:color="auto"/>
              <w:right w:val="single" w:sz="4" w:space="0" w:color="auto"/>
            </w:tcBorders>
            <w:hideMark/>
          </w:tcPr>
          <w:p w:rsidR="005727C2" w:rsidRDefault="005727C2">
            <w:pPr>
              <w:spacing w:after="0"/>
              <w:jc w:val="center"/>
              <w:rPr>
                <w:sz w:val="20"/>
                <w:szCs w:val="20"/>
                <w:lang w:eastAsia="en-US"/>
              </w:rPr>
            </w:pPr>
            <w:r>
              <w:rPr>
                <w:sz w:val="20"/>
                <w:szCs w:val="20"/>
                <w:lang w:eastAsia="en-US"/>
              </w:rPr>
              <w:t>2</w:t>
            </w:r>
          </w:p>
        </w:tc>
        <w:tc>
          <w:tcPr>
            <w:tcW w:w="1275" w:type="dxa"/>
            <w:tcBorders>
              <w:top w:val="single" w:sz="4" w:space="0" w:color="auto"/>
              <w:left w:val="single" w:sz="4" w:space="0" w:color="auto"/>
              <w:bottom w:val="single" w:sz="4" w:space="0" w:color="auto"/>
              <w:right w:val="single" w:sz="4" w:space="0" w:color="auto"/>
            </w:tcBorders>
            <w:hideMark/>
          </w:tcPr>
          <w:p w:rsidR="005727C2" w:rsidRDefault="005727C2">
            <w:pPr>
              <w:spacing w:after="0"/>
              <w:jc w:val="center"/>
              <w:rPr>
                <w:sz w:val="20"/>
                <w:szCs w:val="20"/>
                <w:lang w:eastAsia="en-US"/>
              </w:rPr>
            </w:pPr>
            <w:r>
              <w:rPr>
                <w:sz w:val="20"/>
                <w:szCs w:val="20"/>
                <w:lang w:eastAsia="en-US"/>
              </w:rPr>
              <w:t>1</w:t>
            </w:r>
          </w:p>
        </w:tc>
        <w:tc>
          <w:tcPr>
            <w:tcW w:w="1539" w:type="dxa"/>
            <w:tcBorders>
              <w:top w:val="single" w:sz="4" w:space="0" w:color="auto"/>
              <w:left w:val="single" w:sz="4" w:space="0" w:color="auto"/>
              <w:bottom w:val="single" w:sz="4" w:space="0" w:color="auto"/>
              <w:right w:val="single" w:sz="4" w:space="0" w:color="auto"/>
            </w:tcBorders>
            <w:hideMark/>
          </w:tcPr>
          <w:p w:rsidR="005727C2" w:rsidRDefault="005727C2">
            <w:pPr>
              <w:spacing w:after="0"/>
              <w:jc w:val="center"/>
              <w:rPr>
                <w:sz w:val="20"/>
                <w:szCs w:val="20"/>
                <w:lang w:eastAsia="en-US"/>
              </w:rPr>
            </w:pPr>
            <w:r>
              <w:rPr>
                <w:sz w:val="20"/>
                <w:szCs w:val="20"/>
                <w:lang w:eastAsia="en-US"/>
              </w:rPr>
              <w:t>4</w:t>
            </w:r>
          </w:p>
        </w:tc>
        <w:tc>
          <w:tcPr>
            <w:tcW w:w="1296" w:type="dxa"/>
            <w:tcBorders>
              <w:top w:val="single" w:sz="4" w:space="0" w:color="auto"/>
              <w:left w:val="single" w:sz="4" w:space="0" w:color="auto"/>
              <w:bottom w:val="single" w:sz="4" w:space="0" w:color="auto"/>
              <w:right w:val="single" w:sz="4" w:space="0" w:color="auto"/>
            </w:tcBorders>
            <w:hideMark/>
          </w:tcPr>
          <w:p w:rsidR="005727C2" w:rsidRDefault="005727C2">
            <w:pPr>
              <w:spacing w:after="0"/>
              <w:jc w:val="center"/>
              <w:rPr>
                <w:sz w:val="20"/>
                <w:szCs w:val="20"/>
                <w:lang w:eastAsia="en-US"/>
              </w:rPr>
            </w:pPr>
            <w:r>
              <w:rPr>
                <w:sz w:val="20"/>
                <w:szCs w:val="20"/>
                <w:lang w:eastAsia="en-US"/>
              </w:rPr>
              <w:t>350 000</w:t>
            </w:r>
          </w:p>
        </w:tc>
      </w:tr>
    </w:tbl>
    <w:p w:rsidR="005727C2" w:rsidRDefault="005727C2" w:rsidP="005727C2">
      <w:pPr>
        <w:spacing w:after="0" w:line="240" w:lineRule="auto"/>
        <w:ind w:firstLine="757"/>
        <w:rPr>
          <w:rFonts w:eastAsiaTheme="minorHAnsi"/>
          <w:lang w:eastAsia="en-US"/>
        </w:rPr>
      </w:pPr>
    </w:p>
    <w:p w:rsidR="005727C2" w:rsidRDefault="005727C2" w:rsidP="005727C2">
      <w:pPr>
        <w:spacing w:after="0" w:line="240" w:lineRule="auto"/>
        <w:ind w:right="282" w:firstLine="757"/>
        <w:jc w:val="right"/>
        <w:rPr>
          <w:bCs/>
          <w:i/>
          <w:sz w:val="20"/>
          <w:szCs w:val="20"/>
        </w:rPr>
      </w:pPr>
    </w:p>
    <w:tbl>
      <w:tblPr>
        <w:tblStyle w:val="aff"/>
        <w:tblW w:w="9824" w:type="dxa"/>
        <w:tblLook w:val="04A0" w:firstRow="1" w:lastRow="0" w:firstColumn="1" w:lastColumn="0" w:noHBand="0" w:noVBand="1"/>
      </w:tblPr>
      <w:tblGrid>
        <w:gridCol w:w="1854"/>
        <w:gridCol w:w="1045"/>
        <w:gridCol w:w="2532"/>
        <w:gridCol w:w="2408"/>
        <w:gridCol w:w="1985"/>
      </w:tblGrid>
      <w:tr w:rsidR="005727C2" w:rsidTr="005727C2">
        <w:tc>
          <w:tcPr>
            <w:tcW w:w="9824" w:type="dxa"/>
            <w:gridSpan w:val="5"/>
            <w:tcBorders>
              <w:top w:val="single" w:sz="4" w:space="0" w:color="auto"/>
              <w:left w:val="single" w:sz="4" w:space="0" w:color="auto"/>
              <w:bottom w:val="single" w:sz="4" w:space="0" w:color="auto"/>
              <w:right w:val="single" w:sz="4" w:space="0" w:color="auto"/>
            </w:tcBorders>
            <w:hideMark/>
          </w:tcPr>
          <w:p w:rsidR="005727C2" w:rsidRDefault="005727C2">
            <w:pPr>
              <w:spacing w:after="0"/>
              <w:jc w:val="center"/>
              <w:rPr>
                <w:b/>
                <w:lang w:eastAsia="en-US"/>
              </w:rPr>
            </w:pPr>
            <w:r>
              <w:rPr>
                <w:b/>
                <w:lang w:eastAsia="en-US"/>
              </w:rPr>
              <w:t xml:space="preserve">Результаты участия должностных лиц департамента </w:t>
            </w:r>
          </w:p>
          <w:p w:rsidR="005727C2" w:rsidRDefault="005727C2">
            <w:pPr>
              <w:spacing w:after="0"/>
              <w:jc w:val="center"/>
              <w:rPr>
                <w:b/>
                <w:sz w:val="20"/>
                <w:szCs w:val="20"/>
                <w:lang w:eastAsia="en-US"/>
              </w:rPr>
            </w:pPr>
            <w:r>
              <w:rPr>
                <w:b/>
                <w:lang w:eastAsia="en-US"/>
              </w:rPr>
              <w:t>в проверках, проводимых органами прокуратуры, в 2019 году</w:t>
            </w:r>
            <w:r>
              <w:rPr>
                <w:b/>
                <w:sz w:val="20"/>
                <w:szCs w:val="20"/>
                <w:lang w:eastAsia="en-US"/>
              </w:rPr>
              <w:t xml:space="preserve"> </w:t>
            </w:r>
          </w:p>
        </w:tc>
      </w:tr>
      <w:tr w:rsidR="005727C2" w:rsidTr="005727C2">
        <w:tc>
          <w:tcPr>
            <w:tcW w:w="1854" w:type="dxa"/>
            <w:tcBorders>
              <w:top w:val="single" w:sz="4" w:space="0" w:color="auto"/>
              <w:left w:val="single" w:sz="4" w:space="0" w:color="auto"/>
              <w:bottom w:val="single" w:sz="4" w:space="0" w:color="auto"/>
              <w:right w:val="single" w:sz="4" w:space="0" w:color="auto"/>
            </w:tcBorders>
            <w:hideMark/>
          </w:tcPr>
          <w:p w:rsidR="005727C2" w:rsidRDefault="005727C2">
            <w:pPr>
              <w:spacing w:after="0"/>
              <w:jc w:val="center"/>
              <w:rPr>
                <w:sz w:val="20"/>
                <w:szCs w:val="20"/>
                <w:lang w:eastAsia="en-US"/>
              </w:rPr>
            </w:pPr>
            <w:r>
              <w:rPr>
                <w:sz w:val="18"/>
                <w:szCs w:val="18"/>
                <w:lang w:eastAsia="en-US"/>
              </w:rPr>
              <w:t>Сфера осуществления контроля (надзора)</w:t>
            </w:r>
          </w:p>
        </w:tc>
        <w:tc>
          <w:tcPr>
            <w:tcW w:w="1045" w:type="dxa"/>
            <w:tcBorders>
              <w:top w:val="single" w:sz="4" w:space="0" w:color="auto"/>
              <w:left w:val="single" w:sz="4" w:space="0" w:color="auto"/>
              <w:bottom w:val="single" w:sz="4" w:space="0" w:color="auto"/>
              <w:right w:val="single" w:sz="4" w:space="0" w:color="auto"/>
            </w:tcBorders>
            <w:hideMark/>
          </w:tcPr>
          <w:p w:rsidR="005727C2" w:rsidRDefault="005727C2">
            <w:pPr>
              <w:spacing w:after="0"/>
              <w:jc w:val="center"/>
              <w:rPr>
                <w:sz w:val="20"/>
                <w:szCs w:val="20"/>
                <w:lang w:eastAsia="en-US"/>
              </w:rPr>
            </w:pPr>
            <w:r>
              <w:rPr>
                <w:sz w:val="20"/>
                <w:szCs w:val="20"/>
                <w:lang w:eastAsia="en-US"/>
              </w:rPr>
              <w:t>Всего проверок</w:t>
            </w:r>
          </w:p>
        </w:tc>
        <w:tc>
          <w:tcPr>
            <w:tcW w:w="2532" w:type="dxa"/>
            <w:tcBorders>
              <w:top w:val="single" w:sz="4" w:space="0" w:color="auto"/>
              <w:left w:val="single" w:sz="4" w:space="0" w:color="auto"/>
              <w:bottom w:val="single" w:sz="4" w:space="0" w:color="auto"/>
              <w:right w:val="single" w:sz="4" w:space="0" w:color="auto"/>
            </w:tcBorders>
            <w:hideMark/>
          </w:tcPr>
          <w:p w:rsidR="005727C2" w:rsidRDefault="005727C2">
            <w:pPr>
              <w:spacing w:after="0"/>
              <w:jc w:val="center"/>
              <w:rPr>
                <w:sz w:val="20"/>
                <w:szCs w:val="20"/>
                <w:lang w:eastAsia="en-US"/>
              </w:rPr>
            </w:pPr>
            <w:r>
              <w:rPr>
                <w:sz w:val="20"/>
                <w:szCs w:val="20"/>
                <w:lang w:eastAsia="en-US"/>
              </w:rPr>
              <w:t>Проверки, в ходе которых выявлены нарушения</w:t>
            </w:r>
          </w:p>
        </w:tc>
        <w:tc>
          <w:tcPr>
            <w:tcW w:w="2408" w:type="dxa"/>
            <w:tcBorders>
              <w:top w:val="single" w:sz="4" w:space="0" w:color="auto"/>
              <w:left w:val="single" w:sz="4" w:space="0" w:color="auto"/>
              <w:bottom w:val="single" w:sz="4" w:space="0" w:color="auto"/>
              <w:right w:val="single" w:sz="4" w:space="0" w:color="auto"/>
            </w:tcBorders>
            <w:hideMark/>
          </w:tcPr>
          <w:p w:rsidR="005727C2" w:rsidRDefault="005727C2">
            <w:pPr>
              <w:spacing w:after="0"/>
              <w:jc w:val="center"/>
              <w:rPr>
                <w:sz w:val="20"/>
                <w:szCs w:val="20"/>
                <w:lang w:eastAsia="en-US"/>
              </w:rPr>
            </w:pPr>
            <w:r>
              <w:rPr>
                <w:sz w:val="18"/>
                <w:szCs w:val="18"/>
                <w:lang w:eastAsia="en-US"/>
              </w:rPr>
              <w:t>Количество проверок, по итогам которых наложены адм.наказания</w:t>
            </w:r>
          </w:p>
        </w:tc>
        <w:tc>
          <w:tcPr>
            <w:tcW w:w="1985" w:type="dxa"/>
            <w:tcBorders>
              <w:top w:val="single" w:sz="4" w:space="0" w:color="auto"/>
              <w:left w:val="single" w:sz="4" w:space="0" w:color="auto"/>
              <w:bottom w:val="single" w:sz="4" w:space="0" w:color="auto"/>
              <w:right w:val="single" w:sz="4" w:space="0" w:color="auto"/>
            </w:tcBorders>
            <w:hideMark/>
          </w:tcPr>
          <w:p w:rsidR="005727C2" w:rsidRDefault="005727C2">
            <w:pPr>
              <w:spacing w:after="0"/>
              <w:jc w:val="center"/>
              <w:rPr>
                <w:sz w:val="20"/>
                <w:szCs w:val="20"/>
                <w:lang w:eastAsia="en-US"/>
              </w:rPr>
            </w:pPr>
            <w:r>
              <w:rPr>
                <w:sz w:val="20"/>
                <w:szCs w:val="20"/>
                <w:lang w:eastAsia="en-US"/>
              </w:rPr>
              <w:t>Сумма административных штрафов</w:t>
            </w:r>
          </w:p>
        </w:tc>
      </w:tr>
      <w:tr w:rsidR="005727C2" w:rsidTr="005727C2">
        <w:trPr>
          <w:trHeight w:val="153"/>
        </w:trPr>
        <w:tc>
          <w:tcPr>
            <w:tcW w:w="1854" w:type="dxa"/>
            <w:tcBorders>
              <w:top w:val="single" w:sz="4" w:space="0" w:color="auto"/>
              <w:left w:val="single" w:sz="4" w:space="0" w:color="auto"/>
              <w:bottom w:val="single" w:sz="4" w:space="0" w:color="auto"/>
              <w:right w:val="single" w:sz="4" w:space="0" w:color="auto"/>
            </w:tcBorders>
            <w:hideMark/>
          </w:tcPr>
          <w:p w:rsidR="005727C2" w:rsidRDefault="005727C2">
            <w:pPr>
              <w:spacing w:after="0"/>
              <w:rPr>
                <w:sz w:val="20"/>
                <w:szCs w:val="20"/>
                <w:lang w:eastAsia="en-US"/>
              </w:rPr>
            </w:pPr>
            <w:r>
              <w:rPr>
                <w:sz w:val="20"/>
                <w:szCs w:val="20"/>
                <w:lang w:eastAsia="en-US"/>
              </w:rPr>
              <w:t>Электроэнергетика</w:t>
            </w:r>
          </w:p>
        </w:tc>
        <w:tc>
          <w:tcPr>
            <w:tcW w:w="1045" w:type="dxa"/>
            <w:tcBorders>
              <w:top w:val="single" w:sz="4" w:space="0" w:color="auto"/>
              <w:left w:val="single" w:sz="4" w:space="0" w:color="auto"/>
              <w:bottom w:val="single" w:sz="4" w:space="0" w:color="auto"/>
              <w:right w:val="single" w:sz="4" w:space="0" w:color="auto"/>
            </w:tcBorders>
            <w:hideMark/>
          </w:tcPr>
          <w:p w:rsidR="005727C2" w:rsidRDefault="005727C2">
            <w:pPr>
              <w:spacing w:after="0"/>
              <w:jc w:val="center"/>
              <w:rPr>
                <w:sz w:val="20"/>
                <w:szCs w:val="20"/>
                <w:lang w:eastAsia="en-US"/>
              </w:rPr>
            </w:pPr>
            <w:r>
              <w:rPr>
                <w:sz w:val="20"/>
                <w:szCs w:val="20"/>
                <w:lang w:eastAsia="en-US"/>
              </w:rPr>
              <w:t>5</w:t>
            </w:r>
          </w:p>
        </w:tc>
        <w:tc>
          <w:tcPr>
            <w:tcW w:w="2532" w:type="dxa"/>
            <w:tcBorders>
              <w:top w:val="single" w:sz="4" w:space="0" w:color="auto"/>
              <w:left w:val="single" w:sz="4" w:space="0" w:color="auto"/>
              <w:bottom w:val="single" w:sz="4" w:space="0" w:color="auto"/>
              <w:right w:val="single" w:sz="4" w:space="0" w:color="auto"/>
            </w:tcBorders>
            <w:hideMark/>
          </w:tcPr>
          <w:p w:rsidR="005727C2" w:rsidRDefault="005727C2">
            <w:pPr>
              <w:spacing w:after="0"/>
              <w:jc w:val="center"/>
              <w:rPr>
                <w:sz w:val="20"/>
                <w:szCs w:val="20"/>
                <w:lang w:eastAsia="en-US"/>
              </w:rPr>
            </w:pPr>
            <w:r>
              <w:rPr>
                <w:sz w:val="20"/>
                <w:szCs w:val="20"/>
                <w:lang w:eastAsia="en-US"/>
              </w:rPr>
              <w:t>3</w:t>
            </w:r>
          </w:p>
        </w:tc>
        <w:tc>
          <w:tcPr>
            <w:tcW w:w="2408" w:type="dxa"/>
            <w:tcBorders>
              <w:top w:val="single" w:sz="4" w:space="0" w:color="auto"/>
              <w:left w:val="single" w:sz="4" w:space="0" w:color="auto"/>
              <w:bottom w:val="single" w:sz="4" w:space="0" w:color="auto"/>
              <w:right w:val="single" w:sz="4" w:space="0" w:color="auto"/>
            </w:tcBorders>
            <w:hideMark/>
          </w:tcPr>
          <w:p w:rsidR="005727C2" w:rsidRDefault="005727C2">
            <w:pPr>
              <w:spacing w:after="0"/>
              <w:jc w:val="center"/>
              <w:rPr>
                <w:sz w:val="20"/>
                <w:szCs w:val="20"/>
                <w:lang w:eastAsia="en-US"/>
              </w:rPr>
            </w:pPr>
            <w:r>
              <w:rPr>
                <w:sz w:val="20"/>
                <w:szCs w:val="20"/>
                <w:lang w:eastAsia="en-US"/>
              </w:rPr>
              <w:t>2</w:t>
            </w:r>
          </w:p>
        </w:tc>
        <w:tc>
          <w:tcPr>
            <w:tcW w:w="1985" w:type="dxa"/>
            <w:tcBorders>
              <w:top w:val="single" w:sz="4" w:space="0" w:color="auto"/>
              <w:left w:val="single" w:sz="4" w:space="0" w:color="auto"/>
              <w:bottom w:val="single" w:sz="4" w:space="0" w:color="auto"/>
              <w:right w:val="single" w:sz="4" w:space="0" w:color="auto"/>
            </w:tcBorders>
            <w:hideMark/>
          </w:tcPr>
          <w:p w:rsidR="005727C2" w:rsidRDefault="005727C2">
            <w:pPr>
              <w:spacing w:after="0"/>
              <w:jc w:val="center"/>
              <w:rPr>
                <w:sz w:val="20"/>
                <w:szCs w:val="20"/>
                <w:lang w:eastAsia="en-US"/>
              </w:rPr>
            </w:pPr>
            <w:r>
              <w:rPr>
                <w:sz w:val="20"/>
                <w:szCs w:val="20"/>
                <w:lang w:eastAsia="en-US"/>
              </w:rPr>
              <w:t>350 000</w:t>
            </w:r>
          </w:p>
        </w:tc>
      </w:tr>
      <w:tr w:rsidR="005727C2" w:rsidTr="005727C2">
        <w:tc>
          <w:tcPr>
            <w:tcW w:w="1854" w:type="dxa"/>
            <w:tcBorders>
              <w:top w:val="single" w:sz="4" w:space="0" w:color="auto"/>
              <w:left w:val="single" w:sz="4" w:space="0" w:color="auto"/>
              <w:bottom w:val="single" w:sz="4" w:space="0" w:color="auto"/>
              <w:right w:val="single" w:sz="4" w:space="0" w:color="auto"/>
            </w:tcBorders>
            <w:hideMark/>
          </w:tcPr>
          <w:p w:rsidR="005727C2" w:rsidRDefault="005727C2">
            <w:pPr>
              <w:spacing w:after="0"/>
              <w:rPr>
                <w:sz w:val="20"/>
                <w:szCs w:val="20"/>
                <w:lang w:eastAsia="en-US"/>
              </w:rPr>
            </w:pPr>
            <w:r>
              <w:rPr>
                <w:sz w:val="20"/>
                <w:szCs w:val="20"/>
                <w:lang w:eastAsia="en-US"/>
              </w:rPr>
              <w:t>Теплоснабжение</w:t>
            </w:r>
          </w:p>
        </w:tc>
        <w:tc>
          <w:tcPr>
            <w:tcW w:w="1045" w:type="dxa"/>
            <w:tcBorders>
              <w:top w:val="single" w:sz="4" w:space="0" w:color="auto"/>
              <w:left w:val="single" w:sz="4" w:space="0" w:color="auto"/>
              <w:bottom w:val="single" w:sz="4" w:space="0" w:color="auto"/>
              <w:right w:val="single" w:sz="4" w:space="0" w:color="auto"/>
            </w:tcBorders>
            <w:hideMark/>
          </w:tcPr>
          <w:p w:rsidR="005727C2" w:rsidRDefault="005727C2">
            <w:pPr>
              <w:spacing w:after="0"/>
              <w:jc w:val="center"/>
              <w:rPr>
                <w:sz w:val="20"/>
                <w:szCs w:val="20"/>
                <w:lang w:eastAsia="en-US"/>
              </w:rPr>
            </w:pPr>
            <w:r>
              <w:rPr>
                <w:sz w:val="20"/>
                <w:szCs w:val="20"/>
                <w:lang w:eastAsia="en-US"/>
              </w:rPr>
              <w:t>3</w:t>
            </w:r>
          </w:p>
        </w:tc>
        <w:tc>
          <w:tcPr>
            <w:tcW w:w="2532" w:type="dxa"/>
            <w:tcBorders>
              <w:top w:val="single" w:sz="4" w:space="0" w:color="auto"/>
              <w:left w:val="single" w:sz="4" w:space="0" w:color="auto"/>
              <w:bottom w:val="single" w:sz="4" w:space="0" w:color="auto"/>
              <w:right w:val="single" w:sz="4" w:space="0" w:color="auto"/>
            </w:tcBorders>
            <w:hideMark/>
          </w:tcPr>
          <w:p w:rsidR="005727C2" w:rsidRDefault="005727C2">
            <w:pPr>
              <w:spacing w:after="0"/>
              <w:jc w:val="center"/>
              <w:rPr>
                <w:sz w:val="20"/>
                <w:szCs w:val="20"/>
                <w:lang w:eastAsia="en-US"/>
              </w:rPr>
            </w:pPr>
            <w:r>
              <w:rPr>
                <w:sz w:val="20"/>
                <w:szCs w:val="20"/>
                <w:lang w:eastAsia="en-US"/>
              </w:rPr>
              <w:t>1</w:t>
            </w:r>
          </w:p>
        </w:tc>
        <w:tc>
          <w:tcPr>
            <w:tcW w:w="2408" w:type="dxa"/>
            <w:tcBorders>
              <w:top w:val="single" w:sz="4" w:space="0" w:color="auto"/>
              <w:left w:val="single" w:sz="4" w:space="0" w:color="auto"/>
              <w:bottom w:val="single" w:sz="4" w:space="0" w:color="auto"/>
              <w:right w:val="single" w:sz="4" w:space="0" w:color="auto"/>
            </w:tcBorders>
            <w:hideMark/>
          </w:tcPr>
          <w:p w:rsidR="005727C2" w:rsidRDefault="005727C2">
            <w:pPr>
              <w:spacing w:after="0"/>
              <w:jc w:val="center"/>
              <w:rPr>
                <w:sz w:val="20"/>
                <w:szCs w:val="20"/>
                <w:lang w:eastAsia="en-US"/>
              </w:rPr>
            </w:pPr>
            <w:r>
              <w:rPr>
                <w:sz w:val="20"/>
                <w:szCs w:val="20"/>
                <w:lang w:eastAsia="en-US"/>
              </w:rPr>
              <w:t>1</w:t>
            </w:r>
          </w:p>
        </w:tc>
        <w:tc>
          <w:tcPr>
            <w:tcW w:w="1985" w:type="dxa"/>
            <w:tcBorders>
              <w:top w:val="single" w:sz="4" w:space="0" w:color="auto"/>
              <w:left w:val="single" w:sz="4" w:space="0" w:color="auto"/>
              <w:bottom w:val="single" w:sz="4" w:space="0" w:color="auto"/>
              <w:right w:val="single" w:sz="4" w:space="0" w:color="auto"/>
            </w:tcBorders>
            <w:hideMark/>
          </w:tcPr>
          <w:p w:rsidR="005727C2" w:rsidRDefault="005727C2">
            <w:pPr>
              <w:spacing w:after="0"/>
              <w:jc w:val="center"/>
              <w:rPr>
                <w:sz w:val="20"/>
                <w:szCs w:val="20"/>
                <w:lang w:eastAsia="en-US"/>
              </w:rPr>
            </w:pPr>
            <w:r>
              <w:rPr>
                <w:sz w:val="20"/>
                <w:szCs w:val="20"/>
                <w:lang w:eastAsia="en-US"/>
              </w:rPr>
              <w:t>50 000</w:t>
            </w:r>
          </w:p>
        </w:tc>
      </w:tr>
      <w:tr w:rsidR="005727C2" w:rsidTr="005727C2">
        <w:tc>
          <w:tcPr>
            <w:tcW w:w="1854" w:type="dxa"/>
            <w:tcBorders>
              <w:top w:val="single" w:sz="4" w:space="0" w:color="auto"/>
              <w:left w:val="single" w:sz="4" w:space="0" w:color="auto"/>
              <w:bottom w:val="single" w:sz="4" w:space="0" w:color="auto"/>
              <w:right w:val="single" w:sz="4" w:space="0" w:color="auto"/>
            </w:tcBorders>
            <w:hideMark/>
          </w:tcPr>
          <w:p w:rsidR="005727C2" w:rsidRDefault="005727C2">
            <w:pPr>
              <w:spacing w:after="0"/>
              <w:rPr>
                <w:sz w:val="20"/>
                <w:szCs w:val="20"/>
                <w:lang w:eastAsia="en-US"/>
              </w:rPr>
            </w:pPr>
            <w:r>
              <w:rPr>
                <w:sz w:val="20"/>
                <w:szCs w:val="20"/>
                <w:lang w:eastAsia="en-US"/>
              </w:rPr>
              <w:t>Газоснабжение</w:t>
            </w:r>
          </w:p>
        </w:tc>
        <w:tc>
          <w:tcPr>
            <w:tcW w:w="1045" w:type="dxa"/>
            <w:tcBorders>
              <w:top w:val="single" w:sz="4" w:space="0" w:color="auto"/>
              <w:left w:val="single" w:sz="4" w:space="0" w:color="auto"/>
              <w:bottom w:val="single" w:sz="4" w:space="0" w:color="auto"/>
              <w:right w:val="single" w:sz="4" w:space="0" w:color="auto"/>
            </w:tcBorders>
            <w:hideMark/>
          </w:tcPr>
          <w:p w:rsidR="005727C2" w:rsidRDefault="005727C2">
            <w:pPr>
              <w:spacing w:after="0"/>
              <w:jc w:val="center"/>
              <w:rPr>
                <w:sz w:val="20"/>
                <w:szCs w:val="20"/>
                <w:lang w:eastAsia="en-US"/>
              </w:rPr>
            </w:pPr>
            <w:r>
              <w:rPr>
                <w:sz w:val="20"/>
                <w:szCs w:val="20"/>
                <w:lang w:eastAsia="en-US"/>
              </w:rPr>
              <w:t>1</w:t>
            </w:r>
          </w:p>
        </w:tc>
        <w:tc>
          <w:tcPr>
            <w:tcW w:w="2532" w:type="dxa"/>
            <w:tcBorders>
              <w:top w:val="single" w:sz="4" w:space="0" w:color="auto"/>
              <w:left w:val="single" w:sz="4" w:space="0" w:color="auto"/>
              <w:bottom w:val="single" w:sz="4" w:space="0" w:color="auto"/>
              <w:right w:val="single" w:sz="4" w:space="0" w:color="auto"/>
            </w:tcBorders>
            <w:hideMark/>
          </w:tcPr>
          <w:p w:rsidR="005727C2" w:rsidRDefault="005727C2">
            <w:pPr>
              <w:spacing w:after="0"/>
              <w:jc w:val="center"/>
              <w:rPr>
                <w:sz w:val="20"/>
                <w:szCs w:val="20"/>
                <w:lang w:eastAsia="en-US"/>
              </w:rPr>
            </w:pPr>
            <w:r>
              <w:rPr>
                <w:sz w:val="20"/>
                <w:szCs w:val="20"/>
                <w:lang w:eastAsia="en-US"/>
              </w:rPr>
              <w:t>-</w:t>
            </w:r>
          </w:p>
        </w:tc>
        <w:tc>
          <w:tcPr>
            <w:tcW w:w="2408" w:type="dxa"/>
            <w:tcBorders>
              <w:top w:val="single" w:sz="4" w:space="0" w:color="auto"/>
              <w:left w:val="single" w:sz="4" w:space="0" w:color="auto"/>
              <w:bottom w:val="single" w:sz="4" w:space="0" w:color="auto"/>
              <w:right w:val="single" w:sz="4" w:space="0" w:color="auto"/>
            </w:tcBorders>
            <w:hideMark/>
          </w:tcPr>
          <w:p w:rsidR="005727C2" w:rsidRDefault="005727C2">
            <w:pPr>
              <w:spacing w:after="0"/>
              <w:jc w:val="center"/>
              <w:rPr>
                <w:sz w:val="20"/>
                <w:szCs w:val="20"/>
                <w:lang w:eastAsia="en-US"/>
              </w:rPr>
            </w:pPr>
            <w:r>
              <w:rPr>
                <w:sz w:val="20"/>
                <w:szCs w:val="20"/>
                <w:lang w:eastAsia="en-US"/>
              </w:rPr>
              <w:t>-</w:t>
            </w:r>
          </w:p>
        </w:tc>
        <w:tc>
          <w:tcPr>
            <w:tcW w:w="1985" w:type="dxa"/>
            <w:tcBorders>
              <w:top w:val="single" w:sz="4" w:space="0" w:color="auto"/>
              <w:left w:val="single" w:sz="4" w:space="0" w:color="auto"/>
              <w:bottom w:val="single" w:sz="4" w:space="0" w:color="auto"/>
              <w:right w:val="single" w:sz="4" w:space="0" w:color="auto"/>
            </w:tcBorders>
            <w:hideMark/>
          </w:tcPr>
          <w:p w:rsidR="005727C2" w:rsidRDefault="005727C2">
            <w:pPr>
              <w:spacing w:after="0"/>
              <w:jc w:val="center"/>
              <w:rPr>
                <w:sz w:val="20"/>
                <w:szCs w:val="20"/>
                <w:lang w:eastAsia="en-US"/>
              </w:rPr>
            </w:pPr>
            <w:r>
              <w:rPr>
                <w:sz w:val="20"/>
                <w:szCs w:val="20"/>
                <w:lang w:eastAsia="en-US"/>
              </w:rPr>
              <w:t>-</w:t>
            </w:r>
          </w:p>
        </w:tc>
      </w:tr>
      <w:tr w:rsidR="005727C2" w:rsidTr="005727C2">
        <w:tc>
          <w:tcPr>
            <w:tcW w:w="1854" w:type="dxa"/>
            <w:tcBorders>
              <w:top w:val="single" w:sz="4" w:space="0" w:color="auto"/>
              <w:left w:val="single" w:sz="4" w:space="0" w:color="auto"/>
              <w:bottom w:val="single" w:sz="4" w:space="0" w:color="auto"/>
              <w:right w:val="single" w:sz="4" w:space="0" w:color="auto"/>
            </w:tcBorders>
            <w:hideMark/>
          </w:tcPr>
          <w:p w:rsidR="005727C2" w:rsidRDefault="005727C2">
            <w:pPr>
              <w:spacing w:after="0"/>
              <w:rPr>
                <w:sz w:val="20"/>
                <w:szCs w:val="20"/>
                <w:lang w:eastAsia="en-US"/>
              </w:rPr>
            </w:pPr>
            <w:r>
              <w:rPr>
                <w:sz w:val="20"/>
                <w:szCs w:val="20"/>
                <w:lang w:eastAsia="en-US"/>
              </w:rPr>
              <w:lastRenderedPageBreak/>
              <w:t>Водоснабжение и водоотведение</w:t>
            </w:r>
          </w:p>
        </w:tc>
        <w:tc>
          <w:tcPr>
            <w:tcW w:w="1045" w:type="dxa"/>
            <w:tcBorders>
              <w:top w:val="single" w:sz="4" w:space="0" w:color="auto"/>
              <w:left w:val="single" w:sz="4" w:space="0" w:color="auto"/>
              <w:bottom w:val="single" w:sz="4" w:space="0" w:color="auto"/>
              <w:right w:val="single" w:sz="4" w:space="0" w:color="auto"/>
            </w:tcBorders>
            <w:hideMark/>
          </w:tcPr>
          <w:p w:rsidR="005727C2" w:rsidRDefault="005727C2">
            <w:pPr>
              <w:spacing w:after="0"/>
              <w:jc w:val="center"/>
              <w:rPr>
                <w:sz w:val="20"/>
                <w:szCs w:val="20"/>
                <w:lang w:eastAsia="en-US"/>
              </w:rPr>
            </w:pPr>
            <w:r>
              <w:rPr>
                <w:sz w:val="20"/>
                <w:szCs w:val="20"/>
                <w:lang w:eastAsia="en-US"/>
              </w:rPr>
              <w:t xml:space="preserve">3 </w:t>
            </w:r>
          </w:p>
        </w:tc>
        <w:tc>
          <w:tcPr>
            <w:tcW w:w="2532" w:type="dxa"/>
            <w:tcBorders>
              <w:top w:val="single" w:sz="4" w:space="0" w:color="auto"/>
              <w:left w:val="single" w:sz="4" w:space="0" w:color="auto"/>
              <w:bottom w:val="single" w:sz="4" w:space="0" w:color="auto"/>
              <w:right w:val="single" w:sz="4" w:space="0" w:color="auto"/>
            </w:tcBorders>
            <w:hideMark/>
          </w:tcPr>
          <w:p w:rsidR="005727C2" w:rsidRDefault="005727C2">
            <w:pPr>
              <w:spacing w:after="0"/>
              <w:jc w:val="center"/>
              <w:rPr>
                <w:sz w:val="20"/>
                <w:szCs w:val="20"/>
                <w:lang w:eastAsia="en-US"/>
              </w:rPr>
            </w:pPr>
            <w:r>
              <w:rPr>
                <w:sz w:val="20"/>
                <w:szCs w:val="20"/>
                <w:lang w:eastAsia="en-US"/>
              </w:rPr>
              <w:t xml:space="preserve">2 </w:t>
            </w:r>
          </w:p>
        </w:tc>
        <w:tc>
          <w:tcPr>
            <w:tcW w:w="2408" w:type="dxa"/>
            <w:tcBorders>
              <w:top w:val="single" w:sz="4" w:space="0" w:color="auto"/>
              <w:left w:val="single" w:sz="4" w:space="0" w:color="auto"/>
              <w:bottom w:val="single" w:sz="4" w:space="0" w:color="auto"/>
              <w:right w:val="single" w:sz="4" w:space="0" w:color="auto"/>
            </w:tcBorders>
            <w:hideMark/>
          </w:tcPr>
          <w:p w:rsidR="005727C2" w:rsidRDefault="005727C2">
            <w:pPr>
              <w:spacing w:after="0"/>
              <w:jc w:val="center"/>
              <w:rPr>
                <w:sz w:val="20"/>
                <w:szCs w:val="20"/>
                <w:lang w:eastAsia="en-US"/>
              </w:rPr>
            </w:pPr>
            <w:r>
              <w:rPr>
                <w:sz w:val="20"/>
                <w:szCs w:val="20"/>
                <w:lang w:eastAsia="en-US"/>
              </w:rPr>
              <w:t>1</w:t>
            </w:r>
          </w:p>
        </w:tc>
        <w:tc>
          <w:tcPr>
            <w:tcW w:w="1985" w:type="dxa"/>
            <w:tcBorders>
              <w:top w:val="single" w:sz="4" w:space="0" w:color="auto"/>
              <w:left w:val="single" w:sz="4" w:space="0" w:color="auto"/>
              <w:bottom w:val="single" w:sz="4" w:space="0" w:color="auto"/>
              <w:right w:val="single" w:sz="4" w:space="0" w:color="auto"/>
            </w:tcBorders>
            <w:hideMark/>
          </w:tcPr>
          <w:p w:rsidR="005727C2" w:rsidRDefault="005727C2">
            <w:pPr>
              <w:spacing w:after="0"/>
              <w:jc w:val="center"/>
              <w:rPr>
                <w:sz w:val="20"/>
                <w:szCs w:val="20"/>
                <w:lang w:eastAsia="en-US"/>
              </w:rPr>
            </w:pPr>
            <w:r>
              <w:rPr>
                <w:sz w:val="20"/>
                <w:szCs w:val="20"/>
                <w:lang w:eastAsia="en-US"/>
              </w:rPr>
              <w:t>50 000</w:t>
            </w:r>
          </w:p>
        </w:tc>
      </w:tr>
      <w:tr w:rsidR="005727C2" w:rsidTr="005727C2">
        <w:tc>
          <w:tcPr>
            <w:tcW w:w="1854" w:type="dxa"/>
            <w:tcBorders>
              <w:top w:val="single" w:sz="4" w:space="0" w:color="auto"/>
              <w:left w:val="single" w:sz="4" w:space="0" w:color="auto"/>
              <w:bottom w:val="single" w:sz="4" w:space="0" w:color="auto"/>
              <w:right w:val="single" w:sz="4" w:space="0" w:color="auto"/>
            </w:tcBorders>
            <w:hideMark/>
          </w:tcPr>
          <w:p w:rsidR="005727C2" w:rsidRDefault="005727C2">
            <w:pPr>
              <w:spacing w:after="0"/>
              <w:rPr>
                <w:sz w:val="20"/>
                <w:szCs w:val="20"/>
                <w:lang w:eastAsia="en-US"/>
              </w:rPr>
            </w:pPr>
            <w:r>
              <w:rPr>
                <w:sz w:val="20"/>
                <w:szCs w:val="20"/>
                <w:lang w:eastAsia="en-US"/>
              </w:rPr>
              <w:t xml:space="preserve">Транспортные услуги </w:t>
            </w:r>
          </w:p>
        </w:tc>
        <w:tc>
          <w:tcPr>
            <w:tcW w:w="1045" w:type="dxa"/>
            <w:tcBorders>
              <w:top w:val="single" w:sz="4" w:space="0" w:color="auto"/>
              <w:left w:val="single" w:sz="4" w:space="0" w:color="auto"/>
              <w:bottom w:val="single" w:sz="4" w:space="0" w:color="auto"/>
              <w:right w:val="single" w:sz="4" w:space="0" w:color="auto"/>
            </w:tcBorders>
            <w:hideMark/>
          </w:tcPr>
          <w:p w:rsidR="005727C2" w:rsidRDefault="005727C2">
            <w:pPr>
              <w:spacing w:after="0"/>
              <w:jc w:val="center"/>
              <w:rPr>
                <w:sz w:val="20"/>
                <w:szCs w:val="20"/>
                <w:lang w:eastAsia="en-US"/>
              </w:rPr>
            </w:pPr>
            <w:r>
              <w:rPr>
                <w:sz w:val="20"/>
                <w:szCs w:val="20"/>
                <w:lang w:eastAsia="en-US"/>
              </w:rPr>
              <w:t>-</w:t>
            </w:r>
          </w:p>
        </w:tc>
        <w:tc>
          <w:tcPr>
            <w:tcW w:w="2532" w:type="dxa"/>
            <w:tcBorders>
              <w:top w:val="single" w:sz="4" w:space="0" w:color="auto"/>
              <w:left w:val="single" w:sz="4" w:space="0" w:color="auto"/>
              <w:bottom w:val="single" w:sz="4" w:space="0" w:color="auto"/>
              <w:right w:val="single" w:sz="4" w:space="0" w:color="auto"/>
            </w:tcBorders>
            <w:hideMark/>
          </w:tcPr>
          <w:p w:rsidR="005727C2" w:rsidRDefault="005727C2">
            <w:pPr>
              <w:spacing w:after="0"/>
              <w:jc w:val="center"/>
              <w:rPr>
                <w:sz w:val="20"/>
                <w:szCs w:val="20"/>
                <w:lang w:eastAsia="en-US"/>
              </w:rPr>
            </w:pPr>
            <w:r>
              <w:rPr>
                <w:sz w:val="20"/>
                <w:szCs w:val="20"/>
                <w:lang w:eastAsia="en-US"/>
              </w:rPr>
              <w:t>-</w:t>
            </w:r>
          </w:p>
        </w:tc>
        <w:tc>
          <w:tcPr>
            <w:tcW w:w="2408" w:type="dxa"/>
            <w:tcBorders>
              <w:top w:val="single" w:sz="4" w:space="0" w:color="auto"/>
              <w:left w:val="single" w:sz="4" w:space="0" w:color="auto"/>
              <w:bottom w:val="single" w:sz="4" w:space="0" w:color="auto"/>
              <w:right w:val="single" w:sz="4" w:space="0" w:color="auto"/>
            </w:tcBorders>
            <w:hideMark/>
          </w:tcPr>
          <w:p w:rsidR="005727C2" w:rsidRDefault="005727C2">
            <w:pPr>
              <w:spacing w:after="0"/>
              <w:jc w:val="center"/>
              <w:rPr>
                <w:sz w:val="20"/>
                <w:szCs w:val="20"/>
                <w:lang w:eastAsia="en-US"/>
              </w:rPr>
            </w:pPr>
            <w:r>
              <w:rPr>
                <w:sz w:val="20"/>
                <w:szCs w:val="20"/>
                <w:lang w:eastAsia="en-US"/>
              </w:rPr>
              <w:t>-</w:t>
            </w:r>
          </w:p>
        </w:tc>
        <w:tc>
          <w:tcPr>
            <w:tcW w:w="1985" w:type="dxa"/>
            <w:tcBorders>
              <w:top w:val="single" w:sz="4" w:space="0" w:color="auto"/>
              <w:left w:val="single" w:sz="4" w:space="0" w:color="auto"/>
              <w:bottom w:val="single" w:sz="4" w:space="0" w:color="auto"/>
              <w:right w:val="single" w:sz="4" w:space="0" w:color="auto"/>
            </w:tcBorders>
            <w:hideMark/>
          </w:tcPr>
          <w:p w:rsidR="005727C2" w:rsidRDefault="005727C2">
            <w:pPr>
              <w:spacing w:after="0"/>
              <w:jc w:val="center"/>
              <w:rPr>
                <w:sz w:val="20"/>
                <w:szCs w:val="20"/>
                <w:lang w:eastAsia="en-US"/>
              </w:rPr>
            </w:pPr>
            <w:r>
              <w:rPr>
                <w:sz w:val="20"/>
                <w:szCs w:val="20"/>
                <w:lang w:eastAsia="en-US"/>
              </w:rPr>
              <w:t>-</w:t>
            </w:r>
          </w:p>
        </w:tc>
      </w:tr>
      <w:tr w:rsidR="005727C2" w:rsidTr="005727C2">
        <w:tc>
          <w:tcPr>
            <w:tcW w:w="1854" w:type="dxa"/>
            <w:tcBorders>
              <w:top w:val="single" w:sz="4" w:space="0" w:color="auto"/>
              <w:left w:val="single" w:sz="4" w:space="0" w:color="auto"/>
              <w:bottom w:val="single" w:sz="4" w:space="0" w:color="auto"/>
              <w:right w:val="single" w:sz="4" w:space="0" w:color="auto"/>
            </w:tcBorders>
            <w:hideMark/>
          </w:tcPr>
          <w:p w:rsidR="005727C2" w:rsidRDefault="005727C2">
            <w:pPr>
              <w:spacing w:after="0"/>
              <w:rPr>
                <w:sz w:val="20"/>
                <w:szCs w:val="20"/>
                <w:lang w:eastAsia="en-US"/>
              </w:rPr>
            </w:pPr>
            <w:r>
              <w:rPr>
                <w:sz w:val="20"/>
                <w:szCs w:val="20"/>
                <w:lang w:eastAsia="en-US"/>
              </w:rPr>
              <w:t xml:space="preserve">Реализация лекарственных препаратов, включенных в перечень ЖНВЛП </w:t>
            </w:r>
          </w:p>
        </w:tc>
        <w:tc>
          <w:tcPr>
            <w:tcW w:w="1045" w:type="dxa"/>
            <w:tcBorders>
              <w:top w:val="single" w:sz="4" w:space="0" w:color="auto"/>
              <w:left w:val="single" w:sz="4" w:space="0" w:color="auto"/>
              <w:bottom w:val="single" w:sz="4" w:space="0" w:color="auto"/>
              <w:right w:val="single" w:sz="4" w:space="0" w:color="auto"/>
            </w:tcBorders>
            <w:hideMark/>
          </w:tcPr>
          <w:p w:rsidR="005727C2" w:rsidRDefault="005727C2">
            <w:pPr>
              <w:spacing w:after="0"/>
              <w:jc w:val="center"/>
              <w:rPr>
                <w:sz w:val="20"/>
                <w:szCs w:val="20"/>
                <w:lang w:eastAsia="en-US"/>
              </w:rPr>
            </w:pPr>
            <w:r>
              <w:rPr>
                <w:sz w:val="20"/>
                <w:szCs w:val="20"/>
                <w:lang w:eastAsia="en-US"/>
              </w:rPr>
              <w:t>13</w:t>
            </w:r>
          </w:p>
        </w:tc>
        <w:tc>
          <w:tcPr>
            <w:tcW w:w="2532" w:type="dxa"/>
            <w:tcBorders>
              <w:top w:val="single" w:sz="4" w:space="0" w:color="auto"/>
              <w:left w:val="single" w:sz="4" w:space="0" w:color="auto"/>
              <w:bottom w:val="single" w:sz="4" w:space="0" w:color="auto"/>
              <w:right w:val="single" w:sz="4" w:space="0" w:color="auto"/>
            </w:tcBorders>
            <w:hideMark/>
          </w:tcPr>
          <w:p w:rsidR="005727C2" w:rsidRDefault="005727C2">
            <w:pPr>
              <w:spacing w:after="0"/>
              <w:jc w:val="center"/>
              <w:rPr>
                <w:sz w:val="20"/>
                <w:szCs w:val="20"/>
                <w:lang w:eastAsia="en-US"/>
              </w:rPr>
            </w:pPr>
            <w:r>
              <w:rPr>
                <w:sz w:val="20"/>
                <w:szCs w:val="20"/>
                <w:lang w:eastAsia="en-US"/>
              </w:rPr>
              <w:t>1</w:t>
            </w:r>
          </w:p>
        </w:tc>
        <w:tc>
          <w:tcPr>
            <w:tcW w:w="2408" w:type="dxa"/>
            <w:tcBorders>
              <w:top w:val="single" w:sz="4" w:space="0" w:color="auto"/>
              <w:left w:val="single" w:sz="4" w:space="0" w:color="auto"/>
              <w:bottom w:val="single" w:sz="4" w:space="0" w:color="auto"/>
              <w:right w:val="single" w:sz="4" w:space="0" w:color="auto"/>
            </w:tcBorders>
            <w:hideMark/>
          </w:tcPr>
          <w:p w:rsidR="005727C2" w:rsidRDefault="005727C2">
            <w:pPr>
              <w:spacing w:after="0"/>
              <w:jc w:val="center"/>
              <w:rPr>
                <w:sz w:val="20"/>
                <w:szCs w:val="20"/>
                <w:lang w:eastAsia="en-US"/>
              </w:rPr>
            </w:pPr>
            <w:r>
              <w:rPr>
                <w:sz w:val="20"/>
                <w:szCs w:val="20"/>
                <w:lang w:eastAsia="en-US"/>
              </w:rPr>
              <w:t>1</w:t>
            </w:r>
          </w:p>
        </w:tc>
        <w:tc>
          <w:tcPr>
            <w:tcW w:w="1985" w:type="dxa"/>
            <w:tcBorders>
              <w:top w:val="single" w:sz="4" w:space="0" w:color="auto"/>
              <w:left w:val="single" w:sz="4" w:space="0" w:color="auto"/>
              <w:bottom w:val="single" w:sz="4" w:space="0" w:color="auto"/>
              <w:right w:val="single" w:sz="4" w:space="0" w:color="auto"/>
            </w:tcBorders>
            <w:hideMark/>
          </w:tcPr>
          <w:p w:rsidR="005727C2" w:rsidRDefault="005727C2">
            <w:pPr>
              <w:spacing w:after="0"/>
              <w:jc w:val="center"/>
              <w:rPr>
                <w:sz w:val="20"/>
                <w:szCs w:val="20"/>
                <w:lang w:eastAsia="en-US"/>
              </w:rPr>
            </w:pPr>
            <w:r>
              <w:rPr>
                <w:sz w:val="20"/>
                <w:szCs w:val="20"/>
                <w:lang w:eastAsia="en-US"/>
              </w:rPr>
              <w:t>предупреждение</w:t>
            </w:r>
          </w:p>
        </w:tc>
      </w:tr>
      <w:tr w:rsidR="005727C2" w:rsidTr="005727C2">
        <w:tc>
          <w:tcPr>
            <w:tcW w:w="1854" w:type="dxa"/>
            <w:tcBorders>
              <w:top w:val="single" w:sz="4" w:space="0" w:color="auto"/>
              <w:left w:val="single" w:sz="4" w:space="0" w:color="auto"/>
              <w:bottom w:val="single" w:sz="4" w:space="0" w:color="auto"/>
              <w:right w:val="single" w:sz="4" w:space="0" w:color="auto"/>
            </w:tcBorders>
            <w:hideMark/>
          </w:tcPr>
          <w:p w:rsidR="005727C2" w:rsidRDefault="005727C2">
            <w:pPr>
              <w:spacing w:after="0"/>
              <w:rPr>
                <w:sz w:val="20"/>
                <w:szCs w:val="20"/>
                <w:lang w:eastAsia="en-US"/>
              </w:rPr>
            </w:pPr>
            <w:r>
              <w:rPr>
                <w:sz w:val="20"/>
                <w:szCs w:val="20"/>
                <w:lang w:eastAsia="en-US"/>
              </w:rPr>
              <w:t>Прочее (ТКО)</w:t>
            </w:r>
          </w:p>
        </w:tc>
        <w:tc>
          <w:tcPr>
            <w:tcW w:w="1045" w:type="dxa"/>
            <w:tcBorders>
              <w:top w:val="single" w:sz="4" w:space="0" w:color="auto"/>
              <w:left w:val="single" w:sz="4" w:space="0" w:color="auto"/>
              <w:bottom w:val="single" w:sz="4" w:space="0" w:color="auto"/>
              <w:right w:val="single" w:sz="4" w:space="0" w:color="auto"/>
            </w:tcBorders>
            <w:hideMark/>
          </w:tcPr>
          <w:p w:rsidR="005727C2" w:rsidRDefault="005727C2">
            <w:pPr>
              <w:spacing w:after="0"/>
              <w:jc w:val="center"/>
              <w:rPr>
                <w:sz w:val="20"/>
                <w:szCs w:val="20"/>
                <w:lang w:eastAsia="en-US"/>
              </w:rPr>
            </w:pPr>
            <w:r>
              <w:rPr>
                <w:sz w:val="20"/>
                <w:szCs w:val="20"/>
                <w:lang w:eastAsia="en-US"/>
              </w:rPr>
              <w:t>1</w:t>
            </w:r>
          </w:p>
        </w:tc>
        <w:tc>
          <w:tcPr>
            <w:tcW w:w="2532" w:type="dxa"/>
            <w:tcBorders>
              <w:top w:val="single" w:sz="4" w:space="0" w:color="auto"/>
              <w:left w:val="single" w:sz="4" w:space="0" w:color="auto"/>
              <w:bottom w:val="single" w:sz="4" w:space="0" w:color="auto"/>
              <w:right w:val="single" w:sz="4" w:space="0" w:color="auto"/>
            </w:tcBorders>
            <w:hideMark/>
          </w:tcPr>
          <w:p w:rsidR="005727C2" w:rsidRDefault="005727C2">
            <w:pPr>
              <w:spacing w:after="0"/>
              <w:jc w:val="center"/>
              <w:rPr>
                <w:sz w:val="20"/>
                <w:szCs w:val="20"/>
                <w:lang w:eastAsia="en-US"/>
              </w:rPr>
            </w:pPr>
            <w:r>
              <w:rPr>
                <w:sz w:val="20"/>
                <w:szCs w:val="20"/>
                <w:lang w:eastAsia="en-US"/>
              </w:rPr>
              <w:t>-</w:t>
            </w:r>
          </w:p>
        </w:tc>
        <w:tc>
          <w:tcPr>
            <w:tcW w:w="2408" w:type="dxa"/>
            <w:tcBorders>
              <w:top w:val="single" w:sz="4" w:space="0" w:color="auto"/>
              <w:left w:val="single" w:sz="4" w:space="0" w:color="auto"/>
              <w:bottom w:val="single" w:sz="4" w:space="0" w:color="auto"/>
              <w:right w:val="single" w:sz="4" w:space="0" w:color="auto"/>
            </w:tcBorders>
            <w:hideMark/>
          </w:tcPr>
          <w:p w:rsidR="005727C2" w:rsidRDefault="005727C2">
            <w:pPr>
              <w:spacing w:after="0"/>
              <w:jc w:val="center"/>
              <w:rPr>
                <w:sz w:val="20"/>
                <w:szCs w:val="20"/>
                <w:lang w:eastAsia="en-US"/>
              </w:rPr>
            </w:pPr>
            <w:r>
              <w:rPr>
                <w:sz w:val="20"/>
                <w:szCs w:val="20"/>
                <w:lang w:eastAsia="en-US"/>
              </w:rPr>
              <w:t>-</w:t>
            </w:r>
          </w:p>
        </w:tc>
        <w:tc>
          <w:tcPr>
            <w:tcW w:w="1985" w:type="dxa"/>
            <w:tcBorders>
              <w:top w:val="single" w:sz="4" w:space="0" w:color="auto"/>
              <w:left w:val="single" w:sz="4" w:space="0" w:color="auto"/>
              <w:bottom w:val="single" w:sz="4" w:space="0" w:color="auto"/>
              <w:right w:val="single" w:sz="4" w:space="0" w:color="auto"/>
            </w:tcBorders>
            <w:hideMark/>
          </w:tcPr>
          <w:p w:rsidR="005727C2" w:rsidRDefault="005727C2">
            <w:pPr>
              <w:spacing w:after="0"/>
              <w:jc w:val="center"/>
              <w:rPr>
                <w:sz w:val="20"/>
                <w:szCs w:val="20"/>
                <w:lang w:eastAsia="en-US"/>
              </w:rPr>
            </w:pPr>
            <w:r>
              <w:rPr>
                <w:sz w:val="20"/>
                <w:szCs w:val="20"/>
                <w:lang w:eastAsia="en-US"/>
              </w:rPr>
              <w:t>-</w:t>
            </w:r>
          </w:p>
        </w:tc>
      </w:tr>
      <w:tr w:rsidR="005727C2" w:rsidTr="005727C2">
        <w:tc>
          <w:tcPr>
            <w:tcW w:w="1854" w:type="dxa"/>
            <w:tcBorders>
              <w:top w:val="single" w:sz="4" w:space="0" w:color="auto"/>
              <w:left w:val="single" w:sz="4" w:space="0" w:color="auto"/>
              <w:bottom w:val="single" w:sz="4" w:space="0" w:color="auto"/>
              <w:right w:val="single" w:sz="4" w:space="0" w:color="auto"/>
            </w:tcBorders>
            <w:hideMark/>
          </w:tcPr>
          <w:p w:rsidR="005727C2" w:rsidRDefault="005727C2">
            <w:pPr>
              <w:spacing w:after="0"/>
              <w:rPr>
                <w:b/>
                <w:sz w:val="20"/>
                <w:szCs w:val="20"/>
                <w:lang w:eastAsia="en-US"/>
              </w:rPr>
            </w:pPr>
            <w:r>
              <w:rPr>
                <w:b/>
                <w:sz w:val="20"/>
                <w:szCs w:val="20"/>
                <w:lang w:eastAsia="en-US"/>
              </w:rPr>
              <w:t>ИТОГО*:</w:t>
            </w:r>
          </w:p>
        </w:tc>
        <w:tc>
          <w:tcPr>
            <w:tcW w:w="1045" w:type="dxa"/>
            <w:tcBorders>
              <w:top w:val="single" w:sz="4" w:space="0" w:color="auto"/>
              <w:left w:val="single" w:sz="4" w:space="0" w:color="auto"/>
              <w:bottom w:val="single" w:sz="4" w:space="0" w:color="auto"/>
              <w:right w:val="single" w:sz="4" w:space="0" w:color="auto"/>
            </w:tcBorders>
            <w:hideMark/>
          </w:tcPr>
          <w:p w:rsidR="005727C2" w:rsidRDefault="005727C2">
            <w:pPr>
              <w:spacing w:after="0"/>
              <w:jc w:val="center"/>
              <w:rPr>
                <w:sz w:val="20"/>
                <w:szCs w:val="20"/>
                <w:lang w:eastAsia="en-US"/>
              </w:rPr>
            </w:pPr>
            <w:r>
              <w:rPr>
                <w:sz w:val="20"/>
                <w:szCs w:val="20"/>
                <w:lang w:eastAsia="en-US"/>
              </w:rPr>
              <w:t>21</w:t>
            </w:r>
          </w:p>
        </w:tc>
        <w:tc>
          <w:tcPr>
            <w:tcW w:w="2532" w:type="dxa"/>
            <w:tcBorders>
              <w:top w:val="single" w:sz="4" w:space="0" w:color="auto"/>
              <w:left w:val="single" w:sz="4" w:space="0" w:color="auto"/>
              <w:bottom w:val="single" w:sz="4" w:space="0" w:color="auto"/>
              <w:right w:val="single" w:sz="4" w:space="0" w:color="auto"/>
            </w:tcBorders>
            <w:hideMark/>
          </w:tcPr>
          <w:p w:rsidR="005727C2" w:rsidRDefault="005727C2">
            <w:pPr>
              <w:spacing w:after="0"/>
              <w:jc w:val="center"/>
              <w:rPr>
                <w:sz w:val="20"/>
                <w:szCs w:val="20"/>
                <w:lang w:eastAsia="en-US"/>
              </w:rPr>
            </w:pPr>
            <w:r>
              <w:rPr>
                <w:sz w:val="20"/>
                <w:szCs w:val="20"/>
                <w:lang w:eastAsia="en-US"/>
              </w:rPr>
              <w:t>5</w:t>
            </w:r>
          </w:p>
        </w:tc>
        <w:tc>
          <w:tcPr>
            <w:tcW w:w="2408" w:type="dxa"/>
            <w:tcBorders>
              <w:top w:val="single" w:sz="4" w:space="0" w:color="auto"/>
              <w:left w:val="single" w:sz="4" w:space="0" w:color="auto"/>
              <w:bottom w:val="single" w:sz="4" w:space="0" w:color="auto"/>
              <w:right w:val="single" w:sz="4" w:space="0" w:color="auto"/>
            </w:tcBorders>
            <w:hideMark/>
          </w:tcPr>
          <w:p w:rsidR="005727C2" w:rsidRDefault="005727C2">
            <w:pPr>
              <w:spacing w:after="0"/>
              <w:jc w:val="center"/>
              <w:rPr>
                <w:sz w:val="20"/>
                <w:szCs w:val="20"/>
                <w:lang w:eastAsia="en-US"/>
              </w:rPr>
            </w:pPr>
            <w:r>
              <w:rPr>
                <w:sz w:val="20"/>
                <w:szCs w:val="20"/>
                <w:lang w:eastAsia="en-US"/>
              </w:rPr>
              <w:t>4</w:t>
            </w:r>
          </w:p>
        </w:tc>
        <w:tc>
          <w:tcPr>
            <w:tcW w:w="1985" w:type="dxa"/>
            <w:tcBorders>
              <w:top w:val="single" w:sz="4" w:space="0" w:color="auto"/>
              <w:left w:val="single" w:sz="4" w:space="0" w:color="auto"/>
              <w:bottom w:val="single" w:sz="4" w:space="0" w:color="auto"/>
              <w:right w:val="single" w:sz="4" w:space="0" w:color="auto"/>
            </w:tcBorders>
            <w:hideMark/>
          </w:tcPr>
          <w:p w:rsidR="005727C2" w:rsidRDefault="005727C2">
            <w:pPr>
              <w:spacing w:after="0"/>
              <w:jc w:val="center"/>
              <w:rPr>
                <w:sz w:val="20"/>
                <w:szCs w:val="20"/>
                <w:lang w:eastAsia="en-US"/>
              </w:rPr>
            </w:pPr>
            <w:r>
              <w:rPr>
                <w:sz w:val="20"/>
                <w:szCs w:val="20"/>
                <w:lang w:eastAsia="en-US"/>
              </w:rPr>
              <w:t>450 000</w:t>
            </w:r>
          </w:p>
        </w:tc>
      </w:tr>
    </w:tbl>
    <w:p w:rsidR="005727C2" w:rsidRDefault="005727C2" w:rsidP="005727C2">
      <w:pPr>
        <w:autoSpaceDE w:val="0"/>
        <w:autoSpaceDN w:val="0"/>
        <w:adjustRightInd w:val="0"/>
        <w:spacing w:after="0" w:line="240" w:lineRule="auto"/>
        <w:rPr>
          <w:bCs/>
        </w:rPr>
      </w:pPr>
      <w:r>
        <w:rPr>
          <w:rFonts w:eastAsiaTheme="minorHAnsi"/>
          <w:sz w:val="20"/>
          <w:szCs w:val="20"/>
          <w:lang w:eastAsia="en-US"/>
        </w:rPr>
        <w:t xml:space="preserve">* </w:t>
      </w:r>
      <w:r>
        <w:rPr>
          <w:rFonts w:eastAsiaTheme="minorHAnsi"/>
          <w:i/>
          <w:sz w:val="20"/>
          <w:szCs w:val="20"/>
          <w:lang w:eastAsia="en-US"/>
        </w:rPr>
        <w:t>Итоговое количество прокурорских проверок не совпадает с количеством проверок по сферам, поскольку в рамках одной проверки в ряде случаев проверено исполнение обязательных требований в нескольких сферах.</w:t>
      </w:r>
      <w:r>
        <w:rPr>
          <w:bCs/>
        </w:rPr>
        <w:t xml:space="preserve"> </w:t>
      </w:r>
    </w:p>
    <w:p w:rsidR="005727C2" w:rsidRDefault="005727C2" w:rsidP="005727C2">
      <w:pPr>
        <w:autoSpaceDE w:val="0"/>
        <w:autoSpaceDN w:val="0"/>
        <w:adjustRightInd w:val="0"/>
        <w:spacing w:after="0" w:line="240" w:lineRule="auto"/>
      </w:pPr>
    </w:p>
    <w:tbl>
      <w:tblPr>
        <w:tblStyle w:val="aff"/>
        <w:tblW w:w="10110" w:type="dxa"/>
        <w:jc w:val="center"/>
        <w:tblLayout w:type="fixed"/>
        <w:tblLook w:val="04A0" w:firstRow="1" w:lastRow="0" w:firstColumn="1" w:lastColumn="0" w:noHBand="0" w:noVBand="1"/>
      </w:tblPr>
      <w:tblGrid>
        <w:gridCol w:w="1718"/>
        <w:gridCol w:w="1493"/>
        <w:gridCol w:w="1375"/>
        <w:gridCol w:w="1558"/>
        <w:gridCol w:w="1275"/>
        <w:gridCol w:w="1133"/>
        <w:gridCol w:w="1558"/>
      </w:tblGrid>
      <w:tr w:rsidR="005727C2" w:rsidTr="005727C2">
        <w:trPr>
          <w:trHeight w:val="953"/>
          <w:jc w:val="center"/>
        </w:trPr>
        <w:tc>
          <w:tcPr>
            <w:tcW w:w="10115" w:type="dxa"/>
            <w:gridSpan w:val="7"/>
            <w:tcBorders>
              <w:top w:val="single" w:sz="4" w:space="0" w:color="auto"/>
              <w:left w:val="single" w:sz="4" w:space="0" w:color="auto"/>
              <w:bottom w:val="single" w:sz="4" w:space="0" w:color="auto"/>
              <w:right w:val="single" w:sz="4" w:space="0" w:color="auto"/>
            </w:tcBorders>
            <w:hideMark/>
          </w:tcPr>
          <w:p w:rsidR="005727C2" w:rsidRDefault="005727C2">
            <w:pPr>
              <w:spacing w:after="0"/>
              <w:jc w:val="center"/>
              <w:rPr>
                <w:b/>
                <w:lang w:eastAsia="en-US"/>
              </w:rPr>
            </w:pPr>
            <w:r>
              <w:rPr>
                <w:b/>
                <w:lang w:eastAsia="en-US"/>
              </w:rPr>
              <w:t xml:space="preserve">Результаты </w:t>
            </w:r>
          </w:p>
          <w:p w:rsidR="005727C2" w:rsidRDefault="005727C2">
            <w:pPr>
              <w:spacing w:after="0"/>
              <w:jc w:val="center"/>
              <w:rPr>
                <w:b/>
                <w:lang w:eastAsia="en-US"/>
              </w:rPr>
            </w:pPr>
            <w:r>
              <w:rPr>
                <w:b/>
                <w:lang w:eastAsia="en-US"/>
              </w:rPr>
              <w:t xml:space="preserve">рассмотрения департаментом дел об административных правонарушениях в 2019 году </w:t>
            </w:r>
          </w:p>
          <w:p w:rsidR="005727C2" w:rsidRDefault="005727C2">
            <w:pPr>
              <w:spacing w:after="0"/>
              <w:jc w:val="center"/>
              <w:rPr>
                <w:sz w:val="18"/>
                <w:szCs w:val="18"/>
                <w:lang w:eastAsia="en-US"/>
              </w:rPr>
            </w:pPr>
            <w:r>
              <w:rPr>
                <w:b/>
                <w:lang w:eastAsia="en-US"/>
              </w:rPr>
              <w:t>по сферам контроля (надзора)</w:t>
            </w:r>
          </w:p>
        </w:tc>
      </w:tr>
      <w:tr w:rsidR="005727C2" w:rsidTr="005727C2">
        <w:trPr>
          <w:jc w:val="center"/>
        </w:trPr>
        <w:tc>
          <w:tcPr>
            <w:tcW w:w="1718" w:type="dxa"/>
            <w:tcBorders>
              <w:top w:val="single" w:sz="4" w:space="0" w:color="auto"/>
              <w:left w:val="single" w:sz="4" w:space="0" w:color="auto"/>
              <w:bottom w:val="single" w:sz="4" w:space="0" w:color="auto"/>
              <w:right w:val="single" w:sz="4" w:space="0" w:color="auto"/>
            </w:tcBorders>
            <w:hideMark/>
          </w:tcPr>
          <w:p w:rsidR="005727C2" w:rsidRDefault="005727C2">
            <w:pPr>
              <w:spacing w:after="0"/>
              <w:jc w:val="center"/>
              <w:rPr>
                <w:sz w:val="18"/>
                <w:szCs w:val="18"/>
                <w:lang w:eastAsia="en-US"/>
              </w:rPr>
            </w:pPr>
            <w:r>
              <w:rPr>
                <w:sz w:val="18"/>
                <w:szCs w:val="18"/>
                <w:lang w:eastAsia="en-US"/>
              </w:rPr>
              <w:t>Сфера осуществления контроля (надзора)</w:t>
            </w:r>
          </w:p>
        </w:tc>
        <w:tc>
          <w:tcPr>
            <w:tcW w:w="1493" w:type="dxa"/>
            <w:tcBorders>
              <w:top w:val="single" w:sz="4" w:space="0" w:color="auto"/>
              <w:left w:val="single" w:sz="4" w:space="0" w:color="auto"/>
              <w:bottom w:val="single" w:sz="4" w:space="0" w:color="auto"/>
              <w:right w:val="single" w:sz="4" w:space="0" w:color="auto"/>
            </w:tcBorders>
            <w:hideMark/>
          </w:tcPr>
          <w:p w:rsidR="005727C2" w:rsidRDefault="005727C2">
            <w:pPr>
              <w:spacing w:after="0"/>
              <w:jc w:val="center"/>
              <w:rPr>
                <w:sz w:val="18"/>
                <w:szCs w:val="18"/>
                <w:lang w:eastAsia="en-US"/>
              </w:rPr>
            </w:pPr>
            <w:r>
              <w:rPr>
                <w:sz w:val="18"/>
                <w:szCs w:val="18"/>
                <w:lang w:eastAsia="en-US"/>
              </w:rPr>
              <w:t>Всего</w:t>
            </w:r>
          </w:p>
          <w:p w:rsidR="005727C2" w:rsidRDefault="005727C2">
            <w:pPr>
              <w:spacing w:after="0"/>
              <w:jc w:val="center"/>
              <w:rPr>
                <w:sz w:val="18"/>
                <w:szCs w:val="18"/>
                <w:lang w:eastAsia="en-US"/>
              </w:rPr>
            </w:pPr>
            <w:r>
              <w:rPr>
                <w:sz w:val="18"/>
                <w:szCs w:val="18"/>
                <w:lang w:eastAsia="en-US"/>
              </w:rPr>
              <w:t>постановлений</w:t>
            </w:r>
          </w:p>
        </w:tc>
        <w:tc>
          <w:tcPr>
            <w:tcW w:w="1376" w:type="dxa"/>
            <w:tcBorders>
              <w:top w:val="single" w:sz="4" w:space="0" w:color="auto"/>
              <w:left w:val="single" w:sz="4" w:space="0" w:color="auto"/>
              <w:bottom w:val="single" w:sz="4" w:space="0" w:color="auto"/>
              <w:right w:val="single" w:sz="4" w:space="0" w:color="auto"/>
            </w:tcBorders>
            <w:hideMark/>
          </w:tcPr>
          <w:p w:rsidR="005727C2" w:rsidRDefault="005727C2">
            <w:pPr>
              <w:spacing w:after="0"/>
              <w:jc w:val="center"/>
              <w:rPr>
                <w:sz w:val="18"/>
                <w:szCs w:val="18"/>
                <w:lang w:eastAsia="en-US"/>
              </w:rPr>
            </w:pPr>
            <w:r>
              <w:rPr>
                <w:sz w:val="18"/>
                <w:szCs w:val="18"/>
                <w:lang w:eastAsia="en-US"/>
              </w:rPr>
              <w:t>Отменено постановлений</w:t>
            </w:r>
          </w:p>
        </w:tc>
        <w:tc>
          <w:tcPr>
            <w:tcW w:w="1559" w:type="dxa"/>
            <w:tcBorders>
              <w:top w:val="single" w:sz="4" w:space="0" w:color="auto"/>
              <w:left w:val="single" w:sz="4" w:space="0" w:color="auto"/>
              <w:bottom w:val="single" w:sz="4" w:space="0" w:color="auto"/>
              <w:right w:val="single" w:sz="4" w:space="0" w:color="auto"/>
            </w:tcBorders>
          </w:tcPr>
          <w:p w:rsidR="005727C2" w:rsidRDefault="005727C2">
            <w:pPr>
              <w:autoSpaceDE w:val="0"/>
              <w:autoSpaceDN w:val="0"/>
              <w:adjustRightInd w:val="0"/>
              <w:spacing w:after="0"/>
              <w:jc w:val="center"/>
              <w:rPr>
                <w:bCs/>
                <w:lang w:eastAsia="en-US"/>
              </w:rPr>
            </w:pPr>
            <w:r>
              <w:rPr>
                <w:sz w:val="18"/>
                <w:szCs w:val="18"/>
                <w:lang w:eastAsia="en-US"/>
              </w:rPr>
              <w:t>Количество наказаний в виде предупреждения</w:t>
            </w:r>
          </w:p>
          <w:p w:rsidR="005727C2" w:rsidRDefault="005727C2">
            <w:pPr>
              <w:spacing w:after="0"/>
              <w:jc w:val="center"/>
              <w:rPr>
                <w:sz w:val="18"/>
                <w:szCs w:val="18"/>
                <w:lang w:eastAsia="en-US"/>
              </w:rPr>
            </w:pPr>
          </w:p>
        </w:tc>
        <w:tc>
          <w:tcPr>
            <w:tcW w:w="1276" w:type="dxa"/>
            <w:tcBorders>
              <w:top w:val="single" w:sz="4" w:space="0" w:color="auto"/>
              <w:left w:val="single" w:sz="4" w:space="0" w:color="auto"/>
              <w:bottom w:val="single" w:sz="4" w:space="0" w:color="auto"/>
              <w:right w:val="single" w:sz="4" w:space="0" w:color="auto"/>
            </w:tcBorders>
            <w:hideMark/>
          </w:tcPr>
          <w:p w:rsidR="005727C2" w:rsidRDefault="005727C2">
            <w:pPr>
              <w:spacing w:after="0"/>
              <w:jc w:val="center"/>
              <w:rPr>
                <w:sz w:val="18"/>
                <w:szCs w:val="18"/>
                <w:lang w:eastAsia="en-US"/>
              </w:rPr>
            </w:pPr>
            <w:r>
              <w:rPr>
                <w:sz w:val="18"/>
                <w:szCs w:val="18"/>
                <w:lang w:eastAsia="en-US"/>
              </w:rPr>
              <w:t xml:space="preserve">Сумма </w:t>
            </w:r>
          </w:p>
          <w:p w:rsidR="005727C2" w:rsidRDefault="005727C2">
            <w:pPr>
              <w:spacing w:after="0"/>
              <w:jc w:val="center"/>
              <w:rPr>
                <w:sz w:val="18"/>
                <w:szCs w:val="18"/>
                <w:lang w:eastAsia="en-US"/>
              </w:rPr>
            </w:pPr>
            <w:r>
              <w:rPr>
                <w:sz w:val="18"/>
                <w:szCs w:val="18"/>
                <w:lang w:eastAsia="en-US"/>
              </w:rPr>
              <w:t xml:space="preserve">администр. </w:t>
            </w:r>
          </w:p>
          <w:p w:rsidR="005727C2" w:rsidRDefault="005727C2">
            <w:pPr>
              <w:spacing w:after="0"/>
              <w:jc w:val="center"/>
              <w:rPr>
                <w:sz w:val="18"/>
                <w:szCs w:val="18"/>
                <w:lang w:eastAsia="en-US"/>
              </w:rPr>
            </w:pPr>
            <w:r>
              <w:rPr>
                <w:sz w:val="18"/>
                <w:szCs w:val="18"/>
                <w:lang w:eastAsia="en-US"/>
              </w:rPr>
              <w:t>штрафов</w:t>
            </w:r>
          </w:p>
        </w:tc>
        <w:tc>
          <w:tcPr>
            <w:tcW w:w="1134" w:type="dxa"/>
            <w:tcBorders>
              <w:top w:val="single" w:sz="4" w:space="0" w:color="auto"/>
              <w:left w:val="single" w:sz="4" w:space="0" w:color="auto"/>
              <w:bottom w:val="single" w:sz="4" w:space="0" w:color="auto"/>
              <w:right w:val="single" w:sz="4" w:space="0" w:color="auto"/>
            </w:tcBorders>
            <w:hideMark/>
          </w:tcPr>
          <w:p w:rsidR="005727C2" w:rsidRDefault="005727C2">
            <w:pPr>
              <w:spacing w:after="0"/>
              <w:jc w:val="center"/>
              <w:rPr>
                <w:sz w:val="18"/>
                <w:szCs w:val="18"/>
                <w:lang w:eastAsia="en-US"/>
              </w:rPr>
            </w:pPr>
            <w:r>
              <w:rPr>
                <w:sz w:val="18"/>
                <w:szCs w:val="18"/>
                <w:lang w:eastAsia="en-US"/>
              </w:rPr>
              <w:t>Оплачено администр. штрафов</w:t>
            </w:r>
          </w:p>
        </w:tc>
        <w:tc>
          <w:tcPr>
            <w:tcW w:w="1559" w:type="dxa"/>
            <w:tcBorders>
              <w:top w:val="single" w:sz="4" w:space="0" w:color="auto"/>
              <w:left w:val="single" w:sz="4" w:space="0" w:color="auto"/>
              <w:bottom w:val="single" w:sz="4" w:space="0" w:color="auto"/>
              <w:right w:val="single" w:sz="4" w:space="0" w:color="auto"/>
            </w:tcBorders>
            <w:hideMark/>
          </w:tcPr>
          <w:p w:rsidR="005727C2" w:rsidRDefault="005727C2">
            <w:pPr>
              <w:spacing w:after="0"/>
              <w:jc w:val="center"/>
              <w:rPr>
                <w:sz w:val="18"/>
                <w:szCs w:val="18"/>
                <w:lang w:eastAsia="en-US"/>
              </w:rPr>
            </w:pPr>
            <w:r>
              <w:rPr>
                <w:sz w:val="18"/>
                <w:szCs w:val="18"/>
                <w:lang w:eastAsia="en-US"/>
              </w:rPr>
              <w:t>Направлено дел по ч.1 ст.20.25 КоАП РФ мировым судьям за неуплату штрафа</w:t>
            </w:r>
          </w:p>
        </w:tc>
      </w:tr>
      <w:tr w:rsidR="005727C2" w:rsidTr="005727C2">
        <w:trPr>
          <w:jc w:val="center"/>
        </w:trPr>
        <w:tc>
          <w:tcPr>
            <w:tcW w:w="1718" w:type="dxa"/>
            <w:tcBorders>
              <w:top w:val="single" w:sz="4" w:space="0" w:color="auto"/>
              <w:left w:val="single" w:sz="4" w:space="0" w:color="auto"/>
              <w:bottom w:val="single" w:sz="4" w:space="0" w:color="auto"/>
              <w:right w:val="single" w:sz="4" w:space="0" w:color="auto"/>
            </w:tcBorders>
            <w:hideMark/>
          </w:tcPr>
          <w:p w:rsidR="005727C2" w:rsidRDefault="005727C2">
            <w:pPr>
              <w:spacing w:after="0"/>
              <w:rPr>
                <w:sz w:val="18"/>
                <w:szCs w:val="18"/>
                <w:lang w:eastAsia="en-US"/>
              </w:rPr>
            </w:pPr>
            <w:r>
              <w:rPr>
                <w:sz w:val="18"/>
                <w:szCs w:val="18"/>
                <w:lang w:eastAsia="en-US"/>
              </w:rPr>
              <w:t>Электроэнергетика</w:t>
            </w:r>
          </w:p>
        </w:tc>
        <w:tc>
          <w:tcPr>
            <w:tcW w:w="1493" w:type="dxa"/>
            <w:tcBorders>
              <w:top w:val="single" w:sz="4" w:space="0" w:color="auto"/>
              <w:left w:val="single" w:sz="4" w:space="0" w:color="auto"/>
              <w:bottom w:val="single" w:sz="4" w:space="0" w:color="auto"/>
              <w:right w:val="single" w:sz="4" w:space="0" w:color="auto"/>
            </w:tcBorders>
            <w:hideMark/>
          </w:tcPr>
          <w:p w:rsidR="005727C2" w:rsidRDefault="005727C2">
            <w:pPr>
              <w:spacing w:after="0"/>
              <w:jc w:val="center"/>
              <w:rPr>
                <w:sz w:val="20"/>
                <w:szCs w:val="20"/>
                <w:lang w:eastAsia="en-US"/>
              </w:rPr>
            </w:pPr>
            <w:r>
              <w:rPr>
                <w:sz w:val="20"/>
                <w:szCs w:val="20"/>
                <w:lang w:eastAsia="en-US"/>
              </w:rPr>
              <w:t>29</w:t>
            </w:r>
          </w:p>
        </w:tc>
        <w:tc>
          <w:tcPr>
            <w:tcW w:w="1376" w:type="dxa"/>
            <w:tcBorders>
              <w:top w:val="single" w:sz="4" w:space="0" w:color="auto"/>
              <w:left w:val="single" w:sz="4" w:space="0" w:color="auto"/>
              <w:bottom w:val="single" w:sz="4" w:space="0" w:color="auto"/>
              <w:right w:val="single" w:sz="4" w:space="0" w:color="auto"/>
            </w:tcBorders>
            <w:hideMark/>
          </w:tcPr>
          <w:p w:rsidR="005727C2" w:rsidRDefault="005727C2">
            <w:pPr>
              <w:spacing w:after="0"/>
              <w:jc w:val="center"/>
              <w:rPr>
                <w:sz w:val="20"/>
                <w:szCs w:val="20"/>
                <w:lang w:eastAsia="en-US"/>
              </w:rPr>
            </w:pPr>
            <w:r>
              <w:rPr>
                <w:sz w:val="20"/>
                <w:szCs w:val="20"/>
                <w:lang w:eastAsia="en-US"/>
              </w:rPr>
              <w:t>-</w:t>
            </w:r>
          </w:p>
        </w:tc>
        <w:tc>
          <w:tcPr>
            <w:tcW w:w="1559" w:type="dxa"/>
            <w:tcBorders>
              <w:top w:val="single" w:sz="4" w:space="0" w:color="auto"/>
              <w:left w:val="single" w:sz="4" w:space="0" w:color="auto"/>
              <w:bottom w:val="single" w:sz="4" w:space="0" w:color="auto"/>
              <w:right w:val="single" w:sz="4" w:space="0" w:color="auto"/>
            </w:tcBorders>
            <w:hideMark/>
          </w:tcPr>
          <w:p w:rsidR="005727C2" w:rsidRDefault="005727C2">
            <w:pPr>
              <w:spacing w:after="0"/>
              <w:jc w:val="center"/>
              <w:rPr>
                <w:sz w:val="20"/>
                <w:szCs w:val="20"/>
                <w:lang w:eastAsia="en-US"/>
              </w:rPr>
            </w:pPr>
            <w:r>
              <w:rPr>
                <w:sz w:val="20"/>
                <w:szCs w:val="20"/>
                <w:lang w:eastAsia="en-US"/>
              </w:rPr>
              <w:t>6</w:t>
            </w:r>
          </w:p>
        </w:tc>
        <w:tc>
          <w:tcPr>
            <w:tcW w:w="1276" w:type="dxa"/>
            <w:tcBorders>
              <w:top w:val="single" w:sz="4" w:space="0" w:color="auto"/>
              <w:left w:val="single" w:sz="4" w:space="0" w:color="auto"/>
              <w:bottom w:val="single" w:sz="4" w:space="0" w:color="auto"/>
              <w:right w:val="single" w:sz="4" w:space="0" w:color="auto"/>
            </w:tcBorders>
            <w:hideMark/>
          </w:tcPr>
          <w:p w:rsidR="005727C2" w:rsidRDefault="005727C2">
            <w:pPr>
              <w:spacing w:after="0"/>
              <w:jc w:val="center"/>
              <w:rPr>
                <w:sz w:val="20"/>
                <w:szCs w:val="20"/>
                <w:lang w:eastAsia="en-US"/>
              </w:rPr>
            </w:pPr>
            <w:r>
              <w:rPr>
                <w:sz w:val="20"/>
                <w:szCs w:val="20"/>
                <w:lang w:eastAsia="en-US"/>
              </w:rPr>
              <w:t>948040</w:t>
            </w:r>
          </w:p>
        </w:tc>
        <w:tc>
          <w:tcPr>
            <w:tcW w:w="1134" w:type="dxa"/>
            <w:tcBorders>
              <w:top w:val="single" w:sz="4" w:space="0" w:color="auto"/>
              <w:left w:val="single" w:sz="4" w:space="0" w:color="auto"/>
              <w:bottom w:val="single" w:sz="4" w:space="0" w:color="auto"/>
              <w:right w:val="single" w:sz="4" w:space="0" w:color="auto"/>
            </w:tcBorders>
            <w:hideMark/>
          </w:tcPr>
          <w:p w:rsidR="005727C2" w:rsidRDefault="005727C2">
            <w:pPr>
              <w:spacing w:after="0"/>
              <w:jc w:val="center"/>
              <w:rPr>
                <w:sz w:val="20"/>
                <w:szCs w:val="20"/>
                <w:lang w:eastAsia="en-US"/>
              </w:rPr>
            </w:pPr>
            <w:r>
              <w:rPr>
                <w:sz w:val="20"/>
                <w:szCs w:val="20"/>
                <w:lang w:eastAsia="en-US"/>
              </w:rPr>
              <w:t>353716</w:t>
            </w:r>
          </w:p>
        </w:tc>
        <w:tc>
          <w:tcPr>
            <w:tcW w:w="1559" w:type="dxa"/>
            <w:tcBorders>
              <w:top w:val="single" w:sz="4" w:space="0" w:color="auto"/>
              <w:left w:val="single" w:sz="4" w:space="0" w:color="auto"/>
              <w:bottom w:val="single" w:sz="4" w:space="0" w:color="auto"/>
              <w:right w:val="single" w:sz="4" w:space="0" w:color="auto"/>
            </w:tcBorders>
            <w:hideMark/>
          </w:tcPr>
          <w:p w:rsidR="005727C2" w:rsidRDefault="005727C2">
            <w:pPr>
              <w:spacing w:after="0"/>
              <w:jc w:val="center"/>
              <w:rPr>
                <w:sz w:val="20"/>
                <w:szCs w:val="20"/>
                <w:lang w:eastAsia="en-US"/>
              </w:rPr>
            </w:pPr>
            <w:r>
              <w:rPr>
                <w:sz w:val="20"/>
                <w:szCs w:val="20"/>
                <w:lang w:eastAsia="en-US"/>
              </w:rPr>
              <w:t>-</w:t>
            </w:r>
          </w:p>
        </w:tc>
      </w:tr>
      <w:tr w:rsidR="005727C2" w:rsidTr="005727C2">
        <w:trPr>
          <w:jc w:val="center"/>
        </w:trPr>
        <w:tc>
          <w:tcPr>
            <w:tcW w:w="1718" w:type="dxa"/>
            <w:tcBorders>
              <w:top w:val="single" w:sz="4" w:space="0" w:color="auto"/>
              <w:left w:val="single" w:sz="4" w:space="0" w:color="auto"/>
              <w:bottom w:val="single" w:sz="4" w:space="0" w:color="auto"/>
              <w:right w:val="single" w:sz="4" w:space="0" w:color="auto"/>
            </w:tcBorders>
            <w:hideMark/>
          </w:tcPr>
          <w:p w:rsidR="005727C2" w:rsidRDefault="005727C2">
            <w:pPr>
              <w:spacing w:after="0"/>
              <w:rPr>
                <w:sz w:val="18"/>
                <w:szCs w:val="18"/>
                <w:lang w:eastAsia="en-US"/>
              </w:rPr>
            </w:pPr>
            <w:r>
              <w:rPr>
                <w:sz w:val="18"/>
                <w:szCs w:val="18"/>
                <w:lang w:eastAsia="en-US"/>
              </w:rPr>
              <w:t>Теплоснабжение</w:t>
            </w:r>
          </w:p>
        </w:tc>
        <w:tc>
          <w:tcPr>
            <w:tcW w:w="1493" w:type="dxa"/>
            <w:tcBorders>
              <w:top w:val="single" w:sz="4" w:space="0" w:color="auto"/>
              <w:left w:val="single" w:sz="4" w:space="0" w:color="auto"/>
              <w:bottom w:val="single" w:sz="4" w:space="0" w:color="auto"/>
              <w:right w:val="single" w:sz="4" w:space="0" w:color="auto"/>
            </w:tcBorders>
            <w:hideMark/>
          </w:tcPr>
          <w:p w:rsidR="005727C2" w:rsidRDefault="005727C2">
            <w:pPr>
              <w:spacing w:after="0"/>
              <w:jc w:val="center"/>
              <w:rPr>
                <w:sz w:val="20"/>
                <w:szCs w:val="20"/>
                <w:lang w:eastAsia="en-US"/>
              </w:rPr>
            </w:pPr>
            <w:r>
              <w:rPr>
                <w:sz w:val="20"/>
                <w:szCs w:val="20"/>
                <w:lang w:eastAsia="en-US"/>
              </w:rPr>
              <w:t>127</w:t>
            </w:r>
          </w:p>
        </w:tc>
        <w:tc>
          <w:tcPr>
            <w:tcW w:w="1376" w:type="dxa"/>
            <w:tcBorders>
              <w:top w:val="single" w:sz="4" w:space="0" w:color="auto"/>
              <w:left w:val="single" w:sz="4" w:space="0" w:color="auto"/>
              <w:bottom w:val="single" w:sz="4" w:space="0" w:color="auto"/>
              <w:right w:val="single" w:sz="4" w:space="0" w:color="auto"/>
            </w:tcBorders>
            <w:hideMark/>
          </w:tcPr>
          <w:p w:rsidR="005727C2" w:rsidRDefault="005727C2">
            <w:pPr>
              <w:spacing w:after="0"/>
              <w:jc w:val="center"/>
              <w:rPr>
                <w:sz w:val="20"/>
                <w:szCs w:val="20"/>
                <w:lang w:eastAsia="en-US"/>
              </w:rPr>
            </w:pPr>
            <w:r>
              <w:rPr>
                <w:sz w:val="20"/>
                <w:szCs w:val="20"/>
                <w:lang w:eastAsia="en-US"/>
              </w:rPr>
              <w:t>1</w:t>
            </w:r>
          </w:p>
        </w:tc>
        <w:tc>
          <w:tcPr>
            <w:tcW w:w="1559" w:type="dxa"/>
            <w:tcBorders>
              <w:top w:val="single" w:sz="4" w:space="0" w:color="auto"/>
              <w:left w:val="single" w:sz="4" w:space="0" w:color="auto"/>
              <w:bottom w:val="single" w:sz="4" w:space="0" w:color="auto"/>
              <w:right w:val="single" w:sz="4" w:space="0" w:color="auto"/>
            </w:tcBorders>
            <w:hideMark/>
          </w:tcPr>
          <w:p w:rsidR="005727C2" w:rsidRDefault="005727C2">
            <w:pPr>
              <w:spacing w:after="0"/>
              <w:jc w:val="center"/>
              <w:rPr>
                <w:sz w:val="20"/>
                <w:szCs w:val="20"/>
                <w:lang w:eastAsia="en-US"/>
              </w:rPr>
            </w:pPr>
            <w:r>
              <w:rPr>
                <w:sz w:val="20"/>
                <w:szCs w:val="20"/>
                <w:lang w:eastAsia="en-US"/>
              </w:rPr>
              <w:t>46</w:t>
            </w:r>
          </w:p>
        </w:tc>
        <w:tc>
          <w:tcPr>
            <w:tcW w:w="1276" w:type="dxa"/>
            <w:tcBorders>
              <w:top w:val="single" w:sz="4" w:space="0" w:color="auto"/>
              <w:left w:val="single" w:sz="4" w:space="0" w:color="auto"/>
              <w:bottom w:val="single" w:sz="4" w:space="0" w:color="auto"/>
              <w:right w:val="single" w:sz="4" w:space="0" w:color="auto"/>
            </w:tcBorders>
            <w:hideMark/>
          </w:tcPr>
          <w:p w:rsidR="005727C2" w:rsidRDefault="005727C2">
            <w:pPr>
              <w:spacing w:after="0"/>
              <w:jc w:val="center"/>
              <w:rPr>
                <w:sz w:val="20"/>
                <w:szCs w:val="20"/>
                <w:lang w:eastAsia="en-US"/>
              </w:rPr>
            </w:pPr>
            <w:r>
              <w:rPr>
                <w:sz w:val="20"/>
                <w:szCs w:val="20"/>
                <w:lang w:eastAsia="en-US"/>
              </w:rPr>
              <w:t>1594300</w:t>
            </w:r>
          </w:p>
        </w:tc>
        <w:tc>
          <w:tcPr>
            <w:tcW w:w="1134" w:type="dxa"/>
            <w:tcBorders>
              <w:top w:val="single" w:sz="4" w:space="0" w:color="auto"/>
              <w:left w:val="single" w:sz="4" w:space="0" w:color="auto"/>
              <w:bottom w:val="single" w:sz="4" w:space="0" w:color="auto"/>
              <w:right w:val="single" w:sz="4" w:space="0" w:color="auto"/>
            </w:tcBorders>
            <w:hideMark/>
          </w:tcPr>
          <w:p w:rsidR="005727C2" w:rsidRDefault="005727C2">
            <w:pPr>
              <w:spacing w:after="0"/>
              <w:jc w:val="center"/>
              <w:rPr>
                <w:sz w:val="20"/>
                <w:szCs w:val="20"/>
                <w:lang w:eastAsia="en-US"/>
              </w:rPr>
            </w:pPr>
            <w:r>
              <w:rPr>
                <w:sz w:val="20"/>
                <w:szCs w:val="20"/>
                <w:lang w:eastAsia="en-US"/>
              </w:rPr>
              <w:t>975143</w:t>
            </w:r>
          </w:p>
        </w:tc>
        <w:tc>
          <w:tcPr>
            <w:tcW w:w="1559" w:type="dxa"/>
            <w:tcBorders>
              <w:top w:val="single" w:sz="4" w:space="0" w:color="auto"/>
              <w:left w:val="single" w:sz="4" w:space="0" w:color="auto"/>
              <w:bottom w:val="single" w:sz="4" w:space="0" w:color="auto"/>
              <w:right w:val="single" w:sz="4" w:space="0" w:color="auto"/>
            </w:tcBorders>
            <w:hideMark/>
          </w:tcPr>
          <w:p w:rsidR="005727C2" w:rsidRDefault="005727C2">
            <w:pPr>
              <w:spacing w:after="0"/>
              <w:jc w:val="center"/>
              <w:rPr>
                <w:sz w:val="20"/>
                <w:szCs w:val="20"/>
                <w:lang w:eastAsia="en-US"/>
              </w:rPr>
            </w:pPr>
            <w:r>
              <w:rPr>
                <w:sz w:val="20"/>
                <w:szCs w:val="20"/>
                <w:lang w:eastAsia="en-US"/>
              </w:rPr>
              <w:t>1</w:t>
            </w:r>
          </w:p>
        </w:tc>
      </w:tr>
      <w:tr w:rsidR="005727C2" w:rsidTr="005727C2">
        <w:trPr>
          <w:jc w:val="center"/>
        </w:trPr>
        <w:tc>
          <w:tcPr>
            <w:tcW w:w="1718" w:type="dxa"/>
            <w:tcBorders>
              <w:top w:val="single" w:sz="4" w:space="0" w:color="auto"/>
              <w:left w:val="single" w:sz="4" w:space="0" w:color="auto"/>
              <w:bottom w:val="single" w:sz="4" w:space="0" w:color="auto"/>
              <w:right w:val="single" w:sz="4" w:space="0" w:color="auto"/>
            </w:tcBorders>
            <w:hideMark/>
          </w:tcPr>
          <w:p w:rsidR="005727C2" w:rsidRDefault="005727C2">
            <w:pPr>
              <w:spacing w:after="0"/>
              <w:rPr>
                <w:sz w:val="18"/>
                <w:szCs w:val="18"/>
                <w:lang w:eastAsia="en-US"/>
              </w:rPr>
            </w:pPr>
            <w:r>
              <w:rPr>
                <w:sz w:val="18"/>
                <w:szCs w:val="18"/>
                <w:lang w:eastAsia="en-US"/>
              </w:rPr>
              <w:t>Газоснабжение</w:t>
            </w:r>
          </w:p>
        </w:tc>
        <w:tc>
          <w:tcPr>
            <w:tcW w:w="1493" w:type="dxa"/>
            <w:tcBorders>
              <w:top w:val="single" w:sz="4" w:space="0" w:color="auto"/>
              <w:left w:val="single" w:sz="4" w:space="0" w:color="auto"/>
              <w:bottom w:val="single" w:sz="4" w:space="0" w:color="auto"/>
              <w:right w:val="single" w:sz="4" w:space="0" w:color="auto"/>
            </w:tcBorders>
            <w:hideMark/>
          </w:tcPr>
          <w:p w:rsidR="005727C2" w:rsidRDefault="005727C2">
            <w:pPr>
              <w:spacing w:after="0"/>
              <w:jc w:val="center"/>
              <w:rPr>
                <w:sz w:val="20"/>
                <w:szCs w:val="20"/>
                <w:lang w:eastAsia="en-US"/>
              </w:rPr>
            </w:pPr>
            <w:r>
              <w:rPr>
                <w:sz w:val="20"/>
                <w:szCs w:val="20"/>
                <w:lang w:eastAsia="en-US"/>
              </w:rPr>
              <w:t>6</w:t>
            </w:r>
          </w:p>
        </w:tc>
        <w:tc>
          <w:tcPr>
            <w:tcW w:w="1376" w:type="dxa"/>
            <w:tcBorders>
              <w:top w:val="single" w:sz="4" w:space="0" w:color="auto"/>
              <w:left w:val="single" w:sz="4" w:space="0" w:color="auto"/>
              <w:bottom w:val="single" w:sz="4" w:space="0" w:color="auto"/>
              <w:right w:val="single" w:sz="4" w:space="0" w:color="auto"/>
            </w:tcBorders>
            <w:hideMark/>
          </w:tcPr>
          <w:p w:rsidR="005727C2" w:rsidRDefault="005727C2">
            <w:pPr>
              <w:spacing w:after="0"/>
              <w:jc w:val="center"/>
              <w:rPr>
                <w:sz w:val="20"/>
                <w:szCs w:val="20"/>
                <w:lang w:eastAsia="en-US"/>
              </w:rPr>
            </w:pPr>
            <w:r>
              <w:rPr>
                <w:sz w:val="20"/>
                <w:szCs w:val="20"/>
                <w:lang w:eastAsia="en-US"/>
              </w:rPr>
              <w:t>1</w:t>
            </w:r>
          </w:p>
        </w:tc>
        <w:tc>
          <w:tcPr>
            <w:tcW w:w="1559" w:type="dxa"/>
            <w:tcBorders>
              <w:top w:val="single" w:sz="4" w:space="0" w:color="auto"/>
              <w:left w:val="single" w:sz="4" w:space="0" w:color="auto"/>
              <w:bottom w:val="single" w:sz="4" w:space="0" w:color="auto"/>
              <w:right w:val="single" w:sz="4" w:space="0" w:color="auto"/>
            </w:tcBorders>
            <w:hideMark/>
          </w:tcPr>
          <w:p w:rsidR="005727C2" w:rsidRDefault="005727C2">
            <w:pPr>
              <w:spacing w:after="0"/>
              <w:jc w:val="center"/>
              <w:rPr>
                <w:sz w:val="20"/>
                <w:szCs w:val="20"/>
                <w:lang w:eastAsia="en-US"/>
              </w:rPr>
            </w:pPr>
            <w:r>
              <w:rPr>
                <w:sz w:val="20"/>
                <w:szCs w:val="20"/>
                <w:lang w:eastAsia="en-US"/>
              </w:rPr>
              <w:t>1</w:t>
            </w:r>
          </w:p>
        </w:tc>
        <w:tc>
          <w:tcPr>
            <w:tcW w:w="1276" w:type="dxa"/>
            <w:tcBorders>
              <w:top w:val="single" w:sz="4" w:space="0" w:color="auto"/>
              <w:left w:val="single" w:sz="4" w:space="0" w:color="auto"/>
              <w:bottom w:val="single" w:sz="4" w:space="0" w:color="auto"/>
              <w:right w:val="single" w:sz="4" w:space="0" w:color="auto"/>
            </w:tcBorders>
            <w:hideMark/>
          </w:tcPr>
          <w:p w:rsidR="005727C2" w:rsidRDefault="005727C2">
            <w:pPr>
              <w:spacing w:after="0"/>
              <w:jc w:val="center"/>
              <w:rPr>
                <w:sz w:val="20"/>
                <w:szCs w:val="20"/>
                <w:lang w:eastAsia="en-US"/>
              </w:rPr>
            </w:pPr>
            <w:r>
              <w:rPr>
                <w:sz w:val="20"/>
                <w:szCs w:val="20"/>
                <w:lang w:eastAsia="en-US"/>
              </w:rPr>
              <w:t>355100</w:t>
            </w:r>
          </w:p>
        </w:tc>
        <w:tc>
          <w:tcPr>
            <w:tcW w:w="1134" w:type="dxa"/>
            <w:tcBorders>
              <w:top w:val="single" w:sz="4" w:space="0" w:color="auto"/>
              <w:left w:val="single" w:sz="4" w:space="0" w:color="auto"/>
              <w:bottom w:val="single" w:sz="4" w:space="0" w:color="auto"/>
              <w:right w:val="single" w:sz="4" w:space="0" w:color="auto"/>
            </w:tcBorders>
            <w:hideMark/>
          </w:tcPr>
          <w:p w:rsidR="005727C2" w:rsidRDefault="005727C2">
            <w:pPr>
              <w:spacing w:after="0"/>
              <w:jc w:val="center"/>
              <w:rPr>
                <w:sz w:val="20"/>
                <w:szCs w:val="20"/>
                <w:lang w:eastAsia="en-US"/>
              </w:rPr>
            </w:pPr>
            <w:r>
              <w:rPr>
                <w:sz w:val="20"/>
                <w:szCs w:val="20"/>
                <w:lang w:eastAsia="en-US"/>
              </w:rPr>
              <w:t>5102</w:t>
            </w:r>
          </w:p>
        </w:tc>
        <w:tc>
          <w:tcPr>
            <w:tcW w:w="1559" w:type="dxa"/>
            <w:tcBorders>
              <w:top w:val="single" w:sz="4" w:space="0" w:color="auto"/>
              <w:left w:val="single" w:sz="4" w:space="0" w:color="auto"/>
              <w:bottom w:val="single" w:sz="4" w:space="0" w:color="auto"/>
              <w:right w:val="single" w:sz="4" w:space="0" w:color="auto"/>
            </w:tcBorders>
            <w:hideMark/>
          </w:tcPr>
          <w:p w:rsidR="005727C2" w:rsidRDefault="005727C2">
            <w:pPr>
              <w:spacing w:after="0"/>
              <w:jc w:val="center"/>
              <w:rPr>
                <w:sz w:val="20"/>
                <w:szCs w:val="20"/>
                <w:lang w:eastAsia="en-US"/>
              </w:rPr>
            </w:pPr>
            <w:r>
              <w:rPr>
                <w:sz w:val="20"/>
                <w:szCs w:val="20"/>
                <w:lang w:eastAsia="en-US"/>
              </w:rPr>
              <w:t>1</w:t>
            </w:r>
          </w:p>
        </w:tc>
      </w:tr>
      <w:tr w:rsidR="005727C2" w:rsidTr="005727C2">
        <w:trPr>
          <w:jc w:val="center"/>
        </w:trPr>
        <w:tc>
          <w:tcPr>
            <w:tcW w:w="1718" w:type="dxa"/>
            <w:tcBorders>
              <w:top w:val="single" w:sz="4" w:space="0" w:color="auto"/>
              <w:left w:val="single" w:sz="4" w:space="0" w:color="auto"/>
              <w:bottom w:val="single" w:sz="4" w:space="0" w:color="auto"/>
              <w:right w:val="single" w:sz="4" w:space="0" w:color="auto"/>
            </w:tcBorders>
            <w:hideMark/>
          </w:tcPr>
          <w:p w:rsidR="005727C2" w:rsidRDefault="005727C2">
            <w:pPr>
              <w:spacing w:after="0"/>
              <w:rPr>
                <w:sz w:val="18"/>
                <w:szCs w:val="18"/>
                <w:lang w:eastAsia="en-US"/>
              </w:rPr>
            </w:pPr>
            <w:r>
              <w:rPr>
                <w:sz w:val="18"/>
                <w:szCs w:val="18"/>
                <w:lang w:eastAsia="en-US"/>
              </w:rPr>
              <w:t>Водоснабжение и водоотведение</w:t>
            </w:r>
          </w:p>
        </w:tc>
        <w:tc>
          <w:tcPr>
            <w:tcW w:w="1493" w:type="dxa"/>
            <w:tcBorders>
              <w:top w:val="single" w:sz="4" w:space="0" w:color="auto"/>
              <w:left w:val="single" w:sz="4" w:space="0" w:color="auto"/>
              <w:bottom w:val="single" w:sz="4" w:space="0" w:color="auto"/>
              <w:right w:val="single" w:sz="4" w:space="0" w:color="auto"/>
            </w:tcBorders>
            <w:hideMark/>
          </w:tcPr>
          <w:p w:rsidR="005727C2" w:rsidRDefault="005727C2">
            <w:pPr>
              <w:spacing w:after="0"/>
              <w:jc w:val="center"/>
              <w:rPr>
                <w:sz w:val="20"/>
                <w:szCs w:val="20"/>
                <w:lang w:eastAsia="en-US"/>
              </w:rPr>
            </w:pPr>
            <w:r>
              <w:rPr>
                <w:sz w:val="20"/>
                <w:szCs w:val="20"/>
                <w:lang w:eastAsia="en-US"/>
              </w:rPr>
              <w:t>127</w:t>
            </w:r>
          </w:p>
        </w:tc>
        <w:tc>
          <w:tcPr>
            <w:tcW w:w="1376" w:type="dxa"/>
            <w:tcBorders>
              <w:top w:val="single" w:sz="4" w:space="0" w:color="auto"/>
              <w:left w:val="single" w:sz="4" w:space="0" w:color="auto"/>
              <w:bottom w:val="single" w:sz="4" w:space="0" w:color="auto"/>
              <w:right w:val="single" w:sz="4" w:space="0" w:color="auto"/>
            </w:tcBorders>
            <w:hideMark/>
          </w:tcPr>
          <w:p w:rsidR="005727C2" w:rsidRDefault="005727C2">
            <w:pPr>
              <w:spacing w:after="0"/>
              <w:jc w:val="center"/>
              <w:rPr>
                <w:sz w:val="20"/>
                <w:szCs w:val="20"/>
                <w:lang w:eastAsia="en-US"/>
              </w:rPr>
            </w:pPr>
            <w:r>
              <w:rPr>
                <w:sz w:val="20"/>
                <w:szCs w:val="20"/>
                <w:lang w:eastAsia="en-US"/>
              </w:rPr>
              <w:t>-</w:t>
            </w:r>
          </w:p>
        </w:tc>
        <w:tc>
          <w:tcPr>
            <w:tcW w:w="1559" w:type="dxa"/>
            <w:tcBorders>
              <w:top w:val="single" w:sz="4" w:space="0" w:color="auto"/>
              <w:left w:val="single" w:sz="4" w:space="0" w:color="auto"/>
              <w:bottom w:val="single" w:sz="4" w:space="0" w:color="auto"/>
              <w:right w:val="single" w:sz="4" w:space="0" w:color="auto"/>
            </w:tcBorders>
            <w:hideMark/>
          </w:tcPr>
          <w:p w:rsidR="005727C2" w:rsidRDefault="005727C2">
            <w:pPr>
              <w:spacing w:after="0"/>
              <w:jc w:val="center"/>
              <w:rPr>
                <w:sz w:val="20"/>
                <w:szCs w:val="20"/>
                <w:lang w:eastAsia="en-US"/>
              </w:rPr>
            </w:pPr>
            <w:r>
              <w:rPr>
                <w:sz w:val="20"/>
                <w:szCs w:val="20"/>
                <w:lang w:eastAsia="en-US"/>
              </w:rPr>
              <w:t>9</w:t>
            </w:r>
          </w:p>
        </w:tc>
        <w:tc>
          <w:tcPr>
            <w:tcW w:w="1276" w:type="dxa"/>
            <w:tcBorders>
              <w:top w:val="single" w:sz="4" w:space="0" w:color="auto"/>
              <w:left w:val="single" w:sz="4" w:space="0" w:color="auto"/>
              <w:bottom w:val="single" w:sz="4" w:space="0" w:color="auto"/>
              <w:right w:val="single" w:sz="4" w:space="0" w:color="auto"/>
            </w:tcBorders>
            <w:hideMark/>
          </w:tcPr>
          <w:p w:rsidR="005727C2" w:rsidRDefault="005727C2">
            <w:pPr>
              <w:spacing w:after="0"/>
              <w:jc w:val="center"/>
              <w:rPr>
                <w:sz w:val="20"/>
                <w:szCs w:val="20"/>
                <w:lang w:eastAsia="en-US"/>
              </w:rPr>
            </w:pPr>
            <w:r>
              <w:rPr>
                <w:sz w:val="20"/>
                <w:szCs w:val="20"/>
                <w:lang w:eastAsia="en-US"/>
              </w:rPr>
              <w:t>1946600</w:t>
            </w:r>
          </w:p>
        </w:tc>
        <w:tc>
          <w:tcPr>
            <w:tcW w:w="1134" w:type="dxa"/>
            <w:tcBorders>
              <w:top w:val="single" w:sz="4" w:space="0" w:color="auto"/>
              <w:left w:val="single" w:sz="4" w:space="0" w:color="auto"/>
              <w:bottom w:val="single" w:sz="4" w:space="0" w:color="auto"/>
              <w:right w:val="single" w:sz="4" w:space="0" w:color="auto"/>
            </w:tcBorders>
            <w:hideMark/>
          </w:tcPr>
          <w:p w:rsidR="005727C2" w:rsidRDefault="005727C2">
            <w:pPr>
              <w:spacing w:after="0"/>
              <w:jc w:val="center"/>
              <w:rPr>
                <w:sz w:val="20"/>
                <w:szCs w:val="20"/>
                <w:lang w:eastAsia="en-US"/>
              </w:rPr>
            </w:pPr>
            <w:r>
              <w:rPr>
                <w:sz w:val="20"/>
                <w:szCs w:val="20"/>
                <w:lang w:eastAsia="en-US"/>
              </w:rPr>
              <w:t>1205039</w:t>
            </w:r>
          </w:p>
        </w:tc>
        <w:tc>
          <w:tcPr>
            <w:tcW w:w="1559" w:type="dxa"/>
            <w:tcBorders>
              <w:top w:val="single" w:sz="4" w:space="0" w:color="auto"/>
              <w:left w:val="single" w:sz="4" w:space="0" w:color="auto"/>
              <w:bottom w:val="single" w:sz="4" w:space="0" w:color="auto"/>
              <w:right w:val="single" w:sz="4" w:space="0" w:color="auto"/>
            </w:tcBorders>
            <w:hideMark/>
          </w:tcPr>
          <w:p w:rsidR="005727C2" w:rsidRDefault="005727C2">
            <w:pPr>
              <w:spacing w:after="0"/>
              <w:jc w:val="center"/>
              <w:rPr>
                <w:sz w:val="20"/>
                <w:szCs w:val="20"/>
                <w:lang w:eastAsia="en-US"/>
              </w:rPr>
            </w:pPr>
            <w:r>
              <w:rPr>
                <w:sz w:val="20"/>
                <w:szCs w:val="20"/>
                <w:lang w:eastAsia="en-US"/>
              </w:rPr>
              <w:t>2</w:t>
            </w:r>
          </w:p>
        </w:tc>
      </w:tr>
      <w:tr w:rsidR="005727C2" w:rsidTr="005727C2">
        <w:trPr>
          <w:jc w:val="center"/>
        </w:trPr>
        <w:tc>
          <w:tcPr>
            <w:tcW w:w="1718" w:type="dxa"/>
            <w:tcBorders>
              <w:top w:val="single" w:sz="4" w:space="0" w:color="auto"/>
              <w:left w:val="single" w:sz="4" w:space="0" w:color="auto"/>
              <w:bottom w:val="single" w:sz="4" w:space="0" w:color="auto"/>
              <w:right w:val="single" w:sz="4" w:space="0" w:color="auto"/>
            </w:tcBorders>
            <w:hideMark/>
          </w:tcPr>
          <w:p w:rsidR="005727C2" w:rsidRDefault="005727C2">
            <w:pPr>
              <w:spacing w:after="0"/>
              <w:rPr>
                <w:sz w:val="18"/>
                <w:szCs w:val="18"/>
                <w:lang w:eastAsia="en-US"/>
              </w:rPr>
            </w:pPr>
            <w:r>
              <w:rPr>
                <w:sz w:val="18"/>
                <w:szCs w:val="18"/>
                <w:lang w:eastAsia="en-US"/>
              </w:rPr>
              <w:t xml:space="preserve">Транспортные услуги </w:t>
            </w:r>
          </w:p>
        </w:tc>
        <w:tc>
          <w:tcPr>
            <w:tcW w:w="1493" w:type="dxa"/>
            <w:tcBorders>
              <w:top w:val="single" w:sz="4" w:space="0" w:color="auto"/>
              <w:left w:val="single" w:sz="4" w:space="0" w:color="auto"/>
              <w:bottom w:val="single" w:sz="4" w:space="0" w:color="auto"/>
              <w:right w:val="single" w:sz="4" w:space="0" w:color="auto"/>
            </w:tcBorders>
            <w:hideMark/>
          </w:tcPr>
          <w:p w:rsidR="005727C2" w:rsidRDefault="005727C2">
            <w:pPr>
              <w:spacing w:after="0"/>
              <w:jc w:val="center"/>
              <w:rPr>
                <w:sz w:val="20"/>
                <w:szCs w:val="20"/>
                <w:lang w:eastAsia="en-US"/>
              </w:rPr>
            </w:pPr>
            <w:r>
              <w:rPr>
                <w:sz w:val="20"/>
                <w:szCs w:val="20"/>
                <w:lang w:eastAsia="en-US"/>
              </w:rPr>
              <w:t>3</w:t>
            </w:r>
          </w:p>
        </w:tc>
        <w:tc>
          <w:tcPr>
            <w:tcW w:w="1376" w:type="dxa"/>
            <w:tcBorders>
              <w:top w:val="single" w:sz="4" w:space="0" w:color="auto"/>
              <w:left w:val="single" w:sz="4" w:space="0" w:color="auto"/>
              <w:bottom w:val="single" w:sz="4" w:space="0" w:color="auto"/>
              <w:right w:val="single" w:sz="4" w:space="0" w:color="auto"/>
            </w:tcBorders>
            <w:hideMark/>
          </w:tcPr>
          <w:p w:rsidR="005727C2" w:rsidRDefault="005727C2">
            <w:pPr>
              <w:spacing w:after="0"/>
              <w:jc w:val="center"/>
              <w:rPr>
                <w:sz w:val="20"/>
                <w:szCs w:val="20"/>
                <w:lang w:eastAsia="en-US"/>
              </w:rPr>
            </w:pPr>
            <w:r>
              <w:rPr>
                <w:sz w:val="20"/>
                <w:szCs w:val="20"/>
                <w:lang w:eastAsia="en-US"/>
              </w:rPr>
              <w:t>-</w:t>
            </w:r>
          </w:p>
        </w:tc>
        <w:tc>
          <w:tcPr>
            <w:tcW w:w="1559" w:type="dxa"/>
            <w:tcBorders>
              <w:top w:val="single" w:sz="4" w:space="0" w:color="auto"/>
              <w:left w:val="single" w:sz="4" w:space="0" w:color="auto"/>
              <w:bottom w:val="single" w:sz="4" w:space="0" w:color="auto"/>
              <w:right w:val="single" w:sz="4" w:space="0" w:color="auto"/>
            </w:tcBorders>
            <w:hideMark/>
          </w:tcPr>
          <w:p w:rsidR="005727C2" w:rsidRDefault="005727C2">
            <w:pPr>
              <w:spacing w:after="0"/>
              <w:jc w:val="center"/>
              <w:rPr>
                <w:sz w:val="20"/>
                <w:szCs w:val="20"/>
                <w:lang w:eastAsia="en-US"/>
              </w:rPr>
            </w:pPr>
            <w:r>
              <w:rPr>
                <w:sz w:val="20"/>
                <w:szCs w:val="20"/>
                <w:lang w:eastAsia="en-US"/>
              </w:rPr>
              <w:t>-</w:t>
            </w:r>
          </w:p>
        </w:tc>
        <w:tc>
          <w:tcPr>
            <w:tcW w:w="1276" w:type="dxa"/>
            <w:tcBorders>
              <w:top w:val="single" w:sz="4" w:space="0" w:color="auto"/>
              <w:left w:val="single" w:sz="4" w:space="0" w:color="auto"/>
              <w:bottom w:val="single" w:sz="4" w:space="0" w:color="auto"/>
              <w:right w:val="single" w:sz="4" w:space="0" w:color="auto"/>
            </w:tcBorders>
            <w:hideMark/>
          </w:tcPr>
          <w:p w:rsidR="005727C2" w:rsidRDefault="005727C2">
            <w:pPr>
              <w:spacing w:after="0"/>
              <w:jc w:val="center"/>
              <w:rPr>
                <w:sz w:val="20"/>
                <w:szCs w:val="20"/>
                <w:lang w:eastAsia="en-US"/>
              </w:rPr>
            </w:pPr>
            <w:r>
              <w:rPr>
                <w:sz w:val="20"/>
                <w:szCs w:val="20"/>
                <w:lang w:eastAsia="en-US"/>
              </w:rPr>
              <w:t>100000</w:t>
            </w:r>
          </w:p>
        </w:tc>
        <w:tc>
          <w:tcPr>
            <w:tcW w:w="1134" w:type="dxa"/>
            <w:tcBorders>
              <w:top w:val="single" w:sz="4" w:space="0" w:color="auto"/>
              <w:left w:val="single" w:sz="4" w:space="0" w:color="auto"/>
              <w:bottom w:val="single" w:sz="4" w:space="0" w:color="auto"/>
              <w:right w:val="single" w:sz="4" w:space="0" w:color="auto"/>
            </w:tcBorders>
            <w:hideMark/>
          </w:tcPr>
          <w:p w:rsidR="005727C2" w:rsidRDefault="005727C2">
            <w:pPr>
              <w:spacing w:after="0"/>
              <w:jc w:val="center"/>
              <w:rPr>
                <w:sz w:val="20"/>
                <w:szCs w:val="20"/>
                <w:lang w:eastAsia="en-US"/>
              </w:rPr>
            </w:pPr>
            <w:r>
              <w:rPr>
                <w:sz w:val="20"/>
                <w:szCs w:val="20"/>
                <w:lang w:eastAsia="en-US"/>
              </w:rPr>
              <w:t>100000</w:t>
            </w:r>
          </w:p>
        </w:tc>
        <w:tc>
          <w:tcPr>
            <w:tcW w:w="1559" w:type="dxa"/>
            <w:tcBorders>
              <w:top w:val="single" w:sz="4" w:space="0" w:color="auto"/>
              <w:left w:val="single" w:sz="4" w:space="0" w:color="auto"/>
              <w:bottom w:val="single" w:sz="4" w:space="0" w:color="auto"/>
              <w:right w:val="single" w:sz="4" w:space="0" w:color="auto"/>
            </w:tcBorders>
            <w:hideMark/>
          </w:tcPr>
          <w:p w:rsidR="005727C2" w:rsidRDefault="005727C2">
            <w:pPr>
              <w:spacing w:after="0"/>
              <w:jc w:val="center"/>
              <w:rPr>
                <w:sz w:val="20"/>
                <w:szCs w:val="20"/>
                <w:lang w:eastAsia="en-US"/>
              </w:rPr>
            </w:pPr>
            <w:r>
              <w:rPr>
                <w:sz w:val="20"/>
                <w:szCs w:val="20"/>
                <w:lang w:eastAsia="en-US"/>
              </w:rPr>
              <w:t>-</w:t>
            </w:r>
          </w:p>
        </w:tc>
      </w:tr>
      <w:tr w:rsidR="005727C2" w:rsidTr="005727C2">
        <w:trPr>
          <w:jc w:val="center"/>
        </w:trPr>
        <w:tc>
          <w:tcPr>
            <w:tcW w:w="1718" w:type="dxa"/>
            <w:tcBorders>
              <w:top w:val="single" w:sz="4" w:space="0" w:color="auto"/>
              <w:left w:val="single" w:sz="4" w:space="0" w:color="auto"/>
              <w:bottom w:val="single" w:sz="4" w:space="0" w:color="auto"/>
              <w:right w:val="single" w:sz="4" w:space="0" w:color="auto"/>
            </w:tcBorders>
            <w:hideMark/>
          </w:tcPr>
          <w:p w:rsidR="005727C2" w:rsidRDefault="005727C2">
            <w:pPr>
              <w:spacing w:after="0"/>
              <w:rPr>
                <w:sz w:val="18"/>
                <w:szCs w:val="18"/>
                <w:lang w:eastAsia="en-US"/>
              </w:rPr>
            </w:pPr>
            <w:r>
              <w:rPr>
                <w:sz w:val="18"/>
                <w:szCs w:val="18"/>
                <w:lang w:eastAsia="en-US"/>
              </w:rPr>
              <w:t>Реализация лекарственных препаратов, включенных в перечень ЖНВЛП</w:t>
            </w:r>
          </w:p>
        </w:tc>
        <w:tc>
          <w:tcPr>
            <w:tcW w:w="1493" w:type="dxa"/>
            <w:tcBorders>
              <w:top w:val="single" w:sz="4" w:space="0" w:color="auto"/>
              <w:left w:val="single" w:sz="4" w:space="0" w:color="auto"/>
              <w:bottom w:val="single" w:sz="4" w:space="0" w:color="auto"/>
              <w:right w:val="single" w:sz="4" w:space="0" w:color="auto"/>
            </w:tcBorders>
            <w:hideMark/>
          </w:tcPr>
          <w:p w:rsidR="005727C2" w:rsidRDefault="005727C2">
            <w:pPr>
              <w:spacing w:after="0"/>
              <w:jc w:val="center"/>
              <w:rPr>
                <w:sz w:val="20"/>
                <w:szCs w:val="20"/>
                <w:lang w:eastAsia="en-US"/>
              </w:rPr>
            </w:pPr>
            <w:r>
              <w:rPr>
                <w:sz w:val="20"/>
                <w:szCs w:val="20"/>
                <w:lang w:eastAsia="en-US"/>
              </w:rPr>
              <w:t>3</w:t>
            </w:r>
          </w:p>
        </w:tc>
        <w:tc>
          <w:tcPr>
            <w:tcW w:w="1376" w:type="dxa"/>
            <w:tcBorders>
              <w:top w:val="single" w:sz="4" w:space="0" w:color="auto"/>
              <w:left w:val="single" w:sz="4" w:space="0" w:color="auto"/>
              <w:bottom w:val="single" w:sz="4" w:space="0" w:color="auto"/>
              <w:right w:val="single" w:sz="4" w:space="0" w:color="auto"/>
            </w:tcBorders>
            <w:hideMark/>
          </w:tcPr>
          <w:p w:rsidR="005727C2" w:rsidRDefault="005727C2">
            <w:pPr>
              <w:spacing w:after="0"/>
              <w:jc w:val="center"/>
              <w:rPr>
                <w:sz w:val="20"/>
                <w:szCs w:val="20"/>
                <w:lang w:eastAsia="en-US"/>
              </w:rPr>
            </w:pPr>
            <w:r>
              <w:rPr>
                <w:sz w:val="20"/>
                <w:szCs w:val="20"/>
                <w:lang w:eastAsia="en-US"/>
              </w:rPr>
              <w:t>-</w:t>
            </w:r>
          </w:p>
        </w:tc>
        <w:tc>
          <w:tcPr>
            <w:tcW w:w="1559" w:type="dxa"/>
            <w:tcBorders>
              <w:top w:val="single" w:sz="4" w:space="0" w:color="auto"/>
              <w:left w:val="single" w:sz="4" w:space="0" w:color="auto"/>
              <w:bottom w:val="single" w:sz="4" w:space="0" w:color="auto"/>
              <w:right w:val="single" w:sz="4" w:space="0" w:color="auto"/>
            </w:tcBorders>
            <w:hideMark/>
          </w:tcPr>
          <w:p w:rsidR="005727C2" w:rsidRDefault="005727C2">
            <w:pPr>
              <w:spacing w:after="0"/>
              <w:jc w:val="center"/>
              <w:rPr>
                <w:sz w:val="20"/>
                <w:szCs w:val="20"/>
                <w:lang w:eastAsia="en-US"/>
              </w:rPr>
            </w:pPr>
            <w:r>
              <w:rPr>
                <w:sz w:val="20"/>
                <w:szCs w:val="20"/>
                <w:lang w:eastAsia="en-US"/>
              </w:rPr>
              <w:t>3</w:t>
            </w:r>
          </w:p>
        </w:tc>
        <w:tc>
          <w:tcPr>
            <w:tcW w:w="1276" w:type="dxa"/>
            <w:tcBorders>
              <w:top w:val="single" w:sz="4" w:space="0" w:color="auto"/>
              <w:left w:val="single" w:sz="4" w:space="0" w:color="auto"/>
              <w:bottom w:val="single" w:sz="4" w:space="0" w:color="auto"/>
              <w:right w:val="single" w:sz="4" w:space="0" w:color="auto"/>
            </w:tcBorders>
            <w:hideMark/>
          </w:tcPr>
          <w:p w:rsidR="005727C2" w:rsidRDefault="005727C2">
            <w:pPr>
              <w:spacing w:after="0"/>
              <w:jc w:val="center"/>
              <w:rPr>
                <w:sz w:val="20"/>
                <w:szCs w:val="20"/>
                <w:lang w:eastAsia="en-US"/>
              </w:rPr>
            </w:pPr>
            <w:r>
              <w:rPr>
                <w:sz w:val="20"/>
                <w:szCs w:val="20"/>
                <w:lang w:eastAsia="en-US"/>
              </w:rPr>
              <w:t>-</w:t>
            </w:r>
          </w:p>
        </w:tc>
        <w:tc>
          <w:tcPr>
            <w:tcW w:w="1134" w:type="dxa"/>
            <w:tcBorders>
              <w:top w:val="single" w:sz="4" w:space="0" w:color="auto"/>
              <w:left w:val="single" w:sz="4" w:space="0" w:color="auto"/>
              <w:bottom w:val="single" w:sz="4" w:space="0" w:color="auto"/>
              <w:right w:val="single" w:sz="4" w:space="0" w:color="auto"/>
            </w:tcBorders>
            <w:hideMark/>
          </w:tcPr>
          <w:p w:rsidR="005727C2" w:rsidRDefault="005727C2">
            <w:pPr>
              <w:spacing w:after="0"/>
              <w:jc w:val="center"/>
              <w:rPr>
                <w:sz w:val="20"/>
                <w:szCs w:val="20"/>
                <w:lang w:eastAsia="en-US"/>
              </w:rPr>
            </w:pPr>
            <w:r>
              <w:rPr>
                <w:sz w:val="20"/>
                <w:szCs w:val="20"/>
                <w:lang w:eastAsia="en-US"/>
              </w:rPr>
              <w:t>-</w:t>
            </w:r>
          </w:p>
        </w:tc>
        <w:tc>
          <w:tcPr>
            <w:tcW w:w="1559" w:type="dxa"/>
            <w:tcBorders>
              <w:top w:val="single" w:sz="4" w:space="0" w:color="auto"/>
              <w:left w:val="single" w:sz="4" w:space="0" w:color="auto"/>
              <w:bottom w:val="single" w:sz="4" w:space="0" w:color="auto"/>
              <w:right w:val="single" w:sz="4" w:space="0" w:color="auto"/>
            </w:tcBorders>
            <w:hideMark/>
          </w:tcPr>
          <w:p w:rsidR="005727C2" w:rsidRDefault="005727C2">
            <w:pPr>
              <w:spacing w:after="0"/>
              <w:jc w:val="center"/>
              <w:rPr>
                <w:sz w:val="20"/>
                <w:szCs w:val="20"/>
                <w:lang w:eastAsia="en-US"/>
              </w:rPr>
            </w:pPr>
            <w:r>
              <w:rPr>
                <w:sz w:val="20"/>
                <w:szCs w:val="20"/>
                <w:lang w:eastAsia="en-US"/>
              </w:rPr>
              <w:t>-</w:t>
            </w:r>
          </w:p>
        </w:tc>
      </w:tr>
      <w:tr w:rsidR="005727C2" w:rsidTr="005727C2">
        <w:trPr>
          <w:jc w:val="center"/>
        </w:trPr>
        <w:tc>
          <w:tcPr>
            <w:tcW w:w="1718" w:type="dxa"/>
            <w:tcBorders>
              <w:top w:val="single" w:sz="4" w:space="0" w:color="auto"/>
              <w:left w:val="single" w:sz="4" w:space="0" w:color="auto"/>
              <w:bottom w:val="single" w:sz="4" w:space="0" w:color="auto"/>
              <w:right w:val="single" w:sz="4" w:space="0" w:color="auto"/>
            </w:tcBorders>
            <w:hideMark/>
          </w:tcPr>
          <w:p w:rsidR="005727C2" w:rsidRDefault="005727C2">
            <w:pPr>
              <w:spacing w:after="0"/>
              <w:rPr>
                <w:sz w:val="18"/>
                <w:szCs w:val="18"/>
                <w:lang w:eastAsia="en-US"/>
              </w:rPr>
            </w:pPr>
            <w:r>
              <w:rPr>
                <w:sz w:val="18"/>
                <w:szCs w:val="18"/>
                <w:lang w:eastAsia="en-US"/>
              </w:rPr>
              <w:t>Прочее</w:t>
            </w:r>
          </w:p>
        </w:tc>
        <w:tc>
          <w:tcPr>
            <w:tcW w:w="1493" w:type="dxa"/>
            <w:tcBorders>
              <w:top w:val="single" w:sz="4" w:space="0" w:color="auto"/>
              <w:left w:val="single" w:sz="4" w:space="0" w:color="auto"/>
              <w:bottom w:val="single" w:sz="4" w:space="0" w:color="auto"/>
              <w:right w:val="single" w:sz="4" w:space="0" w:color="auto"/>
            </w:tcBorders>
            <w:hideMark/>
          </w:tcPr>
          <w:p w:rsidR="005727C2" w:rsidRDefault="005727C2">
            <w:pPr>
              <w:spacing w:after="0"/>
              <w:jc w:val="center"/>
              <w:rPr>
                <w:sz w:val="20"/>
                <w:szCs w:val="20"/>
                <w:lang w:eastAsia="en-US"/>
              </w:rPr>
            </w:pPr>
            <w:r>
              <w:rPr>
                <w:sz w:val="20"/>
                <w:szCs w:val="20"/>
                <w:lang w:eastAsia="en-US"/>
              </w:rPr>
              <w:t>3</w:t>
            </w:r>
          </w:p>
        </w:tc>
        <w:tc>
          <w:tcPr>
            <w:tcW w:w="1376" w:type="dxa"/>
            <w:tcBorders>
              <w:top w:val="single" w:sz="4" w:space="0" w:color="auto"/>
              <w:left w:val="single" w:sz="4" w:space="0" w:color="auto"/>
              <w:bottom w:val="single" w:sz="4" w:space="0" w:color="auto"/>
              <w:right w:val="single" w:sz="4" w:space="0" w:color="auto"/>
            </w:tcBorders>
            <w:hideMark/>
          </w:tcPr>
          <w:p w:rsidR="005727C2" w:rsidRDefault="005727C2">
            <w:pPr>
              <w:spacing w:after="0"/>
              <w:jc w:val="center"/>
              <w:rPr>
                <w:sz w:val="20"/>
                <w:szCs w:val="20"/>
                <w:lang w:eastAsia="en-US"/>
              </w:rPr>
            </w:pPr>
            <w:r>
              <w:rPr>
                <w:sz w:val="20"/>
                <w:szCs w:val="20"/>
                <w:lang w:eastAsia="en-US"/>
              </w:rPr>
              <w:t>-</w:t>
            </w:r>
          </w:p>
        </w:tc>
        <w:tc>
          <w:tcPr>
            <w:tcW w:w="1559" w:type="dxa"/>
            <w:tcBorders>
              <w:top w:val="single" w:sz="4" w:space="0" w:color="auto"/>
              <w:left w:val="single" w:sz="4" w:space="0" w:color="auto"/>
              <w:bottom w:val="single" w:sz="4" w:space="0" w:color="auto"/>
              <w:right w:val="single" w:sz="4" w:space="0" w:color="auto"/>
            </w:tcBorders>
            <w:hideMark/>
          </w:tcPr>
          <w:p w:rsidR="005727C2" w:rsidRDefault="005727C2">
            <w:pPr>
              <w:spacing w:after="0"/>
              <w:jc w:val="center"/>
              <w:rPr>
                <w:sz w:val="20"/>
                <w:szCs w:val="20"/>
                <w:lang w:eastAsia="en-US"/>
              </w:rPr>
            </w:pPr>
            <w:r>
              <w:rPr>
                <w:sz w:val="20"/>
                <w:szCs w:val="20"/>
                <w:lang w:eastAsia="en-US"/>
              </w:rPr>
              <w:t>2</w:t>
            </w:r>
          </w:p>
        </w:tc>
        <w:tc>
          <w:tcPr>
            <w:tcW w:w="1276" w:type="dxa"/>
            <w:tcBorders>
              <w:top w:val="single" w:sz="4" w:space="0" w:color="auto"/>
              <w:left w:val="single" w:sz="4" w:space="0" w:color="auto"/>
              <w:bottom w:val="single" w:sz="4" w:space="0" w:color="auto"/>
              <w:right w:val="single" w:sz="4" w:space="0" w:color="auto"/>
            </w:tcBorders>
            <w:hideMark/>
          </w:tcPr>
          <w:p w:rsidR="005727C2" w:rsidRDefault="005727C2">
            <w:pPr>
              <w:spacing w:after="0"/>
              <w:jc w:val="center"/>
              <w:rPr>
                <w:sz w:val="20"/>
                <w:szCs w:val="20"/>
                <w:lang w:eastAsia="en-US"/>
              </w:rPr>
            </w:pPr>
            <w:r>
              <w:rPr>
                <w:sz w:val="20"/>
                <w:szCs w:val="20"/>
                <w:lang w:eastAsia="en-US"/>
              </w:rPr>
              <w:t>25000</w:t>
            </w:r>
          </w:p>
        </w:tc>
        <w:tc>
          <w:tcPr>
            <w:tcW w:w="1134" w:type="dxa"/>
            <w:tcBorders>
              <w:top w:val="single" w:sz="4" w:space="0" w:color="auto"/>
              <w:left w:val="single" w:sz="4" w:space="0" w:color="auto"/>
              <w:bottom w:val="single" w:sz="4" w:space="0" w:color="auto"/>
              <w:right w:val="single" w:sz="4" w:space="0" w:color="auto"/>
            </w:tcBorders>
            <w:hideMark/>
          </w:tcPr>
          <w:p w:rsidR="005727C2" w:rsidRDefault="005727C2">
            <w:pPr>
              <w:spacing w:after="0"/>
              <w:jc w:val="center"/>
              <w:rPr>
                <w:sz w:val="20"/>
                <w:szCs w:val="20"/>
                <w:lang w:eastAsia="en-US"/>
              </w:rPr>
            </w:pPr>
            <w:r>
              <w:rPr>
                <w:sz w:val="20"/>
                <w:szCs w:val="20"/>
                <w:lang w:eastAsia="en-US"/>
              </w:rPr>
              <w:t>25000</w:t>
            </w:r>
          </w:p>
        </w:tc>
        <w:tc>
          <w:tcPr>
            <w:tcW w:w="1559" w:type="dxa"/>
            <w:tcBorders>
              <w:top w:val="single" w:sz="4" w:space="0" w:color="auto"/>
              <w:left w:val="single" w:sz="4" w:space="0" w:color="auto"/>
              <w:bottom w:val="single" w:sz="4" w:space="0" w:color="auto"/>
              <w:right w:val="single" w:sz="4" w:space="0" w:color="auto"/>
            </w:tcBorders>
            <w:hideMark/>
          </w:tcPr>
          <w:p w:rsidR="005727C2" w:rsidRDefault="005727C2">
            <w:pPr>
              <w:spacing w:after="0"/>
              <w:jc w:val="center"/>
              <w:rPr>
                <w:sz w:val="20"/>
                <w:szCs w:val="20"/>
                <w:lang w:eastAsia="en-US"/>
              </w:rPr>
            </w:pPr>
            <w:r>
              <w:rPr>
                <w:sz w:val="20"/>
                <w:szCs w:val="20"/>
                <w:lang w:eastAsia="en-US"/>
              </w:rPr>
              <w:t>-</w:t>
            </w:r>
          </w:p>
        </w:tc>
      </w:tr>
      <w:tr w:rsidR="005727C2" w:rsidTr="005727C2">
        <w:trPr>
          <w:jc w:val="center"/>
        </w:trPr>
        <w:tc>
          <w:tcPr>
            <w:tcW w:w="1718" w:type="dxa"/>
            <w:tcBorders>
              <w:top w:val="single" w:sz="4" w:space="0" w:color="auto"/>
              <w:left w:val="single" w:sz="4" w:space="0" w:color="auto"/>
              <w:bottom w:val="single" w:sz="4" w:space="0" w:color="auto"/>
              <w:right w:val="single" w:sz="4" w:space="0" w:color="auto"/>
            </w:tcBorders>
            <w:hideMark/>
          </w:tcPr>
          <w:p w:rsidR="005727C2" w:rsidRDefault="005727C2">
            <w:pPr>
              <w:spacing w:after="0"/>
              <w:rPr>
                <w:sz w:val="18"/>
                <w:szCs w:val="18"/>
                <w:lang w:eastAsia="en-US"/>
              </w:rPr>
            </w:pPr>
            <w:r>
              <w:rPr>
                <w:sz w:val="18"/>
                <w:szCs w:val="18"/>
                <w:lang w:eastAsia="en-US"/>
              </w:rPr>
              <w:t>Итого:</w:t>
            </w:r>
          </w:p>
        </w:tc>
        <w:tc>
          <w:tcPr>
            <w:tcW w:w="1493" w:type="dxa"/>
            <w:tcBorders>
              <w:top w:val="single" w:sz="4" w:space="0" w:color="auto"/>
              <w:left w:val="single" w:sz="4" w:space="0" w:color="auto"/>
              <w:bottom w:val="single" w:sz="4" w:space="0" w:color="auto"/>
              <w:right w:val="single" w:sz="4" w:space="0" w:color="auto"/>
            </w:tcBorders>
            <w:hideMark/>
          </w:tcPr>
          <w:p w:rsidR="005727C2" w:rsidRDefault="005727C2">
            <w:pPr>
              <w:spacing w:after="0"/>
              <w:jc w:val="center"/>
              <w:rPr>
                <w:sz w:val="20"/>
                <w:szCs w:val="20"/>
                <w:lang w:eastAsia="en-US"/>
              </w:rPr>
            </w:pPr>
            <w:r>
              <w:rPr>
                <w:sz w:val="20"/>
                <w:szCs w:val="20"/>
                <w:lang w:eastAsia="en-US"/>
              </w:rPr>
              <w:t>298</w:t>
            </w:r>
          </w:p>
        </w:tc>
        <w:tc>
          <w:tcPr>
            <w:tcW w:w="1376" w:type="dxa"/>
            <w:tcBorders>
              <w:top w:val="single" w:sz="4" w:space="0" w:color="auto"/>
              <w:left w:val="single" w:sz="4" w:space="0" w:color="auto"/>
              <w:bottom w:val="single" w:sz="4" w:space="0" w:color="auto"/>
              <w:right w:val="single" w:sz="4" w:space="0" w:color="auto"/>
            </w:tcBorders>
            <w:hideMark/>
          </w:tcPr>
          <w:p w:rsidR="005727C2" w:rsidRDefault="005727C2">
            <w:pPr>
              <w:spacing w:after="0"/>
              <w:jc w:val="center"/>
              <w:rPr>
                <w:sz w:val="20"/>
                <w:szCs w:val="20"/>
                <w:lang w:eastAsia="en-US"/>
              </w:rPr>
            </w:pPr>
            <w:r>
              <w:rPr>
                <w:sz w:val="20"/>
                <w:szCs w:val="20"/>
                <w:lang w:eastAsia="en-US"/>
              </w:rPr>
              <w:t>2</w:t>
            </w:r>
          </w:p>
        </w:tc>
        <w:tc>
          <w:tcPr>
            <w:tcW w:w="1559" w:type="dxa"/>
            <w:tcBorders>
              <w:top w:val="single" w:sz="4" w:space="0" w:color="auto"/>
              <w:left w:val="single" w:sz="4" w:space="0" w:color="auto"/>
              <w:bottom w:val="single" w:sz="4" w:space="0" w:color="auto"/>
              <w:right w:val="single" w:sz="4" w:space="0" w:color="auto"/>
            </w:tcBorders>
            <w:hideMark/>
          </w:tcPr>
          <w:p w:rsidR="005727C2" w:rsidRDefault="005727C2">
            <w:pPr>
              <w:spacing w:after="0"/>
              <w:jc w:val="center"/>
              <w:rPr>
                <w:sz w:val="20"/>
                <w:szCs w:val="20"/>
                <w:lang w:eastAsia="en-US"/>
              </w:rPr>
            </w:pPr>
            <w:r>
              <w:rPr>
                <w:sz w:val="20"/>
                <w:szCs w:val="20"/>
                <w:lang w:eastAsia="en-US"/>
              </w:rPr>
              <w:t>67</w:t>
            </w:r>
          </w:p>
        </w:tc>
        <w:tc>
          <w:tcPr>
            <w:tcW w:w="1276" w:type="dxa"/>
            <w:tcBorders>
              <w:top w:val="single" w:sz="4" w:space="0" w:color="auto"/>
              <w:left w:val="single" w:sz="4" w:space="0" w:color="auto"/>
              <w:bottom w:val="single" w:sz="4" w:space="0" w:color="auto"/>
              <w:right w:val="single" w:sz="4" w:space="0" w:color="auto"/>
            </w:tcBorders>
            <w:hideMark/>
          </w:tcPr>
          <w:p w:rsidR="005727C2" w:rsidRDefault="005727C2">
            <w:pPr>
              <w:spacing w:after="0"/>
              <w:jc w:val="center"/>
              <w:rPr>
                <w:sz w:val="20"/>
                <w:szCs w:val="20"/>
                <w:lang w:eastAsia="en-US"/>
              </w:rPr>
            </w:pPr>
            <w:r>
              <w:rPr>
                <w:sz w:val="20"/>
                <w:szCs w:val="20"/>
                <w:lang w:eastAsia="en-US"/>
              </w:rPr>
              <w:t>4969040</w:t>
            </w:r>
          </w:p>
        </w:tc>
        <w:tc>
          <w:tcPr>
            <w:tcW w:w="1134" w:type="dxa"/>
            <w:tcBorders>
              <w:top w:val="single" w:sz="4" w:space="0" w:color="auto"/>
              <w:left w:val="single" w:sz="4" w:space="0" w:color="auto"/>
              <w:bottom w:val="single" w:sz="4" w:space="0" w:color="auto"/>
              <w:right w:val="single" w:sz="4" w:space="0" w:color="auto"/>
            </w:tcBorders>
            <w:hideMark/>
          </w:tcPr>
          <w:p w:rsidR="005727C2" w:rsidRDefault="005727C2">
            <w:pPr>
              <w:spacing w:after="0"/>
              <w:jc w:val="center"/>
              <w:rPr>
                <w:sz w:val="20"/>
                <w:szCs w:val="20"/>
                <w:lang w:eastAsia="en-US"/>
              </w:rPr>
            </w:pPr>
            <w:r>
              <w:rPr>
                <w:sz w:val="20"/>
                <w:szCs w:val="20"/>
                <w:lang w:eastAsia="en-US"/>
              </w:rPr>
              <w:t>2664000</w:t>
            </w:r>
          </w:p>
        </w:tc>
        <w:tc>
          <w:tcPr>
            <w:tcW w:w="1559" w:type="dxa"/>
            <w:tcBorders>
              <w:top w:val="single" w:sz="4" w:space="0" w:color="auto"/>
              <w:left w:val="single" w:sz="4" w:space="0" w:color="auto"/>
              <w:bottom w:val="single" w:sz="4" w:space="0" w:color="auto"/>
              <w:right w:val="single" w:sz="4" w:space="0" w:color="auto"/>
            </w:tcBorders>
            <w:hideMark/>
          </w:tcPr>
          <w:p w:rsidR="005727C2" w:rsidRDefault="005727C2">
            <w:pPr>
              <w:spacing w:after="0"/>
              <w:jc w:val="center"/>
              <w:rPr>
                <w:sz w:val="20"/>
                <w:szCs w:val="20"/>
                <w:lang w:eastAsia="en-US"/>
              </w:rPr>
            </w:pPr>
            <w:r>
              <w:rPr>
                <w:sz w:val="20"/>
                <w:szCs w:val="20"/>
                <w:lang w:eastAsia="en-US"/>
              </w:rPr>
              <w:t>4</w:t>
            </w:r>
          </w:p>
        </w:tc>
      </w:tr>
    </w:tbl>
    <w:p w:rsidR="005727C2" w:rsidRDefault="005727C2" w:rsidP="005727C2">
      <w:pPr>
        <w:spacing w:after="0" w:line="240" w:lineRule="auto"/>
        <w:ind w:left="-284" w:right="-285" w:firstLine="708"/>
        <w:jc w:val="both"/>
        <w:rPr>
          <w:sz w:val="28"/>
          <w:szCs w:val="28"/>
        </w:rPr>
      </w:pPr>
      <w:r>
        <w:rPr>
          <w:sz w:val="28"/>
          <w:szCs w:val="28"/>
        </w:rPr>
        <w:t>В 2019 году департаментом проведено 15 административных расследований. Количество административных наказаний, наложенных в результате совершения административных правонарушений, по которым были проведены административные расследования, – 6 шт., общая сумма наложенных штрафов – 160 тыс. рублей.</w:t>
      </w:r>
    </w:p>
    <w:p w:rsidR="005727C2" w:rsidRDefault="005727C2" w:rsidP="005727C2">
      <w:pPr>
        <w:spacing w:after="0" w:line="240" w:lineRule="auto"/>
        <w:ind w:left="-284" w:right="-285" w:firstLine="708"/>
        <w:jc w:val="both"/>
        <w:rPr>
          <w:sz w:val="28"/>
          <w:szCs w:val="28"/>
        </w:rPr>
      </w:pPr>
    </w:p>
    <w:p w:rsidR="005727C2" w:rsidRDefault="00533808" w:rsidP="0061749D">
      <w:pPr>
        <w:autoSpaceDE w:val="0"/>
        <w:autoSpaceDN w:val="0"/>
        <w:adjustRightInd w:val="0"/>
        <w:spacing w:line="240" w:lineRule="auto"/>
        <w:ind w:firstLine="284"/>
        <w:jc w:val="both"/>
        <w:rPr>
          <w:b/>
          <w:sz w:val="28"/>
          <w:szCs w:val="28"/>
        </w:rPr>
      </w:pPr>
      <w:r>
        <w:rPr>
          <w:b/>
          <w:sz w:val="28"/>
          <w:szCs w:val="28"/>
        </w:rPr>
        <w:t>4</w:t>
      </w:r>
      <w:r w:rsidR="005727C2">
        <w:rPr>
          <w:b/>
          <w:sz w:val="28"/>
          <w:szCs w:val="28"/>
        </w:rPr>
        <w:t>.5. Анализ и оценка эффективности и результативности деятельности департамента по осуществлению регионального государственного контроля (надзора) в 2019 году.</w:t>
      </w:r>
    </w:p>
    <w:p w:rsidR="00781939" w:rsidRDefault="00781939" w:rsidP="00781939">
      <w:pPr>
        <w:autoSpaceDE w:val="0"/>
        <w:autoSpaceDN w:val="0"/>
        <w:adjustRightInd w:val="0"/>
        <w:spacing w:after="0" w:line="240" w:lineRule="auto"/>
        <w:ind w:firstLine="709"/>
        <w:jc w:val="both"/>
        <w:rPr>
          <w:kern w:val="28"/>
          <w:sz w:val="28"/>
          <w:szCs w:val="28"/>
        </w:rPr>
      </w:pPr>
      <w:r>
        <w:rPr>
          <w:sz w:val="28"/>
          <w:szCs w:val="28"/>
        </w:rPr>
        <w:t>Перечень показателей результативности и эффективности контрольно-надзорной деятельности Департамента,  установлен п</w:t>
      </w:r>
      <w:r>
        <w:rPr>
          <w:kern w:val="28"/>
          <w:sz w:val="28"/>
          <w:szCs w:val="28"/>
        </w:rPr>
        <w:t>риказом Департамента от 24.11.2017 № 3 (в ред. от приказа № 25 от 24.12.2018).</w:t>
      </w:r>
    </w:p>
    <w:p w:rsidR="005727C2" w:rsidRDefault="005727C2" w:rsidP="00533808">
      <w:pPr>
        <w:autoSpaceDE w:val="0"/>
        <w:autoSpaceDN w:val="0"/>
        <w:adjustRightInd w:val="0"/>
        <w:spacing w:line="240" w:lineRule="auto"/>
        <w:ind w:firstLine="709"/>
        <w:jc w:val="both"/>
        <w:rPr>
          <w:sz w:val="28"/>
          <w:szCs w:val="28"/>
        </w:rPr>
      </w:pPr>
      <w:r>
        <w:rPr>
          <w:sz w:val="28"/>
          <w:szCs w:val="28"/>
        </w:rPr>
        <w:t xml:space="preserve">В 2019 году сложились следующие показатели эффективности и результативности деятельности </w:t>
      </w:r>
      <w:r w:rsidR="00781939">
        <w:rPr>
          <w:sz w:val="28"/>
          <w:szCs w:val="28"/>
        </w:rPr>
        <w:t>Д</w:t>
      </w:r>
      <w:r>
        <w:rPr>
          <w:sz w:val="28"/>
          <w:szCs w:val="28"/>
        </w:rPr>
        <w:t>епартамента по осуществлению регионального государственного контроля (надзора):</w:t>
      </w:r>
    </w:p>
    <w:tbl>
      <w:tblPr>
        <w:tblW w:w="9478" w:type="dxa"/>
        <w:tblInd w:w="93" w:type="dxa"/>
        <w:tblLook w:val="04A0" w:firstRow="1" w:lastRow="0" w:firstColumn="1" w:lastColumn="0" w:noHBand="0" w:noVBand="1"/>
      </w:tblPr>
      <w:tblGrid>
        <w:gridCol w:w="865"/>
        <w:gridCol w:w="1435"/>
        <w:gridCol w:w="1575"/>
        <w:gridCol w:w="939"/>
        <w:gridCol w:w="972"/>
        <w:gridCol w:w="1186"/>
        <w:gridCol w:w="865"/>
        <w:gridCol w:w="684"/>
        <w:gridCol w:w="957"/>
      </w:tblGrid>
      <w:tr w:rsidR="005727C2" w:rsidTr="005727C2">
        <w:trPr>
          <w:trHeight w:val="2098"/>
        </w:trPr>
        <w:tc>
          <w:tcPr>
            <w:tcW w:w="865" w:type="dxa"/>
            <w:tcBorders>
              <w:top w:val="single" w:sz="4" w:space="0" w:color="auto"/>
              <w:left w:val="single" w:sz="4" w:space="0" w:color="auto"/>
              <w:bottom w:val="single" w:sz="4" w:space="0" w:color="auto"/>
              <w:right w:val="single" w:sz="4" w:space="0" w:color="auto"/>
            </w:tcBorders>
            <w:vAlign w:val="center"/>
            <w:hideMark/>
          </w:tcPr>
          <w:p w:rsidR="005727C2" w:rsidRDefault="005727C2">
            <w:pPr>
              <w:jc w:val="center"/>
              <w:rPr>
                <w:rFonts w:eastAsia="Times New Roman"/>
                <w:color w:val="000000"/>
                <w:sz w:val="16"/>
                <w:szCs w:val="16"/>
                <w:lang w:eastAsia="en-US"/>
              </w:rPr>
            </w:pPr>
            <w:r>
              <w:rPr>
                <w:rFonts w:eastAsia="Times New Roman"/>
                <w:color w:val="000000"/>
                <w:sz w:val="16"/>
                <w:szCs w:val="16"/>
                <w:lang w:eastAsia="en-US"/>
              </w:rPr>
              <w:lastRenderedPageBreak/>
              <w:t>Номер (индекс) показателя</w:t>
            </w:r>
          </w:p>
        </w:tc>
        <w:tc>
          <w:tcPr>
            <w:tcW w:w="1435" w:type="dxa"/>
            <w:tcBorders>
              <w:top w:val="single" w:sz="4" w:space="0" w:color="auto"/>
              <w:left w:val="nil"/>
              <w:bottom w:val="single" w:sz="4" w:space="0" w:color="auto"/>
              <w:right w:val="single" w:sz="4" w:space="0" w:color="auto"/>
            </w:tcBorders>
            <w:vAlign w:val="center"/>
            <w:hideMark/>
          </w:tcPr>
          <w:p w:rsidR="005727C2" w:rsidRDefault="005727C2">
            <w:pPr>
              <w:jc w:val="center"/>
              <w:rPr>
                <w:rFonts w:eastAsia="Times New Roman"/>
                <w:color w:val="000000"/>
                <w:sz w:val="16"/>
                <w:szCs w:val="16"/>
                <w:lang w:eastAsia="en-US"/>
              </w:rPr>
            </w:pPr>
            <w:r>
              <w:rPr>
                <w:rFonts w:eastAsia="Times New Roman"/>
                <w:color w:val="000000"/>
                <w:sz w:val="16"/>
                <w:szCs w:val="16"/>
                <w:lang w:eastAsia="en-US"/>
              </w:rPr>
              <w:t>Наименование показателя (группы показателей)</w:t>
            </w:r>
          </w:p>
        </w:tc>
        <w:tc>
          <w:tcPr>
            <w:tcW w:w="1575" w:type="dxa"/>
            <w:tcBorders>
              <w:top w:val="single" w:sz="4" w:space="0" w:color="auto"/>
              <w:left w:val="nil"/>
              <w:bottom w:val="single" w:sz="4" w:space="0" w:color="auto"/>
              <w:right w:val="single" w:sz="4" w:space="0" w:color="auto"/>
            </w:tcBorders>
            <w:vAlign w:val="center"/>
            <w:hideMark/>
          </w:tcPr>
          <w:p w:rsidR="005727C2" w:rsidRDefault="005727C2">
            <w:pPr>
              <w:jc w:val="center"/>
              <w:rPr>
                <w:rFonts w:eastAsia="Times New Roman"/>
                <w:color w:val="000000"/>
                <w:sz w:val="16"/>
                <w:szCs w:val="16"/>
                <w:lang w:eastAsia="en-US"/>
              </w:rPr>
            </w:pPr>
            <w:r>
              <w:rPr>
                <w:rFonts w:eastAsia="Times New Roman"/>
                <w:color w:val="000000"/>
                <w:sz w:val="16"/>
                <w:szCs w:val="16"/>
                <w:lang w:eastAsia="en-US"/>
              </w:rPr>
              <w:t>Формула расчета</w:t>
            </w:r>
          </w:p>
        </w:tc>
        <w:tc>
          <w:tcPr>
            <w:tcW w:w="939" w:type="dxa"/>
            <w:tcBorders>
              <w:top w:val="single" w:sz="4" w:space="0" w:color="auto"/>
              <w:left w:val="nil"/>
              <w:bottom w:val="single" w:sz="4" w:space="0" w:color="auto"/>
              <w:right w:val="single" w:sz="4" w:space="0" w:color="auto"/>
            </w:tcBorders>
            <w:vAlign w:val="center"/>
            <w:hideMark/>
          </w:tcPr>
          <w:p w:rsidR="005727C2" w:rsidRDefault="005727C2">
            <w:pPr>
              <w:jc w:val="center"/>
              <w:rPr>
                <w:rFonts w:eastAsia="Times New Roman"/>
                <w:color w:val="000000"/>
                <w:sz w:val="16"/>
                <w:szCs w:val="16"/>
                <w:lang w:eastAsia="en-US"/>
              </w:rPr>
            </w:pPr>
            <w:r>
              <w:rPr>
                <w:rFonts w:eastAsia="Times New Roman"/>
                <w:color w:val="000000"/>
                <w:sz w:val="16"/>
                <w:szCs w:val="16"/>
                <w:lang w:eastAsia="en-US"/>
              </w:rPr>
              <w:t>целевые значения показателей</w:t>
            </w:r>
          </w:p>
        </w:tc>
        <w:tc>
          <w:tcPr>
            <w:tcW w:w="972" w:type="dxa"/>
            <w:tcBorders>
              <w:top w:val="single" w:sz="4" w:space="0" w:color="auto"/>
              <w:left w:val="nil"/>
              <w:bottom w:val="single" w:sz="4" w:space="0" w:color="auto"/>
              <w:right w:val="single" w:sz="4" w:space="0" w:color="auto"/>
            </w:tcBorders>
            <w:vAlign w:val="center"/>
            <w:hideMark/>
          </w:tcPr>
          <w:p w:rsidR="005727C2" w:rsidRDefault="005727C2">
            <w:pPr>
              <w:jc w:val="center"/>
              <w:rPr>
                <w:rFonts w:eastAsia="Times New Roman"/>
                <w:color w:val="000000"/>
                <w:sz w:val="16"/>
                <w:szCs w:val="16"/>
                <w:lang w:eastAsia="en-US"/>
              </w:rPr>
            </w:pPr>
            <w:r>
              <w:rPr>
                <w:rFonts w:eastAsia="Times New Roman"/>
                <w:color w:val="000000"/>
                <w:sz w:val="16"/>
                <w:szCs w:val="16"/>
                <w:lang w:eastAsia="en-US"/>
              </w:rPr>
              <w:t>Источник данных для определения значения показателей</w:t>
            </w:r>
          </w:p>
        </w:tc>
        <w:tc>
          <w:tcPr>
            <w:tcW w:w="1186" w:type="dxa"/>
            <w:tcBorders>
              <w:top w:val="single" w:sz="4" w:space="0" w:color="auto"/>
              <w:left w:val="nil"/>
              <w:bottom w:val="single" w:sz="4" w:space="0" w:color="auto"/>
              <w:right w:val="single" w:sz="4" w:space="0" w:color="auto"/>
            </w:tcBorders>
            <w:vAlign w:val="center"/>
            <w:hideMark/>
          </w:tcPr>
          <w:p w:rsidR="005727C2" w:rsidRDefault="005727C2">
            <w:pPr>
              <w:jc w:val="center"/>
              <w:rPr>
                <w:rFonts w:eastAsia="Times New Roman"/>
                <w:color w:val="000000"/>
                <w:sz w:val="16"/>
                <w:szCs w:val="16"/>
                <w:lang w:eastAsia="en-US"/>
              </w:rPr>
            </w:pPr>
            <w:r>
              <w:rPr>
                <w:rFonts w:eastAsia="Times New Roman"/>
                <w:color w:val="000000"/>
                <w:sz w:val="16"/>
                <w:szCs w:val="16"/>
                <w:lang w:eastAsia="en-US"/>
              </w:rPr>
              <w:t>Сведения о документах стратегического планирования, содержащих показатель (при его наличии)</w:t>
            </w:r>
          </w:p>
        </w:tc>
        <w:tc>
          <w:tcPr>
            <w:tcW w:w="865" w:type="dxa"/>
            <w:tcBorders>
              <w:top w:val="single" w:sz="4" w:space="0" w:color="auto"/>
              <w:left w:val="nil"/>
              <w:bottom w:val="single" w:sz="4" w:space="0" w:color="auto"/>
              <w:right w:val="single" w:sz="4" w:space="0" w:color="auto"/>
            </w:tcBorders>
            <w:shd w:val="clear" w:color="auto" w:fill="FFFFFF"/>
            <w:vAlign w:val="center"/>
            <w:hideMark/>
          </w:tcPr>
          <w:p w:rsidR="005727C2" w:rsidRDefault="005727C2">
            <w:pPr>
              <w:jc w:val="center"/>
              <w:rPr>
                <w:rFonts w:eastAsia="Times New Roman"/>
                <w:color w:val="000000"/>
                <w:sz w:val="16"/>
                <w:szCs w:val="16"/>
                <w:lang w:eastAsia="en-US"/>
              </w:rPr>
            </w:pPr>
            <w:r>
              <w:rPr>
                <w:rFonts w:eastAsia="Times New Roman"/>
                <w:color w:val="000000"/>
                <w:sz w:val="16"/>
                <w:szCs w:val="16"/>
                <w:lang w:eastAsia="en-US"/>
              </w:rPr>
              <w:t>значение показателя (текущее)</w:t>
            </w:r>
          </w:p>
        </w:tc>
        <w:tc>
          <w:tcPr>
            <w:tcW w:w="684" w:type="dxa"/>
            <w:tcBorders>
              <w:top w:val="single" w:sz="4" w:space="0" w:color="auto"/>
              <w:left w:val="nil"/>
              <w:bottom w:val="single" w:sz="4" w:space="0" w:color="auto"/>
              <w:right w:val="single" w:sz="4" w:space="0" w:color="auto"/>
            </w:tcBorders>
            <w:vAlign w:val="center"/>
            <w:hideMark/>
          </w:tcPr>
          <w:p w:rsidR="005727C2" w:rsidRDefault="005727C2">
            <w:pPr>
              <w:jc w:val="center"/>
              <w:rPr>
                <w:rFonts w:eastAsia="Times New Roman"/>
                <w:color w:val="000000"/>
                <w:sz w:val="16"/>
                <w:szCs w:val="16"/>
                <w:lang w:eastAsia="en-US"/>
              </w:rPr>
            </w:pPr>
            <w:r>
              <w:rPr>
                <w:rFonts w:eastAsia="Times New Roman"/>
                <w:color w:val="000000"/>
                <w:sz w:val="16"/>
                <w:szCs w:val="16"/>
                <w:lang w:eastAsia="en-US"/>
              </w:rPr>
              <w:t>бальная оценка</w:t>
            </w:r>
          </w:p>
        </w:tc>
        <w:tc>
          <w:tcPr>
            <w:tcW w:w="957" w:type="dxa"/>
            <w:tcBorders>
              <w:top w:val="single" w:sz="4" w:space="0" w:color="auto"/>
              <w:left w:val="nil"/>
              <w:bottom w:val="single" w:sz="4" w:space="0" w:color="auto"/>
              <w:right w:val="single" w:sz="4" w:space="0" w:color="auto"/>
            </w:tcBorders>
            <w:vAlign w:val="center"/>
            <w:hideMark/>
          </w:tcPr>
          <w:p w:rsidR="005727C2" w:rsidRDefault="005727C2">
            <w:pPr>
              <w:jc w:val="center"/>
              <w:rPr>
                <w:rFonts w:eastAsia="Times New Roman"/>
                <w:color w:val="000000"/>
                <w:sz w:val="16"/>
                <w:szCs w:val="16"/>
                <w:lang w:eastAsia="en-US"/>
              </w:rPr>
            </w:pPr>
            <w:r>
              <w:rPr>
                <w:rFonts w:eastAsia="Times New Roman"/>
                <w:color w:val="000000"/>
                <w:sz w:val="16"/>
                <w:szCs w:val="16"/>
                <w:lang w:eastAsia="en-US"/>
              </w:rPr>
              <w:t>Примечание</w:t>
            </w:r>
          </w:p>
        </w:tc>
      </w:tr>
      <w:tr w:rsidR="005727C2" w:rsidTr="005727C2">
        <w:trPr>
          <w:trHeight w:val="300"/>
        </w:trPr>
        <w:tc>
          <w:tcPr>
            <w:tcW w:w="865" w:type="dxa"/>
            <w:tcBorders>
              <w:top w:val="nil"/>
              <w:left w:val="single" w:sz="4" w:space="0" w:color="auto"/>
              <w:bottom w:val="single" w:sz="4" w:space="0" w:color="auto"/>
              <w:right w:val="single" w:sz="4" w:space="0" w:color="auto"/>
            </w:tcBorders>
            <w:vAlign w:val="center"/>
            <w:hideMark/>
          </w:tcPr>
          <w:p w:rsidR="005727C2" w:rsidRDefault="005727C2">
            <w:pPr>
              <w:jc w:val="center"/>
              <w:rPr>
                <w:rFonts w:eastAsia="Times New Roman"/>
                <w:color w:val="000000"/>
                <w:sz w:val="16"/>
                <w:szCs w:val="16"/>
                <w:lang w:eastAsia="en-US"/>
              </w:rPr>
            </w:pPr>
            <w:r>
              <w:rPr>
                <w:rFonts w:eastAsia="Times New Roman"/>
                <w:color w:val="000000"/>
                <w:sz w:val="16"/>
                <w:szCs w:val="16"/>
                <w:lang w:eastAsia="en-US"/>
              </w:rPr>
              <w:t>А</w:t>
            </w:r>
          </w:p>
        </w:tc>
        <w:tc>
          <w:tcPr>
            <w:tcW w:w="8613" w:type="dxa"/>
            <w:gridSpan w:val="8"/>
            <w:tcBorders>
              <w:top w:val="single" w:sz="4" w:space="0" w:color="auto"/>
              <w:left w:val="nil"/>
              <w:bottom w:val="nil"/>
              <w:right w:val="single" w:sz="4" w:space="0" w:color="000000"/>
            </w:tcBorders>
            <w:vAlign w:val="center"/>
            <w:hideMark/>
          </w:tcPr>
          <w:p w:rsidR="005727C2" w:rsidRDefault="005727C2">
            <w:pPr>
              <w:rPr>
                <w:rFonts w:eastAsia="Times New Roman"/>
                <w:color w:val="000000"/>
                <w:sz w:val="16"/>
                <w:szCs w:val="16"/>
                <w:lang w:eastAsia="en-US"/>
              </w:rPr>
            </w:pPr>
            <w:r>
              <w:rPr>
                <w:rFonts w:eastAsia="Times New Roman"/>
                <w:color w:val="000000"/>
                <w:sz w:val="16"/>
                <w:szCs w:val="16"/>
                <w:lang w:eastAsia="en-US"/>
              </w:rPr>
              <w:t>Показатели результативности, отражающие уровень безопасности охраняемых законом ценностей, выражающийся в минимизации причинения им вреда (ущерба)</w:t>
            </w:r>
          </w:p>
        </w:tc>
      </w:tr>
      <w:tr w:rsidR="005727C2" w:rsidTr="005727C2">
        <w:trPr>
          <w:trHeight w:val="20"/>
        </w:trPr>
        <w:tc>
          <w:tcPr>
            <w:tcW w:w="865" w:type="dxa"/>
            <w:tcBorders>
              <w:top w:val="nil"/>
              <w:left w:val="single" w:sz="4" w:space="0" w:color="auto"/>
              <w:bottom w:val="single" w:sz="4" w:space="0" w:color="auto"/>
              <w:right w:val="single" w:sz="4" w:space="0" w:color="auto"/>
            </w:tcBorders>
            <w:vAlign w:val="center"/>
            <w:hideMark/>
          </w:tcPr>
          <w:p w:rsidR="005727C2" w:rsidRDefault="005727C2">
            <w:pPr>
              <w:jc w:val="center"/>
              <w:rPr>
                <w:rFonts w:eastAsia="Times New Roman"/>
                <w:color w:val="000000"/>
                <w:sz w:val="16"/>
                <w:szCs w:val="16"/>
                <w:lang w:eastAsia="en-US"/>
              </w:rPr>
            </w:pPr>
            <w:r>
              <w:rPr>
                <w:rFonts w:eastAsia="Times New Roman"/>
                <w:color w:val="000000"/>
                <w:sz w:val="16"/>
                <w:szCs w:val="16"/>
                <w:lang w:eastAsia="en-US"/>
              </w:rPr>
              <w:t>А.3.1</w:t>
            </w:r>
          </w:p>
        </w:tc>
        <w:tc>
          <w:tcPr>
            <w:tcW w:w="1435" w:type="dxa"/>
            <w:tcBorders>
              <w:top w:val="single" w:sz="4" w:space="0" w:color="auto"/>
              <w:left w:val="nil"/>
              <w:bottom w:val="single" w:sz="4" w:space="0" w:color="auto"/>
              <w:right w:val="single" w:sz="4" w:space="0" w:color="auto"/>
            </w:tcBorders>
            <w:vAlign w:val="center"/>
            <w:hideMark/>
          </w:tcPr>
          <w:p w:rsidR="005727C2" w:rsidRDefault="005727C2">
            <w:pPr>
              <w:rPr>
                <w:rFonts w:eastAsia="Times New Roman"/>
                <w:color w:val="000000"/>
                <w:sz w:val="16"/>
                <w:szCs w:val="16"/>
                <w:lang w:eastAsia="en-US"/>
              </w:rPr>
            </w:pPr>
            <w:r>
              <w:rPr>
                <w:rFonts w:eastAsia="Times New Roman"/>
                <w:color w:val="000000"/>
                <w:sz w:val="16"/>
                <w:szCs w:val="16"/>
                <w:lang w:eastAsia="en-US"/>
              </w:rPr>
              <w:t>доля проведенных плановых проверок от общего количества запланированных проверок (за исключением проверок, не проведенных по независящим от департамента причинам)</w:t>
            </w:r>
          </w:p>
        </w:tc>
        <w:tc>
          <w:tcPr>
            <w:tcW w:w="1575" w:type="dxa"/>
            <w:tcBorders>
              <w:top w:val="single" w:sz="4" w:space="0" w:color="auto"/>
              <w:left w:val="nil"/>
              <w:bottom w:val="single" w:sz="4" w:space="0" w:color="auto"/>
              <w:right w:val="single" w:sz="4" w:space="0" w:color="auto"/>
            </w:tcBorders>
            <w:vAlign w:val="center"/>
            <w:hideMark/>
          </w:tcPr>
          <w:p w:rsidR="005727C2" w:rsidRDefault="005727C2">
            <w:pPr>
              <w:rPr>
                <w:rFonts w:eastAsia="Times New Roman"/>
                <w:color w:val="000000"/>
                <w:sz w:val="16"/>
                <w:szCs w:val="16"/>
                <w:lang w:eastAsia="en-US"/>
              </w:rPr>
            </w:pPr>
            <w:r>
              <w:rPr>
                <w:rFonts w:eastAsia="Times New Roman"/>
                <w:color w:val="000000"/>
                <w:sz w:val="16"/>
                <w:szCs w:val="16"/>
                <w:lang w:eastAsia="en-US"/>
              </w:rPr>
              <w:t> </w:t>
            </w:r>
          </w:p>
        </w:tc>
        <w:tc>
          <w:tcPr>
            <w:tcW w:w="939" w:type="dxa"/>
            <w:tcBorders>
              <w:top w:val="single" w:sz="4" w:space="0" w:color="auto"/>
              <w:left w:val="nil"/>
              <w:bottom w:val="single" w:sz="4" w:space="0" w:color="auto"/>
              <w:right w:val="single" w:sz="4" w:space="0" w:color="auto"/>
            </w:tcBorders>
            <w:vAlign w:val="center"/>
            <w:hideMark/>
          </w:tcPr>
          <w:p w:rsidR="005727C2" w:rsidRDefault="005727C2">
            <w:pPr>
              <w:jc w:val="center"/>
              <w:rPr>
                <w:rFonts w:eastAsia="Times New Roman"/>
                <w:sz w:val="16"/>
                <w:szCs w:val="16"/>
                <w:lang w:eastAsia="en-US"/>
              </w:rPr>
            </w:pPr>
            <w:r>
              <w:rPr>
                <w:rFonts w:eastAsia="Times New Roman"/>
                <w:sz w:val="16"/>
                <w:szCs w:val="16"/>
                <w:lang w:eastAsia="en-US"/>
              </w:rPr>
              <w:t>не менее 85%</w:t>
            </w:r>
          </w:p>
        </w:tc>
        <w:tc>
          <w:tcPr>
            <w:tcW w:w="972" w:type="dxa"/>
            <w:tcBorders>
              <w:top w:val="single" w:sz="4" w:space="0" w:color="auto"/>
              <w:left w:val="nil"/>
              <w:bottom w:val="single" w:sz="4" w:space="0" w:color="auto"/>
              <w:right w:val="single" w:sz="4" w:space="0" w:color="auto"/>
            </w:tcBorders>
            <w:noWrap/>
            <w:vAlign w:val="bottom"/>
            <w:hideMark/>
          </w:tcPr>
          <w:p w:rsidR="005727C2" w:rsidRDefault="005727C2">
            <w:pPr>
              <w:rPr>
                <w:rFonts w:eastAsia="Times New Roman"/>
                <w:color w:val="000000"/>
                <w:sz w:val="16"/>
                <w:szCs w:val="16"/>
                <w:lang w:eastAsia="en-US"/>
              </w:rPr>
            </w:pPr>
            <w:r>
              <w:rPr>
                <w:rFonts w:eastAsia="Times New Roman"/>
                <w:color w:val="000000"/>
                <w:sz w:val="16"/>
                <w:szCs w:val="16"/>
                <w:lang w:eastAsia="en-US"/>
              </w:rPr>
              <w:t> </w:t>
            </w:r>
          </w:p>
        </w:tc>
        <w:tc>
          <w:tcPr>
            <w:tcW w:w="1186" w:type="dxa"/>
            <w:tcBorders>
              <w:top w:val="single" w:sz="4" w:space="0" w:color="auto"/>
              <w:left w:val="nil"/>
              <w:bottom w:val="single" w:sz="4" w:space="0" w:color="auto"/>
              <w:right w:val="single" w:sz="4" w:space="0" w:color="auto"/>
            </w:tcBorders>
            <w:noWrap/>
            <w:vAlign w:val="bottom"/>
            <w:hideMark/>
          </w:tcPr>
          <w:p w:rsidR="005727C2" w:rsidRDefault="005727C2">
            <w:pPr>
              <w:rPr>
                <w:rFonts w:eastAsia="Times New Roman"/>
                <w:color w:val="000000"/>
                <w:sz w:val="16"/>
                <w:szCs w:val="16"/>
                <w:lang w:eastAsia="en-US"/>
              </w:rPr>
            </w:pPr>
            <w:r>
              <w:rPr>
                <w:rFonts w:eastAsia="Times New Roman"/>
                <w:color w:val="000000"/>
                <w:sz w:val="16"/>
                <w:szCs w:val="16"/>
                <w:lang w:eastAsia="en-US"/>
              </w:rPr>
              <w:t> </w:t>
            </w:r>
          </w:p>
        </w:tc>
        <w:tc>
          <w:tcPr>
            <w:tcW w:w="865" w:type="dxa"/>
            <w:tcBorders>
              <w:top w:val="single" w:sz="4" w:space="0" w:color="auto"/>
              <w:left w:val="nil"/>
              <w:bottom w:val="single" w:sz="4" w:space="0" w:color="auto"/>
              <w:right w:val="single" w:sz="4" w:space="0" w:color="auto"/>
            </w:tcBorders>
            <w:shd w:val="clear" w:color="auto" w:fill="FFFFFF"/>
            <w:noWrap/>
            <w:vAlign w:val="center"/>
            <w:hideMark/>
          </w:tcPr>
          <w:p w:rsidR="005727C2" w:rsidRDefault="005727C2">
            <w:pPr>
              <w:jc w:val="center"/>
              <w:rPr>
                <w:rFonts w:eastAsia="Times New Roman"/>
                <w:sz w:val="16"/>
                <w:szCs w:val="16"/>
                <w:lang w:eastAsia="en-US"/>
              </w:rPr>
            </w:pPr>
            <w:r>
              <w:rPr>
                <w:rFonts w:eastAsia="Times New Roman"/>
                <w:sz w:val="16"/>
                <w:szCs w:val="16"/>
                <w:lang w:eastAsia="en-US"/>
              </w:rPr>
              <w:t>100%</w:t>
            </w:r>
          </w:p>
        </w:tc>
        <w:tc>
          <w:tcPr>
            <w:tcW w:w="684" w:type="dxa"/>
            <w:tcBorders>
              <w:top w:val="single" w:sz="4" w:space="0" w:color="auto"/>
              <w:left w:val="nil"/>
              <w:bottom w:val="single" w:sz="4" w:space="0" w:color="auto"/>
              <w:right w:val="single" w:sz="4" w:space="0" w:color="auto"/>
            </w:tcBorders>
            <w:noWrap/>
            <w:vAlign w:val="bottom"/>
            <w:hideMark/>
          </w:tcPr>
          <w:p w:rsidR="005727C2" w:rsidRDefault="005727C2">
            <w:pPr>
              <w:rPr>
                <w:rFonts w:eastAsia="Times New Roman"/>
                <w:color w:val="000000"/>
                <w:sz w:val="16"/>
                <w:szCs w:val="16"/>
                <w:lang w:eastAsia="en-US"/>
              </w:rPr>
            </w:pPr>
            <w:r>
              <w:rPr>
                <w:rFonts w:eastAsia="Times New Roman"/>
                <w:color w:val="000000"/>
                <w:sz w:val="16"/>
                <w:szCs w:val="16"/>
                <w:lang w:eastAsia="en-US"/>
              </w:rPr>
              <w:t> </w:t>
            </w:r>
          </w:p>
        </w:tc>
        <w:tc>
          <w:tcPr>
            <w:tcW w:w="957" w:type="dxa"/>
            <w:tcBorders>
              <w:top w:val="single" w:sz="4" w:space="0" w:color="auto"/>
              <w:left w:val="nil"/>
              <w:bottom w:val="single" w:sz="4" w:space="0" w:color="auto"/>
              <w:right w:val="single" w:sz="4" w:space="0" w:color="auto"/>
            </w:tcBorders>
            <w:noWrap/>
            <w:vAlign w:val="bottom"/>
            <w:hideMark/>
          </w:tcPr>
          <w:p w:rsidR="005727C2" w:rsidRDefault="005727C2">
            <w:pPr>
              <w:rPr>
                <w:rFonts w:eastAsia="Times New Roman"/>
                <w:color w:val="000000"/>
                <w:sz w:val="16"/>
                <w:szCs w:val="16"/>
                <w:lang w:eastAsia="en-US"/>
              </w:rPr>
            </w:pPr>
            <w:r>
              <w:rPr>
                <w:rFonts w:eastAsia="Times New Roman"/>
                <w:color w:val="000000"/>
                <w:sz w:val="16"/>
                <w:szCs w:val="16"/>
                <w:lang w:eastAsia="en-US"/>
              </w:rPr>
              <w:t> </w:t>
            </w:r>
          </w:p>
        </w:tc>
      </w:tr>
      <w:tr w:rsidR="005727C2" w:rsidTr="005727C2">
        <w:trPr>
          <w:trHeight w:val="20"/>
        </w:trPr>
        <w:tc>
          <w:tcPr>
            <w:tcW w:w="865" w:type="dxa"/>
            <w:tcBorders>
              <w:top w:val="nil"/>
              <w:left w:val="single" w:sz="4" w:space="0" w:color="auto"/>
              <w:bottom w:val="single" w:sz="4" w:space="0" w:color="auto"/>
              <w:right w:val="single" w:sz="4" w:space="0" w:color="auto"/>
            </w:tcBorders>
            <w:vAlign w:val="center"/>
            <w:hideMark/>
          </w:tcPr>
          <w:p w:rsidR="005727C2" w:rsidRDefault="005727C2">
            <w:pPr>
              <w:jc w:val="center"/>
              <w:rPr>
                <w:rFonts w:eastAsia="Times New Roman"/>
                <w:color w:val="000000"/>
                <w:sz w:val="16"/>
                <w:szCs w:val="16"/>
                <w:lang w:eastAsia="en-US"/>
              </w:rPr>
            </w:pPr>
            <w:r>
              <w:rPr>
                <w:rFonts w:eastAsia="Times New Roman"/>
                <w:color w:val="000000"/>
                <w:sz w:val="16"/>
                <w:szCs w:val="16"/>
                <w:lang w:eastAsia="en-US"/>
              </w:rPr>
              <w:t>А.3.2</w:t>
            </w:r>
          </w:p>
        </w:tc>
        <w:tc>
          <w:tcPr>
            <w:tcW w:w="1435" w:type="dxa"/>
            <w:tcBorders>
              <w:top w:val="nil"/>
              <w:left w:val="nil"/>
              <w:bottom w:val="single" w:sz="4" w:space="0" w:color="auto"/>
              <w:right w:val="single" w:sz="4" w:space="0" w:color="auto"/>
            </w:tcBorders>
            <w:vAlign w:val="center"/>
            <w:hideMark/>
          </w:tcPr>
          <w:p w:rsidR="005727C2" w:rsidRDefault="005727C2">
            <w:pPr>
              <w:rPr>
                <w:rFonts w:eastAsia="Times New Roman"/>
                <w:color w:val="000000"/>
                <w:sz w:val="16"/>
                <w:szCs w:val="16"/>
                <w:lang w:eastAsia="en-US"/>
              </w:rPr>
            </w:pPr>
            <w:r>
              <w:rPr>
                <w:rFonts w:eastAsia="Times New Roman"/>
                <w:color w:val="000000"/>
                <w:sz w:val="16"/>
                <w:szCs w:val="16"/>
                <w:lang w:eastAsia="en-US"/>
              </w:rPr>
              <w:t>доля проверок, результаты которых были отменены или признаны недействительными (в процентах от общего числа проведенных проверок)</w:t>
            </w:r>
          </w:p>
        </w:tc>
        <w:tc>
          <w:tcPr>
            <w:tcW w:w="1575" w:type="dxa"/>
            <w:tcBorders>
              <w:top w:val="nil"/>
              <w:left w:val="nil"/>
              <w:bottom w:val="single" w:sz="4" w:space="0" w:color="auto"/>
              <w:right w:val="single" w:sz="4" w:space="0" w:color="auto"/>
            </w:tcBorders>
            <w:vAlign w:val="center"/>
            <w:hideMark/>
          </w:tcPr>
          <w:p w:rsidR="005727C2" w:rsidRDefault="005727C2">
            <w:pPr>
              <w:rPr>
                <w:rFonts w:eastAsia="Times New Roman"/>
                <w:color w:val="000000"/>
                <w:sz w:val="16"/>
                <w:szCs w:val="16"/>
                <w:lang w:eastAsia="en-US"/>
              </w:rPr>
            </w:pPr>
            <w:r>
              <w:rPr>
                <w:rFonts w:eastAsia="Times New Roman"/>
                <w:color w:val="000000"/>
                <w:sz w:val="16"/>
                <w:szCs w:val="16"/>
                <w:lang w:eastAsia="en-US"/>
              </w:rPr>
              <w:t> </w:t>
            </w:r>
          </w:p>
        </w:tc>
        <w:tc>
          <w:tcPr>
            <w:tcW w:w="939" w:type="dxa"/>
            <w:tcBorders>
              <w:top w:val="nil"/>
              <w:left w:val="nil"/>
              <w:bottom w:val="single" w:sz="4" w:space="0" w:color="auto"/>
              <w:right w:val="single" w:sz="4" w:space="0" w:color="auto"/>
            </w:tcBorders>
            <w:vAlign w:val="center"/>
            <w:hideMark/>
          </w:tcPr>
          <w:p w:rsidR="005727C2" w:rsidRDefault="005727C2">
            <w:pPr>
              <w:jc w:val="center"/>
              <w:rPr>
                <w:rFonts w:eastAsia="Times New Roman"/>
                <w:sz w:val="16"/>
                <w:szCs w:val="16"/>
                <w:lang w:eastAsia="en-US"/>
              </w:rPr>
            </w:pPr>
            <w:r>
              <w:rPr>
                <w:rFonts w:eastAsia="Times New Roman"/>
                <w:sz w:val="16"/>
                <w:szCs w:val="16"/>
                <w:lang w:eastAsia="en-US"/>
              </w:rPr>
              <w:t>не более 5%</w:t>
            </w:r>
          </w:p>
        </w:tc>
        <w:tc>
          <w:tcPr>
            <w:tcW w:w="972" w:type="dxa"/>
            <w:tcBorders>
              <w:top w:val="nil"/>
              <w:left w:val="nil"/>
              <w:bottom w:val="single" w:sz="4" w:space="0" w:color="auto"/>
              <w:right w:val="single" w:sz="4" w:space="0" w:color="auto"/>
            </w:tcBorders>
            <w:noWrap/>
            <w:vAlign w:val="bottom"/>
            <w:hideMark/>
          </w:tcPr>
          <w:p w:rsidR="005727C2" w:rsidRDefault="005727C2">
            <w:pPr>
              <w:rPr>
                <w:rFonts w:eastAsia="Times New Roman"/>
                <w:color w:val="000000"/>
                <w:sz w:val="16"/>
                <w:szCs w:val="16"/>
                <w:lang w:eastAsia="en-US"/>
              </w:rPr>
            </w:pPr>
            <w:r>
              <w:rPr>
                <w:rFonts w:eastAsia="Times New Roman"/>
                <w:color w:val="000000"/>
                <w:sz w:val="16"/>
                <w:szCs w:val="16"/>
                <w:lang w:eastAsia="en-US"/>
              </w:rPr>
              <w:t> </w:t>
            </w:r>
          </w:p>
        </w:tc>
        <w:tc>
          <w:tcPr>
            <w:tcW w:w="1186" w:type="dxa"/>
            <w:tcBorders>
              <w:top w:val="nil"/>
              <w:left w:val="nil"/>
              <w:bottom w:val="single" w:sz="4" w:space="0" w:color="auto"/>
              <w:right w:val="single" w:sz="4" w:space="0" w:color="auto"/>
            </w:tcBorders>
            <w:noWrap/>
            <w:vAlign w:val="bottom"/>
            <w:hideMark/>
          </w:tcPr>
          <w:p w:rsidR="005727C2" w:rsidRDefault="005727C2">
            <w:pPr>
              <w:rPr>
                <w:rFonts w:eastAsia="Times New Roman"/>
                <w:color w:val="000000"/>
                <w:sz w:val="16"/>
                <w:szCs w:val="16"/>
                <w:lang w:eastAsia="en-US"/>
              </w:rPr>
            </w:pPr>
            <w:r>
              <w:rPr>
                <w:rFonts w:eastAsia="Times New Roman"/>
                <w:color w:val="000000"/>
                <w:sz w:val="16"/>
                <w:szCs w:val="16"/>
                <w:lang w:eastAsia="en-US"/>
              </w:rPr>
              <w:t> </w:t>
            </w:r>
          </w:p>
        </w:tc>
        <w:tc>
          <w:tcPr>
            <w:tcW w:w="865" w:type="dxa"/>
            <w:tcBorders>
              <w:top w:val="nil"/>
              <w:left w:val="nil"/>
              <w:bottom w:val="single" w:sz="4" w:space="0" w:color="auto"/>
              <w:right w:val="single" w:sz="4" w:space="0" w:color="auto"/>
            </w:tcBorders>
            <w:shd w:val="clear" w:color="auto" w:fill="FFFFFF"/>
            <w:noWrap/>
            <w:vAlign w:val="center"/>
            <w:hideMark/>
          </w:tcPr>
          <w:p w:rsidR="005727C2" w:rsidRDefault="005727C2">
            <w:pPr>
              <w:jc w:val="center"/>
              <w:rPr>
                <w:rFonts w:eastAsia="Times New Roman"/>
                <w:sz w:val="16"/>
                <w:szCs w:val="16"/>
                <w:lang w:eastAsia="en-US"/>
              </w:rPr>
            </w:pPr>
            <w:r>
              <w:rPr>
                <w:rFonts w:eastAsia="Times New Roman"/>
                <w:sz w:val="16"/>
                <w:szCs w:val="16"/>
                <w:lang w:eastAsia="en-US"/>
              </w:rPr>
              <w:t>0%</w:t>
            </w:r>
          </w:p>
        </w:tc>
        <w:tc>
          <w:tcPr>
            <w:tcW w:w="684" w:type="dxa"/>
            <w:tcBorders>
              <w:top w:val="nil"/>
              <w:left w:val="nil"/>
              <w:bottom w:val="single" w:sz="4" w:space="0" w:color="auto"/>
              <w:right w:val="single" w:sz="4" w:space="0" w:color="auto"/>
            </w:tcBorders>
            <w:noWrap/>
            <w:vAlign w:val="bottom"/>
            <w:hideMark/>
          </w:tcPr>
          <w:p w:rsidR="005727C2" w:rsidRDefault="005727C2">
            <w:pPr>
              <w:rPr>
                <w:rFonts w:eastAsia="Times New Roman"/>
                <w:color w:val="000000"/>
                <w:sz w:val="16"/>
                <w:szCs w:val="16"/>
                <w:lang w:eastAsia="en-US"/>
              </w:rPr>
            </w:pPr>
            <w:r>
              <w:rPr>
                <w:rFonts w:eastAsia="Times New Roman"/>
                <w:color w:val="000000"/>
                <w:sz w:val="16"/>
                <w:szCs w:val="16"/>
                <w:lang w:eastAsia="en-US"/>
              </w:rPr>
              <w:t> </w:t>
            </w:r>
          </w:p>
        </w:tc>
        <w:tc>
          <w:tcPr>
            <w:tcW w:w="957" w:type="dxa"/>
            <w:tcBorders>
              <w:top w:val="nil"/>
              <w:left w:val="nil"/>
              <w:bottom w:val="single" w:sz="4" w:space="0" w:color="auto"/>
              <w:right w:val="single" w:sz="4" w:space="0" w:color="auto"/>
            </w:tcBorders>
            <w:noWrap/>
            <w:vAlign w:val="bottom"/>
            <w:hideMark/>
          </w:tcPr>
          <w:p w:rsidR="005727C2" w:rsidRDefault="005727C2">
            <w:pPr>
              <w:rPr>
                <w:rFonts w:eastAsia="Times New Roman"/>
                <w:color w:val="000000"/>
                <w:sz w:val="16"/>
                <w:szCs w:val="16"/>
                <w:lang w:eastAsia="en-US"/>
              </w:rPr>
            </w:pPr>
            <w:r>
              <w:rPr>
                <w:rFonts w:eastAsia="Times New Roman"/>
                <w:color w:val="000000"/>
                <w:sz w:val="16"/>
                <w:szCs w:val="16"/>
                <w:lang w:eastAsia="en-US"/>
              </w:rPr>
              <w:t> </w:t>
            </w:r>
          </w:p>
        </w:tc>
      </w:tr>
      <w:tr w:rsidR="005727C2" w:rsidTr="005727C2">
        <w:trPr>
          <w:trHeight w:val="20"/>
        </w:trPr>
        <w:tc>
          <w:tcPr>
            <w:tcW w:w="865" w:type="dxa"/>
            <w:tcBorders>
              <w:top w:val="nil"/>
              <w:left w:val="single" w:sz="4" w:space="0" w:color="auto"/>
              <w:bottom w:val="single" w:sz="4" w:space="0" w:color="auto"/>
              <w:right w:val="single" w:sz="4" w:space="0" w:color="auto"/>
            </w:tcBorders>
            <w:vAlign w:val="center"/>
            <w:hideMark/>
          </w:tcPr>
          <w:p w:rsidR="005727C2" w:rsidRDefault="005727C2">
            <w:pPr>
              <w:jc w:val="center"/>
              <w:rPr>
                <w:rFonts w:eastAsia="Times New Roman"/>
                <w:color w:val="000000"/>
                <w:sz w:val="16"/>
                <w:szCs w:val="16"/>
                <w:lang w:eastAsia="en-US"/>
              </w:rPr>
            </w:pPr>
            <w:r>
              <w:rPr>
                <w:rFonts w:eastAsia="Times New Roman"/>
                <w:color w:val="000000"/>
                <w:sz w:val="16"/>
                <w:szCs w:val="16"/>
                <w:lang w:eastAsia="en-US"/>
              </w:rPr>
              <w:t>В</w:t>
            </w:r>
          </w:p>
        </w:tc>
        <w:tc>
          <w:tcPr>
            <w:tcW w:w="8613" w:type="dxa"/>
            <w:gridSpan w:val="8"/>
            <w:tcBorders>
              <w:top w:val="single" w:sz="4" w:space="0" w:color="auto"/>
              <w:left w:val="nil"/>
              <w:bottom w:val="single" w:sz="4" w:space="0" w:color="auto"/>
              <w:right w:val="single" w:sz="4" w:space="0" w:color="auto"/>
            </w:tcBorders>
            <w:vAlign w:val="center"/>
            <w:hideMark/>
          </w:tcPr>
          <w:p w:rsidR="005727C2" w:rsidRDefault="005727C2">
            <w:pPr>
              <w:rPr>
                <w:rFonts w:eastAsia="Times New Roman"/>
                <w:color w:val="000000"/>
                <w:sz w:val="16"/>
                <w:szCs w:val="16"/>
                <w:lang w:eastAsia="en-US"/>
              </w:rPr>
            </w:pPr>
            <w:r>
              <w:rPr>
                <w:rFonts w:eastAsia="Times New Roman"/>
                <w:color w:val="000000"/>
                <w:sz w:val="16"/>
                <w:szCs w:val="16"/>
                <w:lang w:eastAsia="en-US"/>
              </w:rPr>
              <w:t>Индикативные показатели, характеризующие различные аспекты контрольно-надзорной деятельности</w:t>
            </w:r>
          </w:p>
        </w:tc>
      </w:tr>
      <w:tr w:rsidR="005727C2" w:rsidTr="005727C2">
        <w:trPr>
          <w:trHeight w:val="20"/>
        </w:trPr>
        <w:tc>
          <w:tcPr>
            <w:tcW w:w="865" w:type="dxa"/>
            <w:tcBorders>
              <w:top w:val="nil"/>
              <w:left w:val="single" w:sz="4" w:space="0" w:color="auto"/>
              <w:bottom w:val="single" w:sz="4" w:space="0" w:color="auto"/>
              <w:right w:val="single" w:sz="4" w:space="0" w:color="auto"/>
            </w:tcBorders>
            <w:vAlign w:val="center"/>
            <w:hideMark/>
          </w:tcPr>
          <w:p w:rsidR="005727C2" w:rsidRDefault="005727C2">
            <w:pPr>
              <w:jc w:val="center"/>
              <w:rPr>
                <w:rFonts w:eastAsia="Times New Roman"/>
                <w:color w:val="000000"/>
                <w:sz w:val="16"/>
                <w:szCs w:val="16"/>
                <w:lang w:eastAsia="en-US"/>
              </w:rPr>
            </w:pPr>
            <w:r>
              <w:rPr>
                <w:rFonts w:eastAsia="Times New Roman"/>
                <w:color w:val="000000"/>
                <w:sz w:val="16"/>
                <w:szCs w:val="16"/>
                <w:lang w:eastAsia="en-US"/>
              </w:rPr>
              <w:t>В.2</w:t>
            </w:r>
          </w:p>
        </w:tc>
        <w:tc>
          <w:tcPr>
            <w:tcW w:w="8613" w:type="dxa"/>
            <w:gridSpan w:val="8"/>
            <w:tcBorders>
              <w:top w:val="single" w:sz="4" w:space="0" w:color="auto"/>
              <w:left w:val="nil"/>
              <w:bottom w:val="single" w:sz="4" w:space="0" w:color="auto"/>
              <w:right w:val="single" w:sz="4" w:space="0" w:color="auto"/>
            </w:tcBorders>
            <w:vAlign w:val="center"/>
            <w:hideMark/>
          </w:tcPr>
          <w:p w:rsidR="005727C2" w:rsidRDefault="005727C2">
            <w:pPr>
              <w:rPr>
                <w:rFonts w:eastAsia="Times New Roman"/>
                <w:color w:val="000000"/>
                <w:sz w:val="16"/>
                <w:szCs w:val="16"/>
                <w:lang w:eastAsia="en-US"/>
              </w:rPr>
            </w:pPr>
            <w:r>
              <w:rPr>
                <w:rFonts w:eastAsia="Times New Roman"/>
                <w:color w:val="000000"/>
                <w:sz w:val="16"/>
                <w:szCs w:val="16"/>
                <w:lang w:eastAsia="en-US"/>
              </w:rPr>
              <w:t>индикативные показатели, характеризующие качество проводимых мероприятий в части их направленности на устранение максимального объема потенциального вреда (ущерба) охраняемым законом ценностям</w:t>
            </w:r>
          </w:p>
        </w:tc>
      </w:tr>
      <w:tr w:rsidR="005727C2" w:rsidTr="005727C2">
        <w:trPr>
          <w:trHeight w:val="20"/>
        </w:trPr>
        <w:tc>
          <w:tcPr>
            <w:tcW w:w="865" w:type="dxa"/>
            <w:tcBorders>
              <w:top w:val="nil"/>
              <w:left w:val="single" w:sz="4" w:space="0" w:color="auto"/>
              <w:bottom w:val="single" w:sz="4" w:space="0" w:color="auto"/>
              <w:right w:val="single" w:sz="4" w:space="0" w:color="auto"/>
            </w:tcBorders>
            <w:vAlign w:val="center"/>
            <w:hideMark/>
          </w:tcPr>
          <w:p w:rsidR="005727C2" w:rsidRDefault="005727C2">
            <w:pPr>
              <w:jc w:val="center"/>
              <w:rPr>
                <w:rFonts w:eastAsia="Times New Roman"/>
                <w:sz w:val="16"/>
                <w:szCs w:val="16"/>
                <w:lang w:eastAsia="en-US"/>
              </w:rPr>
            </w:pPr>
            <w:r>
              <w:rPr>
                <w:rFonts w:eastAsia="Times New Roman"/>
                <w:sz w:val="16"/>
                <w:szCs w:val="16"/>
                <w:lang w:eastAsia="en-US"/>
              </w:rPr>
              <w:t>В.2.1</w:t>
            </w:r>
          </w:p>
        </w:tc>
        <w:tc>
          <w:tcPr>
            <w:tcW w:w="1435" w:type="dxa"/>
            <w:tcBorders>
              <w:top w:val="nil"/>
              <w:left w:val="nil"/>
              <w:bottom w:val="single" w:sz="4" w:space="0" w:color="auto"/>
              <w:right w:val="single" w:sz="4" w:space="0" w:color="auto"/>
            </w:tcBorders>
            <w:vAlign w:val="center"/>
            <w:hideMark/>
          </w:tcPr>
          <w:p w:rsidR="005727C2" w:rsidRDefault="005727C2">
            <w:pPr>
              <w:rPr>
                <w:rFonts w:eastAsia="Times New Roman"/>
                <w:sz w:val="16"/>
                <w:szCs w:val="16"/>
                <w:lang w:eastAsia="en-US"/>
              </w:rPr>
            </w:pPr>
            <w:r>
              <w:rPr>
                <w:rFonts w:eastAsia="Times New Roman"/>
                <w:sz w:val="16"/>
                <w:szCs w:val="16"/>
                <w:lang w:eastAsia="en-US"/>
              </w:rPr>
              <w:t>количество проведенных мероприятий</w:t>
            </w:r>
          </w:p>
        </w:tc>
        <w:tc>
          <w:tcPr>
            <w:tcW w:w="1575" w:type="dxa"/>
            <w:tcBorders>
              <w:top w:val="nil"/>
              <w:left w:val="nil"/>
              <w:bottom w:val="single" w:sz="4" w:space="0" w:color="auto"/>
              <w:right w:val="single" w:sz="4" w:space="0" w:color="auto"/>
            </w:tcBorders>
            <w:vAlign w:val="center"/>
            <w:hideMark/>
          </w:tcPr>
          <w:p w:rsidR="005727C2" w:rsidRDefault="005727C2">
            <w:pPr>
              <w:rPr>
                <w:rFonts w:eastAsia="Times New Roman"/>
                <w:sz w:val="16"/>
                <w:szCs w:val="16"/>
                <w:lang w:eastAsia="en-US"/>
              </w:rPr>
            </w:pPr>
            <w:r>
              <w:rPr>
                <w:rFonts w:eastAsia="Times New Roman"/>
                <w:sz w:val="16"/>
                <w:szCs w:val="16"/>
                <w:lang w:eastAsia="en-US"/>
              </w:rPr>
              <w:t>показатель учитывает суммарное количество мероприятий, проведенных в отношении субъектов контрольно-надзорной деятельности</w:t>
            </w:r>
          </w:p>
        </w:tc>
        <w:tc>
          <w:tcPr>
            <w:tcW w:w="939" w:type="dxa"/>
            <w:tcBorders>
              <w:top w:val="nil"/>
              <w:left w:val="nil"/>
              <w:bottom w:val="single" w:sz="4" w:space="0" w:color="auto"/>
              <w:right w:val="single" w:sz="4" w:space="0" w:color="auto"/>
            </w:tcBorders>
            <w:noWrap/>
            <w:vAlign w:val="center"/>
            <w:hideMark/>
          </w:tcPr>
          <w:p w:rsidR="005727C2" w:rsidRDefault="005727C2">
            <w:pPr>
              <w:jc w:val="center"/>
              <w:rPr>
                <w:rFonts w:eastAsia="Times New Roman"/>
                <w:sz w:val="16"/>
                <w:szCs w:val="16"/>
                <w:lang w:eastAsia="en-US"/>
              </w:rPr>
            </w:pPr>
            <w:r>
              <w:rPr>
                <w:rFonts w:eastAsia="Times New Roman"/>
                <w:sz w:val="16"/>
                <w:szCs w:val="16"/>
                <w:lang w:eastAsia="en-US"/>
              </w:rPr>
              <w:t xml:space="preserve"> - </w:t>
            </w:r>
          </w:p>
        </w:tc>
        <w:tc>
          <w:tcPr>
            <w:tcW w:w="972" w:type="dxa"/>
            <w:tcBorders>
              <w:top w:val="nil"/>
              <w:left w:val="nil"/>
              <w:bottom w:val="single" w:sz="4" w:space="0" w:color="auto"/>
              <w:right w:val="single" w:sz="4" w:space="0" w:color="auto"/>
            </w:tcBorders>
            <w:vAlign w:val="center"/>
            <w:hideMark/>
          </w:tcPr>
          <w:p w:rsidR="005727C2" w:rsidRDefault="005727C2">
            <w:pPr>
              <w:jc w:val="center"/>
              <w:rPr>
                <w:rFonts w:eastAsia="Times New Roman"/>
                <w:sz w:val="16"/>
                <w:szCs w:val="16"/>
                <w:lang w:eastAsia="en-US"/>
              </w:rPr>
            </w:pPr>
            <w:r>
              <w:rPr>
                <w:rFonts w:eastAsia="Times New Roman"/>
                <w:sz w:val="16"/>
                <w:szCs w:val="16"/>
                <w:lang w:eastAsia="en-US"/>
              </w:rPr>
              <w:t> </w:t>
            </w:r>
          </w:p>
        </w:tc>
        <w:tc>
          <w:tcPr>
            <w:tcW w:w="1186" w:type="dxa"/>
            <w:tcBorders>
              <w:top w:val="nil"/>
              <w:left w:val="nil"/>
              <w:bottom w:val="single" w:sz="4" w:space="0" w:color="auto"/>
              <w:right w:val="single" w:sz="4" w:space="0" w:color="auto"/>
            </w:tcBorders>
            <w:noWrap/>
            <w:vAlign w:val="center"/>
            <w:hideMark/>
          </w:tcPr>
          <w:p w:rsidR="005727C2" w:rsidRDefault="005727C2">
            <w:pPr>
              <w:jc w:val="center"/>
              <w:rPr>
                <w:rFonts w:eastAsia="Times New Roman"/>
                <w:sz w:val="16"/>
                <w:szCs w:val="16"/>
                <w:lang w:eastAsia="en-US"/>
              </w:rPr>
            </w:pPr>
            <w:r>
              <w:rPr>
                <w:rFonts w:eastAsia="Times New Roman"/>
                <w:sz w:val="16"/>
                <w:szCs w:val="16"/>
                <w:lang w:eastAsia="en-US"/>
              </w:rPr>
              <w:t xml:space="preserve"> - </w:t>
            </w:r>
          </w:p>
        </w:tc>
        <w:tc>
          <w:tcPr>
            <w:tcW w:w="865" w:type="dxa"/>
            <w:tcBorders>
              <w:top w:val="nil"/>
              <w:left w:val="nil"/>
              <w:bottom w:val="single" w:sz="4" w:space="0" w:color="auto"/>
              <w:right w:val="single" w:sz="4" w:space="0" w:color="auto"/>
            </w:tcBorders>
            <w:shd w:val="clear" w:color="auto" w:fill="FFFFFF"/>
            <w:vAlign w:val="center"/>
            <w:hideMark/>
          </w:tcPr>
          <w:p w:rsidR="005727C2" w:rsidRDefault="005727C2">
            <w:pPr>
              <w:jc w:val="center"/>
              <w:rPr>
                <w:rFonts w:eastAsia="Times New Roman"/>
                <w:sz w:val="16"/>
                <w:szCs w:val="16"/>
                <w:lang w:eastAsia="en-US"/>
              </w:rPr>
            </w:pPr>
            <w:r>
              <w:rPr>
                <w:rFonts w:eastAsia="Times New Roman"/>
                <w:sz w:val="16"/>
                <w:szCs w:val="16"/>
                <w:lang w:eastAsia="en-US"/>
              </w:rPr>
              <w:t>5812</w:t>
            </w:r>
          </w:p>
        </w:tc>
        <w:tc>
          <w:tcPr>
            <w:tcW w:w="684" w:type="dxa"/>
            <w:tcBorders>
              <w:top w:val="nil"/>
              <w:left w:val="nil"/>
              <w:bottom w:val="single" w:sz="4" w:space="0" w:color="auto"/>
              <w:right w:val="single" w:sz="4" w:space="0" w:color="auto"/>
            </w:tcBorders>
            <w:shd w:val="clear" w:color="auto" w:fill="FFFFFF"/>
            <w:noWrap/>
            <w:vAlign w:val="center"/>
            <w:hideMark/>
          </w:tcPr>
          <w:p w:rsidR="005727C2" w:rsidRDefault="005727C2">
            <w:pPr>
              <w:jc w:val="center"/>
              <w:rPr>
                <w:rFonts w:eastAsia="Times New Roman"/>
                <w:sz w:val="16"/>
                <w:szCs w:val="16"/>
                <w:lang w:eastAsia="en-US"/>
              </w:rPr>
            </w:pPr>
            <w:r>
              <w:rPr>
                <w:rFonts w:eastAsia="Times New Roman"/>
                <w:sz w:val="16"/>
                <w:szCs w:val="16"/>
                <w:lang w:eastAsia="en-US"/>
              </w:rPr>
              <w:t xml:space="preserve"> - </w:t>
            </w:r>
          </w:p>
        </w:tc>
        <w:tc>
          <w:tcPr>
            <w:tcW w:w="957" w:type="dxa"/>
            <w:tcBorders>
              <w:top w:val="nil"/>
              <w:left w:val="nil"/>
              <w:bottom w:val="single" w:sz="4" w:space="0" w:color="auto"/>
              <w:right w:val="single" w:sz="4" w:space="0" w:color="auto"/>
            </w:tcBorders>
            <w:shd w:val="clear" w:color="auto" w:fill="FFFFFF"/>
            <w:noWrap/>
            <w:vAlign w:val="bottom"/>
            <w:hideMark/>
          </w:tcPr>
          <w:p w:rsidR="005727C2" w:rsidRDefault="005727C2">
            <w:pPr>
              <w:rPr>
                <w:rFonts w:eastAsia="Times New Roman"/>
                <w:color w:val="000000"/>
                <w:sz w:val="16"/>
                <w:szCs w:val="16"/>
                <w:lang w:eastAsia="en-US"/>
              </w:rPr>
            </w:pPr>
            <w:r>
              <w:rPr>
                <w:rFonts w:eastAsia="Times New Roman"/>
                <w:color w:val="000000"/>
                <w:sz w:val="16"/>
                <w:szCs w:val="16"/>
                <w:lang w:eastAsia="en-US"/>
              </w:rPr>
              <w:t> </w:t>
            </w:r>
          </w:p>
        </w:tc>
      </w:tr>
      <w:tr w:rsidR="005727C2" w:rsidTr="005727C2">
        <w:trPr>
          <w:trHeight w:val="20"/>
        </w:trPr>
        <w:tc>
          <w:tcPr>
            <w:tcW w:w="865" w:type="dxa"/>
            <w:tcBorders>
              <w:top w:val="nil"/>
              <w:left w:val="single" w:sz="4" w:space="0" w:color="auto"/>
              <w:bottom w:val="single" w:sz="4" w:space="0" w:color="auto"/>
              <w:right w:val="single" w:sz="4" w:space="0" w:color="auto"/>
            </w:tcBorders>
            <w:vAlign w:val="center"/>
            <w:hideMark/>
          </w:tcPr>
          <w:p w:rsidR="005727C2" w:rsidRDefault="005727C2">
            <w:pPr>
              <w:jc w:val="center"/>
              <w:rPr>
                <w:rFonts w:eastAsia="Times New Roman"/>
                <w:sz w:val="16"/>
                <w:szCs w:val="16"/>
                <w:lang w:eastAsia="en-US"/>
              </w:rPr>
            </w:pPr>
            <w:r>
              <w:rPr>
                <w:rFonts w:eastAsia="Times New Roman"/>
                <w:sz w:val="16"/>
                <w:szCs w:val="16"/>
                <w:lang w:eastAsia="en-US"/>
              </w:rPr>
              <w:t>В.2.2</w:t>
            </w:r>
          </w:p>
        </w:tc>
        <w:tc>
          <w:tcPr>
            <w:tcW w:w="1435" w:type="dxa"/>
            <w:tcBorders>
              <w:top w:val="nil"/>
              <w:left w:val="nil"/>
              <w:bottom w:val="single" w:sz="4" w:space="0" w:color="auto"/>
              <w:right w:val="single" w:sz="4" w:space="0" w:color="auto"/>
            </w:tcBorders>
            <w:vAlign w:val="center"/>
            <w:hideMark/>
          </w:tcPr>
          <w:p w:rsidR="005727C2" w:rsidRDefault="005727C2">
            <w:pPr>
              <w:rPr>
                <w:rFonts w:eastAsia="Times New Roman"/>
                <w:sz w:val="16"/>
                <w:szCs w:val="16"/>
                <w:lang w:eastAsia="en-US"/>
              </w:rPr>
            </w:pPr>
            <w:r>
              <w:rPr>
                <w:rFonts w:eastAsia="Times New Roman"/>
                <w:sz w:val="16"/>
                <w:szCs w:val="16"/>
                <w:lang w:eastAsia="en-US"/>
              </w:rPr>
              <w:t>доля субъектов, у которых были устранены нарушения, выявленные в результате проведения контрольно-надзорных мероприятий</w:t>
            </w:r>
          </w:p>
        </w:tc>
        <w:tc>
          <w:tcPr>
            <w:tcW w:w="1575" w:type="dxa"/>
            <w:tcBorders>
              <w:top w:val="nil"/>
              <w:left w:val="nil"/>
              <w:bottom w:val="single" w:sz="4" w:space="0" w:color="auto"/>
              <w:right w:val="single" w:sz="4" w:space="0" w:color="auto"/>
            </w:tcBorders>
            <w:vAlign w:val="center"/>
            <w:hideMark/>
          </w:tcPr>
          <w:p w:rsidR="005727C2" w:rsidRDefault="005727C2">
            <w:pPr>
              <w:rPr>
                <w:rFonts w:eastAsia="Times New Roman"/>
                <w:sz w:val="16"/>
                <w:szCs w:val="16"/>
                <w:lang w:eastAsia="en-US"/>
              </w:rPr>
            </w:pPr>
            <w:r>
              <w:rPr>
                <w:rFonts w:eastAsia="Times New Roman"/>
                <w:sz w:val="16"/>
                <w:szCs w:val="16"/>
                <w:lang w:eastAsia="en-US"/>
              </w:rPr>
              <w:t>показатель устанавливается в процентах от общего количества субъектов, в отношении которых были проведены контрольно-надзорные мероприятия</w:t>
            </w:r>
          </w:p>
        </w:tc>
        <w:tc>
          <w:tcPr>
            <w:tcW w:w="939" w:type="dxa"/>
            <w:tcBorders>
              <w:top w:val="nil"/>
              <w:left w:val="nil"/>
              <w:bottom w:val="single" w:sz="4" w:space="0" w:color="auto"/>
              <w:right w:val="single" w:sz="4" w:space="0" w:color="auto"/>
            </w:tcBorders>
            <w:noWrap/>
            <w:vAlign w:val="center"/>
            <w:hideMark/>
          </w:tcPr>
          <w:p w:rsidR="005727C2" w:rsidRDefault="005727C2">
            <w:pPr>
              <w:jc w:val="center"/>
              <w:rPr>
                <w:rFonts w:eastAsia="Times New Roman"/>
                <w:sz w:val="16"/>
                <w:szCs w:val="16"/>
                <w:lang w:eastAsia="en-US"/>
              </w:rPr>
            </w:pPr>
            <w:r>
              <w:rPr>
                <w:rFonts w:eastAsia="Times New Roman"/>
                <w:sz w:val="16"/>
                <w:szCs w:val="16"/>
                <w:lang w:eastAsia="en-US"/>
              </w:rPr>
              <w:t xml:space="preserve"> - </w:t>
            </w:r>
          </w:p>
        </w:tc>
        <w:tc>
          <w:tcPr>
            <w:tcW w:w="972" w:type="dxa"/>
            <w:noWrap/>
            <w:vAlign w:val="bottom"/>
            <w:hideMark/>
          </w:tcPr>
          <w:p w:rsidR="005727C2" w:rsidRDefault="005727C2">
            <w:pPr>
              <w:spacing w:after="0"/>
              <w:rPr>
                <w:rFonts w:asciiTheme="minorHAnsi" w:eastAsiaTheme="minorHAnsi" w:hAnsiTheme="minorHAnsi" w:cstheme="minorBidi"/>
                <w:lang w:eastAsia="en-US"/>
              </w:rPr>
            </w:pPr>
          </w:p>
        </w:tc>
        <w:tc>
          <w:tcPr>
            <w:tcW w:w="1186" w:type="dxa"/>
            <w:tcBorders>
              <w:top w:val="nil"/>
              <w:left w:val="single" w:sz="4" w:space="0" w:color="auto"/>
              <w:bottom w:val="single" w:sz="4" w:space="0" w:color="auto"/>
              <w:right w:val="single" w:sz="4" w:space="0" w:color="auto"/>
            </w:tcBorders>
            <w:noWrap/>
            <w:vAlign w:val="center"/>
            <w:hideMark/>
          </w:tcPr>
          <w:p w:rsidR="005727C2" w:rsidRDefault="005727C2">
            <w:pPr>
              <w:jc w:val="center"/>
              <w:rPr>
                <w:rFonts w:eastAsia="Times New Roman"/>
                <w:sz w:val="16"/>
                <w:szCs w:val="16"/>
                <w:lang w:eastAsia="en-US"/>
              </w:rPr>
            </w:pPr>
            <w:r>
              <w:rPr>
                <w:rFonts w:eastAsia="Times New Roman"/>
                <w:sz w:val="16"/>
                <w:szCs w:val="16"/>
                <w:lang w:eastAsia="en-US"/>
              </w:rPr>
              <w:t xml:space="preserve"> - </w:t>
            </w:r>
          </w:p>
        </w:tc>
        <w:tc>
          <w:tcPr>
            <w:tcW w:w="865" w:type="dxa"/>
            <w:tcBorders>
              <w:top w:val="nil"/>
              <w:left w:val="nil"/>
              <w:bottom w:val="single" w:sz="4" w:space="0" w:color="auto"/>
              <w:right w:val="single" w:sz="4" w:space="0" w:color="auto"/>
            </w:tcBorders>
            <w:shd w:val="clear" w:color="auto" w:fill="FFFFFF"/>
            <w:vAlign w:val="center"/>
            <w:hideMark/>
          </w:tcPr>
          <w:p w:rsidR="005727C2" w:rsidRDefault="005727C2">
            <w:pPr>
              <w:jc w:val="center"/>
              <w:rPr>
                <w:rFonts w:eastAsia="Times New Roman"/>
                <w:sz w:val="16"/>
                <w:szCs w:val="16"/>
                <w:lang w:eastAsia="en-US"/>
              </w:rPr>
            </w:pPr>
            <w:r>
              <w:rPr>
                <w:rFonts w:eastAsia="Times New Roman"/>
                <w:sz w:val="16"/>
                <w:szCs w:val="16"/>
                <w:lang w:eastAsia="en-US"/>
              </w:rPr>
              <w:t>65%</w:t>
            </w:r>
          </w:p>
        </w:tc>
        <w:tc>
          <w:tcPr>
            <w:tcW w:w="684" w:type="dxa"/>
            <w:tcBorders>
              <w:top w:val="nil"/>
              <w:left w:val="nil"/>
              <w:bottom w:val="single" w:sz="4" w:space="0" w:color="auto"/>
              <w:right w:val="single" w:sz="4" w:space="0" w:color="auto"/>
            </w:tcBorders>
            <w:shd w:val="clear" w:color="auto" w:fill="FFFFFF"/>
            <w:noWrap/>
            <w:vAlign w:val="center"/>
            <w:hideMark/>
          </w:tcPr>
          <w:p w:rsidR="005727C2" w:rsidRDefault="005727C2">
            <w:pPr>
              <w:jc w:val="center"/>
              <w:rPr>
                <w:rFonts w:eastAsia="Times New Roman"/>
                <w:sz w:val="16"/>
                <w:szCs w:val="16"/>
                <w:lang w:eastAsia="en-US"/>
              </w:rPr>
            </w:pPr>
            <w:r>
              <w:rPr>
                <w:rFonts w:eastAsia="Times New Roman"/>
                <w:sz w:val="16"/>
                <w:szCs w:val="16"/>
                <w:lang w:eastAsia="en-US"/>
              </w:rPr>
              <w:t xml:space="preserve"> - </w:t>
            </w:r>
          </w:p>
        </w:tc>
        <w:tc>
          <w:tcPr>
            <w:tcW w:w="957" w:type="dxa"/>
            <w:tcBorders>
              <w:top w:val="nil"/>
              <w:left w:val="nil"/>
              <w:bottom w:val="single" w:sz="4" w:space="0" w:color="auto"/>
              <w:right w:val="single" w:sz="4" w:space="0" w:color="auto"/>
            </w:tcBorders>
            <w:shd w:val="clear" w:color="auto" w:fill="FFFFFF"/>
            <w:noWrap/>
            <w:vAlign w:val="bottom"/>
            <w:hideMark/>
          </w:tcPr>
          <w:p w:rsidR="005727C2" w:rsidRDefault="005727C2">
            <w:pPr>
              <w:rPr>
                <w:rFonts w:eastAsia="Times New Roman"/>
                <w:color w:val="000000"/>
                <w:sz w:val="16"/>
                <w:szCs w:val="16"/>
                <w:lang w:eastAsia="en-US"/>
              </w:rPr>
            </w:pPr>
            <w:r>
              <w:rPr>
                <w:rFonts w:eastAsia="Times New Roman"/>
                <w:color w:val="000000"/>
                <w:sz w:val="16"/>
                <w:szCs w:val="16"/>
                <w:lang w:eastAsia="en-US"/>
              </w:rPr>
              <w:t> </w:t>
            </w:r>
          </w:p>
        </w:tc>
      </w:tr>
      <w:tr w:rsidR="005727C2" w:rsidTr="005727C2">
        <w:trPr>
          <w:trHeight w:val="20"/>
        </w:trPr>
        <w:tc>
          <w:tcPr>
            <w:tcW w:w="865" w:type="dxa"/>
            <w:tcBorders>
              <w:top w:val="nil"/>
              <w:left w:val="single" w:sz="4" w:space="0" w:color="auto"/>
              <w:bottom w:val="single" w:sz="4" w:space="0" w:color="auto"/>
              <w:right w:val="single" w:sz="4" w:space="0" w:color="auto"/>
            </w:tcBorders>
            <w:vAlign w:val="center"/>
            <w:hideMark/>
          </w:tcPr>
          <w:p w:rsidR="005727C2" w:rsidRDefault="005727C2">
            <w:pPr>
              <w:jc w:val="center"/>
              <w:rPr>
                <w:rFonts w:eastAsia="Times New Roman"/>
                <w:sz w:val="16"/>
                <w:szCs w:val="16"/>
                <w:lang w:eastAsia="en-US"/>
              </w:rPr>
            </w:pPr>
            <w:r>
              <w:rPr>
                <w:rFonts w:eastAsia="Times New Roman"/>
                <w:sz w:val="16"/>
                <w:szCs w:val="16"/>
                <w:lang w:eastAsia="en-US"/>
              </w:rPr>
              <w:t>В.2.3</w:t>
            </w:r>
          </w:p>
        </w:tc>
        <w:tc>
          <w:tcPr>
            <w:tcW w:w="1435" w:type="dxa"/>
            <w:tcBorders>
              <w:top w:val="nil"/>
              <w:left w:val="nil"/>
              <w:bottom w:val="single" w:sz="4" w:space="0" w:color="auto"/>
              <w:right w:val="single" w:sz="4" w:space="0" w:color="auto"/>
            </w:tcBorders>
            <w:vAlign w:val="center"/>
            <w:hideMark/>
          </w:tcPr>
          <w:p w:rsidR="005727C2" w:rsidRDefault="005727C2">
            <w:pPr>
              <w:rPr>
                <w:rFonts w:eastAsia="Times New Roman"/>
                <w:sz w:val="16"/>
                <w:szCs w:val="16"/>
                <w:lang w:eastAsia="en-US"/>
              </w:rPr>
            </w:pPr>
            <w:r>
              <w:rPr>
                <w:rFonts w:eastAsia="Times New Roman"/>
                <w:sz w:val="16"/>
                <w:szCs w:val="16"/>
                <w:lang w:eastAsia="en-US"/>
              </w:rPr>
              <w:t xml:space="preserve">доля заявлений (обращений) с указанием </w:t>
            </w:r>
            <w:r>
              <w:rPr>
                <w:rFonts w:eastAsia="Times New Roman"/>
                <w:sz w:val="16"/>
                <w:szCs w:val="16"/>
                <w:lang w:eastAsia="en-US"/>
              </w:rPr>
              <w:lastRenderedPageBreak/>
              <w:t>фактов нарушений, поступивших от физических и юридических лиц, сообщений органов государственной власти, местного самоуправления, средств массовой информации с указанием фактов нарушений</w:t>
            </w:r>
          </w:p>
        </w:tc>
        <w:tc>
          <w:tcPr>
            <w:tcW w:w="1575" w:type="dxa"/>
            <w:tcBorders>
              <w:top w:val="nil"/>
              <w:left w:val="nil"/>
              <w:bottom w:val="single" w:sz="4" w:space="0" w:color="auto"/>
              <w:right w:val="single" w:sz="4" w:space="0" w:color="auto"/>
            </w:tcBorders>
            <w:noWrap/>
            <w:vAlign w:val="bottom"/>
            <w:hideMark/>
          </w:tcPr>
          <w:p w:rsidR="005727C2" w:rsidRDefault="005727C2">
            <w:pPr>
              <w:rPr>
                <w:rFonts w:eastAsia="Times New Roman"/>
                <w:sz w:val="16"/>
                <w:szCs w:val="16"/>
                <w:lang w:eastAsia="en-US"/>
              </w:rPr>
            </w:pPr>
            <w:r>
              <w:rPr>
                <w:rFonts w:eastAsia="Times New Roman"/>
                <w:sz w:val="16"/>
                <w:szCs w:val="16"/>
                <w:lang w:eastAsia="en-US"/>
              </w:rPr>
              <w:lastRenderedPageBreak/>
              <w:t> </w:t>
            </w:r>
          </w:p>
        </w:tc>
        <w:tc>
          <w:tcPr>
            <w:tcW w:w="939" w:type="dxa"/>
            <w:tcBorders>
              <w:top w:val="nil"/>
              <w:left w:val="nil"/>
              <w:bottom w:val="single" w:sz="4" w:space="0" w:color="auto"/>
              <w:right w:val="single" w:sz="4" w:space="0" w:color="auto"/>
            </w:tcBorders>
            <w:noWrap/>
            <w:vAlign w:val="center"/>
            <w:hideMark/>
          </w:tcPr>
          <w:p w:rsidR="005727C2" w:rsidRDefault="005727C2">
            <w:pPr>
              <w:jc w:val="center"/>
              <w:rPr>
                <w:rFonts w:eastAsia="Times New Roman"/>
                <w:sz w:val="16"/>
                <w:szCs w:val="16"/>
                <w:lang w:eastAsia="en-US"/>
              </w:rPr>
            </w:pPr>
            <w:r>
              <w:rPr>
                <w:rFonts w:eastAsia="Times New Roman"/>
                <w:sz w:val="16"/>
                <w:szCs w:val="16"/>
                <w:lang w:eastAsia="en-US"/>
              </w:rPr>
              <w:t xml:space="preserve"> - </w:t>
            </w:r>
          </w:p>
        </w:tc>
        <w:tc>
          <w:tcPr>
            <w:tcW w:w="972" w:type="dxa"/>
            <w:tcBorders>
              <w:top w:val="single" w:sz="4" w:space="0" w:color="auto"/>
              <w:left w:val="nil"/>
              <w:bottom w:val="single" w:sz="4" w:space="0" w:color="auto"/>
              <w:right w:val="single" w:sz="4" w:space="0" w:color="auto"/>
            </w:tcBorders>
            <w:vAlign w:val="center"/>
            <w:hideMark/>
          </w:tcPr>
          <w:p w:rsidR="005727C2" w:rsidRDefault="005727C2">
            <w:pPr>
              <w:jc w:val="center"/>
              <w:rPr>
                <w:rFonts w:eastAsia="Times New Roman"/>
                <w:sz w:val="16"/>
                <w:szCs w:val="16"/>
                <w:lang w:eastAsia="en-US"/>
              </w:rPr>
            </w:pPr>
            <w:r>
              <w:rPr>
                <w:rFonts w:eastAsia="Times New Roman"/>
                <w:sz w:val="16"/>
                <w:szCs w:val="16"/>
                <w:lang w:eastAsia="en-US"/>
              </w:rPr>
              <w:t> </w:t>
            </w:r>
          </w:p>
        </w:tc>
        <w:tc>
          <w:tcPr>
            <w:tcW w:w="1186" w:type="dxa"/>
            <w:tcBorders>
              <w:top w:val="nil"/>
              <w:left w:val="nil"/>
              <w:bottom w:val="single" w:sz="4" w:space="0" w:color="auto"/>
              <w:right w:val="single" w:sz="4" w:space="0" w:color="auto"/>
            </w:tcBorders>
            <w:noWrap/>
            <w:vAlign w:val="center"/>
            <w:hideMark/>
          </w:tcPr>
          <w:p w:rsidR="005727C2" w:rsidRDefault="005727C2">
            <w:pPr>
              <w:jc w:val="center"/>
              <w:rPr>
                <w:rFonts w:eastAsia="Times New Roman"/>
                <w:sz w:val="16"/>
                <w:szCs w:val="16"/>
                <w:lang w:eastAsia="en-US"/>
              </w:rPr>
            </w:pPr>
            <w:r>
              <w:rPr>
                <w:rFonts w:eastAsia="Times New Roman"/>
                <w:sz w:val="16"/>
                <w:szCs w:val="16"/>
                <w:lang w:eastAsia="en-US"/>
              </w:rPr>
              <w:t xml:space="preserve"> - </w:t>
            </w:r>
          </w:p>
        </w:tc>
        <w:tc>
          <w:tcPr>
            <w:tcW w:w="865" w:type="dxa"/>
            <w:tcBorders>
              <w:top w:val="nil"/>
              <w:left w:val="nil"/>
              <w:bottom w:val="single" w:sz="4" w:space="0" w:color="auto"/>
              <w:right w:val="single" w:sz="4" w:space="0" w:color="auto"/>
            </w:tcBorders>
            <w:shd w:val="clear" w:color="auto" w:fill="FFFFFF"/>
            <w:noWrap/>
            <w:vAlign w:val="center"/>
            <w:hideMark/>
          </w:tcPr>
          <w:p w:rsidR="005727C2" w:rsidRDefault="005727C2">
            <w:pPr>
              <w:jc w:val="center"/>
              <w:rPr>
                <w:rFonts w:eastAsia="Times New Roman"/>
                <w:sz w:val="16"/>
                <w:szCs w:val="16"/>
                <w:lang w:eastAsia="en-US"/>
              </w:rPr>
            </w:pPr>
            <w:r>
              <w:rPr>
                <w:rFonts w:eastAsia="Times New Roman"/>
                <w:sz w:val="16"/>
                <w:szCs w:val="16"/>
                <w:lang w:eastAsia="en-US"/>
              </w:rPr>
              <w:t>15,10%</w:t>
            </w:r>
          </w:p>
        </w:tc>
        <w:tc>
          <w:tcPr>
            <w:tcW w:w="684" w:type="dxa"/>
            <w:tcBorders>
              <w:top w:val="nil"/>
              <w:left w:val="nil"/>
              <w:bottom w:val="single" w:sz="4" w:space="0" w:color="auto"/>
              <w:right w:val="single" w:sz="4" w:space="0" w:color="auto"/>
            </w:tcBorders>
            <w:shd w:val="clear" w:color="auto" w:fill="FFFFFF"/>
            <w:noWrap/>
            <w:vAlign w:val="center"/>
            <w:hideMark/>
          </w:tcPr>
          <w:p w:rsidR="005727C2" w:rsidRDefault="005727C2">
            <w:pPr>
              <w:jc w:val="center"/>
              <w:rPr>
                <w:rFonts w:eastAsia="Times New Roman"/>
                <w:sz w:val="16"/>
                <w:szCs w:val="16"/>
                <w:lang w:eastAsia="en-US"/>
              </w:rPr>
            </w:pPr>
            <w:r>
              <w:rPr>
                <w:rFonts w:eastAsia="Times New Roman"/>
                <w:sz w:val="16"/>
                <w:szCs w:val="16"/>
                <w:lang w:eastAsia="en-US"/>
              </w:rPr>
              <w:t xml:space="preserve"> - </w:t>
            </w:r>
          </w:p>
        </w:tc>
        <w:tc>
          <w:tcPr>
            <w:tcW w:w="957" w:type="dxa"/>
            <w:tcBorders>
              <w:top w:val="nil"/>
              <w:left w:val="nil"/>
              <w:bottom w:val="single" w:sz="4" w:space="0" w:color="auto"/>
              <w:right w:val="single" w:sz="4" w:space="0" w:color="auto"/>
            </w:tcBorders>
            <w:shd w:val="clear" w:color="auto" w:fill="FFFFFF"/>
            <w:vAlign w:val="center"/>
            <w:hideMark/>
          </w:tcPr>
          <w:p w:rsidR="005727C2" w:rsidRDefault="005727C2">
            <w:pPr>
              <w:rPr>
                <w:rFonts w:eastAsia="Times New Roman"/>
                <w:sz w:val="16"/>
                <w:szCs w:val="16"/>
                <w:lang w:eastAsia="en-US"/>
              </w:rPr>
            </w:pPr>
            <w:r>
              <w:rPr>
                <w:rFonts w:eastAsia="Times New Roman"/>
                <w:sz w:val="16"/>
                <w:szCs w:val="16"/>
                <w:lang w:eastAsia="en-US"/>
              </w:rPr>
              <w:t> </w:t>
            </w:r>
          </w:p>
        </w:tc>
      </w:tr>
      <w:tr w:rsidR="005727C2" w:rsidTr="005727C2">
        <w:trPr>
          <w:trHeight w:val="20"/>
        </w:trPr>
        <w:tc>
          <w:tcPr>
            <w:tcW w:w="865" w:type="dxa"/>
            <w:tcBorders>
              <w:top w:val="nil"/>
              <w:left w:val="single" w:sz="4" w:space="0" w:color="auto"/>
              <w:bottom w:val="single" w:sz="4" w:space="0" w:color="auto"/>
              <w:right w:val="single" w:sz="4" w:space="0" w:color="auto"/>
            </w:tcBorders>
            <w:vAlign w:val="center"/>
            <w:hideMark/>
          </w:tcPr>
          <w:p w:rsidR="005727C2" w:rsidRDefault="005727C2">
            <w:pPr>
              <w:jc w:val="center"/>
              <w:rPr>
                <w:rFonts w:eastAsia="Times New Roman"/>
                <w:sz w:val="16"/>
                <w:szCs w:val="16"/>
                <w:lang w:eastAsia="en-US"/>
              </w:rPr>
            </w:pPr>
            <w:r>
              <w:rPr>
                <w:rFonts w:eastAsia="Times New Roman"/>
                <w:sz w:val="16"/>
                <w:szCs w:val="16"/>
                <w:lang w:eastAsia="en-US"/>
              </w:rPr>
              <w:lastRenderedPageBreak/>
              <w:t>В.2.4</w:t>
            </w:r>
          </w:p>
        </w:tc>
        <w:tc>
          <w:tcPr>
            <w:tcW w:w="1435" w:type="dxa"/>
            <w:tcBorders>
              <w:top w:val="nil"/>
              <w:left w:val="nil"/>
              <w:bottom w:val="single" w:sz="4" w:space="0" w:color="auto"/>
              <w:right w:val="single" w:sz="4" w:space="0" w:color="auto"/>
            </w:tcBorders>
            <w:vAlign w:val="center"/>
            <w:hideMark/>
          </w:tcPr>
          <w:p w:rsidR="005727C2" w:rsidRDefault="005727C2">
            <w:pPr>
              <w:rPr>
                <w:rFonts w:eastAsia="Times New Roman"/>
                <w:sz w:val="16"/>
                <w:szCs w:val="16"/>
                <w:lang w:eastAsia="en-US"/>
              </w:rPr>
            </w:pPr>
            <w:r>
              <w:rPr>
                <w:rFonts w:eastAsia="Times New Roman"/>
                <w:sz w:val="16"/>
                <w:szCs w:val="16"/>
                <w:lang w:eastAsia="en-US"/>
              </w:rPr>
              <w:t>общее количество заявлений (обращений), по результатам рассмотрения которых  внеплановые мероприятия не были проведены</w:t>
            </w:r>
          </w:p>
        </w:tc>
        <w:tc>
          <w:tcPr>
            <w:tcW w:w="1575" w:type="dxa"/>
            <w:tcBorders>
              <w:top w:val="nil"/>
              <w:left w:val="nil"/>
              <w:bottom w:val="single" w:sz="4" w:space="0" w:color="auto"/>
              <w:right w:val="single" w:sz="4" w:space="0" w:color="auto"/>
            </w:tcBorders>
            <w:vAlign w:val="center"/>
            <w:hideMark/>
          </w:tcPr>
          <w:p w:rsidR="005727C2" w:rsidRDefault="005727C2">
            <w:pPr>
              <w:rPr>
                <w:rFonts w:eastAsia="Times New Roman"/>
                <w:sz w:val="16"/>
                <w:szCs w:val="16"/>
                <w:lang w:eastAsia="en-US"/>
              </w:rPr>
            </w:pPr>
            <w:r>
              <w:rPr>
                <w:rFonts w:eastAsia="Times New Roman"/>
                <w:sz w:val="16"/>
                <w:szCs w:val="16"/>
                <w:lang w:eastAsia="en-US"/>
              </w:rPr>
              <w:t>показатель учитывает заявления (обращения), по результатам рассмотрения которых внеплановые мероприятия не были проведены, в том числе в согласовании которых было отказано органами прокуратуры</w:t>
            </w:r>
          </w:p>
        </w:tc>
        <w:tc>
          <w:tcPr>
            <w:tcW w:w="939" w:type="dxa"/>
            <w:tcBorders>
              <w:top w:val="nil"/>
              <w:left w:val="nil"/>
              <w:bottom w:val="single" w:sz="4" w:space="0" w:color="auto"/>
              <w:right w:val="single" w:sz="4" w:space="0" w:color="auto"/>
            </w:tcBorders>
            <w:noWrap/>
            <w:vAlign w:val="center"/>
            <w:hideMark/>
          </w:tcPr>
          <w:p w:rsidR="005727C2" w:rsidRDefault="005727C2">
            <w:pPr>
              <w:jc w:val="center"/>
              <w:rPr>
                <w:rFonts w:eastAsia="Times New Roman"/>
                <w:sz w:val="16"/>
                <w:szCs w:val="16"/>
                <w:lang w:eastAsia="en-US"/>
              </w:rPr>
            </w:pPr>
            <w:r>
              <w:rPr>
                <w:rFonts w:eastAsia="Times New Roman"/>
                <w:sz w:val="16"/>
                <w:szCs w:val="16"/>
                <w:lang w:eastAsia="en-US"/>
              </w:rPr>
              <w:t xml:space="preserve"> - </w:t>
            </w:r>
          </w:p>
        </w:tc>
        <w:tc>
          <w:tcPr>
            <w:tcW w:w="972" w:type="dxa"/>
            <w:tcBorders>
              <w:top w:val="nil"/>
              <w:left w:val="nil"/>
              <w:bottom w:val="single" w:sz="4" w:space="0" w:color="auto"/>
              <w:right w:val="single" w:sz="4" w:space="0" w:color="auto"/>
            </w:tcBorders>
            <w:noWrap/>
            <w:vAlign w:val="center"/>
            <w:hideMark/>
          </w:tcPr>
          <w:p w:rsidR="005727C2" w:rsidRDefault="005727C2">
            <w:pPr>
              <w:jc w:val="center"/>
              <w:rPr>
                <w:rFonts w:eastAsia="Times New Roman"/>
                <w:sz w:val="16"/>
                <w:szCs w:val="16"/>
                <w:lang w:eastAsia="en-US"/>
              </w:rPr>
            </w:pPr>
            <w:r>
              <w:rPr>
                <w:rFonts w:eastAsia="Times New Roman"/>
                <w:sz w:val="16"/>
                <w:szCs w:val="16"/>
                <w:lang w:eastAsia="en-US"/>
              </w:rPr>
              <w:t> </w:t>
            </w:r>
          </w:p>
        </w:tc>
        <w:tc>
          <w:tcPr>
            <w:tcW w:w="1186" w:type="dxa"/>
            <w:tcBorders>
              <w:top w:val="nil"/>
              <w:left w:val="nil"/>
              <w:bottom w:val="single" w:sz="4" w:space="0" w:color="auto"/>
              <w:right w:val="single" w:sz="4" w:space="0" w:color="auto"/>
            </w:tcBorders>
            <w:noWrap/>
            <w:vAlign w:val="center"/>
            <w:hideMark/>
          </w:tcPr>
          <w:p w:rsidR="005727C2" w:rsidRDefault="005727C2">
            <w:pPr>
              <w:jc w:val="center"/>
              <w:rPr>
                <w:rFonts w:eastAsia="Times New Roman"/>
                <w:sz w:val="16"/>
                <w:szCs w:val="16"/>
                <w:lang w:eastAsia="en-US"/>
              </w:rPr>
            </w:pPr>
            <w:r>
              <w:rPr>
                <w:rFonts w:eastAsia="Times New Roman"/>
                <w:sz w:val="16"/>
                <w:szCs w:val="16"/>
                <w:lang w:eastAsia="en-US"/>
              </w:rPr>
              <w:t xml:space="preserve"> - </w:t>
            </w:r>
          </w:p>
        </w:tc>
        <w:tc>
          <w:tcPr>
            <w:tcW w:w="865" w:type="dxa"/>
            <w:tcBorders>
              <w:top w:val="nil"/>
              <w:left w:val="nil"/>
              <w:bottom w:val="single" w:sz="4" w:space="0" w:color="auto"/>
              <w:right w:val="single" w:sz="4" w:space="0" w:color="auto"/>
            </w:tcBorders>
            <w:shd w:val="clear" w:color="auto" w:fill="FFFFFF"/>
            <w:noWrap/>
            <w:vAlign w:val="center"/>
            <w:hideMark/>
          </w:tcPr>
          <w:p w:rsidR="005727C2" w:rsidRDefault="005727C2">
            <w:pPr>
              <w:jc w:val="center"/>
              <w:rPr>
                <w:rFonts w:eastAsia="Times New Roman"/>
                <w:sz w:val="16"/>
                <w:szCs w:val="16"/>
                <w:lang w:eastAsia="en-US"/>
              </w:rPr>
            </w:pPr>
            <w:r>
              <w:rPr>
                <w:rFonts w:eastAsia="Times New Roman"/>
                <w:sz w:val="16"/>
                <w:szCs w:val="16"/>
                <w:lang w:eastAsia="en-US"/>
              </w:rPr>
              <w:t>0</w:t>
            </w:r>
          </w:p>
        </w:tc>
        <w:tc>
          <w:tcPr>
            <w:tcW w:w="684" w:type="dxa"/>
            <w:tcBorders>
              <w:top w:val="nil"/>
              <w:left w:val="nil"/>
              <w:bottom w:val="single" w:sz="4" w:space="0" w:color="auto"/>
              <w:right w:val="single" w:sz="4" w:space="0" w:color="auto"/>
            </w:tcBorders>
            <w:noWrap/>
            <w:vAlign w:val="center"/>
            <w:hideMark/>
          </w:tcPr>
          <w:p w:rsidR="005727C2" w:rsidRDefault="005727C2">
            <w:pPr>
              <w:jc w:val="center"/>
              <w:rPr>
                <w:rFonts w:eastAsia="Times New Roman"/>
                <w:sz w:val="16"/>
                <w:szCs w:val="16"/>
                <w:lang w:eastAsia="en-US"/>
              </w:rPr>
            </w:pPr>
            <w:r>
              <w:rPr>
                <w:rFonts w:eastAsia="Times New Roman"/>
                <w:sz w:val="16"/>
                <w:szCs w:val="16"/>
                <w:lang w:eastAsia="en-US"/>
              </w:rPr>
              <w:t xml:space="preserve"> - </w:t>
            </w:r>
          </w:p>
        </w:tc>
        <w:tc>
          <w:tcPr>
            <w:tcW w:w="957" w:type="dxa"/>
            <w:tcBorders>
              <w:top w:val="nil"/>
              <w:left w:val="nil"/>
              <w:bottom w:val="single" w:sz="4" w:space="0" w:color="auto"/>
              <w:right w:val="single" w:sz="4" w:space="0" w:color="auto"/>
            </w:tcBorders>
            <w:noWrap/>
            <w:vAlign w:val="bottom"/>
            <w:hideMark/>
          </w:tcPr>
          <w:p w:rsidR="005727C2" w:rsidRDefault="005727C2">
            <w:pPr>
              <w:rPr>
                <w:rFonts w:eastAsia="Times New Roman"/>
                <w:color w:val="000000"/>
                <w:sz w:val="16"/>
                <w:szCs w:val="16"/>
                <w:lang w:eastAsia="en-US"/>
              </w:rPr>
            </w:pPr>
            <w:r>
              <w:rPr>
                <w:rFonts w:eastAsia="Times New Roman"/>
                <w:color w:val="000000"/>
                <w:sz w:val="16"/>
                <w:szCs w:val="16"/>
                <w:lang w:eastAsia="en-US"/>
              </w:rPr>
              <w:t> </w:t>
            </w:r>
          </w:p>
        </w:tc>
      </w:tr>
      <w:tr w:rsidR="005727C2" w:rsidTr="005727C2">
        <w:trPr>
          <w:trHeight w:val="20"/>
        </w:trPr>
        <w:tc>
          <w:tcPr>
            <w:tcW w:w="865" w:type="dxa"/>
            <w:tcBorders>
              <w:top w:val="nil"/>
              <w:left w:val="single" w:sz="4" w:space="0" w:color="auto"/>
              <w:bottom w:val="single" w:sz="4" w:space="0" w:color="auto"/>
              <w:right w:val="single" w:sz="4" w:space="0" w:color="auto"/>
            </w:tcBorders>
            <w:vAlign w:val="center"/>
            <w:hideMark/>
          </w:tcPr>
          <w:p w:rsidR="005727C2" w:rsidRDefault="005727C2">
            <w:pPr>
              <w:jc w:val="center"/>
              <w:rPr>
                <w:rFonts w:eastAsia="Times New Roman"/>
                <w:sz w:val="16"/>
                <w:szCs w:val="16"/>
                <w:lang w:eastAsia="en-US"/>
              </w:rPr>
            </w:pPr>
            <w:r>
              <w:rPr>
                <w:rFonts w:eastAsia="Times New Roman"/>
                <w:sz w:val="16"/>
                <w:szCs w:val="16"/>
                <w:lang w:eastAsia="en-US"/>
              </w:rPr>
              <w:t>В.2.5</w:t>
            </w:r>
          </w:p>
        </w:tc>
        <w:tc>
          <w:tcPr>
            <w:tcW w:w="1435" w:type="dxa"/>
            <w:tcBorders>
              <w:top w:val="nil"/>
              <w:left w:val="nil"/>
              <w:bottom w:val="single" w:sz="4" w:space="0" w:color="auto"/>
              <w:right w:val="single" w:sz="4" w:space="0" w:color="auto"/>
            </w:tcBorders>
            <w:vAlign w:val="center"/>
            <w:hideMark/>
          </w:tcPr>
          <w:p w:rsidR="005727C2" w:rsidRDefault="005727C2">
            <w:pPr>
              <w:rPr>
                <w:rFonts w:eastAsia="Times New Roman"/>
                <w:sz w:val="16"/>
                <w:szCs w:val="16"/>
                <w:lang w:eastAsia="en-US"/>
              </w:rPr>
            </w:pPr>
            <w:r>
              <w:rPr>
                <w:rFonts w:eastAsia="Times New Roman"/>
                <w:sz w:val="16"/>
                <w:szCs w:val="16"/>
                <w:lang w:eastAsia="en-US"/>
              </w:rPr>
              <w:t>количество штатных единиц, прошедших в течение последних 3 лет программы переобучения или повышения квалификации</w:t>
            </w:r>
          </w:p>
        </w:tc>
        <w:tc>
          <w:tcPr>
            <w:tcW w:w="1575" w:type="dxa"/>
            <w:tcBorders>
              <w:top w:val="nil"/>
              <w:left w:val="nil"/>
              <w:bottom w:val="single" w:sz="4" w:space="0" w:color="auto"/>
              <w:right w:val="single" w:sz="4" w:space="0" w:color="auto"/>
            </w:tcBorders>
            <w:vAlign w:val="center"/>
            <w:hideMark/>
          </w:tcPr>
          <w:p w:rsidR="005727C2" w:rsidRDefault="005727C2">
            <w:pPr>
              <w:rPr>
                <w:rFonts w:eastAsia="Times New Roman"/>
                <w:sz w:val="16"/>
                <w:szCs w:val="16"/>
                <w:lang w:eastAsia="en-US"/>
              </w:rPr>
            </w:pPr>
            <w:r>
              <w:rPr>
                <w:rFonts w:eastAsia="Times New Roman"/>
                <w:sz w:val="16"/>
                <w:szCs w:val="16"/>
                <w:lang w:eastAsia="en-US"/>
              </w:rPr>
              <w:t xml:space="preserve">показатель устанавливается из числа штатных единиц, в должностные обязанности которых входят выполнение контрольно-надзорных функций </w:t>
            </w:r>
          </w:p>
        </w:tc>
        <w:tc>
          <w:tcPr>
            <w:tcW w:w="939" w:type="dxa"/>
            <w:tcBorders>
              <w:top w:val="nil"/>
              <w:left w:val="nil"/>
              <w:bottom w:val="single" w:sz="4" w:space="0" w:color="auto"/>
              <w:right w:val="single" w:sz="4" w:space="0" w:color="auto"/>
            </w:tcBorders>
            <w:noWrap/>
            <w:vAlign w:val="center"/>
            <w:hideMark/>
          </w:tcPr>
          <w:p w:rsidR="005727C2" w:rsidRDefault="005727C2">
            <w:pPr>
              <w:jc w:val="center"/>
              <w:rPr>
                <w:rFonts w:eastAsia="Times New Roman"/>
                <w:sz w:val="16"/>
                <w:szCs w:val="16"/>
                <w:lang w:eastAsia="en-US"/>
              </w:rPr>
            </w:pPr>
            <w:r>
              <w:rPr>
                <w:rFonts w:eastAsia="Times New Roman"/>
                <w:sz w:val="16"/>
                <w:szCs w:val="16"/>
                <w:lang w:eastAsia="en-US"/>
              </w:rPr>
              <w:t xml:space="preserve"> - </w:t>
            </w:r>
          </w:p>
        </w:tc>
        <w:tc>
          <w:tcPr>
            <w:tcW w:w="972" w:type="dxa"/>
            <w:noWrap/>
            <w:vAlign w:val="bottom"/>
            <w:hideMark/>
          </w:tcPr>
          <w:p w:rsidR="005727C2" w:rsidRDefault="005727C2">
            <w:pPr>
              <w:spacing w:after="0"/>
              <w:rPr>
                <w:rFonts w:asciiTheme="minorHAnsi" w:eastAsiaTheme="minorHAnsi" w:hAnsiTheme="minorHAnsi" w:cstheme="minorBidi"/>
                <w:lang w:eastAsia="en-US"/>
              </w:rPr>
            </w:pPr>
          </w:p>
        </w:tc>
        <w:tc>
          <w:tcPr>
            <w:tcW w:w="1186" w:type="dxa"/>
            <w:tcBorders>
              <w:top w:val="nil"/>
              <w:left w:val="single" w:sz="4" w:space="0" w:color="auto"/>
              <w:bottom w:val="single" w:sz="4" w:space="0" w:color="auto"/>
              <w:right w:val="single" w:sz="4" w:space="0" w:color="auto"/>
            </w:tcBorders>
            <w:noWrap/>
            <w:vAlign w:val="center"/>
            <w:hideMark/>
          </w:tcPr>
          <w:p w:rsidR="005727C2" w:rsidRDefault="005727C2">
            <w:pPr>
              <w:jc w:val="center"/>
              <w:rPr>
                <w:rFonts w:eastAsia="Times New Roman"/>
                <w:sz w:val="16"/>
                <w:szCs w:val="16"/>
                <w:lang w:eastAsia="en-US"/>
              </w:rPr>
            </w:pPr>
            <w:r>
              <w:rPr>
                <w:rFonts w:eastAsia="Times New Roman"/>
                <w:sz w:val="16"/>
                <w:szCs w:val="16"/>
                <w:lang w:eastAsia="en-US"/>
              </w:rPr>
              <w:t xml:space="preserve"> - </w:t>
            </w:r>
          </w:p>
        </w:tc>
        <w:tc>
          <w:tcPr>
            <w:tcW w:w="865" w:type="dxa"/>
            <w:tcBorders>
              <w:top w:val="nil"/>
              <w:left w:val="nil"/>
              <w:bottom w:val="single" w:sz="4" w:space="0" w:color="auto"/>
              <w:right w:val="single" w:sz="4" w:space="0" w:color="auto"/>
            </w:tcBorders>
            <w:shd w:val="clear" w:color="auto" w:fill="FFFFFF"/>
            <w:noWrap/>
            <w:vAlign w:val="center"/>
            <w:hideMark/>
          </w:tcPr>
          <w:p w:rsidR="005727C2" w:rsidRDefault="005727C2">
            <w:pPr>
              <w:jc w:val="center"/>
              <w:rPr>
                <w:rFonts w:eastAsia="Times New Roman"/>
                <w:sz w:val="16"/>
                <w:szCs w:val="16"/>
                <w:lang w:eastAsia="en-US"/>
              </w:rPr>
            </w:pPr>
            <w:r>
              <w:rPr>
                <w:rFonts w:eastAsia="Times New Roman"/>
                <w:sz w:val="16"/>
                <w:szCs w:val="16"/>
                <w:lang w:eastAsia="en-US"/>
              </w:rPr>
              <w:t>37</w:t>
            </w:r>
          </w:p>
        </w:tc>
        <w:tc>
          <w:tcPr>
            <w:tcW w:w="684" w:type="dxa"/>
            <w:tcBorders>
              <w:top w:val="nil"/>
              <w:left w:val="nil"/>
              <w:bottom w:val="single" w:sz="4" w:space="0" w:color="auto"/>
              <w:right w:val="single" w:sz="4" w:space="0" w:color="auto"/>
            </w:tcBorders>
            <w:noWrap/>
            <w:vAlign w:val="center"/>
            <w:hideMark/>
          </w:tcPr>
          <w:p w:rsidR="005727C2" w:rsidRDefault="005727C2">
            <w:pPr>
              <w:jc w:val="center"/>
              <w:rPr>
                <w:rFonts w:eastAsia="Times New Roman"/>
                <w:sz w:val="16"/>
                <w:szCs w:val="16"/>
                <w:lang w:eastAsia="en-US"/>
              </w:rPr>
            </w:pPr>
            <w:r>
              <w:rPr>
                <w:rFonts w:eastAsia="Times New Roman"/>
                <w:sz w:val="16"/>
                <w:szCs w:val="16"/>
                <w:lang w:eastAsia="en-US"/>
              </w:rPr>
              <w:t xml:space="preserve"> - </w:t>
            </w:r>
          </w:p>
        </w:tc>
        <w:tc>
          <w:tcPr>
            <w:tcW w:w="957" w:type="dxa"/>
            <w:tcBorders>
              <w:top w:val="nil"/>
              <w:left w:val="nil"/>
              <w:bottom w:val="single" w:sz="4" w:space="0" w:color="auto"/>
              <w:right w:val="single" w:sz="4" w:space="0" w:color="auto"/>
            </w:tcBorders>
            <w:noWrap/>
            <w:vAlign w:val="bottom"/>
            <w:hideMark/>
          </w:tcPr>
          <w:p w:rsidR="005727C2" w:rsidRDefault="005727C2">
            <w:pPr>
              <w:rPr>
                <w:rFonts w:eastAsia="Times New Roman"/>
                <w:color w:val="000000"/>
                <w:sz w:val="16"/>
                <w:szCs w:val="16"/>
                <w:lang w:eastAsia="en-US"/>
              </w:rPr>
            </w:pPr>
            <w:r>
              <w:rPr>
                <w:rFonts w:eastAsia="Times New Roman"/>
                <w:color w:val="000000"/>
                <w:sz w:val="16"/>
                <w:szCs w:val="16"/>
                <w:lang w:eastAsia="en-US"/>
              </w:rPr>
              <w:t> </w:t>
            </w:r>
          </w:p>
        </w:tc>
      </w:tr>
      <w:tr w:rsidR="005727C2" w:rsidTr="005727C2">
        <w:trPr>
          <w:trHeight w:val="20"/>
        </w:trPr>
        <w:tc>
          <w:tcPr>
            <w:tcW w:w="865" w:type="dxa"/>
            <w:tcBorders>
              <w:top w:val="nil"/>
              <w:left w:val="single" w:sz="4" w:space="0" w:color="auto"/>
              <w:bottom w:val="single" w:sz="4" w:space="0" w:color="auto"/>
              <w:right w:val="single" w:sz="4" w:space="0" w:color="auto"/>
            </w:tcBorders>
            <w:vAlign w:val="center"/>
            <w:hideMark/>
          </w:tcPr>
          <w:p w:rsidR="005727C2" w:rsidRDefault="005727C2">
            <w:pPr>
              <w:jc w:val="center"/>
              <w:rPr>
                <w:rFonts w:eastAsia="Times New Roman"/>
                <w:sz w:val="16"/>
                <w:szCs w:val="16"/>
                <w:lang w:eastAsia="en-US"/>
              </w:rPr>
            </w:pPr>
            <w:r>
              <w:rPr>
                <w:rFonts w:eastAsia="Times New Roman"/>
                <w:sz w:val="16"/>
                <w:szCs w:val="16"/>
                <w:lang w:eastAsia="en-US"/>
              </w:rPr>
              <w:t>В.3</w:t>
            </w:r>
          </w:p>
        </w:tc>
        <w:tc>
          <w:tcPr>
            <w:tcW w:w="8613" w:type="dxa"/>
            <w:gridSpan w:val="8"/>
            <w:tcBorders>
              <w:top w:val="single" w:sz="4" w:space="0" w:color="auto"/>
              <w:left w:val="nil"/>
              <w:bottom w:val="single" w:sz="4" w:space="0" w:color="auto"/>
              <w:right w:val="single" w:sz="4" w:space="0" w:color="auto"/>
            </w:tcBorders>
            <w:vAlign w:val="center"/>
            <w:hideMark/>
          </w:tcPr>
          <w:p w:rsidR="005727C2" w:rsidRDefault="005727C2">
            <w:pPr>
              <w:rPr>
                <w:rFonts w:eastAsia="Times New Roman"/>
                <w:sz w:val="16"/>
                <w:szCs w:val="16"/>
                <w:lang w:eastAsia="en-US"/>
              </w:rPr>
            </w:pPr>
            <w:r>
              <w:rPr>
                <w:rFonts w:eastAsia="Times New Roman"/>
                <w:sz w:val="16"/>
                <w:szCs w:val="16"/>
                <w:lang w:eastAsia="en-US"/>
              </w:rPr>
              <w:t>индикативные показатели, характеризующие параметры проведенных мероприятий</w:t>
            </w:r>
          </w:p>
        </w:tc>
      </w:tr>
      <w:tr w:rsidR="005727C2" w:rsidTr="005727C2">
        <w:trPr>
          <w:trHeight w:val="20"/>
        </w:trPr>
        <w:tc>
          <w:tcPr>
            <w:tcW w:w="865" w:type="dxa"/>
            <w:tcBorders>
              <w:top w:val="nil"/>
              <w:left w:val="single" w:sz="4" w:space="0" w:color="auto"/>
              <w:bottom w:val="single" w:sz="4" w:space="0" w:color="auto"/>
              <w:right w:val="single" w:sz="4" w:space="0" w:color="auto"/>
            </w:tcBorders>
            <w:vAlign w:val="center"/>
            <w:hideMark/>
          </w:tcPr>
          <w:p w:rsidR="005727C2" w:rsidRDefault="005727C2">
            <w:pPr>
              <w:jc w:val="center"/>
              <w:rPr>
                <w:rFonts w:eastAsia="Times New Roman"/>
                <w:sz w:val="16"/>
                <w:szCs w:val="16"/>
                <w:lang w:eastAsia="en-US"/>
              </w:rPr>
            </w:pPr>
            <w:r>
              <w:rPr>
                <w:rFonts w:eastAsia="Times New Roman"/>
                <w:sz w:val="16"/>
                <w:szCs w:val="16"/>
                <w:lang w:eastAsia="en-US"/>
              </w:rPr>
              <w:t>В.3.1</w:t>
            </w:r>
          </w:p>
        </w:tc>
        <w:tc>
          <w:tcPr>
            <w:tcW w:w="8613" w:type="dxa"/>
            <w:gridSpan w:val="8"/>
            <w:tcBorders>
              <w:top w:val="single" w:sz="4" w:space="0" w:color="auto"/>
              <w:left w:val="nil"/>
              <w:bottom w:val="single" w:sz="4" w:space="0" w:color="auto"/>
              <w:right w:val="single" w:sz="4" w:space="0" w:color="auto"/>
            </w:tcBorders>
            <w:shd w:val="clear" w:color="auto" w:fill="FFFFFF"/>
            <w:vAlign w:val="center"/>
            <w:hideMark/>
          </w:tcPr>
          <w:p w:rsidR="005727C2" w:rsidRDefault="005727C2">
            <w:pPr>
              <w:rPr>
                <w:rFonts w:eastAsia="Times New Roman"/>
                <w:sz w:val="16"/>
                <w:szCs w:val="16"/>
                <w:lang w:eastAsia="en-US"/>
              </w:rPr>
            </w:pPr>
            <w:r>
              <w:rPr>
                <w:rFonts w:eastAsia="Times New Roman"/>
                <w:sz w:val="16"/>
                <w:szCs w:val="16"/>
                <w:lang w:eastAsia="en-US"/>
              </w:rPr>
              <w:t>проверки</w:t>
            </w:r>
          </w:p>
        </w:tc>
      </w:tr>
      <w:tr w:rsidR="005727C2" w:rsidTr="005727C2">
        <w:trPr>
          <w:trHeight w:val="20"/>
        </w:trPr>
        <w:tc>
          <w:tcPr>
            <w:tcW w:w="865" w:type="dxa"/>
            <w:tcBorders>
              <w:top w:val="nil"/>
              <w:left w:val="single" w:sz="4" w:space="0" w:color="auto"/>
              <w:bottom w:val="single" w:sz="4" w:space="0" w:color="auto"/>
              <w:right w:val="single" w:sz="4" w:space="0" w:color="auto"/>
            </w:tcBorders>
            <w:vAlign w:val="center"/>
            <w:hideMark/>
          </w:tcPr>
          <w:p w:rsidR="005727C2" w:rsidRDefault="005727C2">
            <w:pPr>
              <w:jc w:val="center"/>
              <w:rPr>
                <w:rFonts w:eastAsia="Times New Roman"/>
                <w:sz w:val="16"/>
                <w:szCs w:val="16"/>
                <w:lang w:eastAsia="en-US"/>
              </w:rPr>
            </w:pPr>
            <w:r>
              <w:rPr>
                <w:rFonts w:eastAsia="Times New Roman"/>
                <w:sz w:val="16"/>
                <w:szCs w:val="16"/>
                <w:lang w:eastAsia="en-US"/>
              </w:rPr>
              <w:t>В.3.1.1</w:t>
            </w:r>
          </w:p>
        </w:tc>
        <w:tc>
          <w:tcPr>
            <w:tcW w:w="1435" w:type="dxa"/>
            <w:tcBorders>
              <w:top w:val="nil"/>
              <w:left w:val="nil"/>
              <w:bottom w:val="single" w:sz="4" w:space="0" w:color="auto"/>
              <w:right w:val="single" w:sz="4" w:space="0" w:color="auto"/>
            </w:tcBorders>
            <w:shd w:val="clear" w:color="auto" w:fill="FFFFFF"/>
            <w:vAlign w:val="center"/>
            <w:hideMark/>
          </w:tcPr>
          <w:p w:rsidR="005727C2" w:rsidRDefault="005727C2">
            <w:pPr>
              <w:rPr>
                <w:rFonts w:eastAsia="Times New Roman"/>
                <w:sz w:val="16"/>
                <w:szCs w:val="16"/>
                <w:lang w:eastAsia="en-US"/>
              </w:rPr>
            </w:pPr>
            <w:r>
              <w:rPr>
                <w:rFonts w:eastAsia="Times New Roman"/>
                <w:sz w:val="16"/>
                <w:szCs w:val="16"/>
                <w:lang w:eastAsia="en-US"/>
              </w:rPr>
              <w:t>общее количество проверок</w:t>
            </w:r>
          </w:p>
        </w:tc>
        <w:tc>
          <w:tcPr>
            <w:tcW w:w="1575" w:type="dxa"/>
            <w:tcBorders>
              <w:top w:val="nil"/>
              <w:left w:val="nil"/>
              <w:bottom w:val="single" w:sz="4" w:space="0" w:color="auto"/>
              <w:right w:val="single" w:sz="4" w:space="0" w:color="auto"/>
            </w:tcBorders>
            <w:shd w:val="clear" w:color="auto" w:fill="FFFFFF"/>
            <w:vAlign w:val="center"/>
            <w:hideMark/>
          </w:tcPr>
          <w:p w:rsidR="005727C2" w:rsidRDefault="005727C2">
            <w:pPr>
              <w:rPr>
                <w:rFonts w:eastAsia="Times New Roman"/>
                <w:sz w:val="16"/>
                <w:szCs w:val="16"/>
                <w:lang w:eastAsia="en-US"/>
              </w:rPr>
            </w:pPr>
            <w:r>
              <w:rPr>
                <w:rFonts w:eastAsia="Times New Roman"/>
                <w:sz w:val="16"/>
                <w:szCs w:val="16"/>
                <w:lang w:eastAsia="en-US"/>
              </w:rPr>
              <w:t>устанавливается общий суммарный показатель</w:t>
            </w:r>
          </w:p>
        </w:tc>
        <w:tc>
          <w:tcPr>
            <w:tcW w:w="939" w:type="dxa"/>
            <w:tcBorders>
              <w:top w:val="nil"/>
              <w:left w:val="nil"/>
              <w:bottom w:val="single" w:sz="4" w:space="0" w:color="auto"/>
              <w:right w:val="single" w:sz="4" w:space="0" w:color="auto"/>
            </w:tcBorders>
            <w:shd w:val="clear" w:color="auto" w:fill="FFFFFF"/>
            <w:noWrap/>
            <w:vAlign w:val="center"/>
            <w:hideMark/>
          </w:tcPr>
          <w:p w:rsidR="005727C2" w:rsidRDefault="005727C2">
            <w:pPr>
              <w:jc w:val="center"/>
              <w:rPr>
                <w:rFonts w:eastAsia="Times New Roman"/>
                <w:sz w:val="16"/>
                <w:szCs w:val="16"/>
                <w:lang w:eastAsia="en-US"/>
              </w:rPr>
            </w:pPr>
            <w:r>
              <w:rPr>
                <w:rFonts w:eastAsia="Times New Roman"/>
                <w:sz w:val="16"/>
                <w:szCs w:val="16"/>
                <w:lang w:eastAsia="en-US"/>
              </w:rPr>
              <w:t xml:space="preserve"> - </w:t>
            </w:r>
          </w:p>
        </w:tc>
        <w:tc>
          <w:tcPr>
            <w:tcW w:w="972" w:type="dxa"/>
            <w:tcBorders>
              <w:top w:val="nil"/>
              <w:left w:val="nil"/>
              <w:bottom w:val="single" w:sz="4" w:space="0" w:color="auto"/>
              <w:right w:val="single" w:sz="4" w:space="0" w:color="auto"/>
            </w:tcBorders>
            <w:shd w:val="clear" w:color="auto" w:fill="FFFFFF"/>
            <w:noWrap/>
            <w:vAlign w:val="bottom"/>
            <w:hideMark/>
          </w:tcPr>
          <w:p w:rsidR="005727C2" w:rsidRDefault="005727C2">
            <w:pPr>
              <w:rPr>
                <w:rFonts w:eastAsia="Times New Roman"/>
                <w:sz w:val="16"/>
                <w:szCs w:val="16"/>
                <w:lang w:eastAsia="en-US"/>
              </w:rPr>
            </w:pPr>
            <w:r>
              <w:rPr>
                <w:rFonts w:eastAsia="Times New Roman"/>
                <w:sz w:val="16"/>
                <w:szCs w:val="16"/>
                <w:lang w:eastAsia="en-US"/>
              </w:rPr>
              <w:t> </w:t>
            </w:r>
          </w:p>
        </w:tc>
        <w:tc>
          <w:tcPr>
            <w:tcW w:w="1186" w:type="dxa"/>
            <w:tcBorders>
              <w:top w:val="nil"/>
              <w:left w:val="nil"/>
              <w:bottom w:val="single" w:sz="4" w:space="0" w:color="auto"/>
              <w:right w:val="single" w:sz="4" w:space="0" w:color="auto"/>
            </w:tcBorders>
            <w:shd w:val="clear" w:color="auto" w:fill="FFFFFF"/>
            <w:noWrap/>
            <w:vAlign w:val="center"/>
            <w:hideMark/>
          </w:tcPr>
          <w:p w:rsidR="005727C2" w:rsidRDefault="005727C2">
            <w:pPr>
              <w:jc w:val="center"/>
              <w:rPr>
                <w:rFonts w:eastAsia="Times New Roman"/>
                <w:sz w:val="16"/>
                <w:szCs w:val="16"/>
                <w:lang w:eastAsia="en-US"/>
              </w:rPr>
            </w:pPr>
            <w:r>
              <w:rPr>
                <w:rFonts w:eastAsia="Times New Roman"/>
                <w:sz w:val="16"/>
                <w:szCs w:val="16"/>
                <w:lang w:eastAsia="en-US"/>
              </w:rPr>
              <w:t xml:space="preserve"> - </w:t>
            </w:r>
          </w:p>
        </w:tc>
        <w:tc>
          <w:tcPr>
            <w:tcW w:w="865" w:type="dxa"/>
            <w:tcBorders>
              <w:top w:val="nil"/>
              <w:left w:val="nil"/>
              <w:bottom w:val="single" w:sz="4" w:space="0" w:color="auto"/>
              <w:right w:val="single" w:sz="4" w:space="0" w:color="auto"/>
            </w:tcBorders>
            <w:shd w:val="clear" w:color="auto" w:fill="FFFFFF"/>
            <w:noWrap/>
            <w:vAlign w:val="center"/>
            <w:hideMark/>
          </w:tcPr>
          <w:p w:rsidR="005727C2" w:rsidRDefault="005727C2">
            <w:pPr>
              <w:jc w:val="center"/>
              <w:rPr>
                <w:rFonts w:eastAsia="Times New Roman"/>
                <w:sz w:val="16"/>
                <w:szCs w:val="16"/>
                <w:lang w:eastAsia="en-US"/>
              </w:rPr>
            </w:pPr>
            <w:r>
              <w:rPr>
                <w:rFonts w:eastAsia="Times New Roman"/>
                <w:sz w:val="16"/>
                <w:szCs w:val="16"/>
                <w:lang w:eastAsia="en-US"/>
              </w:rPr>
              <w:t>34</w:t>
            </w:r>
          </w:p>
        </w:tc>
        <w:tc>
          <w:tcPr>
            <w:tcW w:w="684" w:type="dxa"/>
            <w:tcBorders>
              <w:top w:val="nil"/>
              <w:left w:val="nil"/>
              <w:bottom w:val="single" w:sz="4" w:space="0" w:color="auto"/>
              <w:right w:val="single" w:sz="4" w:space="0" w:color="auto"/>
            </w:tcBorders>
            <w:shd w:val="clear" w:color="auto" w:fill="FFFFFF"/>
            <w:noWrap/>
            <w:vAlign w:val="center"/>
            <w:hideMark/>
          </w:tcPr>
          <w:p w:rsidR="005727C2" w:rsidRDefault="005727C2">
            <w:pPr>
              <w:jc w:val="center"/>
              <w:rPr>
                <w:rFonts w:eastAsia="Times New Roman"/>
                <w:sz w:val="16"/>
                <w:szCs w:val="16"/>
                <w:lang w:eastAsia="en-US"/>
              </w:rPr>
            </w:pPr>
            <w:r>
              <w:rPr>
                <w:rFonts w:eastAsia="Times New Roman"/>
                <w:sz w:val="16"/>
                <w:szCs w:val="16"/>
                <w:lang w:eastAsia="en-US"/>
              </w:rPr>
              <w:t xml:space="preserve"> - </w:t>
            </w:r>
          </w:p>
        </w:tc>
        <w:tc>
          <w:tcPr>
            <w:tcW w:w="957" w:type="dxa"/>
            <w:tcBorders>
              <w:top w:val="nil"/>
              <w:left w:val="nil"/>
              <w:bottom w:val="single" w:sz="4" w:space="0" w:color="auto"/>
              <w:right w:val="single" w:sz="4" w:space="0" w:color="auto"/>
            </w:tcBorders>
            <w:shd w:val="clear" w:color="auto" w:fill="FFFFFF"/>
            <w:noWrap/>
            <w:vAlign w:val="bottom"/>
            <w:hideMark/>
          </w:tcPr>
          <w:p w:rsidR="005727C2" w:rsidRDefault="005727C2">
            <w:pPr>
              <w:rPr>
                <w:rFonts w:eastAsia="Times New Roman"/>
                <w:color w:val="000000"/>
                <w:sz w:val="16"/>
                <w:szCs w:val="16"/>
                <w:lang w:eastAsia="en-US"/>
              </w:rPr>
            </w:pPr>
            <w:r>
              <w:rPr>
                <w:rFonts w:eastAsia="Times New Roman"/>
                <w:color w:val="000000"/>
                <w:sz w:val="16"/>
                <w:szCs w:val="16"/>
                <w:lang w:eastAsia="en-US"/>
              </w:rPr>
              <w:t> </w:t>
            </w:r>
          </w:p>
        </w:tc>
      </w:tr>
      <w:tr w:rsidR="005727C2" w:rsidTr="005727C2">
        <w:trPr>
          <w:trHeight w:val="20"/>
        </w:trPr>
        <w:tc>
          <w:tcPr>
            <w:tcW w:w="865" w:type="dxa"/>
            <w:tcBorders>
              <w:top w:val="nil"/>
              <w:left w:val="single" w:sz="4" w:space="0" w:color="auto"/>
              <w:bottom w:val="single" w:sz="4" w:space="0" w:color="auto"/>
              <w:right w:val="single" w:sz="4" w:space="0" w:color="auto"/>
            </w:tcBorders>
            <w:vAlign w:val="center"/>
            <w:hideMark/>
          </w:tcPr>
          <w:p w:rsidR="005727C2" w:rsidRDefault="005727C2">
            <w:pPr>
              <w:jc w:val="center"/>
              <w:rPr>
                <w:rFonts w:eastAsia="Times New Roman"/>
                <w:sz w:val="16"/>
                <w:szCs w:val="16"/>
                <w:lang w:eastAsia="en-US"/>
              </w:rPr>
            </w:pPr>
            <w:r>
              <w:rPr>
                <w:rFonts w:eastAsia="Times New Roman"/>
                <w:sz w:val="16"/>
                <w:szCs w:val="16"/>
                <w:lang w:eastAsia="en-US"/>
              </w:rPr>
              <w:t>В.3.1.2</w:t>
            </w:r>
          </w:p>
        </w:tc>
        <w:tc>
          <w:tcPr>
            <w:tcW w:w="1435" w:type="dxa"/>
            <w:tcBorders>
              <w:top w:val="nil"/>
              <w:left w:val="nil"/>
              <w:bottom w:val="single" w:sz="4" w:space="0" w:color="auto"/>
              <w:right w:val="single" w:sz="4" w:space="0" w:color="auto"/>
            </w:tcBorders>
            <w:shd w:val="clear" w:color="auto" w:fill="FFFFFF"/>
            <w:vAlign w:val="center"/>
            <w:hideMark/>
          </w:tcPr>
          <w:p w:rsidR="005727C2" w:rsidRDefault="005727C2">
            <w:pPr>
              <w:rPr>
                <w:rFonts w:eastAsia="Times New Roman"/>
                <w:sz w:val="16"/>
                <w:szCs w:val="16"/>
                <w:lang w:eastAsia="en-US"/>
              </w:rPr>
            </w:pPr>
            <w:r>
              <w:rPr>
                <w:rFonts w:eastAsia="Times New Roman"/>
                <w:sz w:val="16"/>
                <w:szCs w:val="16"/>
                <w:lang w:eastAsia="en-US"/>
              </w:rPr>
              <w:t>общее количество плановых проверок</w:t>
            </w:r>
          </w:p>
        </w:tc>
        <w:tc>
          <w:tcPr>
            <w:tcW w:w="1575" w:type="dxa"/>
            <w:tcBorders>
              <w:top w:val="nil"/>
              <w:left w:val="nil"/>
              <w:bottom w:val="single" w:sz="4" w:space="0" w:color="auto"/>
              <w:right w:val="single" w:sz="4" w:space="0" w:color="auto"/>
            </w:tcBorders>
            <w:shd w:val="clear" w:color="auto" w:fill="FFFFFF"/>
            <w:vAlign w:val="center"/>
            <w:hideMark/>
          </w:tcPr>
          <w:p w:rsidR="005727C2" w:rsidRDefault="005727C2">
            <w:pPr>
              <w:rPr>
                <w:rFonts w:eastAsia="Times New Roman"/>
                <w:sz w:val="16"/>
                <w:szCs w:val="16"/>
                <w:lang w:eastAsia="en-US"/>
              </w:rPr>
            </w:pPr>
            <w:r>
              <w:rPr>
                <w:rFonts w:eastAsia="Times New Roman"/>
                <w:sz w:val="16"/>
                <w:szCs w:val="16"/>
                <w:lang w:eastAsia="en-US"/>
              </w:rPr>
              <w:t>устанавливается общий суммарный показатель</w:t>
            </w:r>
          </w:p>
        </w:tc>
        <w:tc>
          <w:tcPr>
            <w:tcW w:w="939" w:type="dxa"/>
            <w:tcBorders>
              <w:top w:val="nil"/>
              <w:left w:val="nil"/>
              <w:bottom w:val="single" w:sz="4" w:space="0" w:color="auto"/>
              <w:right w:val="single" w:sz="4" w:space="0" w:color="auto"/>
            </w:tcBorders>
            <w:shd w:val="clear" w:color="auto" w:fill="FFFFFF"/>
            <w:noWrap/>
            <w:vAlign w:val="center"/>
            <w:hideMark/>
          </w:tcPr>
          <w:p w:rsidR="005727C2" w:rsidRDefault="005727C2">
            <w:pPr>
              <w:jc w:val="center"/>
              <w:rPr>
                <w:rFonts w:eastAsia="Times New Roman"/>
                <w:sz w:val="16"/>
                <w:szCs w:val="16"/>
                <w:lang w:eastAsia="en-US"/>
              </w:rPr>
            </w:pPr>
            <w:r>
              <w:rPr>
                <w:rFonts w:eastAsia="Times New Roman"/>
                <w:sz w:val="16"/>
                <w:szCs w:val="16"/>
                <w:lang w:eastAsia="en-US"/>
              </w:rPr>
              <w:t xml:space="preserve"> - </w:t>
            </w:r>
          </w:p>
        </w:tc>
        <w:tc>
          <w:tcPr>
            <w:tcW w:w="972" w:type="dxa"/>
            <w:tcBorders>
              <w:top w:val="nil"/>
              <w:left w:val="nil"/>
              <w:bottom w:val="single" w:sz="4" w:space="0" w:color="auto"/>
              <w:right w:val="single" w:sz="4" w:space="0" w:color="auto"/>
            </w:tcBorders>
            <w:shd w:val="clear" w:color="auto" w:fill="FFFFFF"/>
            <w:noWrap/>
            <w:vAlign w:val="bottom"/>
            <w:hideMark/>
          </w:tcPr>
          <w:p w:rsidR="005727C2" w:rsidRDefault="005727C2">
            <w:pPr>
              <w:rPr>
                <w:rFonts w:eastAsia="Times New Roman"/>
                <w:sz w:val="16"/>
                <w:szCs w:val="16"/>
                <w:lang w:eastAsia="en-US"/>
              </w:rPr>
            </w:pPr>
            <w:r>
              <w:rPr>
                <w:rFonts w:eastAsia="Times New Roman"/>
                <w:sz w:val="16"/>
                <w:szCs w:val="16"/>
                <w:lang w:eastAsia="en-US"/>
              </w:rPr>
              <w:t> </w:t>
            </w:r>
          </w:p>
        </w:tc>
        <w:tc>
          <w:tcPr>
            <w:tcW w:w="1186" w:type="dxa"/>
            <w:tcBorders>
              <w:top w:val="nil"/>
              <w:left w:val="nil"/>
              <w:bottom w:val="single" w:sz="4" w:space="0" w:color="auto"/>
              <w:right w:val="single" w:sz="4" w:space="0" w:color="auto"/>
            </w:tcBorders>
            <w:shd w:val="clear" w:color="auto" w:fill="FFFFFF"/>
            <w:noWrap/>
            <w:vAlign w:val="center"/>
            <w:hideMark/>
          </w:tcPr>
          <w:p w:rsidR="005727C2" w:rsidRDefault="005727C2">
            <w:pPr>
              <w:jc w:val="center"/>
              <w:rPr>
                <w:rFonts w:eastAsia="Times New Roman"/>
                <w:sz w:val="16"/>
                <w:szCs w:val="16"/>
                <w:lang w:eastAsia="en-US"/>
              </w:rPr>
            </w:pPr>
            <w:r>
              <w:rPr>
                <w:rFonts w:eastAsia="Times New Roman"/>
                <w:sz w:val="16"/>
                <w:szCs w:val="16"/>
                <w:lang w:eastAsia="en-US"/>
              </w:rPr>
              <w:t xml:space="preserve"> - </w:t>
            </w:r>
          </w:p>
        </w:tc>
        <w:tc>
          <w:tcPr>
            <w:tcW w:w="865" w:type="dxa"/>
            <w:tcBorders>
              <w:top w:val="nil"/>
              <w:left w:val="nil"/>
              <w:bottom w:val="single" w:sz="4" w:space="0" w:color="auto"/>
              <w:right w:val="single" w:sz="4" w:space="0" w:color="auto"/>
            </w:tcBorders>
            <w:shd w:val="clear" w:color="auto" w:fill="FFFFFF"/>
            <w:noWrap/>
            <w:vAlign w:val="center"/>
            <w:hideMark/>
          </w:tcPr>
          <w:p w:rsidR="005727C2" w:rsidRDefault="005727C2">
            <w:pPr>
              <w:jc w:val="center"/>
              <w:rPr>
                <w:rFonts w:eastAsia="Times New Roman"/>
                <w:sz w:val="16"/>
                <w:szCs w:val="16"/>
                <w:lang w:eastAsia="en-US"/>
              </w:rPr>
            </w:pPr>
            <w:r>
              <w:rPr>
                <w:rFonts w:eastAsia="Times New Roman"/>
                <w:sz w:val="16"/>
                <w:szCs w:val="16"/>
                <w:lang w:eastAsia="en-US"/>
              </w:rPr>
              <w:t>21</w:t>
            </w:r>
          </w:p>
        </w:tc>
        <w:tc>
          <w:tcPr>
            <w:tcW w:w="684" w:type="dxa"/>
            <w:tcBorders>
              <w:top w:val="nil"/>
              <w:left w:val="nil"/>
              <w:bottom w:val="single" w:sz="4" w:space="0" w:color="auto"/>
              <w:right w:val="single" w:sz="4" w:space="0" w:color="auto"/>
            </w:tcBorders>
            <w:shd w:val="clear" w:color="auto" w:fill="FFFFFF"/>
            <w:noWrap/>
            <w:vAlign w:val="center"/>
            <w:hideMark/>
          </w:tcPr>
          <w:p w:rsidR="005727C2" w:rsidRDefault="005727C2">
            <w:pPr>
              <w:jc w:val="center"/>
              <w:rPr>
                <w:rFonts w:eastAsia="Times New Roman"/>
                <w:sz w:val="16"/>
                <w:szCs w:val="16"/>
                <w:lang w:eastAsia="en-US"/>
              </w:rPr>
            </w:pPr>
            <w:r>
              <w:rPr>
                <w:rFonts w:eastAsia="Times New Roman"/>
                <w:sz w:val="16"/>
                <w:szCs w:val="16"/>
                <w:lang w:eastAsia="en-US"/>
              </w:rPr>
              <w:t xml:space="preserve"> - </w:t>
            </w:r>
          </w:p>
        </w:tc>
        <w:tc>
          <w:tcPr>
            <w:tcW w:w="957" w:type="dxa"/>
            <w:tcBorders>
              <w:top w:val="nil"/>
              <w:left w:val="nil"/>
              <w:bottom w:val="single" w:sz="4" w:space="0" w:color="auto"/>
              <w:right w:val="single" w:sz="4" w:space="0" w:color="auto"/>
            </w:tcBorders>
            <w:shd w:val="clear" w:color="auto" w:fill="FFFFFF"/>
            <w:noWrap/>
            <w:vAlign w:val="bottom"/>
            <w:hideMark/>
          </w:tcPr>
          <w:p w:rsidR="005727C2" w:rsidRDefault="005727C2">
            <w:pPr>
              <w:rPr>
                <w:rFonts w:eastAsia="Times New Roman"/>
                <w:color w:val="000000"/>
                <w:sz w:val="16"/>
                <w:szCs w:val="16"/>
                <w:lang w:eastAsia="en-US"/>
              </w:rPr>
            </w:pPr>
            <w:r>
              <w:rPr>
                <w:rFonts w:eastAsia="Times New Roman"/>
                <w:color w:val="000000"/>
                <w:sz w:val="16"/>
                <w:szCs w:val="16"/>
                <w:lang w:eastAsia="en-US"/>
              </w:rPr>
              <w:t> </w:t>
            </w:r>
          </w:p>
        </w:tc>
      </w:tr>
      <w:tr w:rsidR="005727C2" w:rsidTr="005727C2">
        <w:trPr>
          <w:trHeight w:val="20"/>
        </w:trPr>
        <w:tc>
          <w:tcPr>
            <w:tcW w:w="865" w:type="dxa"/>
            <w:tcBorders>
              <w:top w:val="nil"/>
              <w:left w:val="single" w:sz="4" w:space="0" w:color="auto"/>
              <w:bottom w:val="single" w:sz="4" w:space="0" w:color="auto"/>
              <w:right w:val="single" w:sz="4" w:space="0" w:color="auto"/>
            </w:tcBorders>
            <w:vAlign w:val="center"/>
            <w:hideMark/>
          </w:tcPr>
          <w:p w:rsidR="005727C2" w:rsidRDefault="005727C2">
            <w:pPr>
              <w:jc w:val="center"/>
              <w:rPr>
                <w:rFonts w:eastAsia="Times New Roman"/>
                <w:sz w:val="16"/>
                <w:szCs w:val="16"/>
                <w:lang w:eastAsia="en-US"/>
              </w:rPr>
            </w:pPr>
            <w:r>
              <w:rPr>
                <w:rFonts w:eastAsia="Times New Roman"/>
                <w:sz w:val="16"/>
                <w:szCs w:val="16"/>
                <w:lang w:eastAsia="en-US"/>
              </w:rPr>
              <w:t>В.3.1.3</w:t>
            </w:r>
          </w:p>
        </w:tc>
        <w:tc>
          <w:tcPr>
            <w:tcW w:w="1435" w:type="dxa"/>
            <w:tcBorders>
              <w:top w:val="nil"/>
              <w:left w:val="nil"/>
              <w:bottom w:val="single" w:sz="4" w:space="0" w:color="auto"/>
              <w:right w:val="single" w:sz="4" w:space="0" w:color="auto"/>
            </w:tcBorders>
            <w:shd w:val="clear" w:color="auto" w:fill="FFFFFF"/>
            <w:vAlign w:val="center"/>
            <w:hideMark/>
          </w:tcPr>
          <w:p w:rsidR="005727C2" w:rsidRDefault="005727C2">
            <w:pPr>
              <w:rPr>
                <w:rFonts w:eastAsia="Times New Roman"/>
                <w:sz w:val="16"/>
                <w:szCs w:val="16"/>
                <w:lang w:eastAsia="en-US"/>
              </w:rPr>
            </w:pPr>
            <w:r>
              <w:rPr>
                <w:rFonts w:eastAsia="Times New Roman"/>
                <w:sz w:val="16"/>
                <w:szCs w:val="16"/>
                <w:lang w:eastAsia="en-US"/>
              </w:rPr>
              <w:t>общее количество внеплановых проверок по основаниям</w:t>
            </w:r>
          </w:p>
        </w:tc>
        <w:tc>
          <w:tcPr>
            <w:tcW w:w="1575" w:type="dxa"/>
            <w:tcBorders>
              <w:top w:val="nil"/>
              <w:left w:val="nil"/>
              <w:bottom w:val="single" w:sz="4" w:space="0" w:color="auto"/>
              <w:right w:val="single" w:sz="4" w:space="0" w:color="auto"/>
            </w:tcBorders>
            <w:shd w:val="clear" w:color="auto" w:fill="FFFFFF"/>
            <w:vAlign w:val="center"/>
            <w:hideMark/>
          </w:tcPr>
          <w:p w:rsidR="005727C2" w:rsidRDefault="005727C2">
            <w:pPr>
              <w:rPr>
                <w:rFonts w:eastAsia="Times New Roman"/>
                <w:sz w:val="16"/>
                <w:szCs w:val="16"/>
                <w:lang w:eastAsia="en-US"/>
              </w:rPr>
            </w:pPr>
            <w:r>
              <w:rPr>
                <w:rFonts w:eastAsia="Times New Roman"/>
                <w:sz w:val="16"/>
                <w:szCs w:val="16"/>
                <w:lang w:eastAsia="en-US"/>
              </w:rPr>
              <w:t>устанавливается общий суммарный показатель</w:t>
            </w:r>
          </w:p>
        </w:tc>
        <w:tc>
          <w:tcPr>
            <w:tcW w:w="939" w:type="dxa"/>
            <w:tcBorders>
              <w:top w:val="nil"/>
              <w:left w:val="nil"/>
              <w:bottom w:val="single" w:sz="4" w:space="0" w:color="auto"/>
              <w:right w:val="single" w:sz="4" w:space="0" w:color="auto"/>
            </w:tcBorders>
            <w:shd w:val="clear" w:color="auto" w:fill="FFFFFF"/>
            <w:noWrap/>
            <w:vAlign w:val="center"/>
            <w:hideMark/>
          </w:tcPr>
          <w:p w:rsidR="005727C2" w:rsidRDefault="005727C2">
            <w:pPr>
              <w:jc w:val="center"/>
              <w:rPr>
                <w:rFonts w:eastAsia="Times New Roman"/>
                <w:sz w:val="16"/>
                <w:szCs w:val="16"/>
                <w:lang w:eastAsia="en-US"/>
              </w:rPr>
            </w:pPr>
            <w:r>
              <w:rPr>
                <w:rFonts w:eastAsia="Times New Roman"/>
                <w:sz w:val="16"/>
                <w:szCs w:val="16"/>
                <w:lang w:eastAsia="en-US"/>
              </w:rPr>
              <w:t xml:space="preserve"> - </w:t>
            </w:r>
          </w:p>
        </w:tc>
        <w:tc>
          <w:tcPr>
            <w:tcW w:w="972" w:type="dxa"/>
            <w:tcBorders>
              <w:top w:val="nil"/>
              <w:left w:val="nil"/>
              <w:bottom w:val="single" w:sz="4" w:space="0" w:color="auto"/>
              <w:right w:val="single" w:sz="4" w:space="0" w:color="auto"/>
            </w:tcBorders>
            <w:shd w:val="clear" w:color="auto" w:fill="FFFFFF"/>
            <w:noWrap/>
            <w:vAlign w:val="bottom"/>
            <w:hideMark/>
          </w:tcPr>
          <w:p w:rsidR="005727C2" w:rsidRDefault="005727C2">
            <w:pPr>
              <w:rPr>
                <w:rFonts w:eastAsia="Times New Roman"/>
                <w:sz w:val="16"/>
                <w:szCs w:val="16"/>
                <w:lang w:eastAsia="en-US"/>
              </w:rPr>
            </w:pPr>
            <w:r>
              <w:rPr>
                <w:rFonts w:eastAsia="Times New Roman"/>
                <w:sz w:val="16"/>
                <w:szCs w:val="16"/>
                <w:lang w:eastAsia="en-US"/>
              </w:rPr>
              <w:t> </w:t>
            </w:r>
          </w:p>
        </w:tc>
        <w:tc>
          <w:tcPr>
            <w:tcW w:w="1186" w:type="dxa"/>
            <w:tcBorders>
              <w:top w:val="nil"/>
              <w:left w:val="nil"/>
              <w:bottom w:val="single" w:sz="4" w:space="0" w:color="auto"/>
              <w:right w:val="single" w:sz="4" w:space="0" w:color="auto"/>
            </w:tcBorders>
            <w:shd w:val="clear" w:color="auto" w:fill="FFFFFF"/>
            <w:noWrap/>
            <w:vAlign w:val="center"/>
            <w:hideMark/>
          </w:tcPr>
          <w:p w:rsidR="005727C2" w:rsidRDefault="005727C2">
            <w:pPr>
              <w:jc w:val="center"/>
              <w:rPr>
                <w:rFonts w:eastAsia="Times New Roman"/>
                <w:sz w:val="16"/>
                <w:szCs w:val="16"/>
                <w:lang w:eastAsia="en-US"/>
              </w:rPr>
            </w:pPr>
            <w:r>
              <w:rPr>
                <w:rFonts w:eastAsia="Times New Roman"/>
                <w:sz w:val="16"/>
                <w:szCs w:val="16"/>
                <w:lang w:eastAsia="en-US"/>
              </w:rPr>
              <w:t xml:space="preserve"> - </w:t>
            </w:r>
          </w:p>
        </w:tc>
        <w:tc>
          <w:tcPr>
            <w:tcW w:w="865" w:type="dxa"/>
            <w:tcBorders>
              <w:top w:val="nil"/>
              <w:left w:val="nil"/>
              <w:bottom w:val="single" w:sz="4" w:space="0" w:color="auto"/>
              <w:right w:val="single" w:sz="4" w:space="0" w:color="auto"/>
            </w:tcBorders>
            <w:shd w:val="clear" w:color="auto" w:fill="FFFFFF"/>
            <w:noWrap/>
            <w:vAlign w:val="center"/>
            <w:hideMark/>
          </w:tcPr>
          <w:p w:rsidR="005727C2" w:rsidRDefault="005727C2">
            <w:pPr>
              <w:jc w:val="center"/>
              <w:rPr>
                <w:rFonts w:eastAsia="Times New Roman"/>
                <w:sz w:val="16"/>
                <w:szCs w:val="16"/>
                <w:lang w:eastAsia="en-US"/>
              </w:rPr>
            </w:pPr>
            <w:r>
              <w:rPr>
                <w:rFonts w:eastAsia="Times New Roman"/>
                <w:sz w:val="16"/>
                <w:szCs w:val="16"/>
                <w:lang w:eastAsia="en-US"/>
              </w:rPr>
              <w:t>13</w:t>
            </w:r>
          </w:p>
        </w:tc>
        <w:tc>
          <w:tcPr>
            <w:tcW w:w="684" w:type="dxa"/>
            <w:tcBorders>
              <w:top w:val="nil"/>
              <w:left w:val="nil"/>
              <w:bottom w:val="single" w:sz="4" w:space="0" w:color="auto"/>
              <w:right w:val="single" w:sz="4" w:space="0" w:color="auto"/>
            </w:tcBorders>
            <w:shd w:val="clear" w:color="auto" w:fill="FFFFFF"/>
            <w:noWrap/>
            <w:vAlign w:val="center"/>
            <w:hideMark/>
          </w:tcPr>
          <w:p w:rsidR="005727C2" w:rsidRDefault="005727C2">
            <w:pPr>
              <w:jc w:val="center"/>
              <w:rPr>
                <w:rFonts w:eastAsia="Times New Roman"/>
                <w:sz w:val="16"/>
                <w:szCs w:val="16"/>
                <w:lang w:eastAsia="en-US"/>
              </w:rPr>
            </w:pPr>
            <w:r>
              <w:rPr>
                <w:rFonts w:eastAsia="Times New Roman"/>
                <w:sz w:val="16"/>
                <w:szCs w:val="16"/>
                <w:lang w:eastAsia="en-US"/>
              </w:rPr>
              <w:t xml:space="preserve"> - </w:t>
            </w:r>
          </w:p>
        </w:tc>
        <w:tc>
          <w:tcPr>
            <w:tcW w:w="957" w:type="dxa"/>
            <w:tcBorders>
              <w:top w:val="nil"/>
              <w:left w:val="nil"/>
              <w:bottom w:val="single" w:sz="4" w:space="0" w:color="auto"/>
              <w:right w:val="single" w:sz="4" w:space="0" w:color="auto"/>
            </w:tcBorders>
            <w:shd w:val="clear" w:color="auto" w:fill="FFFFFF"/>
            <w:noWrap/>
            <w:vAlign w:val="bottom"/>
            <w:hideMark/>
          </w:tcPr>
          <w:p w:rsidR="005727C2" w:rsidRDefault="005727C2">
            <w:pPr>
              <w:rPr>
                <w:rFonts w:eastAsia="Times New Roman"/>
                <w:color w:val="000000"/>
                <w:sz w:val="16"/>
                <w:szCs w:val="16"/>
                <w:lang w:eastAsia="en-US"/>
              </w:rPr>
            </w:pPr>
            <w:r>
              <w:rPr>
                <w:rFonts w:eastAsia="Times New Roman"/>
                <w:color w:val="000000"/>
                <w:sz w:val="16"/>
                <w:szCs w:val="16"/>
                <w:lang w:eastAsia="en-US"/>
              </w:rPr>
              <w:t> </w:t>
            </w:r>
          </w:p>
        </w:tc>
      </w:tr>
      <w:tr w:rsidR="005727C2" w:rsidTr="005727C2">
        <w:trPr>
          <w:trHeight w:val="20"/>
        </w:trPr>
        <w:tc>
          <w:tcPr>
            <w:tcW w:w="865" w:type="dxa"/>
            <w:tcBorders>
              <w:top w:val="nil"/>
              <w:left w:val="single" w:sz="4" w:space="0" w:color="auto"/>
              <w:bottom w:val="single" w:sz="4" w:space="0" w:color="auto"/>
              <w:right w:val="single" w:sz="4" w:space="0" w:color="auto"/>
            </w:tcBorders>
            <w:vAlign w:val="center"/>
            <w:hideMark/>
          </w:tcPr>
          <w:p w:rsidR="005727C2" w:rsidRDefault="005727C2">
            <w:pPr>
              <w:jc w:val="center"/>
              <w:rPr>
                <w:rFonts w:eastAsia="Times New Roman"/>
                <w:sz w:val="16"/>
                <w:szCs w:val="16"/>
                <w:lang w:eastAsia="en-US"/>
              </w:rPr>
            </w:pPr>
            <w:r>
              <w:rPr>
                <w:rFonts w:eastAsia="Times New Roman"/>
                <w:sz w:val="16"/>
                <w:szCs w:val="16"/>
                <w:lang w:eastAsia="en-US"/>
              </w:rPr>
              <w:t>В.3.1.4</w:t>
            </w:r>
          </w:p>
        </w:tc>
        <w:tc>
          <w:tcPr>
            <w:tcW w:w="1435" w:type="dxa"/>
            <w:tcBorders>
              <w:top w:val="nil"/>
              <w:left w:val="nil"/>
              <w:bottom w:val="single" w:sz="4" w:space="0" w:color="auto"/>
              <w:right w:val="single" w:sz="4" w:space="0" w:color="auto"/>
            </w:tcBorders>
            <w:shd w:val="clear" w:color="auto" w:fill="FFFFFF"/>
            <w:vAlign w:val="center"/>
            <w:hideMark/>
          </w:tcPr>
          <w:p w:rsidR="005727C2" w:rsidRDefault="005727C2">
            <w:pPr>
              <w:rPr>
                <w:rFonts w:eastAsia="Times New Roman"/>
                <w:sz w:val="16"/>
                <w:szCs w:val="16"/>
                <w:lang w:eastAsia="en-US"/>
              </w:rPr>
            </w:pPr>
            <w:r>
              <w:rPr>
                <w:rFonts w:eastAsia="Times New Roman"/>
                <w:sz w:val="16"/>
                <w:szCs w:val="16"/>
                <w:lang w:eastAsia="en-US"/>
              </w:rPr>
              <w:t>доля проверок, на результаты которых поданы жалобы</w:t>
            </w:r>
          </w:p>
        </w:tc>
        <w:tc>
          <w:tcPr>
            <w:tcW w:w="1575" w:type="dxa"/>
            <w:tcBorders>
              <w:top w:val="nil"/>
              <w:left w:val="nil"/>
              <w:bottom w:val="single" w:sz="4" w:space="0" w:color="auto"/>
              <w:right w:val="single" w:sz="4" w:space="0" w:color="auto"/>
            </w:tcBorders>
            <w:shd w:val="clear" w:color="auto" w:fill="FFFFFF"/>
            <w:vAlign w:val="center"/>
            <w:hideMark/>
          </w:tcPr>
          <w:p w:rsidR="005727C2" w:rsidRDefault="005727C2">
            <w:pPr>
              <w:rPr>
                <w:rFonts w:eastAsia="Times New Roman"/>
                <w:sz w:val="16"/>
                <w:szCs w:val="16"/>
                <w:lang w:eastAsia="en-US"/>
              </w:rPr>
            </w:pPr>
            <w:r>
              <w:rPr>
                <w:rFonts w:eastAsia="Times New Roman"/>
                <w:sz w:val="16"/>
                <w:szCs w:val="16"/>
                <w:lang w:eastAsia="en-US"/>
              </w:rPr>
              <w:t>показатель устанавливается в процентах от общего числа проведенных проверок</w:t>
            </w:r>
          </w:p>
        </w:tc>
        <w:tc>
          <w:tcPr>
            <w:tcW w:w="939" w:type="dxa"/>
            <w:tcBorders>
              <w:top w:val="nil"/>
              <w:left w:val="nil"/>
              <w:bottom w:val="single" w:sz="4" w:space="0" w:color="auto"/>
              <w:right w:val="single" w:sz="4" w:space="0" w:color="auto"/>
            </w:tcBorders>
            <w:shd w:val="clear" w:color="auto" w:fill="FFFFFF"/>
            <w:noWrap/>
            <w:vAlign w:val="center"/>
            <w:hideMark/>
          </w:tcPr>
          <w:p w:rsidR="005727C2" w:rsidRDefault="005727C2">
            <w:pPr>
              <w:jc w:val="center"/>
              <w:rPr>
                <w:rFonts w:eastAsia="Times New Roman"/>
                <w:sz w:val="16"/>
                <w:szCs w:val="16"/>
                <w:lang w:eastAsia="en-US"/>
              </w:rPr>
            </w:pPr>
            <w:r>
              <w:rPr>
                <w:rFonts w:eastAsia="Times New Roman"/>
                <w:sz w:val="16"/>
                <w:szCs w:val="16"/>
                <w:lang w:eastAsia="en-US"/>
              </w:rPr>
              <w:t xml:space="preserve"> - </w:t>
            </w:r>
          </w:p>
        </w:tc>
        <w:tc>
          <w:tcPr>
            <w:tcW w:w="972" w:type="dxa"/>
            <w:tcBorders>
              <w:top w:val="nil"/>
              <w:left w:val="nil"/>
              <w:bottom w:val="single" w:sz="4" w:space="0" w:color="auto"/>
              <w:right w:val="single" w:sz="4" w:space="0" w:color="auto"/>
            </w:tcBorders>
            <w:shd w:val="clear" w:color="auto" w:fill="FFFFFF"/>
            <w:noWrap/>
            <w:vAlign w:val="bottom"/>
            <w:hideMark/>
          </w:tcPr>
          <w:p w:rsidR="005727C2" w:rsidRDefault="005727C2">
            <w:pPr>
              <w:rPr>
                <w:rFonts w:eastAsia="Times New Roman"/>
                <w:sz w:val="16"/>
                <w:szCs w:val="16"/>
                <w:lang w:eastAsia="en-US"/>
              </w:rPr>
            </w:pPr>
            <w:r>
              <w:rPr>
                <w:rFonts w:eastAsia="Times New Roman"/>
                <w:sz w:val="16"/>
                <w:szCs w:val="16"/>
                <w:lang w:eastAsia="en-US"/>
              </w:rPr>
              <w:t> </w:t>
            </w:r>
          </w:p>
        </w:tc>
        <w:tc>
          <w:tcPr>
            <w:tcW w:w="1186" w:type="dxa"/>
            <w:tcBorders>
              <w:top w:val="nil"/>
              <w:left w:val="nil"/>
              <w:bottom w:val="single" w:sz="4" w:space="0" w:color="auto"/>
              <w:right w:val="single" w:sz="4" w:space="0" w:color="auto"/>
            </w:tcBorders>
            <w:shd w:val="clear" w:color="auto" w:fill="FFFFFF"/>
            <w:noWrap/>
            <w:vAlign w:val="center"/>
            <w:hideMark/>
          </w:tcPr>
          <w:p w:rsidR="005727C2" w:rsidRDefault="005727C2">
            <w:pPr>
              <w:jc w:val="center"/>
              <w:rPr>
                <w:rFonts w:eastAsia="Times New Roman"/>
                <w:sz w:val="16"/>
                <w:szCs w:val="16"/>
                <w:lang w:eastAsia="en-US"/>
              </w:rPr>
            </w:pPr>
            <w:r>
              <w:rPr>
                <w:rFonts w:eastAsia="Times New Roman"/>
                <w:sz w:val="16"/>
                <w:szCs w:val="16"/>
                <w:lang w:eastAsia="en-US"/>
              </w:rPr>
              <w:t xml:space="preserve"> - </w:t>
            </w:r>
          </w:p>
        </w:tc>
        <w:tc>
          <w:tcPr>
            <w:tcW w:w="865" w:type="dxa"/>
            <w:tcBorders>
              <w:top w:val="nil"/>
              <w:left w:val="nil"/>
              <w:bottom w:val="single" w:sz="4" w:space="0" w:color="auto"/>
              <w:right w:val="single" w:sz="4" w:space="0" w:color="auto"/>
            </w:tcBorders>
            <w:shd w:val="clear" w:color="auto" w:fill="FFFFFF"/>
            <w:noWrap/>
            <w:vAlign w:val="center"/>
            <w:hideMark/>
          </w:tcPr>
          <w:p w:rsidR="005727C2" w:rsidRDefault="005727C2">
            <w:pPr>
              <w:jc w:val="center"/>
              <w:rPr>
                <w:rFonts w:eastAsia="Times New Roman"/>
                <w:sz w:val="16"/>
                <w:szCs w:val="16"/>
                <w:lang w:eastAsia="en-US"/>
              </w:rPr>
            </w:pPr>
            <w:r>
              <w:rPr>
                <w:rFonts w:eastAsia="Times New Roman"/>
                <w:sz w:val="16"/>
                <w:szCs w:val="16"/>
                <w:lang w:eastAsia="en-US"/>
              </w:rPr>
              <w:t>5,88%</w:t>
            </w:r>
          </w:p>
        </w:tc>
        <w:tc>
          <w:tcPr>
            <w:tcW w:w="684" w:type="dxa"/>
            <w:tcBorders>
              <w:top w:val="nil"/>
              <w:left w:val="nil"/>
              <w:bottom w:val="single" w:sz="4" w:space="0" w:color="auto"/>
              <w:right w:val="single" w:sz="4" w:space="0" w:color="auto"/>
            </w:tcBorders>
            <w:shd w:val="clear" w:color="auto" w:fill="FFFFFF"/>
            <w:noWrap/>
            <w:vAlign w:val="center"/>
            <w:hideMark/>
          </w:tcPr>
          <w:p w:rsidR="005727C2" w:rsidRDefault="005727C2">
            <w:pPr>
              <w:jc w:val="center"/>
              <w:rPr>
                <w:rFonts w:eastAsia="Times New Roman"/>
                <w:sz w:val="16"/>
                <w:szCs w:val="16"/>
                <w:lang w:eastAsia="en-US"/>
              </w:rPr>
            </w:pPr>
            <w:r>
              <w:rPr>
                <w:rFonts w:eastAsia="Times New Roman"/>
                <w:sz w:val="16"/>
                <w:szCs w:val="16"/>
                <w:lang w:eastAsia="en-US"/>
              </w:rPr>
              <w:t xml:space="preserve"> - </w:t>
            </w:r>
          </w:p>
        </w:tc>
        <w:tc>
          <w:tcPr>
            <w:tcW w:w="957" w:type="dxa"/>
            <w:tcBorders>
              <w:top w:val="nil"/>
              <w:left w:val="nil"/>
              <w:bottom w:val="single" w:sz="4" w:space="0" w:color="auto"/>
              <w:right w:val="single" w:sz="4" w:space="0" w:color="auto"/>
            </w:tcBorders>
            <w:shd w:val="clear" w:color="auto" w:fill="FFFFFF"/>
            <w:noWrap/>
            <w:vAlign w:val="bottom"/>
            <w:hideMark/>
          </w:tcPr>
          <w:p w:rsidR="005727C2" w:rsidRDefault="005727C2">
            <w:pPr>
              <w:rPr>
                <w:rFonts w:eastAsia="Times New Roman"/>
                <w:color w:val="000000"/>
                <w:sz w:val="16"/>
                <w:szCs w:val="16"/>
                <w:lang w:eastAsia="en-US"/>
              </w:rPr>
            </w:pPr>
            <w:r>
              <w:rPr>
                <w:rFonts w:eastAsia="Times New Roman"/>
                <w:color w:val="000000"/>
                <w:sz w:val="16"/>
                <w:szCs w:val="16"/>
                <w:lang w:eastAsia="en-US"/>
              </w:rPr>
              <w:t> </w:t>
            </w:r>
          </w:p>
        </w:tc>
      </w:tr>
      <w:tr w:rsidR="005727C2" w:rsidTr="005727C2">
        <w:trPr>
          <w:trHeight w:val="20"/>
        </w:trPr>
        <w:tc>
          <w:tcPr>
            <w:tcW w:w="865" w:type="dxa"/>
            <w:tcBorders>
              <w:top w:val="nil"/>
              <w:left w:val="single" w:sz="4" w:space="0" w:color="auto"/>
              <w:bottom w:val="single" w:sz="4" w:space="0" w:color="auto"/>
              <w:right w:val="single" w:sz="4" w:space="0" w:color="auto"/>
            </w:tcBorders>
            <w:vAlign w:val="center"/>
            <w:hideMark/>
          </w:tcPr>
          <w:p w:rsidR="005727C2" w:rsidRDefault="005727C2">
            <w:pPr>
              <w:jc w:val="center"/>
              <w:rPr>
                <w:rFonts w:eastAsia="Times New Roman"/>
                <w:sz w:val="16"/>
                <w:szCs w:val="16"/>
                <w:lang w:eastAsia="en-US"/>
              </w:rPr>
            </w:pPr>
            <w:r>
              <w:rPr>
                <w:rFonts w:eastAsia="Times New Roman"/>
                <w:sz w:val="16"/>
                <w:szCs w:val="16"/>
                <w:lang w:eastAsia="en-US"/>
              </w:rPr>
              <w:t>В.3.1.5</w:t>
            </w:r>
          </w:p>
        </w:tc>
        <w:tc>
          <w:tcPr>
            <w:tcW w:w="1435" w:type="dxa"/>
            <w:tcBorders>
              <w:top w:val="nil"/>
              <w:left w:val="nil"/>
              <w:bottom w:val="single" w:sz="4" w:space="0" w:color="auto"/>
              <w:right w:val="single" w:sz="4" w:space="0" w:color="auto"/>
            </w:tcBorders>
            <w:shd w:val="clear" w:color="auto" w:fill="FFFFFF"/>
            <w:vAlign w:val="center"/>
            <w:hideMark/>
          </w:tcPr>
          <w:p w:rsidR="005727C2" w:rsidRDefault="005727C2">
            <w:pPr>
              <w:rPr>
                <w:rFonts w:eastAsia="Times New Roman"/>
                <w:sz w:val="16"/>
                <w:szCs w:val="16"/>
                <w:lang w:eastAsia="en-US"/>
              </w:rPr>
            </w:pPr>
            <w:r>
              <w:rPr>
                <w:rFonts w:eastAsia="Times New Roman"/>
                <w:sz w:val="16"/>
                <w:szCs w:val="16"/>
                <w:lang w:eastAsia="en-US"/>
              </w:rPr>
              <w:t xml:space="preserve">среднее количество </w:t>
            </w:r>
            <w:r>
              <w:rPr>
                <w:rFonts w:eastAsia="Times New Roman"/>
                <w:sz w:val="16"/>
                <w:szCs w:val="16"/>
                <w:lang w:eastAsia="en-US"/>
              </w:rPr>
              <w:lastRenderedPageBreak/>
              <w:t>проверок, проведенных в отношении одного гражданина или организации</w:t>
            </w:r>
          </w:p>
        </w:tc>
        <w:tc>
          <w:tcPr>
            <w:tcW w:w="1575" w:type="dxa"/>
            <w:tcBorders>
              <w:top w:val="nil"/>
              <w:left w:val="nil"/>
              <w:bottom w:val="single" w:sz="4" w:space="0" w:color="auto"/>
              <w:right w:val="single" w:sz="4" w:space="0" w:color="auto"/>
            </w:tcBorders>
            <w:shd w:val="clear" w:color="auto" w:fill="FFFFFF"/>
            <w:vAlign w:val="center"/>
            <w:hideMark/>
          </w:tcPr>
          <w:p w:rsidR="005727C2" w:rsidRDefault="005727C2">
            <w:pPr>
              <w:rPr>
                <w:rFonts w:eastAsia="Times New Roman"/>
                <w:sz w:val="16"/>
                <w:szCs w:val="16"/>
                <w:lang w:eastAsia="en-US"/>
              </w:rPr>
            </w:pPr>
            <w:r>
              <w:rPr>
                <w:rFonts w:eastAsia="Times New Roman"/>
                <w:sz w:val="16"/>
                <w:szCs w:val="16"/>
                <w:lang w:eastAsia="en-US"/>
              </w:rPr>
              <w:lastRenderedPageBreak/>
              <w:t xml:space="preserve">показатели учитывают </w:t>
            </w:r>
            <w:r>
              <w:rPr>
                <w:rFonts w:eastAsia="Times New Roman"/>
                <w:sz w:val="16"/>
                <w:szCs w:val="16"/>
                <w:lang w:eastAsia="en-US"/>
              </w:rPr>
              <w:lastRenderedPageBreak/>
              <w:t>проверки, проведенные в отношении лица</w:t>
            </w:r>
          </w:p>
        </w:tc>
        <w:tc>
          <w:tcPr>
            <w:tcW w:w="939" w:type="dxa"/>
            <w:tcBorders>
              <w:top w:val="nil"/>
              <w:left w:val="nil"/>
              <w:bottom w:val="single" w:sz="4" w:space="0" w:color="auto"/>
              <w:right w:val="single" w:sz="4" w:space="0" w:color="auto"/>
            </w:tcBorders>
            <w:shd w:val="clear" w:color="auto" w:fill="FFFFFF"/>
            <w:noWrap/>
            <w:vAlign w:val="center"/>
            <w:hideMark/>
          </w:tcPr>
          <w:p w:rsidR="005727C2" w:rsidRDefault="005727C2">
            <w:pPr>
              <w:jc w:val="center"/>
              <w:rPr>
                <w:rFonts w:eastAsia="Times New Roman"/>
                <w:sz w:val="16"/>
                <w:szCs w:val="16"/>
                <w:lang w:eastAsia="en-US"/>
              </w:rPr>
            </w:pPr>
            <w:r>
              <w:rPr>
                <w:rFonts w:eastAsia="Times New Roman"/>
                <w:sz w:val="16"/>
                <w:szCs w:val="16"/>
                <w:lang w:eastAsia="en-US"/>
              </w:rPr>
              <w:lastRenderedPageBreak/>
              <w:t xml:space="preserve"> - </w:t>
            </w:r>
          </w:p>
        </w:tc>
        <w:tc>
          <w:tcPr>
            <w:tcW w:w="972" w:type="dxa"/>
            <w:tcBorders>
              <w:top w:val="nil"/>
              <w:left w:val="nil"/>
              <w:bottom w:val="single" w:sz="4" w:space="0" w:color="auto"/>
              <w:right w:val="single" w:sz="4" w:space="0" w:color="auto"/>
            </w:tcBorders>
            <w:shd w:val="clear" w:color="auto" w:fill="FFFFFF"/>
            <w:noWrap/>
            <w:vAlign w:val="bottom"/>
            <w:hideMark/>
          </w:tcPr>
          <w:p w:rsidR="005727C2" w:rsidRDefault="005727C2">
            <w:pPr>
              <w:rPr>
                <w:rFonts w:eastAsia="Times New Roman"/>
                <w:sz w:val="16"/>
                <w:szCs w:val="16"/>
                <w:lang w:eastAsia="en-US"/>
              </w:rPr>
            </w:pPr>
            <w:r>
              <w:rPr>
                <w:rFonts w:eastAsia="Times New Roman"/>
                <w:sz w:val="16"/>
                <w:szCs w:val="16"/>
                <w:lang w:eastAsia="en-US"/>
              </w:rPr>
              <w:t> </w:t>
            </w:r>
          </w:p>
        </w:tc>
        <w:tc>
          <w:tcPr>
            <w:tcW w:w="1186" w:type="dxa"/>
            <w:tcBorders>
              <w:top w:val="nil"/>
              <w:left w:val="nil"/>
              <w:bottom w:val="single" w:sz="4" w:space="0" w:color="auto"/>
              <w:right w:val="single" w:sz="4" w:space="0" w:color="auto"/>
            </w:tcBorders>
            <w:shd w:val="clear" w:color="auto" w:fill="FFFFFF"/>
            <w:noWrap/>
            <w:vAlign w:val="center"/>
            <w:hideMark/>
          </w:tcPr>
          <w:p w:rsidR="005727C2" w:rsidRDefault="005727C2">
            <w:pPr>
              <w:jc w:val="center"/>
              <w:rPr>
                <w:rFonts w:eastAsia="Times New Roman"/>
                <w:sz w:val="16"/>
                <w:szCs w:val="16"/>
                <w:lang w:eastAsia="en-US"/>
              </w:rPr>
            </w:pPr>
            <w:r>
              <w:rPr>
                <w:rFonts w:eastAsia="Times New Roman"/>
                <w:sz w:val="16"/>
                <w:szCs w:val="16"/>
                <w:lang w:eastAsia="en-US"/>
              </w:rPr>
              <w:t xml:space="preserve"> - </w:t>
            </w:r>
          </w:p>
        </w:tc>
        <w:tc>
          <w:tcPr>
            <w:tcW w:w="865" w:type="dxa"/>
            <w:tcBorders>
              <w:top w:val="nil"/>
              <w:left w:val="nil"/>
              <w:bottom w:val="single" w:sz="4" w:space="0" w:color="auto"/>
              <w:right w:val="single" w:sz="4" w:space="0" w:color="auto"/>
            </w:tcBorders>
            <w:shd w:val="clear" w:color="auto" w:fill="FFFFFF"/>
            <w:noWrap/>
            <w:vAlign w:val="center"/>
            <w:hideMark/>
          </w:tcPr>
          <w:p w:rsidR="005727C2" w:rsidRDefault="005727C2">
            <w:pPr>
              <w:jc w:val="center"/>
              <w:rPr>
                <w:rFonts w:eastAsia="Times New Roman"/>
                <w:sz w:val="16"/>
                <w:szCs w:val="16"/>
                <w:lang w:eastAsia="en-US"/>
              </w:rPr>
            </w:pPr>
            <w:r>
              <w:rPr>
                <w:rFonts w:eastAsia="Times New Roman"/>
                <w:sz w:val="16"/>
                <w:szCs w:val="16"/>
                <w:lang w:eastAsia="en-US"/>
              </w:rPr>
              <w:t>1,42</w:t>
            </w:r>
          </w:p>
        </w:tc>
        <w:tc>
          <w:tcPr>
            <w:tcW w:w="684" w:type="dxa"/>
            <w:tcBorders>
              <w:top w:val="nil"/>
              <w:left w:val="nil"/>
              <w:bottom w:val="single" w:sz="4" w:space="0" w:color="auto"/>
              <w:right w:val="single" w:sz="4" w:space="0" w:color="auto"/>
            </w:tcBorders>
            <w:shd w:val="clear" w:color="auto" w:fill="FFFFFF"/>
            <w:noWrap/>
            <w:vAlign w:val="center"/>
            <w:hideMark/>
          </w:tcPr>
          <w:p w:rsidR="005727C2" w:rsidRDefault="005727C2">
            <w:pPr>
              <w:jc w:val="center"/>
              <w:rPr>
                <w:rFonts w:eastAsia="Times New Roman"/>
                <w:sz w:val="16"/>
                <w:szCs w:val="16"/>
                <w:lang w:eastAsia="en-US"/>
              </w:rPr>
            </w:pPr>
            <w:r>
              <w:rPr>
                <w:rFonts w:eastAsia="Times New Roman"/>
                <w:sz w:val="16"/>
                <w:szCs w:val="16"/>
                <w:lang w:eastAsia="en-US"/>
              </w:rPr>
              <w:t xml:space="preserve"> - </w:t>
            </w:r>
          </w:p>
        </w:tc>
        <w:tc>
          <w:tcPr>
            <w:tcW w:w="957" w:type="dxa"/>
            <w:tcBorders>
              <w:top w:val="nil"/>
              <w:left w:val="nil"/>
              <w:bottom w:val="single" w:sz="4" w:space="0" w:color="auto"/>
              <w:right w:val="single" w:sz="4" w:space="0" w:color="auto"/>
            </w:tcBorders>
            <w:shd w:val="clear" w:color="auto" w:fill="FFFFFF"/>
            <w:noWrap/>
            <w:vAlign w:val="bottom"/>
            <w:hideMark/>
          </w:tcPr>
          <w:p w:rsidR="005727C2" w:rsidRDefault="005727C2">
            <w:pPr>
              <w:rPr>
                <w:rFonts w:eastAsia="Times New Roman"/>
                <w:color w:val="000000"/>
                <w:sz w:val="16"/>
                <w:szCs w:val="16"/>
                <w:lang w:eastAsia="en-US"/>
              </w:rPr>
            </w:pPr>
            <w:r>
              <w:rPr>
                <w:rFonts w:eastAsia="Times New Roman"/>
                <w:color w:val="000000"/>
                <w:sz w:val="16"/>
                <w:szCs w:val="16"/>
                <w:lang w:eastAsia="en-US"/>
              </w:rPr>
              <w:t> </w:t>
            </w:r>
          </w:p>
        </w:tc>
      </w:tr>
      <w:tr w:rsidR="005727C2" w:rsidTr="005727C2">
        <w:trPr>
          <w:trHeight w:val="20"/>
        </w:trPr>
        <w:tc>
          <w:tcPr>
            <w:tcW w:w="865" w:type="dxa"/>
            <w:tcBorders>
              <w:top w:val="nil"/>
              <w:left w:val="single" w:sz="4" w:space="0" w:color="auto"/>
              <w:bottom w:val="single" w:sz="4" w:space="0" w:color="auto"/>
              <w:right w:val="single" w:sz="4" w:space="0" w:color="auto"/>
            </w:tcBorders>
            <w:vAlign w:val="center"/>
            <w:hideMark/>
          </w:tcPr>
          <w:p w:rsidR="005727C2" w:rsidRDefault="005727C2">
            <w:pPr>
              <w:jc w:val="center"/>
              <w:rPr>
                <w:rFonts w:eastAsia="Times New Roman"/>
                <w:sz w:val="16"/>
                <w:szCs w:val="16"/>
                <w:lang w:eastAsia="en-US"/>
              </w:rPr>
            </w:pPr>
            <w:r>
              <w:rPr>
                <w:rFonts w:eastAsia="Times New Roman"/>
                <w:sz w:val="16"/>
                <w:szCs w:val="16"/>
                <w:lang w:eastAsia="en-US"/>
              </w:rPr>
              <w:lastRenderedPageBreak/>
              <w:t>В.3.1.6</w:t>
            </w:r>
          </w:p>
        </w:tc>
        <w:tc>
          <w:tcPr>
            <w:tcW w:w="1435" w:type="dxa"/>
            <w:tcBorders>
              <w:top w:val="nil"/>
              <w:left w:val="nil"/>
              <w:bottom w:val="single" w:sz="4" w:space="0" w:color="auto"/>
              <w:right w:val="single" w:sz="4" w:space="0" w:color="auto"/>
            </w:tcBorders>
            <w:shd w:val="clear" w:color="auto" w:fill="FFFFFF"/>
            <w:vAlign w:val="center"/>
            <w:hideMark/>
          </w:tcPr>
          <w:p w:rsidR="005727C2" w:rsidRDefault="005727C2">
            <w:pPr>
              <w:rPr>
                <w:rFonts w:eastAsia="Times New Roman"/>
                <w:sz w:val="16"/>
                <w:szCs w:val="16"/>
                <w:lang w:eastAsia="en-US"/>
              </w:rPr>
            </w:pPr>
            <w:r>
              <w:rPr>
                <w:rFonts w:eastAsia="Times New Roman"/>
                <w:sz w:val="16"/>
                <w:szCs w:val="16"/>
                <w:lang w:eastAsia="en-US"/>
              </w:rPr>
              <w:t>количество проверок, проведенных с привлечением экспертных организаций и экспертов</w:t>
            </w:r>
          </w:p>
        </w:tc>
        <w:tc>
          <w:tcPr>
            <w:tcW w:w="1575" w:type="dxa"/>
            <w:tcBorders>
              <w:top w:val="nil"/>
              <w:left w:val="nil"/>
              <w:bottom w:val="single" w:sz="4" w:space="0" w:color="auto"/>
              <w:right w:val="single" w:sz="4" w:space="0" w:color="auto"/>
            </w:tcBorders>
            <w:shd w:val="clear" w:color="auto" w:fill="FFFFFF"/>
            <w:vAlign w:val="center"/>
            <w:hideMark/>
          </w:tcPr>
          <w:p w:rsidR="005727C2" w:rsidRDefault="005727C2">
            <w:pPr>
              <w:rPr>
                <w:rFonts w:eastAsia="Times New Roman"/>
                <w:sz w:val="16"/>
                <w:szCs w:val="16"/>
                <w:lang w:eastAsia="en-US"/>
              </w:rPr>
            </w:pPr>
            <w:r>
              <w:rPr>
                <w:rFonts w:eastAsia="Times New Roman"/>
                <w:sz w:val="16"/>
                <w:szCs w:val="16"/>
                <w:lang w:eastAsia="en-US"/>
              </w:rPr>
              <w:t>устанавливается общий суммарный показатель</w:t>
            </w:r>
          </w:p>
        </w:tc>
        <w:tc>
          <w:tcPr>
            <w:tcW w:w="939" w:type="dxa"/>
            <w:tcBorders>
              <w:top w:val="nil"/>
              <w:left w:val="nil"/>
              <w:bottom w:val="single" w:sz="4" w:space="0" w:color="auto"/>
              <w:right w:val="single" w:sz="4" w:space="0" w:color="auto"/>
            </w:tcBorders>
            <w:shd w:val="clear" w:color="auto" w:fill="FFFFFF"/>
            <w:noWrap/>
            <w:vAlign w:val="center"/>
            <w:hideMark/>
          </w:tcPr>
          <w:p w:rsidR="005727C2" w:rsidRDefault="005727C2">
            <w:pPr>
              <w:jc w:val="center"/>
              <w:rPr>
                <w:rFonts w:eastAsia="Times New Roman"/>
                <w:sz w:val="16"/>
                <w:szCs w:val="16"/>
                <w:lang w:eastAsia="en-US"/>
              </w:rPr>
            </w:pPr>
            <w:r>
              <w:rPr>
                <w:rFonts w:eastAsia="Times New Roman"/>
                <w:sz w:val="16"/>
                <w:szCs w:val="16"/>
                <w:lang w:eastAsia="en-US"/>
              </w:rPr>
              <w:t xml:space="preserve"> - </w:t>
            </w:r>
          </w:p>
        </w:tc>
        <w:tc>
          <w:tcPr>
            <w:tcW w:w="972" w:type="dxa"/>
            <w:tcBorders>
              <w:top w:val="nil"/>
              <w:left w:val="nil"/>
              <w:bottom w:val="single" w:sz="4" w:space="0" w:color="auto"/>
              <w:right w:val="single" w:sz="4" w:space="0" w:color="auto"/>
            </w:tcBorders>
            <w:shd w:val="clear" w:color="auto" w:fill="FFFFFF"/>
            <w:noWrap/>
            <w:vAlign w:val="bottom"/>
            <w:hideMark/>
          </w:tcPr>
          <w:p w:rsidR="005727C2" w:rsidRDefault="005727C2">
            <w:pPr>
              <w:rPr>
                <w:rFonts w:eastAsia="Times New Roman"/>
                <w:sz w:val="16"/>
                <w:szCs w:val="16"/>
                <w:lang w:eastAsia="en-US"/>
              </w:rPr>
            </w:pPr>
            <w:r>
              <w:rPr>
                <w:rFonts w:eastAsia="Times New Roman"/>
                <w:sz w:val="16"/>
                <w:szCs w:val="16"/>
                <w:lang w:eastAsia="en-US"/>
              </w:rPr>
              <w:t> </w:t>
            </w:r>
          </w:p>
        </w:tc>
        <w:tc>
          <w:tcPr>
            <w:tcW w:w="1186" w:type="dxa"/>
            <w:tcBorders>
              <w:top w:val="nil"/>
              <w:left w:val="nil"/>
              <w:bottom w:val="single" w:sz="4" w:space="0" w:color="auto"/>
              <w:right w:val="single" w:sz="4" w:space="0" w:color="auto"/>
            </w:tcBorders>
            <w:shd w:val="clear" w:color="auto" w:fill="FFFFFF"/>
            <w:noWrap/>
            <w:vAlign w:val="center"/>
            <w:hideMark/>
          </w:tcPr>
          <w:p w:rsidR="005727C2" w:rsidRDefault="005727C2">
            <w:pPr>
              <w:jc w:val="center"/>
              <w:rPr>
                <w:rFonts w:eastAsia="Times New Roman"/>
                <w:sz w:val="16"/>
                <w:szCs w:val="16"/>
                <w:lang w:eastAsia="en-US"/>
              </w:rPr>
            </w:pPr>
            <w:r>
              <w:rPr>
                <w:rFonts w:eastAsia="Times New Roman"/>
                <w:sz w:val="16"/>
                <w:szCs w:val="16"/>
                <w:lang w:eastAsia="en-US"/>
              </w:rPr>
              <w:t xml:space="preserve"> - </w:t>
            </w:r>
          </w:p>
        </w:tc>
        <w:tc>
          <w:tcPr>
            <w:tcW w:w="865" w:type="dxa"/>
            <w:tcBorders>
              <w:top w:val="nil"/>
              <w:left w:val="nil"/>
              <w:bottom w:val="single" w:sz="4" w:space="0" w:color="auto"/>
              <w:right w:val="single" w:sz="4" w:space="0" w:color="auto"/>
            </w:tcBorders>
            <w:shd w:val="clear" w:color="auto" w:fill="FFFFFF"/>
            <w:noWrap/>
            <w:vAlign w:val="center"/>
            <w:hideMark/>
          </w:tcPr>
          <w:p w:rsidR="005727C2" w:rsidRDefault="005727C2">
            <w:pPr>
              <w:jc w:val="center"/>
              <w:rPr>
                <w:rFonts w:eastAsia="Times New Roman"/>
                <w:sz w:val="16"/>
                <w:szCs w:val="16"/>
                <w:lang w:eastAsia="en-US"/>
              </w:rPr>
            </w:pPr>
            <w:r>
              <w:rPr>
                <w:rFonts w:eastAsia="Times New Roman"/>
                <w:sz w:val="16"/>
                <w:szCs w:val="16"/>
                <w:lang w:eastAsia="en-US"/>
              </w:rPr>
              <w:t>0</w:t>
            </w:r>
          </w:p>
        </w:tc>
        <w:tc>
          <w:tcPr>
            <w:tcW w:w="684" w:type="dxa"/>
            <w:tcBorders>
              <w:top w:val="nil"/>
              <w:left w:val="nil"/>
              <w:bottom w:val="single" w:sz="4" w:space="0" w:color="auto"/>
              <w:right w:val="single" w:sz="4" w:space="0" w:color="auto"/>
            </w:tcBorders>
            <w:shd w:val="clear" w:color="auto" w:fill="FFFFFF"/>
            <w:noWrap/>
            <w:vAlign w:val="center"/>
            <w:hideMark/>
          </w:tcPr>
          <w:p w:rsidR="005727C2" w:rsidRDefault="005727C2">
            <w:pPr>
              <w:jc w:val="center"/>
              <w:rPr>
                <w:rFonts w:eastAsia="Times New Roman"/>
                <w:sz w:val="16"/>
                <w:szCs w:val="16"/>
                <w:lang w:eastAsia="en-US"/>
              </w:rPr>
            </w:pPr>
            <w:r>
              <w:rPr>
                <w:rFonts w:eastAsia="Times New Roman"/>
                <w:sz w:val="16"/>
                <w:szCs w:val="16"/>
                <w:lang w:eastAsia="en-US"/>
              </w:rPr>
              <w:t xml:space="preserve"> - </w:t>
            </w:r>
          </w:p>
        </w:tc>
        <w:tc>
          <w:tcPr>
            <w:tcW w:w="957" w:type="dxa"/>
            <w:tcBorders>
              <w:top w:val="nil"/>
              <w:left w:val="nil"/>
              <w:bottom w:val="single" w:sz="4" w:space="0" w:color="auto"/>
              <w:right w:val="single" w:sz="4" w:space="0" w:color="auto"/>
            </w:tcBorders>
            <w:shd w:val="clear" w:color="auto" w:fill="FFFFFF"/>
            <w:noWrap/>
            <w:vAlign w:val="bottom"/>
            <w:hideMark/>
          </w:tcPr>
          <w:p w:rsidR="005727C2" w:rsidRDefault="005727C2">
            <w:pPr>
              <w:rPr>
                <w:rFonts w:eastAsia="Times New Roman"/>
                <w:color w:val="000000"/>
                <w:sz w:val="16"/>
                <w:szCs w:val="16"/>
                <w:lang w:eastAsia="en-US"/>
              </w:rPr>
            </w:pPr>
            <w:r>
              <w:rPr>
                <w:rFonts w:eastAsia="Times New Roman"/>
                <w:color w:val="000000"/>
                <w:sz w:val="16"/>
                <w:szCs w:val="16"/>
                <w:lang w:eastAsia="en-US"/>
              </w:rPr>
              <w:t> </w:t>
            </w:r>
          </w:p>
        </w:tc>
      </w:tr>
      <w:tr w:rsidR="005727C2" w:rsidTr="005727C2">
        <w:trPr>
          <w:trHeight w:val="20"/>
        </w:trPr>
        <w:tc>
          <w:tcPr>
            <w:tcW w:w="865" w:type="dxa"/>
            <w:tcBorders>
              <w:top w:val="nil"/>
              <w:left w:val="single" w:sz="4" w:space="0" w:color="auto"/>
              <w:bottom w:val="single" w:sz="4" w:space="0" w:color="auto"/>
              <w:right w:val="single" w:sz="4" w:space="0" w:color="auto"/>
            </w:tcBorders>
            <w:vAlign w:val="center"/>
            <w:hideMark/>
          </w:tcPr>
          <w:p w:rsidR="005727C2" w:rsidRDefault="005727C2">
            <w:pPr>
              <w:jc w:val="center"/>
              <w:rPr>
                <w:rFonts w:eastAsia="Times New Roman"/>
                <w:sz w:val="16"/>
                <w:szCs w:val="16"/>
                <w:lang w:eastAsia="en-US"/>
              </w:rPr>
            </w:pPr>
            <w:r>
              <w:rPr>
                <w:rFonts w:eastAsia="Times New Roman"/>
                <w:sz w:val="16"/>
                <w:szCs w:val="16"/>
                <w:lang w:eastAsia="en-US"/>
              </w:rPr>
              <w:t>В.3.1.7</w:t>
            </w:r>
          </w:p>
        </w:tc>
        <w:tc>
          <w:tcPr>
            <w:tcW w:w="1435" w:type="dxa"/>
            <w:tcBorders>
              <w:top w:val="nil"/>
              <w:left w:val="nil"/>
              <w:bottom w:val="single" w:sz="4" w:space="0" w:color="auto"/>
              <w:right w:val="single" w:sz="4" w:space="0" w:color="auto"/>
            </w:tcBorders>
            <w:shd w:val="clear" w:color="auto" w:fill="FFFFFF"/>
            <w:vAlign w:val="center"/>
            <w:hideMark/>
          </w:tcPr>
          <w:p w:rsidR="005727C2" w:rsidRDefault="005727C2">
            <w:pPr>
              <w:rPr>
                <w:rFonts w:eastAsia="Times New Roman"/>
                <w:sz w:val="16"/>
                <w:szCs w:val="16"/>
                <w:lang w:eastAsia="en-US"/>
              </w:rPr>
            </w:pPr>
            <w:r>
              <w:rPr>
                <w:rFonts w:eastAsia="Times New Roman"/>
                <w:sz w:val="16"/>
                <w:szCs w:val="16"/>
                <w:lang w:eastAsia="en-US"/>
              </w:rPr>
              <w:t>доля заявлений, направленных в органы прокуратуры, о согласовании проведения внеплановых выездных проверок, в согласовании которых было отказано</w:t>
            </w:r>
          </w:p>
        </w:tc>
        <w:tc>
          <w:tcPr>
            <w:tcW w:w="1575" w:type="dxa"/>
            <w:tcBorders>
              <w:top w:val="nil"/>
              <w:left w:val="nil"/>
              <w:bottom w:val="single" w:sz="4" w:space="0" w:color="auto"/>
              <w:right w:val="single" w:sz="4" w:space="0" w:color="auto"/>
            </w:tcBorders>
            <w:shd w:val="clear" w:color="auto" w:fill="FFFFFF"/>
            <w:vAlign w:val="center"/>
            <w:hideMark/>
          </w:tcPr>
          <w:p w:rsidR="005727C2" w:rsidRDefault="005727C2">
            <w:pPr>
              <w:rPr>
                <w:rFonts w:eastAsia="Times New Roman"/>
                <w:sz w:val="16"/>
                <w:szCs w:val="16"/>
                <w:lang w:eastAsia="en-US"/>
              </w:rPr>
            </w:pPr>
            <w:r>
              <w:rPr>
                <w:rFonts w:eastAsia="Times New Roman"/>
                <w:sz w:val="16"/>
                <w:szCs w:val="16"/>
                <w:lang w:eastAsia="en-US"/>
              </w:rPr>
              <w:t>показатель устанавливается в процентах от общего числа направленных в органы прокуратуры заявлений, в том числе заявлений о согласовании проведения внеплановых выездных проверок, в согласовании которых было отказано</w:t>
            </w:r>
          </w:p>
        </w:tc>
        <w:tc>
          <w:tcPr>
            <w:tcW w:w="939" w:type="dxa"/>
            <w:tcBorders>
              <w:top w:val="nil"/>
              <w:left w:val="nil"/>
              <w:bottom w:val="single" w:sz="4" w:space="0" w:color="auto"/>
              <w:right w:val="single" w:sz="4" w:space="0" w:color="auto"/>
            </w:tcBorders>
            <w:shd w:val="clear" w:color="auto" w:fill="FFFFFF"/>
            <w:noWrap/>
            <w:vAlign w:val="center"/>
            <w:hideMark/>
          </w:tcPr>
          <w:p w:rsidR="005727C2" w:rsidRDefault="005727C2">
            <w:pPr>
              <w:jc w:val="center"/>
              <w:rPr>
                <w:rFonts w:eastAsia="Times New Roman"/>
                <w:sz w:val="16"/>
                <w:szCs w:val="16"/>
                <w:lang w:eastAsia="en-US"/>
              </w:rPr>
            </w:pPr>
            <w:r>
              <w:rPr>
                <w:rFonts w:eastAsia="Times New Roman"/>
                <w:sz w:val="16"/>
                <w:szCs w:val="16"/>
                <w:lang w:eastAsia="en-US"/>
              </w:rPr>
              <w:t xml:space="preserve"> - </w:t>
            </w:r>
          </w:p>
        </w:tc>
        <w:tc>
          <w:tcPr>
            <w:tcW w:w="972" w:type="dxa"/>
            <w:tcBorders>
              <w:top w:val="nil"/>
              <w:left w:val="nil"/>
              <w:bottom w:val="single" w:sz="4" w:space="0" w:color="auto"/>
              <w:right w:val="single" w:sz="4" w:space="0" w:color="auto"/>
            </w:tcBorders>
            <w:shd w:val="clear" w:color="auto" w:fill="FFFFFF"/>
            <w:noWrap/>
            <w:vAlign w:val="bottom"/>
            <w:hideMark/>
          </w:tcPr>
          <w:p w:rsidR="005727C2" w:rsidRDefault="005727C2">
            <w:pPr>
              <w:rPr>
                <w:rFonts w:eastAsia="Times New Roman"/>
                <w:sz w:val="16"/>
                <w:szCs w:val="16"/>
                <w:lang w:eastAsia="en-US"/>
              </w:rPr>
            </w:pPr>
            <w:r>
              <w:rPr>
                <w:rFonts w:eastAsia="Times New Roman"/>
                <w:sz w:val="16"/>
                <w:szCs w:val="16"/>
                <w:lang w:eastAsia="en-US"/>
              </w:rPr>
              <w:t> </w:t>
            </w:r>
          </w:p>
        </w:tc>
        <w:tc>
          <w:tcPr>
            <w:tcW w:w="1186" w:type="dxa"/>
            <w:tcBorders>
              <w:top w:val="nil"/>
              <w:left w:val="nil"/>
              <w:bottom w:val="single" w:sz="4" w:space="0" w:color="auto"/>
              <w:right w:val="single" w:sz="4" w:space="0" w:color="auto"/>
            </w:tcBorders>
            <w:shd w:val="clear" w:color="auto" w:fill="FFFFFF"/>
            <w:noWrap/>
            <w:vAlign w:val="center"/>
            <w:hideMark/>
          </w:tcPr>
          <w:p w:rsidR="005727C2" w:rsidRDefault="005727C2">
            <w:pPr>
              <w:jc w:val="center"/>
              <w:rPr>
                <w:rFonts w:eastAsia="Times New Roman"/>
                <w:sz w:val="16"/>
                <w:szCs w:val="16"/>
                <w:lang w:eastAsia="en-US"/>
              </w:rPr>
            </w:pPr>
            <w:r>
              <w:rPr>
                <w:rFonts w:eastAsia="Times New Roman"/>
                <w:sz w:val="16"/>
                <w:szCs w:val="16"/>
                <w:lang w:eastAsia="en-US"/>
              </w:rPr>
              <w:t xml:space="preserve"> - </w:t>
            </w:r>
          </w:p>
        </w:tc>
        <w:tc>
          <w:tcPr>
            <w:tcW w:w="865" w:type="dxa"/>
            <w:tcBorders>
              <w:top w:val="nil"/>
              <w:left w:val="nil"/>
              <w:bottom w:val="single" w:sz="4" w:space="0" w:color="auto"/>
              <w:right w:val="single" w:sz="4" w:space="0" w:color="auto"/>
            </w:tcBorders>
            <w:shd w:val="clear" w:color="auto" w:fill="FFFFFF"/>
            <w:noWrap/>
            <w:vAlign w:val="center"/>
            <w:hideMark/>
          </w:tcPr>
          <w:p w:rsidR="005727C2" w:rsidRDefault="005727C2">
            <w:pPr>
              <w:jc w:val="center"/>
              <w:rPr>
                <w:rFonts w:eastAsia="Times New Roman"/>
                <w:sz w:val="16"/>
                <w:szCs w:val="16"/>
                <w:lang w:eastAsia="en-US"/>
              </w:rPr>
            </w:pPr>
            <w:r>
              <w:rPr>
                <w:rFonts w:eastAsia="Times New Roman"/>
                <w:sz w:val="16"/>
                <w:szCs w:val="16"/>
                <w:lang w:eastAsia="en-US"/>
              </w:rPr>
              <w:t>0</w:t>
            </w:r>
          </w:p>
        </w:tc>
        <w:tc>
          <w:tcPr>
            <w:tcW w:w="684" w:type="dxa"/>
            <w:tcBorders>
              <w:top w:val="nil"/>
              <w:left w:val="nil"/>
              <w:bottom w:val="single" w:sz="4" w:space="0" w:color="auto"/>
              <w:right w:val="single" w:sz="4" w:space="0" w:color="auto"/>
            </w:tcBorders>
            <w:shd w:val="clear" w:color="auto" w:fill="FFFFFF"/>
            <w:noWrap/>
            <w:vAlign w:val="center"/>
            <w:hideMark/>
          </w:tcPr>
          <w:p w:rsidR="005727C2" w:rsidRDefault="005727C2">
            <w:pPr>
              <w:jc w:val="center"/>
              <w:rPr>
                <w:rFonts w:eastAsia="Times New Roman"/>
                <w:sz w:val="16"/>
                <w:szCs w:val="16"/>
                <w:lang w:eastAsia="en-US"/>
              </w:rPr>
            </w:pPr>
            <w:r>
              <w:rPr>
                <w:rFonts w:eastAsia="Times New Roman"/>
                <w:sz w:val="16"/>
                <w:szCs w:val="16"/>
                <w:lang w:eastAsia="en-US"/>
              </w:rPr>
              <w:t xml:space="preserve"> - </w:t>
            </w:r>
          </w:p>
        </w:tc>
        <w:tc>
          <w:tcPr>
            <w:tcW w:w="957" w:type="dxa"/>
            <w:tcBorders>
              <w:top w:val="nil"/>
              <w:left w:val="nil"/>
              <w:bottom w:val="single" w:sz="4" w:space="0" w:color="auto"/>
              <w:right w:val="single" w:sz="4" w:space="0" w:color="auto"/>
            </w:tcBorders>
            <w:shd w:val="clear" w:color="auto" w:fill="FFFFFF"/>
            <w:noWrap/>
            <w:vAlign w:val="bottom"/>
            <w:hideMark/>
          </w:tcPr>
          <w:p w:rsidR="005727C2" w:rsidRDefault="005727C2">
            <w:pPr>
              <w:rPr>
                <w:rFonts w:eastAsia="Times New Roman"/>
                <w:color w:val="000000"/>
                <w:sz w:val="16"/>
                <w:szCs w:val="16"/>
                <w:lang w:eastAsia="en-US"/>
              </w:rPr>
            </w:pPr>
            <w:r>
              <w:rPr>
                <w:rFonts w:eastAsia="Times New Roman"/>
                <w:color w:val="000000"/>
                <w:sz w:val="16"/>
                <w:szCs w:val="16"/>
                <w:lang w:eastAsia="en-US"/>
              </w:rPr>
              <w:t> </w:t>
            </w:r>
          </w:p>
        </w:tc>
      </w:tr>
      <w:tr w:rsidR="005727C2" w:rsidTr="005727C2">
        <w:trPr>
          <w:trHeight w:val="20"/>
        </w:trPr>
        <w:tc>
          <w:tcPr>
            <w:tcW w:w="865" w:type="dxa"/>
            <w:tcBorders>
              <w:top w:val="nil"/>
              <w:left w:val="single" w:sz="4" w:space="0" w:color="auto"/>
              <w:bottom w:val="single" w:sz="4" w:space="0" w:color="auto"/>
              <w:right w:val="single" w:sz="4" w:space="0" w:color="auto"/>
            </w:tcBorders>
            <w:vAlign w:val="center"/>
            <w:hideMark/>
          </w:tcPr>
          <w:p w:rsidR="005727C2" w:rsidRDefault="005727C2">
            <w:pPr>
              <w:jc w:val="center"/>
              <w:rPr>
                <w:rFonts w:eastAsia="Times New Roman"/>
                <w:sz w:val="16"/>
                <w:szCs w:val="16"/>
                <w:lang w:eastAsia="en-US"/>
              </w:rPr>
            </w:pPr>
            <w:r>
              <w:rPr>
                <w:rFonts w:eastAsia="Times New Roman"/>
                <w:sz w:val="16"/>
                <w:szCs w:val="16"/>
                <w:lang w:eastAsia="en-US"/>
              </w:rPr>
              <w:t>В.3.1.8</w:t>
            </w:r>
          </w:p>
        </w:tc>
        <w:tc>
          <w:tcPr>
            <w:tcW w:w="1435" w:type="dxa"/>
            <w:tcBorders>
              <w:top w:val="nil"/>
              <w:left w:val="nil"/>
              <w:bottom w:val="single" w:sz="4" w:space="0" w:color="auto"/>
              <w:right w:val="single" w:sz="4" w:space="0" w:color="auto"/>
            </w:tcBorders>
            <w:shd w:val="clear" w:color="auto" w:fill="FFFFFF"/>
            <w:vAlign w:val="center"/>
            <w:hideMark/>
          </w:tcPr>
          <w:p w:rsidR="005727C2" w:rsidRDefault="005727C2">
            <w:pPr>
              <w:rPr>
                <w:rFonts w:eastAsia="Times New Roman"/>
                <w:sz w:val="16"/>
                <w:szCs w:val="16"/>
                <w:lang w:eastAsia="en-US"/>
              </w:rPr>
            </w:pPr>
            <w:r>
              <w:rPr>
                <w:rFonts w:eastAsia="Times New Roman"/>
                <w:sz w:val="16"/>
                <w:szCs w:val="16"/>
                <w:lang w:eastAsia="en-US"/>
              </w:rPr>
              <w:t>доля проверок, результаты которых были признаны недействительными</w:t>
            </w:r>
          </w:p>
        </w:tc>
        <w:tc>
          <w:tcPr>
            <w:tcW w:w="1575" w:type="dxa"/>
            <w:tcBorders>
              <w:top w:val="nil"/>
              <w:left w:val="nil"/>
              <w:bottom w:val="single" w:sz="4" w:space="0" w:color="auto"/>
              <w:right w:val="single" w:sz="4" w:space="0" w:color="auto"/>
            </w:tcBorders>
            <w:shd w:val="clear" w:color="auto" w:fill="FFFFFF"/>
            <w:vAlign w:val="center"/>
            <w:hideMark/>
          </w:tcPr>
          <w:p w:rsidR="005727C2" w:rsidRDefault="005727C2">
            <w:pPr>
              <w:rPr>
                <w:rFonts w:eastAsia="Times New Roman"/>
                <w:sz w:val="16"/>
                <w:szCs w:val="16"/>
                <w:lang w:eastAsia="en-US"/>
              </w:rPr>
            </w:pPr>
            <w:r>
              <w:rPr>
                <w:rFonts w:eastAsia="Times New Roman"/>
                <w:sz w:val="16"/>
                <w:szCs w:val="16"/>
                <w:lang w:eastAsia="en-US"/>
              </w:rPr>
              <w:t>показатель устанавливается в процентах и учитывает долю проверок, результаты которых были признаны недействительными, в том числе по решению суда и по предписанию органов прокуратуры</w:t>
            </w:r>
          </w:p>
        </w:tc>
        <w:tc>
          <w:tcPr>
            <w:tcW w:w="939" w:type="dxa"/>
            <w:tcBorders>
              <w:top w:val="nil"/>
              <w:left w:val="nil"/>
              <w:bottom w:val="single" w:sz="4" w:space="0" w:color="auto"/>
              <w:right w:val="single" w:sz="4" w:space="0" w:color="auto"/>
            </w:tcBorders>
            <w:shd w:val="clear" w:color="auto" w:fill="FFFFFF"/>
            <w:noWrap/>
            <w:vAlign w:val="center"/>
            <w:hideMark/>
          </w:tcPr>
          <w:p w:rsidR="005727C2" w:rsidRDefault="005727C2">
            <w:pPr>
              <w:jc w:val="center"/>
              <w:rPr>
                <w:rFonts w:eastAsia="Times New Roman"/>
                <w:sz w:val="16"/>
                <w:szCs w:val="16"/>
                <w:lang w:eastAsia="en-US"/>
              </w:rPr>
            </w:pPr>
            <w:r>
              <w:rPr>
                <w:rFonts w:eastAsia="Times New Roman"/>
                <w:sz w:val="16"/>
                <w:szCs w:val="16"/>
                <w:lang w:eastAsia="en-US"/>
              </w:rPr>
              <w:t xml:space="preserve"> - </w:t>
            </w:r>
          </w:p>
        </w:tc>
        <w:tc>
          <w:tcPr>
            <w:tcW w:w="972" w:type="dxa"/>
            <w:tcBorders>
              <w:top w:val="nil"/>
              <w:left w:val="nil"/>
              <w:bottom w:val="single" w:sz="4" w:space="0" w:color="auto"/>
              <w:right w:val="single" w:sz="4" w:space="0" w:color="auto"/>
            </w:tcBorders>
            <w:shd w:val="clear" w:color="auto" w:fill="FFFFFF"/>
            <w:noWrap/>
            <w:vAlign w:val="bottom"/>
            <w:hideMark/>
          </w:tcPr>
          <w:p w:rsidR="005727C2" w:rsidRDefault="005727C2">
            <w:pPr>
              <w:rPr>
                <w:rFonts w:eastAsia="Times New Roman"/>
                <w:sz w:val="16"/>
                <w:szCs w:val="16"/>
                <w:lang w:eastAsia="en-US"/>
              </w:rPr>
            </w:pPr>
            <w:r>
              <w:rPr>
                <w:rFonts w:eastAsia="Times New Roman"/>
                <w:sz w:val="16"/>
                <w:szCs w:val="16"/>
                <w:lang w:eastAsia="en-US"/>
              </w:rPr>
              <w:t> </w:t>
            </w:r>
          </w:p>
        </w:tc>
        <w:tc>
          <w:tcPr>
            <w:tcW w:w="1186" w:type="dxa"/>
            <w:tcBorders>
              <w:top w:val="nil"/>
              <w:left w:val="nil"/>
              <w:bottom w:val="single" w:sz="4" w:space="0" w:color="auto"/>
              <w:right w:val="single" w:sz="4" w:space="0" w:color="auto"/>
            </w:tcBorders>
            <w:shd w:val="clear" w:color="auto" w:fill="FFFFFF"/>
            <w:noWrap/>
            <w:vAlign w:val="center"/>
            <w:hideMark/>
          </w:tcPr>
          <w:p w:rsidR="005727C2" w:rsidRDefault="005727C2">
            <w:pPr>
              <w:jc w:val="center"/>
              <w:rPr>
                <w:rFonts w:eastAsia="Times New Roman"/>
                <w:sz w:val="16"/>
                <w:szCs w:val="16"/>
                <w:lang w:eastAsia="en-US"/>
              </w:rPr>
            </w:pPr>
            <w:r>
              <w:rPr>
                <w:rFonts w:eastAsia="Times New Roman"/>
                <w:sz w:val="16"/>
                <w:szCs w:val="16"/>
                <w:lang w:eastAsia="en-US"/>
              </w:rPr>
              <w:t xml:space="preserve"> - </w:t>
            </w:r>
          </w:p>
        </w:tc>
        <w:tc>
          <w:tcPr>
            <w:tcW w:w="865" w:type="dxa"/>
            <w:tcBorders>
              <w:top w:val="nil"/>
              <w:left w:val="nil"/>
              <w:bottom w:val="single" w:sz="4" w:space="0" w:color="auto"/>
              <w:right w:val="single" w:sz="4" w:space="0" w:color="auto"/>
            </w:tcBorders>
            <w:shd w:val="clear" w:color="auto" w:fill="FFFFFF"/>
            <w:noWrap/>
            <w:vAlign w:val="center"/>
            <w:hideMark/>
          </w:tcPr>
          <w:p w:rsidR="005727C2" w:rsidRDefault="005727C2">
            <w:pPr>
              <w:jc w:val="center"/>
              <w:rPr>
                <w:rFonts w:eastAsia="Times New Roman"/>
                <w:sz w:val="16"/>
                <w:szCs w:val="16"/>
                <w:lang w:eastAsia="en-US"/>
              </w:rPr>
            </w:pPr>
            <w:r>
              <w:rPr>
                <w:rFonts w:eastAsia="Times New Roman"/>
                <w:sz w:val="16"/>
                <w:szCs w:val="16"/>
                <w:lang w:eastAsia="en-US"/>
              </w:rPr>
              <w:t>0</w:t>
            </w:r>
          </w:p>
        </w:tc>
        <w:tc>
          <w:tcPr>
            <w:tcW w:w="684" w:type="dxa"/>
            <w:tcBorders>
              <w:top w:val="nil"/>
              <w:left w:val="nil"/>
              <w:bottom w:val="single" w:sz="4" w:space="0" w:color="auto"/>
              <w:right w:val="single" w:sz="4" w:space="0" w:color="auto"/>
            </w:tcBorders>
            <w:shd w:val="clear" w:color="auto" w:fill="FFFFFF"/>
            <w:noWrap/>
            <w:vAlign w:val="center"/>
            <w:hideMark/>
          </w:tcPr>
          <w:p w:rsidR="005727C2" w:rsidRDefault="005727C2">
            <w:pPr>
              <w:jc w:val="center"/>
              <w:rPr>
                <w:rFonts w:eastAsia="Times New Roman"/>
                <w:sz w:val="16"/>
                <w:szCs w:val="16"/>
                <w:lang w:eastAsia="en-US"/>
              </w:rPr>
            </w:pPr>
            <w:r>
              <w:rPr>
                <w:rFonts w:eastAsia="Times New Roman"/>
                <w:sz w:val="16"/>
                <w:szCs w:val="16"/>
                <w:lang w:eastAsia="en-US"/>
              </w:rPr>
              <w:t xml:space="preserve"> - </w:t>
            </w:r>
          </w:p>
        </w:tc>
        <w:tc>
          <w:tcPr>
            <w:tcW w:w="957" w:type="dxa"/>
            <w:tcBorders>
              <w:top w:val="nil"/>
              <w:left w:val="nil"/>
              <w:bottom w:val="single" w:sz="4" w:space="0" w:color="auto"/>
              <w:right w:val="single" w:sz="4" w:space="0" w:color="auto"/>
            </w:tcBorders>
            <w:shd w:val="clear" w:color="auto" w:fill="FFFFFF"/>
            <w:noWrap/>
            <w:vAlign w:val="bottom"/>
            <w:hideMark/>
          </w:tcPr>
          <w:p w:rsidR="005727C2" w:rsidRDefault="005727C2">
            <w:pPr>
              <w:rPr>
                <w:rFonts w:eastAsia="Times New Roman"/>
                <w:color w:val="000000"/>
                <w:sz w:val="16"/>
                <w:szCs w:val="16"/>
                <w:lang w:eastAsia="en-US"/>
              </w:rPr>
            </w:pPr>
            <w:r>
              <w:rPr>
                <w:rFonts w:eastAsia="Times New Roman"/>
                <w:color w:val="000000"/>
                <w:sz w:val="16"/>
                <w:szCs w:val="16"/>
                <w:lang w:eastAsia="en-US"/>
              </w:rPr>
              <w:t> </w:t>
            </w:r>
          </w:p>
        </w:tc>
      </w:tr>
      <w:tr w:rsidR="005727C2" w:rsidTr="005727C2">
        <w:trPr>
          <w:trHeight w:val="20"/>
        </w:trPr>
        <w:tc>
          <w:tcPr>
            <w:tcW w:w="865" w:type="dxa"/>
            <w:tcBorders>
              <w:top w:val="nil"/>
              <w:left w:val="single" w:sz="4" w:space="0" w:color="auto"/>
              <w:bottom w:val="single" w:sz="4" w:space="0" w:color="auto"/>
              <w:right w:val="single" w:sz="4" w:space="0" w:color="auto"/>
            </w:tcBorders>
            <w:vAlign w:val="center"/>
            <w:hideMark/>
          </w:tcPr>
          <w:p w:rsidR="005727C2" w:rsidRDefault="005727C2">
            <w:pPr>
              <w:jc w:val="center"/>
              <w:rPr>
                <w:rFonts w:eastAsia="Times New Roman"/>
                <w:sz w:val="16"/>
                <w:szCs w:val="16"/>
                <w:lang w:eastAsia="en-US"/>
              </w:rPr>
            </w:pPr>
            <w:r>
              <w:rPr>
                <w:rFonts w:eastAsia="Times New Roman"/>
                <w:sz w:val="16"/>
                <w:szCs w:val="16"/>
                <w:lang w:eastAsia="en-US"/>
              </w:rPr>
              <w:t>В.3.1.9</w:t>
            </w:r>
          </w:p>
        </w:tc>
        <w:tc>
          <w:tcPr>
            <w:tcW w:w="1435" w:type="dxa"/>
            <w:tcBorders>
              <w:top w:val="nil"/>
              <w:left w:val="nil"/>
              <w:bottom w:val="single" w:sz="4" w:space="0" w:color="auto"/>
              <w:right w:val="single" w:sz="4" w:space="0" w:color="auto"/>
            </w:tcBorders>
            <w:shd w:val="clear" w:color="auto" w:fill="FFFFFF"/>
            <w:vAlign w:val="center"/>
            <w:hideMark/>
          </w:tcPr>
          <w:p w:rsidR="005727C2" w:rsidRDefault="005727C2">
            <w:pPr>
              <w:rPr>
                <w:rFonts w:eastAsia="Times New Roman"/>
                <w:sz w:val="16"/>
                <w:szCs w:val="16"/>
                <w:lang w:eastAsia="en-US"/>
              </w:rPr>
            </w:pPr>
            <w:r>
              <w:rPr>
                <w:rFonts w:eastAsia="Times New Roman"/>
                <w:sz w:val="16"/>
                <w:szCs w:val="16"/>
                <w:lang w:eastAsia="en-US"/>
              </w:rPr>
              <w:t>количество проверок, проведенных с нарушениями требований законодательства Российской Федерации о порядке их проведения, по результатам выявления которых к должностным лицам, осуществившим такие проверки, применены меры дисциплинарного, административно</w:t>
            </w:r>
            <w:r>
              <w:rPr>
                <w:rFonts w:eastAsia="Times New Roman"/>
                <w:sz w:val="16"/>
                <w:szCs w:val="16"/>
                <w:lang w:eastAsia="en-US"/>
              </w:rPr>
              <w:lastRenderedPageBreak/>
              <w:t>го наказания</w:t>
            </w:r>
          </w:p>
        </w:tc>
        <w:tc>
          <w:tcPr>
            <w:tcW w:w="1575" w:type="dxa"/>
            <w:tcBorders>
              <w:top w:val="nil"/>
              <w:left w:val="nil"/>
              <w:bottom w:val="single" w:sz="4" w:space="0" w:color="auto"/>
              <w:right w:val="single" w:sz="4" w:space="0" w:color="auto"/>
            </w:tcBorders>
            <w:shd w:val="clear" w:color="auto" w:fill="FFFFFF"/>
            <w:vAlign w:val="center"/>
            <w:hideMark/>
          </w:tcPr>
          <w:p w:rsidR="005727C2" w:rsidRDefault="005727C2">
            <w:pPr>
              <w:rPr>
                <w:rFonts w:eastAsia="Times New Roman"/>
                <w:sz w:val="16"/>
                <w:szCs w:val="16"/>
                <w:lang w:eastAsia="en-US"/>
              </w:rPr>
            </w:pPr>
            <w:r>
              <w:rPr>
                <w:rFonts w:eastAsia="Times New Roman"/>
                <w:sz w:val="16"/>
                <w:szCs w:val="16"/>
                <w:lang w:eastAsia="en-US"/>
              </w:rPr>
              <w:lastRenderedPageBreak/>
              <w:t>устанавливается общий суммарный показатель</w:t>
            </w:r>
          </w:p>
        </w:tc>
        <w:tc>
          <w:tcPr>
            <w:tcW w:w="939" w:type="dxa"/>
            <w:tcBorders>
              <w:top w:val="nil"/>
              <w:left w:val="nil"/>
              <w:bottom w:val="single" w:sz="4" w:space="0" w:color="auto"/>
              <w:right w:val="single" w:sz="4" w:space="0" w:color="auto"/>
            </w:tcBorders>
            <w:shd w:val="clear" w:color="auto" w:fill="FFFFFF"/>
            <w:noWrap/>
            <w:vAlign w:val="center"/>
            <w:hideMark/>
          </w:tcPr>
          <w:p w:rsidR="005727C2" w:rsidRDefault="005727C2">
            <w:pPr>
              <w:jc w:val="center"/>
              <w:rPr>
                <w:rFonts w:eastAsia="Times New Roman"/>
                <w:sz w:val="16"/>
                <w:szCs w:val="16"/>
                <w:lang w:eastAsia="en-US"/>
              </w:rPr>
            </w:pPr>
            <w:r>
              <w:rPr>
                <w:rFonts w:eastAsia="Times New Roman"/>
                <w:sz w:val="16"/>
                <w:szCs w:val="16"/>
                <w:lang w:eastAsia="en-US"/>
              </w:rPr>
              <w:t xml:space="preserve"> - </w:t>
            </w:r>
          </w:p>
        </w:tc>
        <w:tc>
          <w:tcPr>
            <w:tcW w:w="972" w:type="dxa"/>
            <w:tcBorders>
              <w:top w:val="nil"/>
              <w:left w:val="nil"/>
              <w:bottom w:val="single" w:sz="4" w:space="0" w:color="auto"/>
              <w:right w:val="single" w:sz="4" w:space="0" w:color="auto"/>
            </w:tcBorders>
            <w:shd w:val="clear" w:color="auto" w:fill="FFFFFF"/>
            <w:noWrap/>
            <w:vAlign w:val="bottom"/>
            <w:hideMark/>
          </w:tcPr>
          <w:p w:rsidR="005727C2" w:rsidRDefault="005727C2">
            <w:pPr>
              <w:rPr>
                <w:rFonts w:eastAsia="Times New Roman"/>
                <w:sz w:val="16"/>
                <w:szCs w:val="16"/>
                <w:lang w:eastAsia="en-US"/>
              </w:rPr>
            </w:pPr>
            <w:r>
              <w:rPr>
                <w:rFonts w:eastAsia="Times New Roman"/>
                <w:sz w:val="16"/>
                <w:szCs w:val="16"/>
                <w:lang w:eastAsia="en-US"/>
              </w:rPr>
              <w:t> </w:t>
            </w:r>
          </w:p>
        </w:tc>
        <w:tc>
          <w:tcPr>
            <w:tcW w:w="1186" w:type="dxa"/>
            <w:tcBorders>
              <w:top w:val="nil"/>
              <w:left w:val="nil"/>
              <w:bottom w:val="single" w:sz="4" w:space="0" w:color="auto"/>
              <w:right w:val="single" w:sz="4" w:space="0" w:color="auto"/>
            </w:tcBorders>
            <w:shd w:val="clear" w:color="auto" w:fill="FFFFFF"/>
            <w:noWrap/>
            <w:vAlign w:val="center"/>
            <w:hideMark/>
          </w:tcPr>
          <w:p w:rsidR="005727C2" w:rsidRDefault="005727C2">
            <w:pPr>
              <w:jc w:val="center"/>
              <w:rPr>
                <w:rFonts w:eastAsia="Times New Roman"/>
                <w:sz w:val="16"/>
                <w:szCs w:val="16"/>
                <w:lang w:eastAsia="en-US"/>
              </w:rPr>
            </w:pPr>
            <w:r>
              <w:rPr>
                <w:rFonts w:eastAsia="Times New Roman"/>
                <w:sz w:val="16"/>
                <w:szCs w:val="16"/>
                <w:lang w:eastAsia="en-US"/>
              </w:rPr>
              <w:t xml:space="preserve"> - </w:t>
            </w:r>
          </w:p>
        </w:tc>
        <w:tc>
          <w:tcPr>
            <w:tcW w:w="865" w:type="dxa"/>
            <w:tcBorders>
              <w:top w:val="nil"/>
              <w:left w:val="nil"/>
              <w:bottom w:val="single" w:sz="4" w:space="0" w:color="auto"/>
              <w:right w:val="single" w:sz="4" w:space="0" w:color="auto"/>
            </w:tcBorders>
            <w:shd w:val="clear" w:color="auto" w:fill="FFFFFF"/>
            <w:noWrap/>
            <w:vAlign w:val="center"/>
            <w:hideMark/>
          </w:tcPr>
          <w:p w:rsidR="005727C2" w:rsidRDefault="005727C2">
            <w:pPr>
              <w:jc w:val="center"/>
              <w:rPr>
                <w:rFonts w:eastAsia="Times New Roman"/>
                <w:sz w:val="16"/>
                <w:szCs w:val="16"/>
                <w:lang w:eastAsia="en-US"/>
              </w:rPr>
            </w:pPr>
            <w:r>
              <w:rPr>
                <w:rFonts w:eastAsia="Times New Roman"/>
                <w:sz w:val="16"/>
                <w:szCs w:val="16"/>
                <w:lang w:eastAsia="en-US"/>
              </w:rPr>
              <w:t>0</w:t>
            </w:r>
          </w:p>
        </w:tc>
        <w:tc>
          <w:tcPr>
            <w:tcW w:w="684" w:type="dxa"/>
            <w:tcBorders>
              <w:top w:val="nil"/>
              <w:left w:val="nil"/>
              <w:bottom w:val="single" w:sz="4" w:space="0" w:color="auto"/>
              <w:right w:val="single" w:sz="4" w:space="0" w:color="auto"/>
            </w:tcBorders>
            <w:shd w:val="clear" w:color="auto" w:fill="FFFFFF"/>
            <w:noWrap/>
            <w:vAlign w:val="center"/>
            <w:hideMark/>
          </w:tcPr>
          <w:p w:rsidR="005727C2" w:rsidRDefault="005727C2">
            <w:pPr>
              <w:jc w:val="center"/>
              <w:rPr>
                <w:rFonts w:eastAsia="Times New Roman"/>
                <w:sz w:val="16"/>
                <w:szCs w:val="16"/>
                <w:lang w:eastAsia="en-US"/>
              </w:rPr>
            </w:pPr>
            <w:r>
              <w:rPr>
                <w:rFonts w:eastAsia="Times New Roman"/>
                <w:sz w:val="16"/>
                <w:szCs w:val="16"/>
                <w:lang w:eastAsia="en-US"/>
              </w:rPr>
              <w:t xml:space="preserve"> - </w:t>
            </w:r>
          </w:p>
        </w:tc>
        <w:tc>
          <w:tcPr>
            <w:tcW w:w="957" w:type="dxa"/>
            <w:tcBorders>
              <w:top w:val="nil"/>
              <w:left w:val="nil"/>
              <w:bottom w:val="single" w:sz="4" w:space="0" w:color="auto"/>
              <w:right w:val="single" w:sz="4" w:space="0" w:color="auto"/>
            </w:tcBorders>
            <w:shd w:val="clear" w:color="auto" w:fill="FFFFFF"/>
            <w:noWrap/>
            <w:vAlign w:val="bottom"/>
            <w:hideMark/>
          </w:tcPr>
          <w:p w:rsidR="005727C2" w:rsidRDefault="005727C2">
            <w:pPr>
              <w:rPr>
                <w:rFonts w:eastAsia="Times New Roman"/>
                <w:color w:val="000000"/>
                <w:sz w:val="16"/>
                <w:szCs w:val="16"/>
                <w:lang w:eastAsia="en-US"/>
              </w:rPr>
            </w:pPr>
            <w:r>
              <w:rPr>
                <w:rFonts w:eastAsia="Times New Roman"/>
                <w:color w:val="000000"/>
                <w:sz w:val="16"/>
                <w:szCs w:val="16"/>
                <w:lang w:eastAsia="en-US"/>
              </w:rPr>
              <w:t> </w:t>
            </w:r>
          </w:p>
        </w:tc>
      </w:tr>
      <w:tr w:rsidR="005727C2" w:rsidTr="005727C2">
        <w:trPr>
          <w:trHeight w:val="20"/>
        </w:trPr>
        <w:tc>
          <w:tcPr>
            <w:tcW w:w="865" w:type="dxa"/>
            <w:tcBorders>
              <w:top w:val="nil"/>
              <w:left w:val="single" w:sz="4" w:space="0" w:color="auto"/>
              <w:bottom w:val="single" w:sz="4" w:space="0" w:color="auto"/>
              <w:right w:val="single" w:sz="4" w:space="0" w:color="auto"/>
            </w:tcBorders>
            <w:vAlign w:val="center"/>
            <w:hideMark/>
          </w:tcPr>
          <w:p w:rsidR="005727C2" w:rsidRDefault="005727C2">
            <w:pPr>
              <w:jc w:val="center"/>
              <w:rPr>
                <w:rFonts w:eastAsia="Times New Roman"/>
                <w:sz w:val="16"/>
                <w:szCs w:val="16"/>
                <w:lang w:eastAsia="en-US"/>
              </w:rPr>
            </w:pPr>
            <w:r>
              <w:rPr>
                <w:rFonts w:eastAsia="Times New Roman"/>
                <w:sz w:val="16"/>
                <w:szCs w:val="16"/>
                <w:lang w:eastAsia="en-US"/>
              </w:rPr>
              <w:lastRenderedPageBreak/>
              <w:t>В.3.1.10</w:t>
            </w:r>
          </w:p>
        </w:tc>
        <w:tc>
          <w:tcPr>
            <w:tcW w:w="1435" w:type="dxa"/>
            <w:tcBorders>
              <w:top w:val="nil"/>
              <w:left w:val="nil"/>
              <w:bottom w:val="single" w:sz="4" w:space="0" w:color="auto"/>
              <w:right w:val="single" w:sz="4" w:space="0" w:color="auto"/>
            </w:tcBorders>
            <w:shd w:val="clear" w:color="auto" w:fill="FFFFFF"/>
            <w:vAlign w:val="center"/>
            <w:hideMark/>
          </w:tcPr>
          <w:p w:rsidR="005727C2" w:rsidRDefault="005727C2">
            <w:pPr>
              <w:rPr>
                <w:rFonts w:eastAsia="Times New Roman"/>
                <w:sz w:val="16"/>
                <w:szCs w:val="16"/>
                <w:lang w:eastAsia="en-US"/>
              </w:rPr>
            </w:pPr>
            <w:r>
              <w:rPr>
                <w:rFonts w:eastAsia="Times New Roman"/>
                <w:sz w:val="16"/>
                <w:szCs w:val="16"/>
                <w:lang w:eastAsia="en-US"/>
              </w:rPr>
              <w:t>доля проверок, проведенных с нарушениями требований законодательства Российской Федерации о порядке их проведения, по результатам выявления которых к должностным лицам, осуществившим такие проверки, применены меры дисциплинарного, административного наказания</w:t>
            </w:r>
          </w:p>
        </w:tc>
        <w:tc>
          <w:tcPr>
            <w:tcW w:w="1575" w:type="dxa"/>
            <w:tcBorders>
              <w:top w:val="nil"/>
              <w:left w:val="nil"/>
              <w:bottom w:val="single" w:sz="4" w:space="0" w:color="auto"/>
              <w:right w:val="single" w:sz="4" w:space="0" w:color="auto"/>
            </w:tcBorders>
            <w:shd w:val="clear" w:color="auto" w:fill="FFFFFF"/>
            <w:vAlign w:val="center"/>
            <w:hideMark/>
          </w:tcPr>
          <w:p w:rsidR="005727C2" w:rsidRDefault="005727C2">
            <w:pPr>
              <w:rPr>
                <w:rFonts w:eastAsia="Times New Roman"/>
                <w:sz w:val="16"/>
                <w:szCs w:val="16"/>
                <w:lang w:eastAsia="en-US"/>
              </w:rPr>
            </w:pPr>
            <w:r>
              <w:rPr>
                <w:rFonts w:eastAsia="Times New Roman"/>
                <w:sz w:val="16"/>
                <w:szCs w:val="16"/>
                <w:lang w:eastAsia="en-US"/>
              </w:rPr>
              <w:t>показатель устанавливается в процентах от общего количества проведенных проверок с нарушениями требований законодательства Российской Федерации о порядке их проведения</w:t>
            </w:r>
          </w:p>
        </w:tc>
        <w:tc>
          <w:tcPr>
            <w:tcW w:w="939" w:type="dxa"/>
            <w:tcBorders>
              <w:top w:val="nil"/>
              <w:left w:val="nil"/>
              <w:bottom w:val="single" w:sz="4" w:space="0" w:color="auto"/>
              <w:right w:val="single" w:sz="4" w:space="0" w:color="auto"/>
            </w:tcBorders>
            <w:shd w:val="clear" w:color="auto" w:fill="FFFFFF"/>
            <w:noWrap/>
            <w:vAlign w:val="center"/>
            <w:hideMark/>
          </w:tcPr>
          <w:p w:rsidR="005727C2" w:rsidRDefault="005727C2">
            <w:pPr>
              <w:jc w:val="center"/>
              <w:rPr>
                <w:rFonts w:eastAsia="Times New Roman"/>
                <w:sz w:val="16"/>
                <w:szCs w:val="16"/>
                <w:lang w:eastAsia="en-US"/>
              </w:rPr>
            </w:pPr>
            <w:r>
              <w:rPr>
                <w:rFonts w:eastAsia="Times New Roman"/>
                <w:sz w:val="16"/>
                <w:szCs w:val="16"/>
                <w:lang w:eastAsia="en-US"/>
              </w:rPr>
              <w:t xml:space="preserve"> - </w:t>
            </w:r>
          </w:p>
        </w:tc>
        <w:tc>
          <w:tcPr>
            <w:tcW w:w="972" w:type="dxa"/>
            <w:tcBorders>
              <w:top w:val="nil"/>
              <w:left w:val="nil"/>
              <w:bottom w:val="single" w:sz="4" w:space="0" w:color="auto"/>
              <w:right w:val="single" w:sz="4" w:space="0" w:color="auto"/>
            </w:tcBorders>
            <w:shd w:val="clear" w:color="auto" w:fill="FFFFFF"/>
            <w:noWrap/>
            <w:vAlign w:val="bottom"/>
            <w:hideMark/>
          </w:tcPr>
          <w:p w:rsidR="005727C2" w:rsidRDefault="005727C2">
            <w:pPr>
              <w:rPr>
                <w:rFonts w:eastAsia="Times New Roman"/>
                <w:sz w:val="16"/>
                <w:szCs w:val="16"/>
                <w:lang w:eastAsia="en-US"/>
              </w:rPr>
            </w:pPr>
            <w:r>
              <w:rPr>
                <w:rFonts w:eastAsia="Times New Roman"/>
                <w:sz w:val="16"/>
                <w:szCs w:val="16"/>
                <w:lang w:eastAsia="en-US"/>
              </w:rPr>
              <w:t> </w:t>
            </w:r>
          </w:p>
        </w:tc>
        <w:tc>
          <w:tcPr>
            <w:tcW w:w="1186" w:type="dxa"/>
            <w:tcBorders>
              <w:top w:val="nil"/>
              <w:left w:val="nil"/>
              <w:bottom w:val="single" w:sz="4" w:space="0" w:color="auto"/>
              <w:right w:val="single" w:sz="4" w:space="0" w:color="auto"/>
            </w:tcBorders>
            <w:shd w:val="clear" w:color="auto" w:fill="FFFFFF"/>
            <w:noWrap/>
            <w:vAlign w:val="center"/>
            <w:hideMark/>
          </w:tcPr>
          <w:p w:rsidR="005727C2" w:rsidRDefault="005727C2">
            <w:pPr>
              <w:jc w:val="center"/>
              <w:rPr>
                <w:rFonts w:eastAsia="Times New Roman"/>
                <w:sz w:val="16"/>
                <w:szCs w:val="16"/>
                <w:lang w:eastAsia="en-US"/>
              </w:rPr>
            </w:pPr>
            <w:r>
              <w:rPr>
                <w:rFonts w:eastAsia="Times New Roman"/>
                <w:sz w:val="16"/>
                <w:szCs w:val="16"/>
                <w:lang w:eastAsia="en-US"/>
              </w:rPr>
              <w:t xml:space="preserve"> - </w:t>
            </w:r>
          </w:p>
        </w:tc>
        <w:tc>
          <w:tcPr>
            <w:tcW w:w="865" w:type="dxa"/>
            <w:tcBorders>
              <w:top w:val="nil"/>
              <w:left w:val="nil"/>
              <w:bottom w:val="single" w:sz="4" w:space="0" w:color="auto"/>
              <w:right w:val="single" w:sz="4" w:space="0" w:color="auto"/>
            </w:tcBorders>
            <w:shd w:val="clear" w:color="auto" w:fill="FFFFFF"/>
            <w:noWrap/>
            <w:vAlign w:val="center"/>
            <w:hideMark/>
          </w:tcPr>
          <w:p w:rsidR="005727C2" w:rsidRDefault="005727C2">
            <w:pPr>
              <w:jc w:val="center"/>
              <w:rPr>
                <w:rFonts w:eastAsia="Times New Roman"/>
                <w:sz w:val="16"/>
                <w:szCs w:val="16"/>
                <w:lang w:eastAsia="en-US"/>
              </w:rPr>
            </w:pPr>
            <w:r>
              <w:rPr>
                <w:rFonts w:eastAsia="Times New Roman"/>
                <w:sz w:val="16"/>
                <w:szCs w:val="16"/>
                <w:lang w:eastAsia="en-US"/>
              </w:rPr>
              <w:t>0</w:t>
            </w:r>
          </w:p>
        </w:tc>
        <w:tc>
          <w:tcPr>
            <w:tcW w:w="684" w:type="dxa"/>
            <w:tcBorders>
              <w:top w:val="nil"/>
              <w:left w:val="nil"/>
              <w:bottom w:val="single" w:sz="4" w:space="0" w:color="auto"/>
              <w:right w:val="single" w:sz="4" w:space="0" w:color="auto"/>
            </w:tcBorders>
            <w:shd w:val="clear" w:color="auto" w:fill="FFFFFF"/>
            <w:noWrap/>
            <w:vAlign w:val="center"/>
            <w:hideMark/>
          </w:tcPr>
          <w:p w:rsidR="005727C2" w:rsidRDefault="005727C2">
            <w:pPr>
              <w:jc w:val="center"/>
              <w:rPr>
                <w:rFonts w:eastAsia="Times New Roman"/>
                <w:sz w:val="16"/>
                <w:szCs w:val="16"/>
                <w:lang w:eastAsia="en-US"/>
              </w:rPr>
            </w:pPr>
            <w:r>
              <w:rPr>
                <w:rFonts w:eastAsia="Times New Roman"/>
                <w:sz w:val="16"/>
                <w:szCs w:val="16"/>
                <w:lang w:eastAsia="en-US"/>
              </w:rPr>
              <w:t xml:space="preserve"> - </w:t>
            </w:r>
          </w:p>
        </w:tc>
        <w:tc>
          <w:tcPr>
            <w:tcW w:w="957" w:type="dxa"/>
            <w:tcBorders>
              <w:top w:val="nil"/>
              <w:left w:val="nil"/>
              <w:bottom w:val="single" w:sz="4" w:space="0" w:color="auto"/>
              <w:right w:val="single" w:sz="4" w:space="0" w:color="auto"/>
            </w:tcBorders>
            <w:shd w:val="clear" w:color="auto" w:fill="FFFFFF"/>
            <w:noWrap/>
            <w:vAlign w:val="bottom"/>
            <w:hideMark/>
          </w:tcPr>
          <w:p w:rsidR="005727C2" w:rsidRDefault="005727C2">
            <w:pPr>
              <w:rPr>
                <w:rFonts w:eastAsia="Times New Roman"/>
                <w:color w:val="000000"/>
                <w:sz w:val="16"/>
                <w:szCs w:val="16"/>
                <w:lang w:eastAsia="en-US"/>
              </w:rPr>
            </w:pPr>
            <w:r>
              <w:rPr>
                <w:rFonts w:eastAsia="Times New Roman"/>
                <w:color w:val="000000"/>
                <w:sz w:val="16"/>
                <w:szCs w:val="16"/>
                <w:lang w:eastAsia="en-US"/>
              </w:rPr>
              <w:t> </w:t>
            </w:r>
          </w:p>
        </w:tc>
      </w:tr>
      <w:tr w:rsidR="005727C2" w:rsidTr="005727C2">
        <w:trPr>
          <w:trHeight w:val="20"/>
        </w:trPr>
        <w:tc>
          <w:tcPr>
            <w:tcW w:w="865" w:type="dxa"/>
            <w:tcBorders>
              <w:top w:val="nil"/>
              <w:left w:val="single" w:sz="4" w:space="0" w:color="auto"/>
              <w:bottom w:val="single" w:sz="4" w:space="0" w:color="auto"/>
              <w:right w:val="single" w:sz="4" w:space="0" w:color="auto"/>
            </w:tcBorders>
            <w:vAlign w:val="center"/>
            <w:hideMark/>
          </w:tcPr>
          <w:p w:rsidR="005727C2" w:rsidRDefault="005727C2">
            <w:pPr>
              <w:jc w:val="center"/>
              <w:rPr>
                <w:rFonts w:eastAsia="Times New Roman"/>
                <w:sz w:val="16"/>
                <w:szCs w:val="16"/>
                <w:lang w:eastAsia="en-US"/>
              </w:rPr>
            </w:pPr>
            <w:r>
              <w:rPr>
                <w:rFonts w:eastAsia="Times New Roman"/>
                <w:sz w:val="16"/>
                <w:szCs w:val="16"/>
                <w:lang w:eastAsia="en-US"/>
              </w:rPr>
              <w:t>В.3.1.11</w:t>
            </w:r>
          </w:p>
        </w:tc>
        <w:tc>
          <w:tcPr>
            <w:tcW w:w="1435" w:type="dxa"/>
            <w:tcBorders>
              <w:top w:val="nil"/>
              <w:left w:val="nil"/>
              <w:bottom w:val="single" w:sz="4" w:space="0" w:color="auto"/>
              <w:right w:val="single" w:sz="4" w:space="0" w:color="auto"/>
            </w:tcBorders>
            <w:shd w:val="clear" w:color="auto" w:fill="FFFFFF"/>
            <w:vAlign w:val="center"/>
            <w:hideMark/>
          </w:tcPr>
          <w:p w:rsidR="005727C2" w:rsidRDefault="005727C2">
            <w:pPr>
              <w:rPr>
                <w:rFonts w:eastAsia="Times New Roman"/>
                <w:sz w:val="16"/>
                <w:szCs w:val="16"/>
                <w:lang w:eastAsia="en-US"/>
              </w:rPr>
            </w:pPr>
            <w:r>
              <w:rPr>
                <w:rFonts w:eastAsia="Times New Roman"/>
                <w:sz w:val="16"/>
                <w:szCs w:val="16"/>
                <w:lang w:eastAsia="en-US"/>
              </w:rPr>
              <w:t>доля плановых и внеплановых проверок, которые не удалось провести в связи с отсутствием проверяемого лица по месту нахождения (жительства), указанному в государственных информационных ресурсах, в связи с отсутствием руководителя организации, иного уполномоченного лица, в связи с изменением статуса проверяемого лица, в связи со сменой собственника производственного объекта, в связи с прекращением осуществления проверяемой сферы деятельности, всего</w:t>
            </w:r>
          </w:p>
        </w:tc>
        <w:tc>
          <w:tcPr>
            <w:tcW w:w="1575" w:type="dxa"/>
            <w:tcBorders>
              <w:top w:val="nil"/>
              <w:left w:val="nil"/>
              <w:bottom w:val="single" w:sz="4" w:space="0" w:color="auto"/>
              <w:right w:val="single" w:sz="4" w:space="0" w:color="auto"/>
            </w:tcBorders>
            <w:shd w:val="clear" w:color="auto" w:fill="FFFFFF"/>
            <w:vAlign w:val="center"/>
            <w:hideMark/>
          </w:tcPr>
          <w:p w:rsidR="005727C2" w:rsidRDefault="005727C2">
            <w:pPr>
              <w:rPr>
                <w:rFonts w:eastAsia="Times New Roman"/>
                <w:sz w:val="16"/>
                <w:szCs w:val="16"/>
                <w:lang w:eastAsia="en-US"/>
              </w:rPr>
            </w:pPr>
            <w:r>
              <w:rPr>
                <w:rFonts w:eastAsia="Times New Roman"/>
                <w:sz w:val="16"/>
                <w:szCs w:val="16"/>
                <w:lang w:eastAsia="en-US"/>
              </w:rPr>
              <w:t>показатели устанавливаются в процентах по каждому виду мероприятий (плановому, внеплановому и по каждой из причин)</w:t>
            </w:r>
          </w:p>
        </w:tc>
        <w:tc>
          <w:tcPr>
            <w:tcW w:w="939" w:type="dxa"/>
            <w:tcBorders>
              <w:top w:val="nil"/>
              <w:left w:val="nil"/>
              <w:bottom w:val="single" w:sz="4" w:space="0" w:color="auto"/>
              <w:right w:val="single" w:sz="4" w:space="0" w:color="auto"/>
            </w:tcBorders>
            <w:shd w:val="clear" w:color="auto" w:fill="FFFFFF"/>
            <w:noWrap/>
            <w:vAlign w:val="center"/>
            <w:hideMark/>
          </w:tcPr>
          <w:p w:rsidR="005727C2" w:rsidRDefault="005727C2">
            <w:pPr>
              <w:jc w:val="center"/>
              <w:rPr>
                <w:rFonts w:eastAsia="Times New Roman"/>
                <w:sz w:val="16"/>
                <w:szCs w:val="16"/>
                <w:lang w:eastAsia="en-US"/>
              </w:rPr>
            </w:pPr>
            <w:r>
              <w:rPr>
                <w:rFonts w:eastAsia="Times New Roman"/>
                <w:sz w:val="16"/>
                <w:szCs w:val="16"/>
                <w:lang w:eastAsia="en-US"/>
              </w:rPr>
              <w:t xml:space="preserve"> - </w:t>
            </w:r>
          </w:p>
        </w:tc>
        <w:tc>
          <w:tcPr>
            <w:tcW w:w="972" w:type="dxa"/>
            <w:tcBorders>
              <w:top w:val="nil"/>
              <w:left w:val="nil"/>
              <w:bottom w:val="single" w:sz="4" w:space="0" w:color="auto"/>
              <w:right w:val="single" w:sz="4" w:space="0" w:color="auto"/>
            </w:tcBorders>
            <w:shd w:val="clear" w:color="auto" w:fill="FFFFFF"/>
            <w:noWrap/>
            <w:vAlign w:val="bottom"/>
            <w:hideMark/>
          </w:tcPr>
          <w:p w:rsidR="005727C2" w:rsidRDefault="005727C2">
            <w:pPr>
              <w:rPr>
                <w:rFonts w:eastAsia="Times New Roman"/>
                <w:sz w:val="16"/>
                <w:szCs w:val="16"/>
                <w:lang w:eastAsia="en-US"/>
              </w:rPr>
            </w:pPr>
            <w:r>
              <w:rPr>
                <w:rFonts w:eastAsia="Times New Roman"/>
                <w:sz w:val="16"/>
                <w:szCs w:val="16"/>
                <w:lang w:eastAsia="en-US"/>
              </w:rPr>
              <w:t> </w:t>
            </w:r>
          </w:p>
        </w:tc>
        <w:tc>
          <w:tcPr>
            <w:tcW w:w="1186" w:type="dxa"/>
            <w:tcBorders>
              <w:top w:val="nil"/>
              <w:left w:val="nil"/>
              <w:bottom w:val="single" w:sz="4" w:space="0" w:color="auto"/>
              <w:right w:val="single" w:sz="4" w:space="0" w:color="auto"/>
            </w:tcBorders>
            <w:shd w:val="clear" w:color="auto" w:fill="FFFFFF"/>
            <w:noWrap/>
            <w:vAlign w:val="center"/>
            <w:hideMark/>
          </w:tcPr>
          <w:p w:rsidR="005727C2" w:rsidRDefault="005727C2">
            <w:pPr>
              <w:jc w:val="center"/>
              <w:rPr>
                <w:rFonts w:eastAsia="Times New Roman"/>
                <w:sz w:val="16"/>
                <w:szCs w:val="16"/>
                <w:lang w:eastAsia="en-US"/>
              </w:rPr>
            </w:pPr>
            <w:r>
              <w:rPr>
                <w:rFonts w:eastAsia="Times New Roman"/>
                <w:sz w:val="16"/>
                <w:szCs w:val="16"/>
                <w:lang w:eastAsia="en-US"/>
              </w:rPr>
              <w:t xml:space="preserve"> - </w:t>
            </w:r>
          </w:p>
        </w:tc>
        <w:tc>
          <w:tcPr>
            <w:tcW w:w="865" w:type="dxa"/>
            <w:tcBorders>
              <w:top w:val="nil"/>
              <w:left w:val="nil"/>
              <w:bottom w:val="single" w:sz="4" w:space="0" w:color="auto"/>
              <w:right w:val="single" w:sz="4" w:space="0" w:color="auto"/>
            </w:tcBorders>
            <w:shd w:val="clear" w:color="auto" w:fill="FFFFFF"/>
            <w:noWrap/>
            <w:vAlign w:val="center"/>
            <w:hideMark/>
          </w:tcPr>
          <w:p w:rsidR="005727C2" w:rsidRDefault="005727C2">
            <w:pPr>
              <w:jc w:val="center"/>
              <w:rPr>
                <w:rFonts w:eastAsia="Times New Roman"/>
                <w:sz w:val="16"/>
                <w:szCs w:val="16"/>
                <w:lang w:eastAsia="en-US"/>
              </w:rPr>
            </w:pPr>
            <w:r>
              <w:rPr>
                <w:rFonts w:eastAsia="Times New Roman"/>
                <w:sz w:val="16"/>
                <w:szCs w:val="16"/>
                <w:lang w:eastAsia="en-US"/>
              </w:rPr>
              <w:t>18,52%</w:t>
            </w:r>
          </w:p>
        </w:tc>
        <w:tc>
          <w:tcPr>
            <w:tcW w:w="684" w:type="dxa"/>
            <w:tcBorders>
              <w:top w:val="nil"/>
              <w:left w:val="nil"/>
              <w:bottom w:val="single" w:sz="4" w:space="0" w:color="auto"/>
              <w:right w:val="single" w:sz="4" w:space="0" w:color="auto"/>
            </w:tcBorders>
            <w:shd w:val="clear" w:color="auto" w:fill="FFFFFF"/>
            <w:noWrap/>
            <w:vAlign w:val="center"/>
            <w:hideMark/>
          </w:tcPr>
          <w:p w:rsidR="005727C2" w:rsidRDefault="005727C2">
            <w:pPr>
              <w:jc w:val="center"/>
              <w:rPr>
                <w:rFonts w:eastAsia="Times New Roman"/>
                <w:sz w:val="16"/>
                <w:szCs w:val="16"/>
                <w:lang w:eastAsia="en-US"/>
              </w:rPr>
            </w:pPr>
            <w:r>
              <w:rPr>
                <w:rFonts w:eastAsia="Times New Roman"/>
                <w:sz w:val="16"/>
                <w:szCs w:val="16"/>
                <w:lang w:eastAsia="en-US"/>
              </w:rPr>
              <w:t xml:space="preserve"> - </w:t>
            </w:r>
          </w:p>
        </w:tc>
        <w:tc>
          <w:tcPr>
            <w:tcW w:w="957" w:type="dxa"/>
            <w:tcBorders>
              <w:top w:val="nil"/>
              <w:left w:val="nil"/>
              <w:bottom w:val="single" w:sz="4" w:space="0" w:color="auto"/>
              <w:right w:val="single" w:sz="4" w:space="0" w:color="auto"/>
            </w:tcBorders>
            <w:shd w:val="clear" w:color="auto" w:fill="FFFFFF"/>
            <w:noWrap/>
            <w:vAlign w:val="bottom"/>
            <w:hideMark/>
          </w:tcPr>
          <w:p w:rsidR="005727C2" w:rsidRDefault="005727C2">
            <w:pPr>
              <w:rPr>
                <w:rFonts w:eastAsia="Times New Roman"/>
                <w:color w:val="000000"/>
                <w:sz w:val="16"/>
                <w:szCs w:val="16"/>
                <w:lang w:eastAsia="en-US"/>
              </w:rPr>
            </w:pPr>
            <w:r>
              <w:rPr>
                <w:rFonts w:eastAsia="Times New Roman"/>
                <w:color w:val="000000"/>
                <w:sz w:val="16"/>
                <w:szCs w:val="16"/>
                <w:lang w:eastAsia="en-US"/>
              </w:rPr>
              <w:t> </w:t>
            </w:r>
          </w:p>
        </w:tc>
      </w:tr>
      <w:tr w:rsidR="005727C2" w:rsidTr="005727C2">
        <w:trPr>
          <w:trHeight w:val="20"/>
        </w:trPr>
        <w:tc>
          <w:tcPr>
            <w:tcW w:w="865" w:type="dxa"/>
            <w:tcBorders>
              <w:top w:val="nil"/>
              <w:left w:val="single" w:sz="4" w:space="0" w:color="auto"/>
              <w:bottom w:val="single" w:sz="4" w:space="0" w:color="auto"/>
              <w:right w:val="single" w:sz="4" w:space="0" w:color="auto"/>
            </w:tcBorders>
            <w:vAlign w:val="center"/>
            <w:hideMark/>
          </w:tcPr>
          <w:p w:rsidR="005727C2" w:rsidRDefault="005727C2">
            <w:pPr>
              <w:jc w:val="center"/>
              <w:rPr>
                <w:rFonts w:eastAsia="Times New Roman"/>
                <w:sz w:val="16"/>
                <w:szCs w:val="16"/>
                <w:lang w:eastAsia="en-US"/>
              </w:rPr>
            </w:pPr>
            <w:r>
              <w:rPr>
                <w:rFonts w:eastAsia="Times New Roman"/>
                <w:sz w:val="16"/>
                <w:szCs w:val="16"/>
                <w:lang w:eastAsia="en-US"/>
              </w:rPr>
              <w:t>В.3.1.11.1</w:t>
            </w:r>
          </w:p>
        </w:tc>
        <w:tc>
          <w:tcPr>
            <w:tcW w:w="1435" w:type="dxa"/>
            <w:tcBorders>
              <w:top w:val="nil"/>
              <w:left w:val="nil"/>
              <w:bottom w:val="single" w:sz="4" w:space="0" w:color="auto"/>
              <w:right w:val="single" w:sz="4" w:space="0" w:color="auto"/>
            </w:tcBorders>
            <w:shd w:val="clear" w:color="auto" w:fill="FFFFFF"/>
            <w:vAlign w:val="center"/>
            <w:hideMark/>
          </w:tcPr>
          <w:p w:rsidR="005727C2" w:rsidRDefault="005727C2">
            <w:pPr>
              <w:rPr>
                <w:rFonts w:eastAsia="Times New Roman"/>
                <w:sz w:val="16"/>
                <w:szCs w:val="16"/>
                <w:lang w:eastAsia="en-US"/>
              </w:rPr>
            </w:pPr>
            <w:r>
              <w:rPr>
                <w:rFonts w:eastAsia="Times New Roman"/>
                <w:sz w:val="16"/>
                <w:szCs w:val="16"/>
                <w:lang w:eastAsia="en-US"/>
              </w:rPr>
              <w:t>в том числе - в связи с прекращением осуществления проверяемой сферы деятельности</w:t>
            </w:r>
          </w:p>
        </w:tc>
        <w:tc>
          <w:tcPr>
            <w:tcW w:w="1575" w:type="dxa"/>
            <w:tcBorders>
              <w:top w:val="nil"/>
              <w:left w:val="nil"/>
              <w:bottom w:val="single" w:sz="4" w:space="0" w:color="auto"/>
              <w:right w:val="single" w:sz="4" w:space="0" w:color="auto"/>
            </w:tcBorders>
            <w:shd w:val="clear" w:color="auto" w:fill="FFFFFF"/>
            <w:vAlign w:val="center"/>
            <w:hideMark/>
          </w:tcPr>
          <w:p w:rsidR="005727C2" w:rsidRDefault="005727C2">
            <w:pPr>
              <w:rPr>
                <w:rFonts w:eastAsia="Times New Roman"/>
                <w:sz w:val="16"/>
                <w:szCs w:val="16"/>
                <w:lang w:eastAsia="en-US"/>
              </w:rPr>
            </w:pPr>
            <w:r>
              <w:rPr>
                <w:rFonts w:eastAsia="Times New Roman"/>
                <w:sz w:val="16"/>
                <w:szCs w:val="16"/>
                <w:lang w:eastAsia="en-US"/>
              </w:rPr>
              <w:t> </w:t>
            </w:r>
          </w:p>
        </w:tc>
        <w:tc>
          <w:tcPr>
            <w:tcW w:w="939" w:type="dxa"/>
            <w:tcBorders>
              <w:top w:val="nil"/>
              <w:left w:val="nil"/>
              <w:bottom w:val="single" w:sz="4" w:space="0" w:color="auto"/>
              <w:right w:val="single" w:sz="4" w:space="0" w:color="auto"/>
            </w:tcBorders>
            <w:shd w:val="clear" w:color="auto" w:fill="FFFFFF"/>
            <w:noWrap/>
            <w:vAlign w:val="center"/>
            <w:hideMark/>
          </w:tcPr>
          <w:p w:rsidR="005727C2" w:rsidRDefault="005727C2">
            <w:pPr>
              <w:jc w:val="center"/>
              <w:rPr>
                <w:rFonts w:eastAsia="Times New Roman"/>
                <w:sz w:val="16"/>
                <w:szCs w:val="16"/>
                <w:lang w:eastAsia="en-US"/>
              </w:rPr>
            </w:pPr>
            <w:r>
              <w:rPr>
                <w:rFonts w:eastAsia="Times New Roman"/>
                <w:sz w:val="16"/>
                <w:szCs w:val="16"/>
                <w:lang w:eastAsia="en-US"/>
              </w:rPr>
              <w:t xml:space="preserve"> - </w:t>
            </w:r>
          </w:p>
        </w:tc>
        <w:tc>
          <w:tcPr>
            <w:tcW w:w="972" w:type="dxa"/>
            <w:tcBorders>
              <w:top w:val="nil"/>
              <w:left w:val="nil"/>
              <w:bottom w:val="single" w:sz="4" w:space="0" w:color="auto"/>
              <w:right w:val="single" w:sz="4" w:space="0" w:color="auto"/>
            </w:tcBorders>
            <w:shd w:val="clear" w:color="auto" w:fill="FFFFFF"/>
            <w:noWrap/>
            <w:vAlign w:val="bottom"/>
            <w:hideMark/>
          </w:tcPr>
          <w:p w:rsidR="005727C2" w:rsidRDefault="005727C2">
            <w:pPr>
              <w:rPr>
                <w:rFonts w:eastAsia="Times New Roman"/>
                <w:sz w:val="16"/>
                <w:szCs w:val="16"/>
                <w:lang w:eastAsia="en-US"/>
              </w:rPr>
            </w:pPr>
            <w:r>
              <w:rPr>
                <w:rFonts w:eastAsia="Times New Roman"/>
                <w:sz w:val="16"/>
                <w:szCs w:val="16"/>
                <w:lang w:eastAsia="en-US"/>
              </w:rPr>
              <w:t> </w:t>
            </w:r>
          </w:p>
        </w:tc>
        <w:tc>
          <w:tcPr>
            <w:tcW w:w="1186" w:type="dxa"/>
            <w:tcBorders>
              <w:top w:val="nil"/>
              <w:left w:val="nil"/>
              <w:bottom w:val="single" w:sz="4" w:space="0" w:color="auto"/>
              <w:right w:val="single" w:sz="4" w:space="0" w:color="auto"/>
            </w:tcBorders>
            <w:shd w:val="clear" w:color="auto" w:fill="FFFFFF"/>
            <w:noWrap/>
            <w:vAlign w:val="center"/>
            <w:hideMark/>
          </w:tcPr>
          <w:p w:rsidR="005727C2" w:rsidRDefault="005727C2">
            <w:pPr>
              <w:jc w:val="center"/>
              <w:rPr>
                <w:rFonts w:eastAsia="Times New Roman"/>
                <w:sz w:val="16"/>
                <w:szCs w:val="16"/>
                <w:lang w:eastAsia="en-US"/>
              </w:rPr>
            </w:pPr>
            <w:r>
              <w:rPr>
                <w:rFonts w:eastAsia="Times New Roman"/>
                <w:sz w:val="16"/>
                <w:szCs w:val="16"/>
                <w:lang w:eastAsia="en-US"/>
              </w:rPr>
              <w:t xml:space="preserve"> - </w:t>
            </w:r>
          </w:p>
        </w:tc>
        <w:tc>
          <w:tcPr>
            <w:tcW w:w="865" w:type="dxa"/>
            <w:tcBorders>
              <w:top w:val="nil"/>
              <w:left w:val="nil"/>
              <w:bottom w:val="single" w:sz="4" w:space="0" w:color="auto"/>
              <w:right w:val="single" w:sz="4" w:space="0" w:color="auto"/>
            </w:tcBorders>
            <w:shd w:val="clear" w:color="auto" w:fill="FFFFFF"/>
            <w:noWrap/>
            <w:vAlign w:val="center"/>
            <w:hideMark/>
          </w:tcPr>
          <w:p w:rsidR="005727C2" w:rsidRDefault="005727C2">
            <w:pPr>
              <w:jc w:val="center"/>
              <w:rPr>
                <w:rFonts w:eastAsia="Times New Roman"/>
                <w:sz w:val="16"/>
                <w:szCs w:val="16"/>
                <w:lang w:eastAsia="en-US"/>
              </w:rPr>
            </w:pPr>
            <w:r>
              <w:rPr>
                <w:rFonts w:eastAsia="Times New Roman"/>
                <w:sz w:val="16"/>
                <w:szCs w:val="16"/>
                <w:lang w:eastAsia="en-US"/>
              </w:rPr>
              <w:t>18,52%</w:t>
            </w:r>
          </w:p>
        </w:tc>
        <w:tc>
          <w:tcPr>
            <w:tcW w:w="684" w:type="dxa"/>
            <w:tcBorders>
              <w:top w:val="nil"/>
              <w:left w:val="nil"/>
              <w:bottom w:val="single" w:sz="4" w:space="0" w:color="auto"/>
              <w:right w:val="single" w:sz="4" w:space="0" w:color="auto"/>
            </w:tcBorders>
            <w:shd w:val="clear" w:color="auto" w:fill="FFFFFF"/>
            <w:noWrap/>
            <w:vAlign w:val="center"/>
            <w:hideMark/>
          </w:tcPr>
          <w:p w:rsidR="005727C2" w:rsidRDefault="005727C2">
            <w:pPr>
              <w:jc w:val="center"/>
              <w:rPr>
                <w:rFonts w:eastAsia="Times New Roman"/>
                <w:sz w:val="16"/>
                <w:szCs w:val="16"/>
                <w:lang w:eastAsia="en-US"/>
              </w:rPr>
            </w:pPr>
            <w:r>
              <w:rPr>
                <w:rFonts w:eastAsia="Times New Roman"/>
                <w:sz w:val="16"/>
                <w:szCs w:val="16"/>
                <w:lang w:eastAsia="en-US"/>
              </w:rPr>
              <w:t xml:space="preserve"> - </w:t>
            </w:r>
          </w:p>
        </w:tc>
        <w:tc>
          <w:tcPr>
            <w:tcW w:w="957" w:type="dxa"/>
            <w:tcBorders>
              <w:top w:val="nil"/>
              <w:left w:val="nil"/>
              <w:bottom w:val="single" w:sz="4" w:space="0" w:color="auto"/>
              <w:right w:val="single" w:sz="4" w:space="0" w:color="auto"/>
            </w:tcBorders>
            <w:shd w:val="clear" w:color="auto" w:fill="FFFFFF"/>
            <w:vAlign w:val="center"/>
            <w:hideMark/>
          </w:tcPr>
          <w:p w:rsidR="005727C2" w:rsidRDefault="005727C2">
            <w:pPr>
              <w:rPr>
                <w:rFonts w:eastAsia="Times New Roman"/>
                <w:sz w:val="16"/>
                <w:szCs w:val="16"/>
                <w:lang w:eastAsia="en-US"/>
              </w:rPr>
            </w:pPr>
            <w:r>
              <w:rPr>
                <w:rFonts w:eastAsia="Times New Roman"/>
                <w:sz w:val="16"/>
                <w:szCs w:val="16"/>
                <w:lang w:eastAsia="en-US"/>
              </w:rPr>
              <w:t> </w:t>
            </w:r>
          </w:p>
        </w:tc>
      </w:tr>
      <w:tr w:rsidR="005727C2" w:rsidTr="005727C2">
        <w:trPr>
          <w:trHeight w:val="20"/>
        </w:trPr>
        <w:tc>
          <w:tcPr>
            <w:tcW w:w="865" w:type="dxa"/>
            <w:tcBorders>
              <w:top w:val="nil"/>
              <w:left w:val="single" w:sz="4" w:space="0" w:color="auto"/>
              <w:bottom w:val="single" w:sz="4" w:space="0" w:color="auto"/>
              <w:right w:val="single" w:sz="4" w:space="0" w:color="auto"/>
            </w:tcBorders>
            <w:vAlign w:val="center"/>
            <w:hideMark/>
          </w:tcPr>
          <w:p w:rsidR="005727C2" w:rsidRDefault="005727C2">
            <w:pPr>
              <w:jc w:val="center"/>
              <w:rPr>
                <w:rFonts w:eastAsia="Times New Roman"/>
                <w:sz w:val="16"/>
                <w:szCs w:val="16"/>
                <w:lang w:eastAsia="en-US"/>
              </w:rPr>
            </w:pPr>
            <w:r>
              <w:rPr>
                <w:rFonts w:eastAsia="Times New Roman"/>
                <w:sz w:val="16"/>
                <w:szCs w:val="16"/>
                <w:lang w:eastAsia="en-US"/>
              </w:rPr>
              <w:lastRenderedPageBreak/>
              <w:t>В.3.1.11.2</w:t>
            </w:r>
          </w:p>
        </w:tc>
        <w:tc>
          <w:tcPr>
            <w:tcW w:w="1435" w:type="dxa"/>
            <w:tcBorders>
              <w:top w:val="nil"/>
              <w:left w:val="nil"/>
              <w:bottom w:val="single" w:sz="4" w:space="0" w:color="auto"/>
              <w:right w:val="single" w:sz="4" w:space="0" w:color="auto"/>
            </w:tcBorders>
            <w:shd w:val="clear" w:color="auto" w:fill="FFFFFF"/>
            <w:vAlign w:val="center"/>
            <w:hideMark/>
          </w:tcPr>
          <w:p w:rsidR="005727C2" w:rsidRDefault="005727C2">
            <w:pPr>
              <w:rPr>
                <w:rFonts w:eastAsia="Times New Roman"/>
                <w:sz w:val="16"/>
                <w:szCs w:val="16"/>
                <w:lang w:eastAsia="en-US"/>
              </w:rPr>
            </w:pPr>
            <w:r>
              <w:rPr>
                <w:rFonts w:eastAsia="Times New Roman"/>
                <w:sz w:val="16"/>
                <w:szCs w:val="16"/>
                <w:lang w:eastAsia="en-US"/>
              </w:rPr>
              <w:t>в том числе - в связи с изменением статуса проверяемого лица</w:t>
            </w:r>
          </w:p>
        </w:tc>
        <w:tc>
          <w:tcPr>
            <w:tcW w:w="1575" w:type="dxa"/>
            <w:tcBorders>
              <w:top w:val="nil"/>
              <w:left w:val="nil"/>
              <w:bottom w:val="single" w:sz="4" w:space="0" w:color="auto"/>
              <w:right w:val="single" w:sz="4" w:space="0" w:color="auto"/>
            </w:tcBorders>
            <w:shd w:val="clear" w:color="auto" w:fill="FFFFFF"/>
            <w:vAlign w:val="center"/>
            <w:hideMark/>
          </w:tcPr>
          <w:p w:rsidR="005727C2" w:rsidRDefault="005727C2">
            <w:pPr>
              <w:rPr>
                <w:rFonts w:eastAsia="Times New Roman"/>
                <w:sz w:val="16"/>
                <w:szCs w:val="16"/>
                <w:lang w:eastAsia="en-US"/>
              </w:rPr>
            </w:pPr>
            <w:r>
              <w:rPr>
                <w:rFonts w:eastAsia="Times New Roman"/>
                <w:sz w:val="16"/>
                <w:szCs w:val="16"/>
                <w:lang w:eastAsia="en-US"/>
              </w:rPr>
              <w:t> </w:t>
            </w:r>
          </w:p>
        </w:tc>
        <w:tc>
          <w:tcPr>
            <w:tcW w:w="939" w:type="dxa"/>
            <w:tcBorders>
              <w:top w:val="nil"/>
              <w:left w:val="nil"/>
              <w:bottom w:val="single" w:sz="4" w:space="0" w:color="auto"/>
              <w:right w:val="single" w:sz="4" w:space="0" w:color="auto"/>
            </w:tcBorders>
            <w:shd w:val="clear" w:color="auto" w:fill="FFFFFF"/>
            <w:noWrap/>
            <w:vAlign w:val="center"/>
            <w:hideMark/>
          </w:tcPr>
          <w:p w:rsidR="005727C2" w:rsidRDefault="005727C2">
            <w:pPr>
              <w:jc w:val="center"/>
              <w:rPr>
                <w:rFonts w:eastAsia="Times New Roman"/>
                <w:sz w:val="16"/>
                <w:szCs w:val="16"/>
                <w:lang w:eastAsia="en-US"/>
              </w:rPr>
            </w:pPr>
            <w:r>
              <w:rPr>
                <w:rFonts w:eastAsia="Times New Roman"/>
                <w:sz w:val="16"/>
                <w:szCs w:val="16"/>
                <w:lang w:eastAsia="en-US"/>
              </w:rPr>
              <w:t xml:space="preserve"> - </w:t>
            </w:r>
          </w:p>
        </w:tc>
        <w:tc>
          <w:tcPr>
            <w:tcW w:w="972" w:type="dxa"/>
            <w:tcBorders>
              <w:top w:val="nil"/>
              <w:left w:val="nil"/>
              <w:bottom w:val="single" w:sz="4" w:space="0" w:color="auto"/>
              <w:right w:val="single" w:sz="4" w:space="0" w:color="auto"/>
            </w:tcBorders>
            <w:shd w:val="clear" w:color="auto" w:fill="FFFFFF"/>
            <w:noWrap/>
            <w:vAlign w:val="bottom"/>
            <w:hideMark/>
          </w:tcPr>
          <w:p w:rsidR="005727C2" w:rsidRDefault="005727C2">
            <w:pPr>
              <w:rPr>
                <w:rFonts w:eastAsia="Times New Roman"/>
                <w:sz w:val="16"/>
                <w:szCs w:val="16"/>
                <w:lang w:eastAsia="en-US"/>
              </w:rPr>
            </w:pPr>
            <w:r>
              <w:rPr>
                <w:rFonts w:eastAsia="Times New Roman"/>
                <w:sz w:val="16"/>
                <w:szCs w:val="16"/>
                <w:lang w:eastAsia="en-US"/>
              </w:rPr>
              <w:t> </w:t>
            </w:r>
          </w:p>
        </w:tc>
        <w:tc>
          <w:tcPr>
            <w:tcW w:w="1186" w:type="dxa"/>
            <w:tcBorders>
              <w:top w:val="nil"/>
              <w:left w:val="nil"/>
              <w:bottom w:val="single" w:sz="4" w:space="0" w:color="auto"/>
              <w:right w:val="single" w:sz="4" w:space="0" w:color="auto"/>
            </w:tcBorders>
            <w:shd w:val="clear" w:color="auto" w:fill="FFFFFF"/>
            <w:noWrap/>
            <w:vAlign w:val="center"/>
            <w:hideMark/>
          </w:tcPr>
          <w:p w:rsidR="005727C2" w:rsidRDefault="005727C2">
            <w:pPr>
              <w:jc w:val="center"/>
              <w:rPr>
                <w:rFonts w:eastAsia="Times New Roman"/>
                <w:sz w:val="16"/>
                <w:szCs w:val="16"/>
                <w:lang w:eastAsia="en-US"/>
              </w:rPr>
            </w:pPr>
            <w:r>
              <w:rPr>
                <w:rFonts w:eastAsia="Times New Roman"/>
                <w:sz w:val="16"/>
                <w:szCs w:val="16"/>
                <w:lang w:eastAsia="en-US"/>
              </w:rPr>
              <w:t xml:space="preserve"> - </w:t>
            </w:r>
          </w:p>
        </w:tc>
        <w:tc>
          <w:tcPr>
            <w:tcW w:w="865" w:type="dxa"/>
            <w:tcBorders>
              <w:top w:val="nil"/>
              <w:left w:val="nil"/>
              <w:bottom w:val="single" w:sz="4" w:space="0" w:color="auto"/>
              <w:right w:val="single" w:sz="4" w:space="0" w:color="auto"/>
            </w:tcBorders>
            <w:shd w:val="clear" w:color="auto" w:fill="FFFFFF"/>
            <w:noWrap/>
            <w:vAlign w:val="center"/>
            <w:hideMark/>
          </w:tcPr>
          <w:p w:rsidR="005727C2" w:rsidRDefault="005727C2">
            <w:pPr>
              <w:jc w:val="center"/>
              <w:rPr>
                <w:rFonts w:eastAsia="Times New Roman"/>
                <w:sz w:val="16"/>
                <w:szCs w:val="16"/>
                <w:lang w:eastAsia="en-US"/>
              </w:rPr>
            </w:pPr>
            <w:r>
              <w:rPr>
                <w:rFonts w:eastAsia="Times New Roman"/>
                <w:sz w:val="16"/>
                <w:szCs w:val="16"/>
                <w:lang w:eastAsia="en-US"/>
              </w:rPr>
              <w:t>7,14%</w:t>
            </w:r>
          </w:p>
        </w:tc>
        <w:tc>
          <w:tcPr>
            <w:tcW w:w="684" w:type="dxa"/>
            <w:tcBorders>
              <w:top w:val="nil"/>
              <w:left w:val="nil"/>
              <w:bottom w:val="single" w:sz="4" w:space="0" w:color="auto"/>
              <w:right w:val="single" w:sz="4" w:space="0" w:color="auto"/>
            </w:tcBorders>
            <w:shd w:val="clear" w:color="auto" w:fill="FFFFFF"/>
            <w:noWrap/>
            <w:vAlign w:val="center"/>
            <w:hideMark/>
          </w:tcPr>
          <w:p w:rsidR="005727C2" w:rsidRDefault="005727C2">
            <w:pPr>
              <w:jc w:val="center"/>
              <w:rPr>
                <w:rFonts w:eastAsia="Times New Roman"/>
                <w:sz w:val="16"/>
                <w:szCs w:val="16"/>
                <w:lang w:eastAsia="en-US"/>
              </w:rPr>
            </w:pPr>
            <w:r>
              <w:rPr>
                <w:rFonts w:eastAsia="Times New Roman"/>
                <w:sz w:val="16"/>
                <w:szCs w:val="16"/>
                <w:lang w:eastAsia="en-US"/>
              </w:rPr>
              <w:t xml:space="preserve"> - </w:t>
            </w:r>
          </w:p>
        </w:tc>
        <w:tc>
          <w:tcPr>
            <w:tcW w:w="957" w:type="dxa"/>
            <w:tcBorders>
              <w:top w:val="nil"/>
              <w:left w:val="nil"/>
              <w:bottom w:val="single" w:sz="4" w:space="0" w:color="auto"/>
              <w:right w:val="single" w:sz="4" w:space="0" w:color="auto"/>
            </w:tcBorders>
            <w:shd w:val="clear" w:color="auto" w:fill="FFFFFF"/>
            <w:vAlign w:val="center"/>
            <w:hideMark/>
          </w:tcPr>
          <w:p w:rsidR="005727C2" w:rsidRDefault="005727C2">
            <w:pPr>
              <w:rPr>
                <w:rFonts w:eastAsia="Times New Roman"/>
                <w:sz w:val="16"/>
                <w:szCs w:val="16"/>
                <w:lang w:eastAsia="en-US"/>
              </w:rPr>
            </w:pPr>
            <w:r>
              <w:rPr>
                <w:rFonts w:eastAsia="Times New Roman"/>
                <w:sz w:val="16"/>
                <w:szCs w:val="16"/>
                <w:lang w:eastAsia="en-US"/>
              </w:rPr>
              <w:t> </w:t>
            </w:r>
          </w:p>
        </w:tc>
      </w:tr>
      <w:tr w:rsidR="005727C2" w:rsidTr="005727C2">
        <w:trPr>
          <w:trHeight w:val="20"/>
        </w:trPr>
        <w:tc>
          <w:tcPr>
            <w:tcW w:w="865" w:type="dxa"/>
            <w:tcBorders>
              <w:top w:val="nil"/>
              <w:left w:val="single" w:sz="4" w:space="0" w:color="auto"/>
              <w:bottom w:val="single" w:sz="4" w:space="0" w:color="auto"/>
              <w:right w:val="single" w:sz="4" w:space="0" w:color="auto"/>
            </w:tcBorders>
            <w:vAlign w:val="center"/>
            <w:hideMark/>
          </w:tcPr>
          <w:p w:rsidR="005727C2" w:rsidRDefault="005727C2">
            <w:pPr>
              <w:jc w:val="center"/>
              <w:rPr>
                <w:rFonts w:eastAsia="Times New Roman"/>
                <w:sz w:val="16"/>
                <w:szCs w:val="16"/>
                <w:lang w:eastAsia="en-US"/>
              </w:rPr>
            </w:pPr>
            <w:r>
              <w:rPr>
                <w:rFonts w:eastAsia="Times New Roman"/>
                <w:sz w:val="16"/>
                <w:szCs w:val="16"/>
                <w:lang w:eastAsia="en-US"/>
              </w:rPr>
              <w:t>В.3.1.12</w:t>
            </w:r>
          </w:p>
        </w:tc>
        <w:tc>
          <w:tcPr>
            <w:tcW w:w="1435" w:type="dxa"/>
            <w:tcBorders>
              <w:top w:val="nil"/>
              <w:left w:val="nil"/>
              <w:bottom w:val="single" w:sz="4" w:space="0" w:color="auto"/>
              <w:right w:val="single" w:sz="4" w:space="0" w:color="auto"/>
            </w:tcBorders>
            <w:shd w:val="clear" w:color="auto" w:fill="FFFFFF"/>
            <w:vAlign w:val="center"/>
            <w:hideMark/>
          </w:tcPr>
          <w:p w:rsidR="005727C2" w:rsidRDefault="005727C2">
            <w:pPr>
              <w:rPr>
                <w:rFonts w:eastAsia="Times New Roman"/>
                <w:sz w:val="16"/>
                <w:szCs w:val="16"/>
                <w:lang w:eastAsia="en-US"/>
              </w:rPr>
            </w:pPr>
            <w:r>
              <w:rPr>
                <w:rFonts w:eastAsia="Times New Roman"/>
                <w:sz w:val="16"/>
                <w:szCs w:val="16"/>
                <w:lang w:eastAsia="en-US"/>
              </w:rPr>
              <w:t>доля выявленных при проведении проверок правонарушений, связанных с неисполнением предписаний</w:t>
            </w:r>
          </w:p>
        </w:tc>
        <w:tc>
          <w:tcPr>
            <w:tcW w:w="1575" w:type="dxa"/>
            <w:tcBorders>
              <w:top w:val="nil"/>
              <w:left w:val="nil"/>
              <w:bottom w:val="single" w:sz="4" w:space="0" w:color="auto"/>
              <w:right w:val="single" w:sz="4" w:space="0" w:color="auto"/>
            </w:tcBorders>
            <w:shd w:val="clear" w:color="auto" w:fill="FFFFFF"/>
            <w:vAlign w:val="center"/>
            <w:hideMark/>
          </w:tcPr>
          <w:p w:rsidR="005727C2" w:rsidRDefault="005727C2">
            <w:pPr>
              <w:rPr>
                <w:rFonts w:eastAsia="Times New Roman"/>
                <w:sz w:val="16"/>
                <w:szCs w:val="16"/>
                <w:lang w:eastAsia="en-US"/>
              </w:rPr>
            </w:pPr>
            <w:r>
              <w:rPr>
                <w:rFonts w:eastAsia="Times New Roman"/>
                <w:sz w:val="16"/>
                <w:szCs w:val="16"/>
                <w:lang w:eastAsia="en-US"/>
              </w:rPr>
              <w:t>показатель устанавливается в процентах от общего числа выявленных правонарушений</w:t>
            </w:r>
          </w:p>
        </w:tc>
        <w:tc>
          <w:tcPr>
            <w:tcW w:w="939" w:type="dxa"/>
            <w:tcBorders>
              <w:top w:val="nil"/>
              <w:left w:val="nil"/>
              <w:bottom w:val="single" w:sz="4" w:space="0" w:color="auto"/>
              <w:right w:val="single" w:sz="4" w:space="0" w:color="auto"/>
            </w:tcBorders>
            <w:shd w:val="clear" w:color="auto" w:fill="FFFFFF"/>
            <w:noWrap/>
            <w:vAlign w:val="center"/>
            <w:hideMark/>
          </w:tcPr>
          <w:p w:rsidR="005727C2" w:rsidRDefault="005727C2">
            <w:pPr>
              <w:jc w:val="center"/>
              <w:rPr>
                <w:rFonts w:eastAsia="Times New Roman"/>
                <w:sz w:val="16"/>
                <w:szCs w:val="16"/>
                <w:lang w:eastAsia="en-US"/>
              </w:rPr>
            </w:pPr>
            <w:r>
              <w:rPr>
                <w:rFonts w:eastAsia="Times New Roman"/>
                <w:sz w:val="16"/>
                <w:szCs w:val="16"/>
                <w:lang w:eastAsia="en-US"/>
              </w:rPr>
              <w:t xml:space="preserve"> - </w:t>
            </w:r>
          </w:p>
        </w:tc>
        <w:tc>
          <w:tcPr>
            <w:tcW w:w="972" w:type="dxa"/>
            <w:tcBorders>
              <w:top w:val="nil"/>
              <w:left w:val="nil"/>
              <w:bottom w:val="single" w:sz="4" w:space="0" w:color="auto"/>
              <w:right w:val="single" w:sz="4" w:space="0" w:color="auto"/>
            </w:tcBorders>
            <w:shd w:val="clear" w:color="auto" w:fill="FFFFFF"/>
            <w:noWrap/>
            <w:vAlign w:val="bottom"/>
            <w:hideMark/>
          </w:tcPr>
          <w:p w:rsidR="005727C2" w:rsidRDefault="005727C2">
            <w:pPr>
              <w:rPr>
                <w:rFonts w:eastAsia="Times New Roman"/>
                <w:sz w:val="16"/>
                <w:szCs w:val="16"/>
                <w:lang w:eastAsia="en-US"/>
              </w:rPr>
            </w:pPr>
            <w:r>
              <w:rPr>
                <w:rFonts w:eastAsia="Times New Roman"/>
                <w:sz w:val="16"/>
                <w:szCs w:val="16"/>
                <w:lang w:eastAsia="en-US"/>
              </w:rPr>
              <w:t> </w:t>
            </w:r>
          </w:p>
        </w:tc>
        <w:tc>
          <w:tcPr>
            <w:tcW w:w="1186" w:type="dxa"/>
            <w:tcBorders>
              <w:top w:val="nil"/>
              <w:left w:val="nil"/>
              <w:bottom w:val="single" w:sz="4" w:space="0" w:color="auto"/>
              <w:right w:val="single" w:sz="4" w:space="0" w:color="auto"/>
            </w:tcBorders>
            <w:shd w:val="clear" w:color="auto" w:fill="FFFFFF"/>
            <w:noWrap/>
            <w:vAlign w:val="center"/>
            <w:hideMark/>
          </w:tcPr>
          <w:p w:rsidR="005727C2" w:rsidRDefault="005727C2">
            <w:pPr>
              <w:jc w:val="center"/>
              <w:rPr>
                <w:rFonts w:eastAsia="Times New Roman"/>
                <w:sz w:val="16"/>
                <w:szCs w:val="16"/>
                <w:lang w:eastAsia="en-US"/>
              </w:rPr>
            </w:pPr>
            <w:r>
              <w:rPr>
                <w:rFonts w:eastAsia="Times New Roman"/>
                <w:sz w:val="16"/>
                <w:szCs w:val="16"/>
                <w:lang w:eastAsia="en-US"/>
              </w:rPr>
              <w:t xml:space="preserve"> - </w:t>
            </w:r>
          </w:p>
        </w:tc>
        <w:tc>
          <w:tcPr>
            <w:tcW w:w="865" w:type="dxa"/>
            <w:tcBorders>
              <w:top w:val="nil"/>
              <w:left w:val="nil"/>
              <w:bottom w:val="single" w:sz="4" w:space="0" w:color="auto"/>
              <w:right w:val="single" w:sz="4" w:space="0" w:color="auto"/>
            </w:tcBorders>
            <w:shd w:val="clear" w:color="auto" w:fill="FFFFFF"/>
            <w:noWrap/>
            <w:vAlign w:val="center"/>
            <w:hideMark/>
          </w:tcPr>
          <w:p w:rsidR="005727C2" w:rsidRDefault="005727C2">
            <w:pPr>
              <w:jc w:val="center"/>
              <w:rPr>
                <w:rFonts w:eastAsia="Times New Roman"/>
                <w:sz w:val="16"/>
                <w:szCs w:val="16"/>
                <w:lang w:eastAsia="en-US"/>
              </w:rPr>
            </w:pPr>
            <w:r>
              <w:rPr>
                <w:rFonts w:eastAsia="Times New Roman"/>
                <w:sz w:val="16"/>
                <w:szCs w:val="16"/>
                <w:lang w:eastAsia="en-US"/>
              </w:rPr>
              <w:t>6,25%</w:t>
            </w:r>
          </w:p>
        </w:tc>
        <w:tc>
          <w:tcPr>
            <w:tcW w:w="684" w:type="dxa"/>
            <w:tcBorders>
              <w:top w:val="nil"/>
              <w:left w:val="nil"/>
              <w:bottom w:val="single" w:sz="4" w:space="0" w:color="auto"/>
              <w:right w:val="single" w:sz="4" w:space="0" w:color="auto"/>
            </w:tcBorders>
            <w:shd w:val="clear" w:color="auto" w:fill="FFFFFF"/>
            <w:noWrap/>
            <w:vAlign w:val="center"/>
            <w:hideMark/>
          </w:tcPr>
          <w:p w:rsidR="005727C2" w:rsidRDefault="005727C2">
            <w:pPr>
              <w:jc w:val="center"/>
              <w:rPr>
                <w:rFonts w:eastAsia="Times New Roman"/>
                <w:sz w:val="16"/>
                <w:szCs w:val="16"/>
                <w:lang w:eastAsia="en-US"/>
              </w:rPr>
            </w:pPr>
            <w:r>
              <w:rPr>
                <w:rFonts w:eastAsia="Times New Roman"/>
                <w:sz w:val="16"/>
                <w:szCs w:val="16"/>
                <w:lang w:eastAsia="en-US"/>
              </w:rPr>
              <w:t xml:space="preserve"> - </w:t>
            </w:r>
          </w:p>
        </w:tc>
        <w:tc>
          <w:tcPr>
            <w:tcW w:w="957" w:type="dxa"/>
            <w:tcBorders>
              <w:top w:val="nil"/>
              <w:left w:val="nil"/>
              <w:bottom w:val="single" w:sz="4" w:space="0" w:color="auto"/>
              <w:right w:val="single" w:sz="4" w:space="0" w:color="auto"/>
            </w:tcBorders>
            <w:shd w:val="clear" w:color="auto" w:fill="FFFFFF"/>
            <w:noWrap/>
            <w:vAlign w:val="bottom"/>
            <w:hideMark/>
          </w:tcPr>
          <w:p w:rsidR="005727C2" w:rsidRDefault="005727C2">
            <w:pPr>
              <w:rPr>
                <w:rFonts w:eastAsia="Times New Roman"/>
                <w:color w:val="000000"/>
                <w:sz w:val="16"/>
                <w:szCs w:val="16"/>
                <w:lang w:eastAsia="en-US"/>
              </w:rPr>
            </w:pPr>
            <w:r>
              <w:rPr>
                <w:rFonts w:eastAsia="Times New Roman"/>
                <w:color w:val="000000"/>
                <w:sz w:val="16"/>
                <w:szCs w:val="16"/>
                <w:lang w:eastAsia="en-US"/>
              </w:rPr>
              <w:t> </w:t>
            </w:r>
          </w:p>
        </w:tc>
      </w:tr>
      <w:tr w:rsidR="005727C2" w:rsidTr="005727C2">
        <w:trPr>
          <w:trHeight w:val="20"/>
        </w:trPr>
        <w:tc>
          <w:tcPr>
            <w:tcW w:w="865" w:type="dxa"/>
            <w:tcBorders>
              <w:top w:val="nil"/>
              <w:left w:val="single" w:sz="4" w:space="0" w:color="auto"/>
              <w:bottom w:val="single" w:sz="4" w:space="0" w:color="auto"/>
              <w:right w:val="single" w:sz="4" w:space="0" w:color="auto"/>
            </w:tcBorders>
            <w:vAlign w:val="center"/>
            <w:hideMark/>
          </w:tcPr>
          <w:p w:rsidR="005727C2" w:rsidRDefault="005727C2">
            <w:pPr>
              <w:jc w:val="center"/>
              <w:rPr>
                <w:rFonts w:eastAsia="Times New Roman"/>
                <w:sz w:val="16"/>
                <w:szCs w:val="16"/>
                <w:lang w:eastAsia="en-US"/>
              </w:rPr>
            </w:pPr>
            <w:r>
              <w:rPr>
                <w:rFonts w:eastAsia="Times New Roman"/>
                <w:sz w:val="16"/>
                <w:szCs w:val="16"/>
                <w:lang w:eastAsia="en-US"/>
              </w:rPr>
              <w:t>В.3.1.13</w:t>
            </w:r>
          </w:p>
        </w:tc>
        <w:tc>
          <w:tcPr>
            <w:tcW w:w="1435" w:type="dxa"/>
            <w:tcBorders>
              <w:top w:val="nil"/>
              <w:left w:val="nil"/>
              <w:bottom w:val="single" w:sz="4" w:space="0" w:color="auto"/>
              <w:right w:val="single" w:sz="4" w:space="0" w:color="auto"/>
            </w:tcBorders>
            <w:shd w:val="clear" w:color="auto" w:fill="FFFFFF"/>
            <w:vAlign w:val="center"/>
            <w:hideMark/>
          </w:tcPr>
          <w:p w:rsidR="005727C2" w:rsidRDefault="005727C2">
            <w:pPr>
              <w:rPr>
                <w:rFonts w:eastAsia="Times New Roman"/>
                <w:sz w:val="16"/>
                <w:szCs w:val="16"/>
                <w:lang w:eastAsia="en-US"/>
              </w:rPr>
            </w:pPr>
            <w:r>
              <w:rPr>
                <w:rFonts w:eastAsia="Times New Roman"/>
                <w:sz w:val="16"/>
                <w:szCs w:val="16"/>
                <w:lang w:eastAsia="en-US"/>
              </w:rPr>
              <w:t>доля проверок, по результатам которых материалы о выявленных нарушениях переданы в уполномоченные органы для возбуждения уголовных дел</w:t>
            </w:r>
          </w:p>
        </w:tc>
        <w:tc>
          <w:tcPr>
            <w:tcW w:w="1575" w:type="dxa"/>
            <w:tcBorders>
              <w:top w:val="nil"/>
              <w:left w:val="nil"/>
              <w:bottom w:val="single" w:sz="4" w:space="0" w:color="auto"/>
              <w:right w:val="single" w:sz="4" w:space="0" w:color="auto"/>
            </w:tcBorders>
            <w:shd w:val="clear" w:color="auto" w:fill="FFFFFF"/>
            <w:vAlign w:val="center"/>
            <w:hideMark/>
          </w:tcPr>
          <w:p w:rsidR="005727C2" w:rsidRDefault="005727C2">
            <w:pPr>
              <w:rPr>
                <w:rFonts w:eastAsia="Times New Roman"/>
                <w:sz w:val="16"/>
                <w:szCs w:val="16"/>
                <w:lang w:eastAsia="en-US"/>
              </w:rPr>
            </w:pPr>
            <w:r>
              <w:rPr>
                <w:rFonts w:eastAsia="Times New Roman"/>
                <w:sz w:val="16"/>
                <w:szCs w:val="16"/>
                <w:lang w:eastAsia="en-US"/>
              </w:rPr>
              <w:t>показатель устанавливается в процентах от общего количества проверок, в результате которых выявлены нарушения обязательных требований</w:t>
            </w:r>
          </w:p>
        </w:tc>
        <w:tc>
          <w:tcPr>
            <w:tcW w:w="939" w:type="dxa"/>
            <w:tcBorders>
              <w:top w:val="nil"/>
              <w:left w:val="nil"/>
              <w:bottom w:val="single" w:sz="4" w:space="0" w:color="auto"/>
              <w:right w:val="single" w:sz="4" w:space="0" w:color="auto"/>
            </w:tcBorders>
            <w:shd w:val="clear" w:color="auto" w:fill="FFFFFF"/>
            <w:noWrap/>
            <w:vAlign w:val="center"/>
            <w:hideMark/>
          </w:tcPr>
          <w:p w:rsidR="005727C2" w:rsidRDefault="005727C2">
            <w:pPr>
              <w:jc w:val="center"/>
              <w:rPr>
                <w:rFonts w:eastAsia="Times New Roman"/>
                <w:sz w:val="16"/>
                <w:szCs w:val="16"/>
                <w:lang w:eastAsia="en-US"/>
              </w:rPr>
            </w:pPr>
            <w:r>
              <w:rPr>
                <w:rFonts w:eastAsia="Times New Roman"/>
                <w:sz w:val="16"/>
                <w:szCs w:val="16"/>
                <w:lang w:eastAsia="en-US"/>
              </w:rPr>
              <w:t xml:space="preserve"> - </w:t>
            </w:r>
          </w:p>
        </w:tc>
        <w:tc>
          <w:tcPr>
            <w:tcW w:w="972" w:type="dxa"/>
            <w:tcBorders>
              <w:top w:val="nil"/>
              <w:left w:val="nil"/>
              <w:bottom w:val="single" w:sz="4" w:space="0" w:color="auto"/>
              <w:right w:val="single" w:sz="4" w:space="0" w:color="auto"/>
            </w:tcBorders>
            <w:shd w:val="clear" w:color="auto" w:fill="FFFFFF"/>
            <w:noWrap/>
            <w:vAlign w:val="bottom"/>
            <w:hideMark/>
          </w:tcPr>
          <w:p w:rsidR="005727C2" w:rsidRDefault="005727C2">
            <w:pPr>
              <w:rPr>
                <w:rFonts w:eastAsia="Times New Roman"/>
                <w:sz w:val="16"/>
                <w:szCs w:val="16"/>
                <w:lang w:eastAsia="en-US"/>
              </w:rPr>
            </w:pPr>
            <w:r>
              <w:rPr>
                <w:rFonts w:eastAsia="Times New Roman"/>
                <w:sz w:val="16"/>
                <w:szCs w:val="16"/>
                <w:lang w:eastAsia="en-US"/>
              </w:rPr>
              <w:t> </w:t>
            </w:r>
          </w:p>
        </w:tc>
        <w:tc>
          <w:tcPr>
            <w:tcW w:w="1186" w:type="dxa"/>
            <w:tcBorders>
              <w:top w:val="nil"/>
              <w:left w:val="nil"/>
              <w:bottom w:val="single" w:sz="4" w:space="0" w:color="auto"/>
              <w:right w:val="single" w:sz="4" w:space="0" w:color="auto"/>
            </w:tcBorders>
            <w:shd w:val="clear" w:color="auto" w:fill="FFFFFF"/>
            <w:noWrap/>
            <w:vAlign w:val="center"/>
            <w:hideMark/>
          </w:tcPr>
          <w:p w:rsidR="005727C2" w:rsidRDefault="005727C2">
            <w:pPr>
              <w:jc w:val="center"/>
              <w:rPr>
                <w:rFonts w:eastAsia="Times New Roman"/>
                <w:sz w:val="16"/>
                <w:szCs w:val="16"/>
                <w:lang w:eastAsia="en-US"/>
              </w:rPr>
            </w:pPr>
            <w:r>
              <w:rPr>
                <w:rFonts w:eastAsia="Times New Roman"/>
                <w:sz w:val="16"/>
                <w:szCs w:val="16"/>
                <w:lang w:eastAsia="en-US"/>
              </w:rPr>
              <w:t xml:space="preserve"> - </w:t>
            </w:r>
          </w:p>
        </w:tc>
        <w:tc>
          <w:tcPr>
            <w:tcW w:w="865" w:type="dxa"/>
            <w:tcBorders>
              <w:top w:val="nil"/>
              <w:left w:val="nil"/>
              <w:bottom w:val="single" w:sz="4" w:space="0" w:color="auto"/>
              <w:right w:val="single" w:sz="4" w:space="0" w:color="auto"/>
            </w:tcBorders>
            <w:shd w:val="clear" w:color="auto" w:fill="FFFFFF"/>
            <w:noWrap/>
            <w:vAlign w:val="center"/>
            <w:hideMark/>
          </w:tcPr>
          <w:p w:rsidR="005727C2" w:rsidRDefault="005727C2">
            <w:pPr>
              <w:jc w:val="center"/>
              <w:rPr>
                <w:rFonts w:eastAsia="Times New Roman"/>
                <w:sz w:val="16"/>
                <w:szCs w:val="16"/>
                <w:lang w:eastAsia="en-US"/>
              </w:rPr>
            </w:pPr>
            <w:r>
              <w:rPr>
                <w:rFonts w:eastAsia="Times New Roman"/>
                <w:sz w:val="16"/>
                <w:szCs w:val="16"/>
                <w:lang w:eastAsia="en-US"/>
              </w:rPr>
              <w:t>0</w:t>
            </w:r>
          </w:p>
        </w:tc>
        <w:tc>
          <w:tcPr>
            <w:tcW w:w="684" w:type="dxa"/>
            <w:tcBorders>
              <w:top w:val="nil"/>
              <w:left w:val="nil"/>
              <w:bottom w:val="single" w:sz="4" w:space="0" w:color="auto"/>
              <w:right w:val="single" w:sz="4" w:space="0" w:color="auto"/>
            </w:tcBorders>
            <w:shd w:val="clear" w:color="auto" w:fill="FFFFFF"/>
            <w:noWrap/>
            <w:vAlign w:val="center"/>
            <w:hideMark/>
          </w:tcPr>
          <w:p w:rsidR="005727C2" w:rsidRDefault="005727C2">
            <w:pPr>
              <w:jc w:val="center"/>
              <w:rPr>
                <w:rFonts w:eastAsia="Times New Roman"/>
                <w:sz w:val="16"/>
                <w:szCs w:val="16"/>
                <w:lang w:eastAsia="en-US"/>
              </w:rPr>
            </w:pPr>
            <w:r>
              <w:rPr>
                <w:rFonts w:eastAsia="Times New Roman"/>
                <w:sz w:val="16"/>
                <w:szCs w:val="16"/>
                <w:lang w:eastAsia="en-US"/>
              </w:rPr>
              <w:t xml:space="preserve"> - </w:t>
            </w:r>
          </w:p>
        </w:tc>
        <w:tc>
          <w:tcPr>
            <w:tcW w:w="957" w:type="dxa"/>
            <w:tcBorders>
              <w:top w:val="nil"/>
              <w:left w:val="nil"/>
              <w:bottom w:val="single" w:sz="4" w:space="0" w:color="auto"/>
              <w:right w:val="single" w:sz="4" w:space="0" w:color="auto"/>
            </w:tcBorders>
            <w:shd w:val="clear" w:color="auto" w:fill="FFFFFF"/>
            <w:noWrap/>
            <w:vAlign w:val="bottom"/>
            <w:hideMark/>
          </w:tcPr>
          <w:p w:rsidR="005727C2" w:rsidRDefault="005727C2">
            <w:pPr>
              <w:rPr>
                <w:rFonts w:eastAsia="Times New Roman"/>
                <w:color w:val="000000"/>
                <w:sz w:val="16"/>
                <w:szCs w:val="16"/>
                <w:lang w:eastAsia="en-US"/>
              </w:rPr>
            </w:pPr>
            <w:r>
              <w:rPr>
                <w:rFonts w:eastAsia="Times New Roman"/>
                <w:color w:val="000000"/>
                <w:sz w:val="16"/>
                <w:szCs w:val="16"/>
                <w:lang w:eastAsia="en-US"/>
              </w:rPr>
              <w:t> </w:t>
            </w:r>
          </w:p>
        </w:tc>
      </w:tr>
      <w:tr w:rsidR="005727C2" w:rsidTr="005727C2">
        <w:trPr>
          <w:trHeight w:val="20"/>
        </w:trPr>
        <w:tc>
          <w:tcPr>
            <w:tcW w:w="865" w:type="dxa"/>
            <w:tcBorders>
              <w:top w:val="nil"/>
              <w:left w:val="single" w:sz="4" w:space="0" w:color="auto"/>
              <w:bottom w:val="single" w:sz="4" w:space="0" w:color="auto"/>
              <w:right w:val="single" w:sz="4" w:space="0" w:color="auto"/>
            </w:tcBorders>
            <w:vAlign w:val="center"/>
            <w:hideMark/>
          </w:tcPr>
          <w:p w:rsidR="005727C2" w:rsidRDefault="005727C2">
            <w:pPr>
              <w:jc w:val="center"/>
              <w:rPr>
                <w:rFonts w:eastAsia="Times New Roman"/>
                <w:sz w:val="16"/>
                <w:szCs w:val="16"/>
                <w:lang w:eastAsia="en-US"/>
              </w:rPr>
            </w:pPr>
            <w:r>
              <w:rPr>
                <w:rFonts w:eastAsia="Times New Roman"/>
                <w:sz w:val="16"/>
                <w:szCs w:val="16"/>
                <w:lang w:eastAsia="en-US"/>
              </w:rPr>
              <w:t>В.3.1.14</w:t>
            </w:r>
          </w:p>
        </w:tc>
        <w:tc>
          <w:tcPr>
            <w:tcW w:w="1435" w:type="dxa"/>
            <w:tcBorders>
              <w:top w:val="nil"/>
              <w:left w:val="nil"/>
              <w:bottom w:val="single" w:sz="4" w:space="0" w:color="auto"/>
              <w:right w:val="single" w:sz="4" w:space="0" w:color="auto"/>
            </w:tcBorders>
            <w:shd w:val="clear" w:color="auto" w:fill="FFFFFF"/>
            <w:vAlign w:val="center"/>
            <w:hideMark/>
          </w:tcPr>
          <w:p w:rsidR="005727C2" w:rsidRDefault="005727C2">
            <w:pPr>
              <w:rPr>
                <w:rFonts w:eastAsia="Times New Roman"/>
                <w:sz w:val="16"/>
                <w:szCs w:val="16"/>
                <w:lang w:eastAsia="en-US"/>
              </w:rPr>
            </w:pPr>
            <w:r>
              <w:rPr>
                <w:rFonts w:eastAsia="Times New Roman"/>
                <w:sz w:val="16"/>
                <w:szCs w:val="16"/>
                <w:lang w:eastAsia="en-US"/>
              </w:rPr>
              <w:t>общая сумма наложенных по итогам проверок административных штрафов</w:t>
            </w:r>
          </w:p>
        </w:tc>
        <w:tc>
          <w:tcPr>
            <w:tcW w:w="1575" w:type="dxa"/>
            <w:tcBorders>
              <w:top w:val="nil"/>
              <w:left w:val="nil"/>
              <w:bottom w:val="single" w:sz="4" w:space="0" w:color="auto"/>
              <w:right w:val="single" w:sz="4" w:space="0" w:color="auto"/>
            </w:tcBorders>
            <w:shd w:val="clear" w:color="auto" w:fill="FFFFFF"/>
            <w:vAlign w:val="center"/>
            <w:hideMark/>
          </w:tcPr>
          <w:p w:rsidR="005727C2" w:rsidRDefault="005727C2">
            <w:pPr>
              <w:rPr>
                <w:rFonts w:eastAsia="Times New Roman"/>
                <w:sz w:val="16"/>
                <w:szCs w:val="16"/>
                <w:lang w:eastAsia="en-US"/>
              </w:rPr>
            </w:pPr>
            <w:r>
              <w:rPr>
                <w:rFonts w:eastAsia="Times New Roman"/>
                <w:sz w:val="16"/>
                <w:szCs w:val="16"/>
                <w:lang w:eastAsia="en-US"/>
              </w:rPr>
              <w:t>показатель устанавливается в соответствии с общей суммой наложенных штрафов, с учетом в том числе штрафов, наложенных на должностных лиц, индивидуальных предпринимателей и юридических лиц. Показатель устанавливается в млн. руб.</w:t>
            </w:r>
          </w:p>
        </w:tc>
        <w:tc>
          <w:tcPr>
            <w:tcW w:w="939" w:type="dxa"/>
            <w:tcBorders>
              <w:top w:val="nil"/>
              <w:left w:val="nil"/>
              <w:bottom w:val="single" w:sz="4" w:space="0" w:color="auto"/>
              <w:right w:val="single" w:sz="4" w:space="0" w:color="auto"/>
            </w:tcBorders>
            <w:shd w:val="clear" w:color="auto" w:fill="FFFFFF"/>
            <w:noWrap/>
            <w:vAlign w:val="center"/>
            <w:hideMark/>
          </w:tcPr>
          <w:p w:rsidR="005727C2" w:rsidRDefault="005727C2">
            <w:pPr>
              <w:jc w:val="center"/>
              <w:rPr>
                <w:rFonts w:eastAsia="Times New Roman"/>
                <w:sz w:val="16"/>
                <w:szCs w:val="16"/>
                <w:lang w:eastAsia="en-US"/>
              </w:rPr>
            </w:pPr>
            <w:r>
              <w:rPr>
                <w:rFonts w:eastAsia="Times New Roman"/>
                <w:sz w:val="16"/>
                <w:szCs w:val="16"/>
                <w:lang w:eastAsia="en-US"/>
              </w:rPr>
              <w:t xml:space="preserve"> - </w:t>
            </w:r>
          </w:p>
        </w:tc>
        <w:tc>
          <w:tcPr>
            <w:tcW w:w="972" w:type="dxa"/>
            <w:tcBorders>
              <w:top w:val="nil"/>
              <w:left w:val="nil"/>
              <w:bottom w:val="single" w:sz="4" w:space="0" w:color="auto"/>
              <w:right w:val="single" w:sz="4" w:space="0" w:color="auto"/>
            </w:tcBorders>
            <w:shd w:val="clear" w:color="auto" w:fill="FFFFFF"/>
            <w:noWrap/>
            <w:vAlign w:val="bottom"/>
            <w:hideMark/>
          </w:tcPr>
          <w:p w:rsidR="005727C2" w:rsidRDefault="005727C2">
            <w:pPr>
              <w:rPr>
                <w:rFonts w:eastAsia="Times New Roman"/>
                <w:sz w:val="16"/>
                <w:szCs w:val="16"/>
                <w:lang w:eastAsia="en-US"/>
              </w:rPr>
            </w:pPr>
            <w:r>
              <w:rPr>
                <w:rFonts w:eastAsia="Times New Roman"/>
                <w:sz w:val="16"/>
                <w:szCs w:val="16"/>
                <w:lang w:eastAsia="en-US"/>
              </w:rPr>
              <w:t> </w:t>
            </w:r>
          </w:p>
        </w:tc>
        <w:tc>
          <w:tcPr>
            <w:tcW w:w="1186" w:type="dxa"/>
            <w:tcBorders>
              <w:top w:val="nil"/>
              <w:left w:val="nil"/>
              <w:bottom w:val="single" w:sz="4" w:space="0" w:color="auto"/>
              <w:right w:val="single" w:sz="4" w:space="0" w:color="auto"/>
            </w:tcBorders>
            <w:shd w:val="clear" w:color="auto" w:fill="FFFFFF"/>
            <w:noWrap/>
            <w:vAlign w:val="center"/>
            <w:hideMark/>
          </w:tcPr>
          <w:p w:rsidR="005727C2" w:rsidRDefault="005727C2">
            <w:pPr>
              <w:jc w:val="center"/>
              <w:rPr>
                <w:rFonts w:eastAsia="Times New Roman"/>
                <w:sz w:val="16"/>
                <w:szCs w:val="16"/>
                <w:lang w:eastAsia="en-US"/>
              </w:rPr>
            </w:pPr>
            <w:r>
              <w:rPr>
                <w:rFonts w:eastAsia="Times New Roman"/>
                <w:sz w:val="16"/>
                <w:szCs w:val="16"/>
                <w:lang w:eastAsia="en-US"/>
              </w:rPr>
              <w:t xml:space="preserve"> - </w:t>
            </w:r>
          </w:p>
        </w:tc>
        <w:tc>
          <w:tcPr>
            <w:tcW w:w="865" w:type="dxa"/>
            <w:tcBorders>
              <w:top w:val="nil"/>
              <w:left w:val="nil"/>
              <w:bottom w:val="single" w:sz="4" w:space="0" w:color="auto"/>
              <w:right w:val="single" w:sz="4" w:space="0" w:color="auto"/>
            </w:tcBorders>
            <w:shd w:val="clear" w:color="auto" w:fill="FFFFFF"/>
            <w:noWrap/>
            <w:vAlign w:val="center"/>
            <w:hideMark/>
          </w:tcPr>
          <w:p w:rsidR="005727C2" w:rsidRDefault="005727C2">
            <w:pPr>
              <w:jc w:val="center"/>
              <w:rPr>
                <w:rFonts w:eastAsia="Times New Roman"/>
                <w:sz w:val="16"/>
                <w:szCs w:val="16"/>
                <w:lang w:eastAsia="en-US"/>
              </w:rPr>
            </w:pPr>
            <w:r>
              <w:rPr>
                <w:rFonts w:eastAsia="Times New Roman"/>
                <w:sz w:val="16"/>
                <w:szCs w:val="16"/>
                <w:lang w:eastAsia="en-US"/>
              </w:rPr>
              <w:t>0,55</w:t>
            </w:r>
          </w:p>
        </w:tc>
        <w:tc>
          <w:tcPr>
            <w:tcW w:w="684" w:type="dxa"/>
            <w:tcBorders>
              <w:top w:val="nil"/>
              <w:left w:val="nil"/>
              <w:bottom w:val="single" w:sz="4" w:space="0" w:color="auto"/>
              <w:right w:val="single" w:sz="4" w:space="0" w:color="auto"/>
            </w:tcBorders>
            <w:shd w:val="clear" w:color="auto" w:fill="FFFFFF"/>
            <w:noWrap/>
            <w:vAlign w:val="center"/>
            <w:hideMark/>
          </w:tcPr>
          <w:p w:rsidR="005727C2" w:rsidRDefault="005727C2">
            <w:pPr>
              <w:jc w:val="center"/>
              <w:rPr>
                <w:rFonts w:eastAsia="Times New Roman"/>
                <w:sz w:val="16"/>
                <w:szCs w:val="16"/>
                <w:lang w:eastAsia="en-US"/>
              </w:rPr>
            </w:pPr>
            <w:r>
              <w:rPr>
                <w:rFonts w:eastAsia="Times New Roman"/>
                <w:sz w:val="16"/>
                <w:szCs w:val="16"/>
                <w:lang w:eastAsia="en-US"/>
              </w:rPr>
              <w:t xml:space="preserve"> - </w:t>
            </w:r>
          </w:p>
        </w:tc>
        <w:tc>
          <w:tcPr>
            <w:tcW w:w="957" w:type="dxa"/>
            <w:tcBorders>
              <w:top w:val="nil"/>
              <w:left w:val="nil"/>
              <w:bottom w:val="single" w:sz="4" w:space="0" w:color="auto"/>
              <w:right w:val="single" w:sz="4" w:space="0" w:color="auto"/>
            </w:tcBorders>
            <w:shd w:val="clear" w:color="auto" w:fill="FFFFFF"/>
            <w:noWrap/>
            <w:vAlign w:val="bottom"/>
            <w:hideMark/>
          </w:tcPr>
          <w:p w:rsidR="005727C2" w:rsidRDefault="005727C2">
            <w:pPr>
              <w:rPr>
                <w:rFonts w:eastAsia="Times New Roman"/>
                <w:color w:val="000000"/>
                <w:sz w:val="16"/>
                <w:szCs w:val="16"/>
                <w:lang w:eastAsia="en-US"/>
              </w:rPr>
            </w:pPr>
            <w:r>
              <w:rPr>
                <w:rFonts w:eastAsia="Times New Roman"/>
                <w:color w:val="000000"/>
                <w:sz w:val="16"/>
                <w:szCs w:val="16"/>
                <w:lang w:eastAsia="en-US"/>
              </w:rPr>
              <w:t> </w:t>
            </w:r>
          </w:p>
        </w:tc>
      </w:tr>
      <w:tr w:rsidR="005727C2" w:rsidTr="005727C2">
        <w:trPr>
          <w:trHeight w:val="20"/>
        </w:trPr>
        <w:tc>
          <w:tcPr>
            <w:tcW w:w="865" w:type="dxa"/>
            <w:tcBorders>
              <w:top w:val="nil"/>
              <w:left w:val="single" w:sz="4" w:space="0" w:color="auto"/>
              <w:bottom w:val="single" w:sz="4" w:space="0" w:color="auto"/>
              <w:right w:val="single" w:sz="4" w:space="0" w:color="auto"/>
            </w:tcBorders>
            <w:vAlign w:val="center"/>
            <w:hideMark/>
          </w:tcPr>
          <w:p w:rsidR="005727C2" w:rsidRDefault="005727C2">
            <w:pPr>
              <w:jc w:val="center"/>
              <w:rPr>
                <w:rFonts w:eastAsia="Times New Roman"/>
                <w:sz w:val="16"/>
                <w:szCs w:val="16"/>
                <w:lang w:eastAsia="en-US"/>
              </w:rPr>
            </w:pPr>
            <w:r>
              <w:rPr>
                <w:rFonts w:eastAsia="Times New Roman"/>
                <w:sz w:val="16"/>
                <w:szCs w:val="16"/>
                <w:lang w:eastAsia="en-US"/>
              </w:rPr>
              <w:t>В.3.1.15</w:t>
            </w:r>
          </w:p>
        </w:tc>
        <w:tc>
          <w:tcPr>
            <w:tcW w:w="1435" w:type="dxa"/>
            <w:tcBorders>
              <w:top w:val="nil"/>
              <w:left w:val="nil"/>
              <w:bottom w:val="single" w:sz="4" w:space="0" w:color="auto"/>
              <w:right w:val="single" w:sz="4" w:space="0" w:color="auto"/>
            </w:tcBorders>
            <w:shd w:val="clear" w:color="auto" w:fill="FFFFFF"/>
            <w:vAlign w:val="center"/>
            <w:hideMark/>
          </w:tcPr>
          <w:p w:rsidR="005727C2" w:rsidRDefault="005727C2">
            <w:pPr>
              <w:rPr>
                <w:rFonts w:eastAsia="Times New Roman"/>
                <w:sz w:val="16"/>
                <w:szCs w:val="16"/>
                <w:lang w:eastAsia="en-US"/>
              </w:rPr>
            </w:pPr>
            <w:r>
              <w:rPr>
                <w:rFonts w:eastAsia="Times New Roman"/>
                <w:sz w:val="16"/>
                <w:szCs w:val="16"/>
                <w:lang w:eastAsia="en-US"/>
              </w:rPr>
              <w:t>общая сумма уплаченных (взысканных) административных штрафов, наложенных по итогам проверок</w:t>
            </w:r>
          </w:p>
        </w:tc>
        <w:tc>
          <w:tcPr>
            <w:tcW w:w="1575" w:type="dxa"/>
            <w:tcBorders>
              <w:top w:val="nil"/>
              <w:left w:val="nil"/>
              <w:bottom w:val="single" w:sz="4" w:space="0" w:color="auto"/>
              <w:right w:val="single" w:sz="4" w:space="0" w:color="auto"/>
            </w:tcBorders>
            <w:shd w:val="clear" w:color="auto" w:fill="FFFFFF"/>
            <w:vAlign w:val="center"/>
            <w:hideMark/>
          </w:tcPr>
          <w:p w:rsidR="005727C2" w:rsidRDefault="005727C2">
            <w:pPr>
              <w:rPr>
                <w:rFonts w:eastAsia="Times New Roman"/>
                <w:sz w:val="16"/>
                <w:szCs w:val="16"/>
                <w:lang w:eastAsia="en-US"/>
              </w:rPr>
            </w:pPr>
            <w:r>
              <w:rPr>
                <w:rFonts w:eastAsia="Times New Roman"/>
                <w:sz w:val="16"/>
                <w:szCs w:val="16"/>
                <w:lang w:eastAsia="en-US"/>
              </w:rPr>
              <w:t>показатель учитывает сумму уплаченных (взысканных) административных штрафов (млн. руб.)</w:t>
            </w:r>
          </w:p>
        </w:tc>
        <w:tc>
          <w:tcPr>
            <w:tcW w:w="939" w:type="dxa"/>
            <w:tcBorders>
              <w:top w:val="nil"/>
              <w:left w:val="nil"/>
              <w:bottom w:val="single" w:sz="4" w:space="0" w:color="auto"/>
              <w:right w:val="single" w:sz="4" w:space="0" w:color="auto"/>
            </w:tcBorders>
            <w:shd w:val="clear" w:color="auto" w:fill="FFFFFF"/>
            <w:noWrap/>
            <w:vAlign w:val="center"/>
            <w:hideMark/>
          </w:tcPr>
          <w:p w:rsidR="005727C2" w:rsidRDefault="005727C2">
            <w:pPr>
              <w:jc w:val="center"/>
              <w:rPr>
                <w:rFonts w:eastAsia="Times New Roman"/>
                <w:sz w:val="16"/>
                <w:szCs w:val="16"/>
                <w:lang w:eastAsia="en-US"/>
              </w:rPr>
            </w:pPr>
            <w:r>
              <w:rPr>
                <w:rFonts w:eastAsia="Times New Roman"/>
                <w:sz w:val="16"/>
                <w:szCs w:val="16"/>
                <w:lang w:eastAsia="en-US"/>
              </w:rPr>
              <w:t xml:space="preserve"> - </w:t>
            </w:r>
          </w:p>
        </w:tc>
        <w:tc>
          <w:tcPr>
            <w:tcW w:w="972" w:type="dxa"/>
            <w:tcBorders>
              <w:top w:val="nil"/>
              <w:left w:val="nil"/>
              <w:bottom w:val="single" w:sz="4" w:space="0" w:color="auto"/>
              <w:right w:val="single" w:sz="4" w:space="0" w:color="auto"/>
            </w:tcBorders>
            <w:shd w:val="clear" w:color="auto" w:fill="FFFFFF"/>
            <w:noWrap/>
            <w:vAlign w:val="bottom"/>
            <w:hideMark/>
          </w:tcPr>
          <w:p w:rsidR="005727C2" w:rsidRDefault="005727C2">
            <w:pPr>
              <w:rPr>
                <w:rFonts w:eastAsia="Times New Roman"/>
                <w:sz w:val="16"/>
                <w:szCs w:val="16"/>
                <w:lang w:eastAsia="en-US"/>
              </w:rPr>
            </w:pPr>
            <w:r>
              <w:rPr>
                <w:rFonts w:eastAsia="Times New Roman"/>
                <w:sz w:val="16"/>
                <w:szCs w:val="16"/>
                <w:lang w:eastAsia="en-US"/>
              </w:rPr>
              <w:t> </w:t>
            </w:r>
          </w:p>
        </w:tc>
        <w:tc>
          <w:tcPr>
            <w:tcW w:w="1186" w:type="dxa"/>
            <w:tcBorders>
              <w:top w:val="nil"/>
              <w:left w:val="nil"/>
              <w:bottom w:val="single" w:sz="4" w:space="0" w:color="auto"/>
              <w:right w:val="single" w:sz="4" w:space="0" w:color="auto"/>
            </w:tcBorders>
            <w:shd w:val="clear" w:color="auto" w:fill="FFFFFF"/>
            <w:noWrap/>
            <w:vAlign w:val="center"/>
            <w:hideMark/>
          </w:tcPr>
          <w:p w:rsidR="005727C2" w:rsidRDefault="005727C2">
            <w:pPr>
              <w:jc w:val="center"/>
              <w:rPr>
                <w:rFonts w:eastAsia="Times New Roman"/>
                <w:sz w:val="16"/>
                <w:szCs w:val="16"/>
                <w:lang w:eastAsia="en-US"/>
              </w:rPr>
            </w:pPr>
            <w:r>
              <w:rPr>
                <w:rFonts w:eastAsia="Times New Roman"/>
                <w:sz w:val="16"/>
                <w:szCs w:val="16"/>
                <w:lang w:eastAsia="en-US"/>
              </w:rPr>
              <w:t xml:space="preserve"> - </w:t>
            </w:r>
          </w:p>
        </w:tc>
        <w:tc>
          <w:tcPr>
            <w:tcW w:w="865" w:type="dxa"/>
            <w:tcBorders>
              <w:top w:val="nil"/>
              <w:left w:val="nil"/>
              <w:bottom w:val="single" w:sz="4" w:space="0" w:color="auto"/>
              <w:right w:val="single" w:sz="4" w:space="0" w:color="auto"/>
            </w:tcBorders>
            <w:shd w:val="clear" w:color="auto" w:fill="FFFFFF"/>
            <w:noWrap/>
            <w:vAlign w:val="center"/>
            <w:hideMark/>
          </w:tcPr>
          <w:p w:rsidR="005727C2" w:rsidRDefault="005727C2">
            <w:pPr>
              <w:jc w:val="center"/>
              <w:rPr>
                <w:rFonts w:eastAsia="Times New Roman"/>
                <w:sz w:val="16"/>
                <w:szCs w:val="16"/>
                <w:lang w:eastAsia="en-US"/>
              </w:rPr>
            </w:pPr>
            <w:r>
              <w:rPr>
                <w:rFonts w:eastAsia="Times New Roman"/>
                <w:sz w:val="16"/>
                <w:szCs w:val="16"/>
                <w:lang w:eastAsia="en-US"/>
              </w:rPr>
              <w:t>0,5</w:t>
            </w:r>
          </w:p>
        </w:tc>
        <w:tc>
          <w:tcPr>
            <w:tcW w:w="684" w:type="dxa"/>
            <w:tcBorders>
              <w:top w:val="nil"/>
              <w:left w:val="nil"/>
              <w:bottom w:val="single" w:sz="4" w:space="0" w:color="auto"/>
              <w:right w:val="single" w:sz="4" w:space="0" w:color="auto"/>
            </w:tcBorders>
            <w:shd w:val="clear" w:color="auto" w:fill="FFFFFF"/>
            <w:noWrap/>
            <w:vAlign w:val="center"/>
            <w:hideMark/>
          </w:tcPr>
          <w:p w:rsidR="005727C2" w:rsidRDefault="005727C2">
            <w:pPr>
              <w:jc w:val="center"/>
              <w:rPr>
                <w:rFonts w:eastAsia="Times New Roman"/>
                <w:sz w:val="16"/>
                <w:szCs w:val="16"/>
                <w:lang w:eastAsia="en-US"/>
              </w:rPr>
            </w:pPr>
            <w:r>
              <w:rPr>
                <w:rFonts w:eastAsia="Times New Roman"/>
                <w:sz w:val="16"/>
                <w:szCs w:val="16"/>
                <w:lang w:eastAsia="en-US"/>
              </w:rPr>
              <w:t xml:space="preserve"> - </w:t>
            </w:r>
          </w:p>
        </w:tc>
        <w:tc>
          <w:tcPr>
            <w:tcW w:w="957" w:type="dxa"/>
            <w:tcBorders>
              <w:top w:val="nil"/>
              <w:left w:val="nil"/>
              <w:bottom w:val="single" w:sz="4" w:space="0" w:color="auto"/>
              <w:right w:val="single" w:sz="4" w:space="0" w:color="auto"/>
            </w:tcBorders>
            <w:shd w:val="clear" w:color="auto" w:fill="FFFFFF"/>
            <w:noWrap/>
            <w:vAlign w:val="bottom"/>
            <w:hideMark/>
          </w:tcPr>
          <w:p w:rsidR="005727C2" w:rsidRDefault="005727C2">
            <w:pPr>
              <w:rPr>
                <w:rFonts w:eastAsia="Times New Roman"/>
                <w:color w:val="000000"/>
                <w:sz w:val="16"/>
                <w:szCs w:val="16"/>
                <w:lang w:eastAsia="en-US"/>
              </w:rPr>
            </w:pPr>
            <w:r>
              <w:rPr>
                <w:rFonts w:eastAsia="Times New Roman"/>
                <w:color w:val="000000"/>
                <w:sz w:val="16"/>
                <w:szCs w:val="16"/>
                <w:lang w:eastAsia="en-US"/>
              </w:rPr>
              <w:t> </w:t>
            </w:r>
          </w:p>
        </w:tc>
      </w:tr>
      <w:tr w:rsidR="005727C2" w:rsidTr="005727C2">
        <w:trPr>
          <w:trHeight w:val="20"/>
        </w:trPr>
        <w:tc>
          <w:tcPr>
            <w:tcW w:w="865" w:type="dxa"/>
            <w:tcBorders>
              <w:top w:val="nil"/>
              <w:left w:val="single" w:sz="4" w:space="0" w:color="auto"/>
              <w:bottom w:val="single" w:sz="4" w:space="0" w:color="auto"/>
              <w:right w:val="single" w:sz="4" w:space="0" w:color="auto"/>
            </w:tcBorders>
            <w:vAlign w:val="center"/>
            <w:hideMark/>
          </w:tcPr>
          <w:p w:rsidR="005727C2" w:rsidRDefault="005727C2">
            <w:pPr>
              <w:jc w:val="center"/>
              <w:rPr>
                <w:rFonts w:eastAsia="Times New Roman"/>
                <w:sz w:val="16"/>
                <w:szCs w:val="16"/>
                <w:lang w:eastAsia="en-US"/>
              </w:rPr>
            </w:pPr>
            <w:r>
              <w:rPr>
                <w:rFonts w:eastAsia="Times New Roman"/>
                <w:sz w:val="16"/>
                <w:szCs w:val="16"/>
                <w:lang w:eastAsia="en-US"/>
              </w:rPr>
              <w:t>В.3.1.16</w:t>
            </w:r>
          </w:p>
        </w:tc>
        <w:tc>
          <w:tcPr>
            <w:tcW w:w="1435" w:type="dxa"/>
            <w:tcBorders>
              <w:top w:val="nil"/>
              <w:left w:val="nil"/>
              <w:bottom w:val="single" w:sz="4" w:space="0" w:color="auto"/>
              <w:right w:val="single" w:sz="4" w:space="0" w:color="auto"/>
            </w:tcBorders>
            <w:shd w:val="clear" w:color="auto" w:fill="FFFFFF"/>
            <w:vAlign w:val="center"/>
            <w:hideMark/>
          </w:tcPr>
          <w:p w:rsidR="005727C2" w:rsidRDefault="005727C2">
            <w:pPr>
              <w:rPr>
                <w:rFonts w:eastAsia="Times New Roman"/>
                <w:sz w:val="16"/>
                <w:szCs w:val="16"/>
                <w:lang w:eastAsia="en-US"/>
              </w:rPr>
            </w:pPr>
            <w:r>
              <w:rPr>
                <w:rFonts w:eastAsia="Times New Roman"/>
                <w:sz w:val="16"/>
                <w:szCs w:val="16"/>
                <w:lang w:eastAsia="en-US"/>
              </w:rPr>
              <w:t>отношение суммы взысканных административных штрафов к общей сумме наложенных административных штрафов</w:t>
            </w:r>
          </w:p>
        </w:tc>
        <w:tc>
          <w:tcPr>
            <w:tcW w:w="1575" w:type="dxa"/>
            <w:tcBorders>
              <w:top w:val="nil"/>
              <w:left w:val="nil"/>
              <w:bottom w:val="single" w:sz="4" w:space="0" w:color="auto"/>
              <w:right w:val="single" w:sz="4" w:space="0" w:color="auto"/>
            </w:tcBorders>
            <w:shd w:val="clear" w:color="auto" w:fill="FFFFFF"/>
            <w:vAlign w:val="center"/>
            <w:hideMark/>
          </w:tcPr>
          <w:p w:rsidR="005727C2" w:rsidRDefault="005727C2">
            <w:pPr>
              <w:rPr>
                <w:rFonts w:eastAsia="Times New Roman"/>
                <w:sz w:val="16"/>
                <w:szCs w:val="16"/>
                <w:lang w:eastAsia="en-US"/>
              </w:rPr>
            </w:pPr>
            <w:r>
              <w:rPr>
                <w:rFonts w:eastAsia="Times New Roman"/>
                <w:sz w:val="16"/>
                <w:szCs w:val="16"/>
                <w:lang w:eastAsia="en-US"/>
              </w:rPr>
              <w:t xml:space="preserve">показатель устанавливается в процентах </w:t>
            </w:r>
          </w:p>
        </w:tc>
        <w:tc>
          <w:tcPr>
            <w:tcW w:w="939" w:type="dxa"/>
            <w:tcBorders>
              <w:top w:val="nil"/>
              <w:left w:val="nil"/>
              <w:bottom w:val="single" w:sz="4" w:space="0" w:color="auto"/>
              <w:right w:val="single" w:sz="4" w:space="0" w:color="auto"/>
            </w:tcBorders>
            <w:shd w:val="clear" w:color="auto" w:fill="FFFFFF"/>
            <w:noWrap/>
            <w:vAlign w:val="center"/>
            <w:hideMark/>
          </w:tcPr>
          <w:p w:rsidR="005727C2" w:rsidRDefault="005727C2">
            <w:pPr>
              <w:jc w:val="center"/>
              <w:rPr>
                <w:rFonts w:eastAsia="Times New Roman"/>
                <w:sz w:val="16"/>
                <w:szCs w:val="16"/>
                <w:lang w:eastAsia="en-US"/>
              </w:rPr>
            </w:pPr>
            <w:r>
              <w:rPr>
                <w:rFonts w:eastAsia="Times New Roman"/>
                <w:sz w:val="16"/>
                <w:szCs w:val="16"/>
                <w:lang w:eastAsia="en-US"/>
              </w:rPr>
              <w:t xml:space="preserve"> - </w:t>
            </w:r>
          </w:p>
        </w:tc>
        <w:tc>
          <w:tcPr>
            <w:tcW w:w="972" w:type="dxa"/>
            <w:tcBorders>
              <w:top w:val="nil"/>
              <w:left w:val="nil"/>
              <w:bottom w:val="single" w:sz="4" w:space="0" w:color="auto"/>
              <w:right w:val="single" w:sz="4" w:space="0" w:color="auto"/>
            </w:tcBorders>
            <w:shd w:val="clear" w:color="auto" w:fill="FFFFFF"/>
            <w:noWrap/>
            <w:vAlign w:val="bottom"/>
            <w:hideMark/>
          </w:tcPr>
          <w:p w:rsidR="005727C2" w:rsidRDefault="005727C2">
            <w:pPr>
              <w:rPr>
                <w:rFonts w:eastAsia="Times New Roman"/>
                <w:sz w:val="16"/>
                <w:szCs w:val="16"/>
                <w:lang w:eastAsia="en-US"/>
              </w:rPr>
            </w:pPr>
            <w:r>
              <w:rPr>
                <w:rFonts w:eastAsia="Times New Roman"/>
                <w:sz w:val="16"/>
                <w:szCs w:val="16"/>
                <w:lang w:eastAsia="en-US"/>
              </w:rPr>
              <w:t> </w:t>
            </w:r>
          </w:p>
        </w:tc>
        <w:tc>
          <w:tcPr>
            <w:tcW w:w="1186" w:type="dxa"/>
            <w:tcBorders>
              <w:top w:val="nil"/>
              <w:left w:val="nil"/>
              <w:bottom w:val="single" w:sz="4" w:space="0" w:color="auto"/>
              <w:right w:val="single" w:sz="4" w:space="0" w:color="auto"/>
            </w:tcBorders>
            <w:shd w:val="clear" w:color="auto" w:fill="FFFFFF"/>
            <w:noWrap/>
            <w:vAlign w:val="center"/>
            <w:hideMark/>
          </w:tcPr>
          <w:p w:rsidR="005727C2" w:rsidRDefault="005727C2">
            <w:pPr>
              <w:jc w:val="center"/>
              <w:rPr>
                <w:rFonts w:eastAsia="Times New Roman"/>
                <w:sz w:val="16"/>
                <w:szCs w:val="16"/>
                <w:lang w:eastAsia="en-US"/>
              </w:rPr>
            </w:pPr>
            <w:r>
              <w:rPr>
                <w:rFonts w:eastAsia="Times New Roman"/>
                <w:sz w:val="16"/>
                <w:szCs w:val="16"/>
                <w:lang w:eastAsia="en-US"/>
              </w:rPr>
              <w:t xml:space="preserve"> - </w:t>
            </w:r>
          </w:p>
        </w:tc>
        <w:tc>
          <w:tcPr>
            <w:tcW w:w="865" w:type="dxa"/>
            <w:tcBorders>
              <w:top w:val="nil"/>
              <w:left w:val="nil"/>
              <w:bottom w:val="single" w:sz="4" w:space="0" w:color="auto"/>
              <w:right w:val="single" w:sz="4" w:space="0" w:color="auto"/>
            </w:tcBorders>
            <w:shd w:val="clear" w:color="auto" w:fill="FFFFFF"/>
            <w:noWrap/>
            <w:vAlign w:val="center"/>
            <w:hideMark/>
          </w:tcPr>
          <w:p w:rsidR="005727C2" w:rsidRDefault="005727C2">
            <w:pPr>
              <w:jc w:val="center"/>
              <w:rPr>
                <w:rFonts w:eastAsia="Times New Roman"/>
                <w:sz w:val="16"/>
                <w:szCs w:val="16"/>
                <w:lang w:eastAsia="en-US"/>
              </w:rPr>
            </w:pPr>
            <w:r>
              <w:rPr>
                <w:rFonts w:eastAsia="Times New Roman"/>
                <w:sz w:val="16"/>
                <w:szCs w:val="16"/>
                <w:lang w:eastAsia="en-US"/>
              </w:rPr>
              <w:t>90,90%</w:t>
            </w:r>
          </w:p>
        </w:tc>
        <w:tc>
          <w:tcPr>
            <w:tcW w:w="684" w:type="dxa"/>
            <w:tcBorders>
              <w:top w:val="nil"/>
              <w:left w:val="nil"/>
              <w:bottom w:val="single" w:sz="4" w:space="0" w:color="auto"/>
              <w:right w:val="single" w:sz="4" w:space="0" w:color="auto"/>
            </w:tcBorders>
            <w:shd w:val="clear" w:color="auto" w:fill="FFFFFF"/>
            <w:noWrap/>
            <w:vAlign w:val="center"/>
            <w:hideMark/>
          </w:tcPr>
          <w:p w:rsidR="005727C2" w:rsidRDefault="005727C2">
            <w:pPr>
              <w:jc w:val="center"/>
              <w:rPr>
                <w:rFonts w:eastAsia="Times New Roman"/>
                <w:sz w:val="16"/>
                <w:szCs w:val="16"/>
                <w:lang w:eastAsia="en-US"/>
              </w:rPr>
            </w:pPr>
            <w:r>
              <w:rPr>
                <w:rFonts w:eastAsia="Times New Roman"/>
                <w:sz w:val="16"/>
                <w:szCs w:val="16"/>
                <w:lang w:eastAsia="en-US"/>
              </w:rPr>
              <w:t xml:space="preserve"> - </w:t>
            </w:r>
          </w:p>
        </w:tc>
        <w:tc>
          <w:tcPr>
            <w:tcW w:w="957" w:type="dxa"/>
            <w:tcBorders>
              <w:top w:val="nil"/>
              <w:left w:val="nil"/>
              <w:bottom w:val="single" w:sz="4" w:space="0" w:color="auto"/>
              <w:right w:val="single" w:sz="4" w:space="0" w:color="auto"/>
            </w:tcBorders>
            <w:shd w:val="clear" w:color="auto" w:fill="FFFFFF"/>
            <w:noWrap/>
            <w:vAlign w:val="bottom"/>
            <w:hideMark/>
          </w:tcPr>
          <w:p w:rsidR="005727C2" w:rsidRDefault="005727C2">
            <w:pPr>
              <w:rPr>
                <w:rFonts w:eastAsia="Times New Roman"/>
                <w:color w:val="000000"/>
                <w:sz w:val="16"/>
                <w:szCs w:val="16"/>
                <w:lang w:eastAsia="en-US"/>
              </w:rPr>
            </w:pPr>
            <w:r>
              <w:rPr>
                <w:rFonts w:eastAsia="Times New Roman"/>
                <w:color w:val="000000"/>
                <w:sz w:val="16"/>
                <w:szCs w:val="16"/>
                <w:lang w:eastAsia="en-US"/>
              </w:rPr>
              <w:t> </w:t>
            </w:r>
          </w:p>
        </w:tc>
      </w:tr>
      <w:tr w:rsidR="005727C2" w:rsidTr="005727C2">
        <w:trPr>
          <w:trHeight w:val="20"/>
        </w:trPr>
        <w:tc>
          <w:tcPr>
            <w:tcW w:w="865" w:type="dxa"/>
            <w:tcBorders>
              <w:top w:val="nil"/>
              <w:left w:val="single" w:sz="4" w:space="0" w:color="auto"/>
              <w:bottom w:val="single" w:sz="4" w:space="0" w:color="auto"/>
              <w:right w:val="single" w:sz="4" w:space="0" w:color="auto"/>
            </w:tcBorders>
            <w:vAlign w:val="center"/>
            <w:hideMark/>
          </w:tcPr>
          <w:p w:rsidR="005727C2" w:rsidRDefault="005727C2">
            <w:pPr>
              <w:jc w:val="center"/>
              <w:rPr>
                <w:rFonts w:eastAsia="Times New Roman"/>
                <w:sz w:val="16"/>
                <w:szCs w:val="16"/>
                <w:lang w:eastAsia="en-US"/>
              </w:rPr>
            </w:pPr>
            <w:r>
              <w:rPr>
                <w:rFonts w:eastAsia="Times New Roman"/>
                <w:sz w:val="16"/>
                <w:szCs w:val="16"/>
                <w:lang w:eastAsia="en-US"/>
              </w:rPr>
              <w:t>В.3.1.17</w:t>
            </w:r>
          </w:p>
        </w:tc>
        <w:tc>
          <w:tcPr>
            <w:tcW w:w="1435" w:type="dxa"/>
            <w:tcBorders>
              <w:top w:val="nil"/>
              <w:left w:val="nil"/>
              <w:bottom w:val="single" w:sz="4" w:space="0" w:color="auto"/>
              <w:right w:val="single" w:sz="4" w:space="0" w:color="auto"/>
            </w:tcBorders>
            <w:shd w:val="clear" w:color="auto" w:fill="FFFFFF"/>
            <w:vAlign w:val="center"/>
            <w:hideMark/>
          </w:tcPr>
          <w:p w:rsidR="005727C2" w:rsidRDefault="005727C2">
            <w:pPr>
              <w:rPr>
                <w:rFonts w:eastAsia="Times New Roman"/>
                <w:sz w:val="16"/>
                <w:szCs w:val="16"/>
                <w:lang w:eastAsia="en-US"/>
              </w:rPr>
            </w:pPr>
            <w:r>
              <w:rPr>
                <w:rFonts w:eastAsia="Times New Roman"/>
                <w:sz w:val="16"/>
                <w:szCs w:val="16"/>
                <w:lang w:eastAsia="en-US"/>
              </w:rPr>
              <w:t>средний размер наложенного административного штрафа</w:t>
            </w:r>
          </w:p>
        </w:tc>
        <w:tc>
          <w:tcPr>
            <w:tcW w:w="1575" w:type="dxa"/>
            <w:tcBorders>
              <w:top w:val="nil"/>
              <w:left w:val="nil"/>
              <w:bottom w:val="single" w:sz="4" w:space="0" w:color="auto"/>
              <w:right w:val="single" w:sz="4" w:space="0" w:color="auto"/>
            </w:tcBorders>
            <w:shd w:val="clear" w:color="auto" w:fill="FFFFFF"/>
            <w:vAlign w:val="center"/>
            <w:hideMark/>
          </w:tcPr>
          <w:p w:rsidR="005727C2" w:rsidRDefault="005727C2">
            <w:pPr>
              <w:rPr>
                <w:rFonts w:eastAsia="Times New Roman"/>
                <w:sz w:val="16"/>
                <w:szCs w:val="16"/>
                <w:lang w:eastAsia="en-US"/>
              </w:rPr>
            </w:pPr>
            <w:r>
              <w:rPr>
                <w:rFonts w:eastAsia="Times New Roman"/>
                <w:sz w:val="16"/>
                <w:szCs w:val="16"/>
                <w:lang w:eastAsia="en-US"/>
              </w:rPr>
              <w:t>показатель устанавливается в тыс. руб. и учитывает штрафы, в том числе на должностных лиц и юридических лиц</w:t>
            </w:r>
          </w:p>
        </w:tc>
        <w:tc>
          <w:tcPr>
            <w:tcW w:w="939" w:type="dxa"/>
            <w:tcBorders>
              <w:top w:val="nil"/>
              <w:left w:val="nil"/>
              <w:bottom w:val="single" w:sz="4" w:space="0" w:color="auto"/>
              <w:right w:val="single" w:sz="4" w:space="0" w:color="auto"/>
            </w:tcBorders>
            <w:shd w:val="clear" w:color="auto" w:fill="FFFFFF"/>
            <w:noWrap/>
            <w:vAlign w:val="center"/>
            <w:hideMark/>
          </w:tcPr>
          <w:p w:rsidR="005727C2" w:rsidRDefault="005727C2">
            <w:pPr>
              <w:jc w:val="center"/>
              <w:rPr>
                <w:rFonts w:eastAsia="Times New Roman"/>
                <w:sz w:val="16"/>
                <w:szCs w:val="16"/>
                <w:lang w:eastAsia="en-US"/>
              </w:rPr>
            </w:pPr>
            <w:r>
              <w:rPr>
                <w:rFonts w:eastAsia="Times New Roman"/>
                <w:sz w:val="16"/>
                <w:szCs w:val="16"/>
                <w:lang w:eastAsia="en-US"/>
              </w:rPr>
              <w:t xml:space="preserve"> - </w:t>
            </w:r>
          </w:p>
        </w:tc>
        <w:tc>
          <w:tcPr>
            <w:tcW w:w="972" w:type="dxa"/>
            <w:tcBorders>
              <w:top w:val="nil"/>
              <w:left w:val="nil"/>
              <w:bottom w:val="single" w:sz="4" w:space="0" w:color="auto"/>
              <w:right w:val="single" w:sz="4" w:space="0" w:color="auto"/>
            </w:tcBorders>
            <w:shd w:val="clear" w:color="auto" w:fill="FFFFFF"/>
            <w:noWrap/>
            <w:vAlign w:val="bottom"/>
            <w:hideMark/>
          </w:tcPr>
          <w:p w:rsidR="005727C2" w:rsidRDefault="005727C2">
            <w:pPr>
              <w:rPr>
                <w:rFonts w:eastAsia="Times New Roman"/>
                <w:sz w:val="16"/>
                <w:szCs w:val="16"/>
                <w:lang w:eastAsia="en-US"/>
              </w:rPr>
            </w:pPr>
            <w:r>
              <w:rPr>
                <w:rFonts w:eastAsia="Times New Roman"/>
                <w:sz w:val="16"/>
                <w:szCs w:val="16"/>
                <w:lang w:eastAsia="en-US"/>
              </w:rPr>
              <w:t> </w:t>
            </w:r>
          </w:p>
        </w:tc>
        <w:tc>
          <w:tcPr>
            <w:tcW w:w="1186" w:type="dxa"/>
            <w:tcBorders>
              <w:top w:val="nil"/>
              <w:left w:val="nil"/>
              <w:bottom w:val="single" w:sz="4" w:space="0" w:color="auto"/>
              <w:right w:val="single" w:sz="4" w:space="0" w:color="auto"/>
            </w:tcBorders>
            <w:shd w:val="clear" w:color="auto" w:fill="FFFFFF"/>
            <w:noWrap/>
            <w:vAlign w:val="center"/>
            <w:hideMark/>
          </w:tcPr>
          <w:p w:rsidR="005727C2" w:rsidRDefault="005727C2">
            <w:pPr>
              <w:jc w:val="center"/>
              <w:rPr>
                <w:rFonts w:eastAsia="Times New Roman"/>
                <w:sz w:val="16"/>
                <w:szCs w:val="16"/>
                <w:lang w:eastAsia="en-US"/>
              </w:rPr>
            </w:pPr>
            <w:r>
              <w:rPr>
                <w:rFonts w:eastAsia="Times New Roman"/>
                <w:sz w:val="16"/>
                <w:szCs w:val="16"/>
                <w:lang w:eastAsia="en-US"/>
              </w:rPr>
              <w:t xml:space="preserve"> - </w:t>
            </w:r>
          </w:p>
        </w:tc>
        <w:tc>
          <w:tcPr>
            <w:tcW w:w="865" w:type="dxa"/>
            <w:tcBorders>
              <w:top w:val="nil"/>
              <w:left w:val="nil"/>
              <w:bottom w:val="single" w:sz="4" w:space="0" w:color="auto"/>
              <w:right w:val="single" w:sz="4" w:space="0" w:color="auto"/>
            </w:tcBorders>
            <w:shd w:val="clear" w:color="auto" w:fill="FFFFFF"/>
            <w:noWrap/>
            <w:vAlign w:val="center"/>
            <w:hideMark/>
          </w:tcPr>
          <w:p w:rsidR="005727C2" w:rsidRDefault="005727C2">
            <w:pPr>
              <w:jc w:val="center"/>
              <w:rPr>
                <w:rFonts w:eastAsia="Times New Roman"/>
                <w:sz w:val="16"/>
                <w:szCs w:val="16"/>
                <w:lang w:eastAsia="en-US"/>
              </w:rPr>
            </w:pPr>
            <w:r>
              <w:rPr>
                <w:rFonts w:eastAsia="Times New Roman"/>
                <w:sz w:val="16"/>
                <w:szCs w:val="16"/>
                <w:lang w:eastAsia="en-US"/>
              </w:rPr>
              <w:t>55</w:t>
            </w:r>
          </w:p>
        </w:tc>
        <w:tc>
          <w:tcPr>
            <w:tcW w:w="684" w:type="dxa"/>
            <w:tcBorders>
              <w:top w:val="nil"/>
              <w:left w:val="nil"/>
              <w:bottom w:val="single" w:sz="4" w:space="0" w:color="auto"/>
              <w:right w:val="single" w:sz="4" w:space="0" w:color="auto"/>
            </w:tcBorders>
            <w:shd w:val="clear" w:color="auto" w:fill="FFFFFF"/>
            <w:noWrap/>
            <w:vAlign w:val="center"/>
            <w:hideMark/>
          </w:tcPr>
          <w:p w:rsidR="005727C2" w:rsidRDefault="005727C2">
            <w:pPr>
              <w:jc w:val="center"/>
              <w:rPr>
                <w:rFonts w:eastAsia="Times New Roman"/>
                <w:sz w:val="16"/>
                <w:szCs w:val="16"/>
                <w:lang w:eastAsia="en-US"/>
              </w:rPr>
            </w:pPr>
            <w:r>
              <w:rPr>
                <w:rFonts w:eastAsia="Times New Roman"/>
                <w:sz w:val="16"/>
                <w:szCs w:val="16"/>
                <w:lang w:eastAsia="en-US"/>
              </w:rPr>
              <w:t xml:space="preserve"> - </w:t>
            </w:r>
          </w:p>
        </w:tc>
        <w:tc>
          <w:tcPr>
            <w:tcW w:w="957" w:type="dxa"/>
            <w:tcBorders>
              <w:top w:val="nil"/>
              <w:left w:val="nil"/>
              <w:bottom w:val="single" w:sz="4" w:space="0" w:color="auto"/>
              <w:right w:val="single" w:sz="4" w:space="0" w:color="auto"/>
            </w:tcBorders>
            <w:shd w:val="clear" w:color="auto" w:fill="FFFFFF"/>
            <w:noWrap/>
            <w:vAlign w:val="bottom"/>
            <w:hideMark/>
          </w:tcPr>
          <w:p w:rsidR="005727C2" w:rsidRDefault="005727C2">
            <w:pPr>
              <w:rPr>
                <w:rFonts w:eastAsia="Times New Roman"/>
                <w:color w:val="000000"/>
                <w:sz w:val="16"/>
                <w:szCs w:val="16"/>
                <w:lang w:eastAsia="en-US"/>
              </w:rPr>
            </w:pPr>
            <w:r>
              <w:rPr>
                <w:rFonts w:eastAsia="Times New Roman"/>
                <w:color w:val="000000"/>
                <w:sz w:val="16"/>
                <w:szCs w:val="16"/>
                <w:lang w:eastAsia="en-US"/>
              </w:rPr>
              <w:t> </w:t>
            </w:r>
          </w:p>
        </w:tc>
      </w:tr>
      <w:tr w:rsidR="005727C2" w:rsidTr="005727C2">
        <w:trPr>
          <w:trHeight w:val="20"/>
        </w:trPr>
        <w:tc>
          <w:tcPr>
            <w:tcW w:w="865" w:type="dxa"/>
            <w:tcBorders>
              <w:top w:val="nil"/>
              <w:left w:val="single" w:sz="4" w:space="0" w:color="auto"/>
              <w:bottom w:val="single" w:sz="4" w:space="0" w:color="auto"/>
              <w:right w:val="single" w:sz="4" w:space="0" w:color="auto"/>
            </w:tcBorders>
            <w:vAlign w:val="center"/>
            <w:hideMark/>
          </w:tcPr>
          <w:p w:rsidR="005727C2" w:rsidRDefault="005727C2">
            <w:pPr>
              <w:jc w:val="center"/>
              <w:rPr>
                <w:rFonts w:eastAsia="Times New Roman"/>
                <w:sz w:val="16"/>
                <w:szCs w:val="16"/>
                <w:lang w:eastAsia="en-US"/>
              </w:rPr>
            </w:pPr>
            <w:r>
              <w:rPr>
                <w:rFonts w:eastAsia="Times New Roman"/>
                <w:sz w:val="16"/>
                <w:szCs w:val="16"/>
                <w:lang w:eastAsia="en-US"/>
              </w:rPr>
              <w:lastRenderedPageBreak/>
              <w:t>В.3.1.18</w:t>
            </w:r>
          </w:p>
        </w:tc>
        <w:tc>
          <w:tcPr>
            <w:tcW w:w="1435" w:type="dxa"/>
            <w:tcBorders>
              <w:top w:val="nil"/>
              <w:left w:val="nil"/>
              <w:bottom w:val="single" w:sz="4" w:space="0" w:color="auto"/>
              <w:right w:val="single" w:sz="4" w:space="0" w:color="auto"/>
            </w:tcBorders>
            <w:shd w:val="clear" w:color="auto" w:fill="FFFFFF"/>
            <w:vAlign w:val="center"/>
            <w:hideMark/>
          </w:tcPr>
          <w:p w:rsidR="005727C2" w:rsidRDefault="005727C2">
            <w:pPr>
              <w:rPr>
                <w:rFonts w:eastAsia="Times New Roman"/>
                <w:sz w:val="16"/>
                <w:szCs w:val="16"/>
                <w:lang w:eastAsia="en-US"/>
              </w:rPr>
            </w:pPr>
            <w:r>
              <w:rPr>
                <w:rFonts w:eastAsia="Times New Roman"/>
                <w:sz w:val="16"/>
                <w:szCs w:val="16"/>
                <w:lang w:eastAsia="en-US"/>
              </w:rPr>
              <w:t>среднее число должностных лиц, задействованных в проведении одной проверки</w:t>
            </w:r>
          </w:p>
        </w:tc>
        <w:tc>
          <w:tcPr>
            <w:tcW w:w="1575" w:type="dxa"/>
            <w:tcBorders>
              <w:top w:val="nil"/>
              <w:left w:val="nil"/>
              <w:bottom w:val="single" w:sz="4" w:space="0" w:color="auto"/>
              <w:right w:val="single" w:sz="4" w:space="0" w:color="auto"/>
            </w:tcBorders>
            <w:shd w:val="clear" w:color="auto" w:fill="FFFFFF"/>
            <w:vAlign w:val="center"/>
            <w:hideMark/>
          </w:tcPr>
          <w:p w:rsidR="005727C2" w:rsidRDefault="005727C2">
            <w:pPr>
              <w:rPr>
                <w:rFonts w:eastAsia="Times New Roman"/>
                <w:sz w:val="16"/>
                <w:szCs w:val="16"/>
                <w:lang w:eastAsia="en-US"/>
              </w:rPr>
            </w:pPr>
            <w:r>
              <w:rPr>
                <w:rFonts w:eastAsia="Times New Roman"/>
                <w:sz w:val="16"/>
                <w:szCs w:val="16"/>
                <w:lang w:eastAsia="en-US"/>
              </w:rPr>
              <w:t>показатель рассчитывается, в том числе отдельно в отношении плановых, внеплановых и межведомственных проверок</w:t>
            </w:r>
          </w:p>
        </w:tc>
        <w:tc>
          <w:tcPr>
            <w:tcW w:w="939" w:type="dxa"/>
            <w:tcBorders>
              <w:top w:val="nil"/>
              <w:left w:val="nil"/>
              <w:bottom w:val="single" w:sz="4" w:space="0" w:color="auto"/>
              <w:right w:val="single" w:sz="4" w:space="0" w:color="auto"/>
            </w:tcBorders>
            <w:shd w:val="clear" w:color="auto" w:fill="FFFFFF"/>
            <w:noWrap/>
            <w:vAlign w:val="center"/>
            <w:hideMark/>
          </w:tcPr>
          <w:p w:rsidR="005727C2" w:rsidRDefault="005727C2">
            <w:pPr>
              <w:jc w:val="center"/>
              <w:rPr>
                <w:rFonts w:eastAsia="Times New Roman"/>
                <w:sz w:val="16"/>
                <w:szCs w:val="16"/>
                <w:lang w:eastAsia="en-US"/>
              </w:rPr>
            </w:pPr>
            <w:r>
              <w:rPr>
                <w:rFonts w:eastAsia="Times New Roman"/>
                <w:sz w:val="16"/>
                <w:szCs w:val="16"/>
                <w:lang w:eastAsia="en-US"/>
              </w:rPr>
              <w:t xml:space="preserve"> - </w:t>
            </w:r>
          </w:p>
        </w:tc>
        <w:tc>
          <w:tcPr>
            <w:tcW w:w="972" w:type="dxa"/>
            <w:tcBorders>
              <w:top w:val="nil"/>
              <w:left w:val="nil"/>
              <w:bottom w:val="single" w:sz="4" w:space="0" w:color="auto"/>
              <w:right w:val="single" w:sz="4" w:space="0" w:color="auto"/>
            </w:tcBorders>
            <w:shd w:val="clear" w:color="auto" w:fill="FFFFFF"/>
            <w:noWrap/>
            <w:vAlign w:val="bottom"/>
            <w:hideMark/>
          </w:tcPr>
          <w:p w:rsidR="005727C2" w:rsidRDefault="005727C2">
            <w:pPr>
              <w:rPr>
                <w:rFonts w:eastAsia="Times New Roman"/>
                <w:sz w:val="16"/>
                <w:szCs w:val="16"/>
                <w:lang w:eastAsia="en-US"/>
              </w:rPr>
            </w:pPr>
            <w:r>
              <w:rPr>
                <w:rFonts w:eastAsia="Times New Roman"/>
                <w:sz w:val="16"/>
                <w:szCs w:val="16"/>
                <w:lang w:eastAsia="en-US"/>
              </w:rPr>
              <w:t> </w:t>
            </w:r>
          </w:p>
        </w:tc>
        <w:tc>
          <w:tcPr>
            <w:tcW w:w="1186" w:type="dxa"/>
            <w:tcBorders>
              <w:top w:val="nil"/>
              <w:left w:val="nil"/>
              <w:bottom w:val="single" w:sz="4" w:space="0" w:color="auto"/>
              <w:right w:val="single" w:sz="4" w:space="0" w:color="auto"/>
            </w:tcBorders>
            <w:shd w:val="clear" w:color="auto" w:fill="FFFFFF"/>
            <w:noWrap/>
            <w:vAlign w:val="center"/>
            <w:hideMark/>
          </w:tcPr>
          <w:p w:rsidR="005727C2" w:rsidRDefault="005727C2">
            <w:pPr>
              <w:jc w:val="center"/>
              <w:rPr>
                <w:rFonts w:eastAsia="Times New Roman"/>
                <w:sz w:val="16"/>
                <w:szCs w:val="16"/>
                <w:lang w:eastAsia="en-US"/>
              </w:rPr>
            </w:pPr>
            <w:r>
              <w:rPr>
                <w:rFonts w:eastAsia="Times New Roman"/>
                <w:sz w:val="16"/>
                <w:szCs w:val="16"/>
                <w:lang w:eastAsia="en-US"/>
              </w:rPr>
              <w:t xml:space="preserve"> - </w:t>
            </w:r>
          </w:p>
        </w:tc>
        <w:tc>
          <w:tcPr>
            <w:tcW w:w="865" w:type="dxa"/>
            <w:tcBorders>
              <w:top w:val="nil"/>
              <w:left w:val="nil"/>
              <w:bottom w:val="single" w:sz="4" w:space="0" w:color="auto"/>
              <w:right w:val="single" w:sz="4" w:space="0" w:color="auto"/>
            </w:tcBorders>
            <w:shd w:val="clear" w:color="auto" w:fill="FFFFFF"/>
            <w:noWrap/>
            <w:vAlign w:val="center"/>
            <w:hideMark/>
          </w:tcPr>
          <w:p w:rsidR="005727C2" w:rsidRDefault="005727C2">
            <w:pPr>
              <w:jc w:val="center"/>
              <w:rPr>
                <w:rFonts w:eastAsia="Times New Roman"/>
                <w:sz w:val="16"/>
                <w:szCs w:val="16"/>
                <w:lang w:eastAsia="en-US"/>
              </w:rPr>
            </w:pPr>
            <w:r>
              <w:rPr>
                <w:rFonts w:eastAsia="Times New Roman"/>
                <w:sz w:val="16"/>
                <w:szCs w:val="16"/>
                <w:lang w:eastAsia="en-US"/>
              </w:rPr>
              <w:t>2</w:t>
            </w:r>
          </w:p>
        </w:tc>
        <w:tc>
          <w:tcPr>
            <w:tcW w:w="684" w:type="dxa"/>
            <w:tcBorders>
              <w:top w:val="nil"/>
              <w:left w:val="nil"/>
              <w:bottom w:val="single" w:sz="4" w:space="0" w:color="auto"/>
              <w:right w:val="single" w:sz="4" w:space="0" w:color="auto"/>
            </w:tcBorders>
            <w:shd w:val="clear" w:color="auto" w:fill="FFFFFF"/>
            <w:noWrap/>
            <w:vAlign w:val="center"/>
            <w:hideMark/>
          </w:tcPr>
          <w:p w:rsidR="005727C2" w:rsidRDefault="005727C2">
            <w:pPr>
              <w:jc w:val="center"/>
              <w:rPr>
                <w:rFonts w:eastAsia="Times New Roman"/>
                <w:sz w:val="16"/>
                <w:szCs w:val="16"/>
                <w:lang w:eastAsia="en-US"/>
              </w:rPr>
            </w:pPr>
            <w:r>
              <w:rPr>
                <w:rFonts w:eastAsia="Times New Roman"/>
                <w:sz w:val="16"/>
                <w:szCs w:val="16"/>
                <w:lang w:eastAsia="en-US"/>
              </w:rPr>
              <w:t xml:space="preserve"> - </w:t>
            </w:r>
          </w:p>
        </w:tc>
        <w:tc>
          <w:tcPr>
            <w:tcW w:w="957" w:type="dxa"/>
            <w:tcBorders>
              <w:top w:val="nil"/>
              <w:left w:val="nil"/>
              <w:bottom w:val="single" w:sz="4" w:space="0" w:color="auto"/>
              <w:right w:val="single" w:sz="4" w:space="0" w:color="auto"/>
            </w:tcBorders>
            <w:shd w:val="clear" w:color="auto" w:fill="FFFFFF"/>
            <w:noWrap/>
            <w:vAlign w:val="bottom"/>
            <w:hideMark/>
          </w:tcPr>
          <w:p w:rsidR="005727C2" w:rsidRDefault="005727C2">
            <w:pPr>
              <w:rPr>
                <w:rFonts w:eastAsia="Times New Roman"/>
                <w:color w:val="000000"/>
                <w:sz w:val="16"/>
                <w:szCs w:val="16"/>
                <w:lang w:eastAsia="en-US"/>
              </w:rPr>
            </w:pPr>
            <w:r>
              <w:rPr>
                <w:rFonts w:eastAsia="Times New Roman"/>
                <w:color w:val="000000"/>
                <w:sz w:val="16"/>
                <w:szCs w:val="16"/>
                <w:lang w:eastAsia="en-US"/>
              </w:rPr>
              <w:t> </w:t>
            </w:r>
          </w:p>
        </w:tc>
      </w:tr>
      <w:tr w:rsidR="005727C2" w:rsidTr="005727C2">
        <w:trPr>
          <w:trHeight w:val="20"/>
        </w:trPr>
        <w:tc>
          <w:tcPr>
            <w:tcW w:w="865" w:type="dxa"/>
            <w:tcBorders>
              <w:top w:val="nil"/>
              <w:left w:val="single" w:sz="4" w:space="0" w:color="auto"/>
              <w:bottom w:val="single" w:sz="4" w:space="0" w:color="auto"/>
              <w:right w:val="single" w:sz="4" w:space="0" w:color="auto"/>
            </w:tcBorders>
            <w:vAlign w:val="center"/>
            <w:hideMark/>
          </w:tcPr>
          <w:p w:rsidR="005727C2" w:rsidRDefault="005727C2">
            <w:pPr>
              <w:jc w:val="center"/>
              <w:rPr>
                <w:rFonts w:eastAsia="Times New Roman"/>
                <w:sz w:val="16"/>
                <w:szCs w:val="16"/>
                <w:lang w:eastAsia="en-US"/>
              </w:rPr>
            </w:pPr>
            <w:r>
              <w:rPr>
                <w:rFonts w:eastAsia="Times New Roman"/>
                <w:sz w:val="16"/>
                <w:szCs w:val="16"/>
                <w:lang w:eastAsia="en-US"/>
              </w:rPr>
              <w:t>В.3.1.18.1</w:t>
            </w:r>
          </w:p>
        </w:tc>
        <w:tc>
          <w:tcPr>
            <w:tcW w:w="1435" w:type="dxa"/>
            <w:tcBorders>
              <w:top w:val="nil"/>
              <w:left w:val="nil"/>
              <w:bottom w:val="single" w:sz="4" w:space="0" w:color="auto"/>
              <w:right w:val="single" w:sz="4" w:space="0" w:color="auto"/>
            </w:tcBorders>
            <w:shd w:val="clear" w:color="auto" w:fill="FFFFFF"/>
            <w:vAlign w:val="center"/>
            <w:hideMark/>
          </w:tcPr>
          <w:p w:rsidR="005727C2" w:rsidRDefault="005727C2">
            <w:pPr>
              <w:rPr>
                <w:rFonts w:eastAsia="Times New Roman"/>
                <w:sz w:val="16"/>
                <w:szCs w:val="16"/>
                <w:lang w:eastAsia="en-US"/>
              </w:rPr>
            </w:pPr>
            <w:r>
              <w:rPr>
                <w:rFonts w:eastAsia="Times New Roman"/>
                <w:sz w:val="16"/>
                <w:szCs w:val="16"/>
                <w:lang w:eastAsia="en-US"/>
              </w:rPr>
              <w:t>в том числе - плановой проверки</w:t>
            </w:r>
          </w:p>
        </w:tc>
        <w:tc>
          <w:tcPr>
            <w:tcW w:w="1575" w:type="dxa"/>
            <w:tcBorders>
              <w:top w:val="nil"/>
              <w:left w:val="nil"/>
              <w:bottom w:val="single" w:sz="4" w:space="0" w:color="auto"/>
              <w:right w:val="single" w:sz="4" w:space="0" w:color="auto"/>
            </w:tcBorders>
            <w:shd w:val="clear" w:color="auto" w:fill="FFFFFF"/>
            <w:vAlign w:val="center"/>
            <w:hideMark/>
          </w:tcPr>
          <w:p w:rsidR="005727C2" w:rsidRDefault="005727C2">
            <w:pPr>
              <w:rPr>
                <w:rFonts w:eastAsia="Times New Roman"/>
                <w:sz w:val="16"/>
                <w:szCs w:val="16"/>
                <w:lang w:eastAsia="en-US"/>
              </w:rPr>
            </w:pPr>
            <w:r>
              <w:rPr>
                <w:rFonts w:eastAsia="Times New Roman"/>
                <w:sz w:val="16"/>
                <w:szCs w:val="16"/>
                <w:lang w:eastAsia="en-US"/>
              </w:rPr>
              <w:t> </w:t>
            </w:r>
          </w:p>
        </w:tc>
        <w:tc>
          <w:tcPr>
            <w:tcW w:w="939" w:type="dxa"/>
            <w:tcBorders>
              <w:top w:val="nil"/>
              <w:left w:val="nil"/>
              <w:bottom w:val="single" w:sz="4" w:space="0" w:color="auto"/>
              <w:right w:val="single" w:sz="4" w:space="0" w:color="auto"/>
            </w:tcBorders>
            <w:shd w:val="clear" w:color="auto" w:fill="FFFFFF"/>
            <w:noWrap/>
            <w:vAlign w:val="center"/>
            <w:hideMark/>
          </w:tcPr>
          <w:p w:rsidR="005727C2" w:rsidRDefault="005727C2">
            <w:pPr>
              <w:jc w:val="center"/>
              <w:rPr>
                <w:rFonts w:eastAsia="Times New Roman"/>
                <w:sz w:val="16"/>
                <w:szCs w:val="16"/>
                <w:lang w:eastAsia="en-US"/>
              </w:rPr>
            </w:pPr>
            <w:r>
              <w:rPr>
                <w:rFonts w:eastAsia="Times New Roman"/>
                <w:sz w:val="16"/>
                <w:szCs w:val="16"/>
                <w:lang w:eastAsia="en-US"/>
              </w:rPr>
              <w:t xml:space="preserve"> - </w:t>
            </w:r>
          </w:p>
        </w:tc>
        <w:tc>
          <w:tcPr>
            <w:tcW w:w="972" w:type="dxa"/>
            <w:tcBorders>
              <w:top w:val="nil"/>
              <w:left w:val="nil"/>
              <w:bottom w:val="single" w:sz="4" w:space="0" w:color="auto"/>
              <w:right w:val="single" w:sz="4" w:space="0" w:color="auto"/>
            </w:tcBorders>
            <w:shd w:val="clear" w:color="auto" w:fill="FFFFFF"/>
            <w:noWrap/>
            <w:vAlign w:val="bottom"/>
            <w:hideMark/>
          </w:tcPr>
          <w:p w:rsidR="005727C2" w:rsidRDefault="005727C2">
            <w:pPr>
              <w:rPr>
                <w:rFonts w:eastAsia="Times New Roman"/>
                <w:sz w:val="16"/>
                <w:szCs w:val="16"/>
                <w:lang w:eastAsia="en-US"/>
              </w:rPr>
            </w:pPr>
            <w:r>
              <w:rPr>
                <w:rFonts w:eastAsia="Times New Roman"/>
                <w:sz w:val="16"/>
                <w:szCs w:val="16"/>
                <w:lang w:eastAsia="en-US"/>
              </w:rPr>
              <w:t> </w:t>
            </w:r>
          </w:p>
        </w:tc>
        <w:tc>
          <w:tcPr>
            <w:tcW w:w="1186" w:type="dxa"/>
            <w:tcBorders>
              <w:top w:val="nil"/>
              <w:left w:val="nil"/>
              <w:bottom w:val="single" w:sz="4" w:space="0" w:color="auto"/>
              <w:right w:val="single" w:sz="4" w:space="0" w:color="auto"/>
            </w:tcBorders>
            <w:shd w:val="clear" w:color="auto" w:fill="FFFFFF"/>
            <w:noWrap/>
            <w:vAlign w:val="center"/>
            <w:hideMark/>
          </w:tcPr>
          <w:p w:rsidR="005727C2" w:rsidRDefault="005727C2">
            <w:pPr>
              <w:jc w:val="center"/>
              <w:rPr>
                <w:rFonts w:eastAsia="Times New Roman"/>
                <w:sz w:val="16"/>
                <w:szCs w:val="16"/>
                <w:lang w:eastAsia="en-US"/>
              </w:rPr>
            </w:pPr>
            <w:r>
              <w:rPr>
                <w:rFonts w:eastAsia="Times New Roman"/>
                <w:sz w:val="16"/>
                <w:szCs w:val="16"/>
                <w:lang w:eastAsia="en-US"/>
              </w:rPr>
              <w:t xml:space="preserve"> - </w:t>
            </w:r>
          </w:p>
        </w:tc>
        <w:tc>
          <w:tcPr>
            <w:tcW w:w="865" w:type="dxa"/>
            <w:tcBorders>
              <w:top w:val="nil"/>
              <w:left w:val="nil"/>
              <w:bottom w:val="single" w:sz="4" w:space="0" w:color="auto"/>
              <w:right w:val="single" w:sz="4" w:space="0" w:color="auto"/>
            </w:tcBorders>
            <w:shd w:val="clear" w:color="auto" w:fill="FFFFFF"/>
            <w:noWrap/>
            <w:vAlign w:val="center"/>
            <w:hideMark/>
          </w:tcPr>
          <w:p w:rsidR="005727C2" w:rsidRDefault="005727C2">
            <w:pPr>
              <w:jc w:val="center"/>
              <w:rPr>
                <w:rFonts w:eastAsia="Times New Roman"/>
                <w:sz w:val="16"/>
                <w:szCs w:val="16"/>
                <w:lang w:eastAsia="en-US"/>
              </w:rPr>
            </w:pPr>
            <w:r>
              <w:rPr>
                <w:rFonts w:eastAsia="Times New Roman"/>
                <w:sz w:val="16"/>
                <w:szCs w:val="16"/>
                <w:lang w:eastAsia="en-US"/>
              </w:rPr>
              <w:t>2</w:t>
            </w:r>
          </w:p>
        </w:tc>
        <w:tc>
          <w:tcPr>
            <w:tcW w:w="684" w:type="dxa"/>
            <w:tcBorders>
              <w:top w:val="nil"/>
              <w:left w:val="nil"/>
              <w:bottom w:val="single" w:sz="4" w:space="0" w:color="auto"/>
              <w:right w:val="single" w:sz="4" w:space="0" w:color="auto"/>
            </w:tcBorders>
            <w:shd w:val="clear" w:color="auto" w:fill="FFFFFF"/>
            <w:noWrap/>
            <w:vAlign w:val="center"/>
            <w:hideMark/>
          </w:tcPr>
          <w:p w:rsidR="005727C2" w:rsidRDefault="005727C2">
            <w:pPr>
              <w:jc w:val="center"/>
              <w:rPr>
                <w:rFonts w:eastAsia="Times New Roman"/>
                <w:sz w:val="16"/>
                <w:szCs w:val="16"/>
                <w:lang w:eastAsia="en-US"/>
              </w:rPr>
            </w:pPr>
            <w:r>
              <w:rPr>
                <w:rFonts w:eastAsia="Times New Roman"/>
                <w:sz w:val="16"/>
                <w:szCs w:val="16"/>
                <w:lang w:eastAsia="en-US"/>
              </w:rPr>
              <w:t xml:space="preserve"> - </w:t>
            </w:r>
          </w:p>
        </w:tc>
        <w:tc>
          <w:tcPr>
            <w:tcW w:w="957" w:type="dxa"/>
            <w:tcBorders>
              <w:top w:val="nil"/>
              <w:left w:val="nil"/>
              <w:bottom w:val="single" w:sz="4" w:space="0" w:color="auto"/>
              <w:right w:val="single" w:sz="4" w:space="0" w:color="auto"/>
            </w:tcBorders>
            <w:shd w:val="clear" w:color="auto" w:fill="FFFFFF"/>
            <w:noWrap/>
            <w:vAlign w:val="bottom"/>
            <w:hideMark/>
          </w:tcPr>
          <w:p w:rsidR="005727C2" w:rsidRDefault="005727C2">
            <w:pPr>
              <w:rPr>
                <w:rFonts w:eastAsia="Times New Roman"/>
                <w:color w:val="000000"/>
                <w:sz w:val="16"/>
                <w:szCs w:val="16"/>
                <w:lang w:eastAsia="en-US"/>
              </w:rPr>
            </w:pPr>
            <w:r>
              <w:rPr>
                <w:rFonts w:eastAsia="Times New Roman"/>
                <w:color w:val="000000"/>
                <w:sz w:val="16"/>
                <w:szCs w:val="16"/>
                <w:lang w:eastAsia="en-US"/>
              </w:rPr>
              <w:t> </w:t>
            </w:r>
          </w:p>
        </w:tc>
      </w:tr>
      <w:tr w:rsidR="005727C2" w:rsidTr="005727C2">
        <w:trPr>
          <w:trHeight w:val="20"/>
        </w:trPr>
        <w:tc>
          <w:tcPr>
            <w:tcW w:w="865" w:type="dxa"/>
            <w:tcBorders>
              <w:top w:val="nil"/>
              <w:left w:val="single" w:sz="4" w:space="0" w:color="auto"/>
              <w:bottom w:val="single" w:sz="4" w:space="0" w:color="auto"/>
              <w:right w:val="single" w:sz="4" w:space="0" w:color="auto"/>
            </w:tcBorders>
            <w:vAlign w:val="center"/>
            <w:hideMark/>
          </w:tcPr>
          <w:p w:rsidR="005727C2" w:rsidRDefault="005727C2">
            <w:pPr>
              <w:jc w:val="center"/>
              <w:rPr>
                <w:rFonts w:eastAsia="Times New Roman"/>
                <w:sz w:val="16"/>
                <w:szCs w:val="16"/>
                <w:lang w:eastAsia="en-US"/>
              </w:rPr>
            </w:pPr>
            <w:r>
              <w:rPr>
                <w:rFonts w:eastAsia="Times New Roman"/>
                <w:sz w:val="16"/>
                <w:szCs w:val="16"/>
                <w:lang w:eastAsia="en-US"/>
              </w:rPr>
              <w:t>В.3.1.18.2</w:t>
            </w:r>
          </w:p>
        </w:tc>
        <w:tc>
          <w:tcPr>
            <w:tcW w:w="1435" w:type="dxa"/>
            <w:tcBorders>
              <w:top w:val="nil"/>
              <w:left w:val="nil"/>
              <w:bottom w:val="single" w:sz="4" w:space="0" w:color="auto"/>
              <w:right w:val="single" w:sz="4" w:space="0" w:color="auto"/>
            </w:tcBorders>
            <w:shd w:val="clear" w:color="auto" w:fill="FFFFFF"/>
            <w:vAlign w:val="center"/>
            <w:hideMark/>
          </w:tcPr>
          <w:p w:rsidR="005727C2" w:rsidRDefault="005727C2">
            <w:pPr>
              <w:rPr>
                <w:rFonts w:eastAsia="Times New Roman"/>
                <w:sz w:val="16"/>
                <w:szCs w:val="16"/>
                <w:lang w:eastAsia="en-US"/>
              </w:rPr>
            </w:pPr>
            <w:r>
              <w:rPr>
                <w:rFonts w:eastAsia="Times New Roman"/>
                <w:sz w:val="16"/>
                <w:szCs w:val="16"/>
                <w:lang w:eastAsia="en-US"/>
              </w:rPr>
              <w:t>в том числе -  внеплановой проверки</w:t>
            </w:r>
          </w:p>
        </w:tc>
        <w:tc>
          <w:tcPr>
            <w:tcW w:w="1575" w:type="dxa"/>
            <w:tcBorders>
              <w:top w:val="nil"/>
              <w:left w:val="nil"/>
              <w:bottom w:val="single" w:sz="4" w:space="0" w:color="auto"/>
              <w:right w:val="single" w:sz="4" w:space="0" w:color="auto"/>
            </w:tcBorders>
            <w:shd w:val="clear" w:color="auto" w:fill="FFFFFF"/>
            <w:vAlign w:val="center"/>
            <w:hideMark/>
          </w:tcPr>
          <w:p w:rsidR="005727C2" w:rsidRDefault="005727C2">
            <w:pPr>
              <w:rPr>
                <w:rFonts w:eastAsia="Times New Roman"/>
                <w:sz w:val="16"/>
                <w:szCs w:val="16"/>
                <w:lang w:eastAsia="en-US"/>
              </w:rPr>
            </w:pPr>
            <w:r>
              <w:rPr>
                <w:rFonts w:eastAsia="Times New Roman"/>
                <w:sz w:val="16"/>
                <w:szCs w:val="16"/>
                <w:lang w:eastAsia="en-US"/>
              </w:rPr>
              <w:t> </w:t>
            </w:r>
          </w:p>
        </w:tc>
        <w:tc>
          <w:tcPr>
            <w:tcW w:w="939" w:type="dxa"/>
            <w:tcBorders>
              <w:top w:val="nil"/>
              <w:left w:val="nil"/>
              <w:bottom w:val="single" w:sz="4" w:space="0" w:color="auto"/>
              <w:right w:val="single" w:sz="4" w:space="0" w:color="auto"/>
            </w:tcBorders>
            <w:shd w:val="clear" w:color="auto" w:fill="FFFFFF"/>
            <w:noWrap/>
            <w:vAlign w:val="center"/>
            <w:hideMark/>
          </w:tcPr>
          <w:p w:rsidR="005727C2" w:rsidRDefault="005727C2">
            <w:pPr>
              <w:jc w:val="center"/>
              <w:rPr>
                <w:rFonts w:eastAsia="Times New Roman"/>
                <w:sz w:val="16"/>
                <w:szCs w:val="16"/>
                <w:lang w:eastAsia="en-US"/>
              </w:rPr>
            </w:pPr>
            <w:r>
              <w:rPr>
                <w:rFonts w:eastAsia="Times New Roman"/>
                <w:sz w:val="16"/>
                <w:szCs w:val="16"/>
                <w:lang w:eastAsia="en-US"/>
              </w:rPr>
              <w:t xml:space="preserve"> - </w:t>
            </w:r>
          </w:p>
        </w:tc>
        <w:tc>
          <w:tcPr>
            <w:tcW w:w="972" w:type="dxa"/>
            <w:tcBorders>
              <w:top w:val="nil"/>
              <w:left w:val="nil"/>
              <w:bottom w:val="single" w:sz="4" w:space="0" w:color="auto"/>
              <w:right w:val="single" w:sz="4" w:space="0" w:color="auto"/>
            </w:tcBorders>
            <w:shd w:val="clear" w:color="auto" w:fill="FFFFFF"/>
            <w:noWrap/>
            <w:vAlign w:val="bottom"/>
            <w:hideMark/>
          </w:tcPr>
          <w:p w:rsidR="005727C2" w:rsidRDefault="005727C2">
            <w:pPr>
              <w:rPr>
                <w:rFonts w:eastAsia="Times New Roman"/>
                <w:sz w:val="16"/>
                <w:szCs w:val="16"/>
                <w:lang w:eastAsia="en-US"/>
              </w:rPr>
            </w:pPr>
            <w:r>
              <w:rPr>
                <w:rFonts w:eastAsia="Times New Roman"/>
                <w:sz w:val="16"/>
                <w:szCs w:val="16"/>
                <w:lang w:eastAsia="en-US"/>
              </w:rPr>
              <w:t> </w:t>
            </w:r>
          </w:p>
        </w:tc>
        <w:tc>
          <w:tcPr>
            <w:tcW w:w="1186" w:type="dxa"/>
            <w:tcBorders>
              <w:top w:val="nil"/>
              <w:left w:val="nil"/>
              <w:bottom w:val="single" w:sz="4" w:space="0" w:color="auto"/>
              <w:right w:val="single" w:sz="4" w:space="0" w:color="auto"/>
            </w:tcBorders>
            <w:shd w:val="clear" w:color="auto" w:fill="FFFFFF"/>
            <w:noWrap/>
            <w:vAlign w:val="center"/>
            <w:hideMark/>
          </w:tcPr>
          <w:p w:rsidR="005727C2" w:rsidRDefault="005727C2">
            <w:pPr>
              <w:jc w:val="center"/>
              <w:rPr>
                <w:rFonts w:eastAsia="Times New Roman"/>
                <w:sz w:val="16"/>
                <w:szCs w:val="16"/>
                <w:lang w:eastAsia="en-US"/>
              </w:rPr>
            </w:pPr>
            <w:r>
              <w:rPr>
                <w:rFonts w:eastAsia="Times New Roman"/>
                <w:sz w:val="16"/>
                <w:szCs w:val="16"/>
                <w:lang w:eastAsia="en-US"/>
              </w:rPr>
              <w:t xml:space="preserve"> - </w:t>
            </w:r>
          </w:p>
        </w:tc>
        <w:tc>
          <w:tcPr>
            <w:tcW w:w="865" w:type="dxa"/>
            <w:tcBorders>
              <w:top w:val="nil"/>
              <w:left w:val="nil"/>
              <w:bottom w:val="single" w:sz="4" w:space="0" w:color="auto"/>
              <w:right w:val="single" w:sz="4" w:space="0" w:color="auto"/>
            </w:tcBorders>
            <w:shd w:val="clear" w:color="auto" w:fill="FFFFFF"/>
            <w:noWrap/>
            <w:vAlign w:val="center"/>
            <w:hideMark/>
          </w:tcPr>
          <w:p w:rsidR="005727C2" w:rsidRDefault="005727C2">
            <w:pPr>
              <w:jc w:val="center"/>
              <w:rPr>
                <w:rFonts w:eastAsia="Times New Roman"/>
                <w:sz w:val="16"/>
                <w:szCs w:val="16"/>
                <w:lang w:eastAsia="en-US"/>
              </w:rPr>
            </w:pPr>
            <w:r>
              <w:rPr>
                <w:rFonts w:eastAsia="Times New Roman"/>
                <w:sz w:val="16"/>
                <w:szCs w:val="16"/>
                <w:lang w:eastAsia="en-US"/>
              </w:rPr>
              <w:t>1</w:t>
            </w:r>
          </w:p>
        </w:tc>
        <w:tc>
          <w:tcPr>
            <w:tcW w:w="684" w:type="dxa"/>
            <w:tcBorders>
              <w:top w:val="nil"/>
              <w:left w:val="nil"/>
              <w:bottom w:val="single" w:sz="4" w:space="0" w:color="auto"/>
              <w:right w:val="single" w:sz="4" w:space="0" w:color="auto"/>
            </w:tcBorders>
            <w:shd w:val="clear" w:color="auto" w:fill="FFFFFF"/>
            <w:noWrap/>
            <w:vAlign w:val="center"/>
            <w:hideMark/>
          </w:tcPr>
          <w:p w:rsidR="005727C2" w:rsidRDefault="005727C2">
            <w:pPr>
              <w:jc w:val="center"/>
              <w:rPr>
                <w:rFonts w:eastAsia="Times New Roman"/>
                <w:sz w:val="16"/>
                <w:szCs w:val="16"/>
                <w:lang w:eastAsia="en-US"/>
              </w:rPr>
            </w:pPr>
            <w:r>
              <w:rPr>
                <w:rFonts w:eastAsia="Times New Roman"/>
                <w:sz w:val="16"/>
                <w:szCs w:val="16"/>
                <w:lang w:eastAsia="en-US"/>
              </w:rPr>
              <w:t xml:space="preserve"> - </w:t>
            </w:r>
          </w:p>
        </w:tc>
        <w:tc>
          <w:tcPr>
            <w:tcW w:w="957" w:type="dxa"/>
            <w:tcBorders>
              <w:top w:val="nil"/>
              <w:left w:val="nil"/>
              <w:bottom w:val="single" w:sz="4" w:space="0" w:color="auto"/>
              <w:right w:val="single" w:sz="4" w:space="0" w:color="auto"/>
            </w:tcBorders>
            <w:shd w:val="clear" w:color="auto" w:fill="FFFFFF"/>
            <w:noWrap/>
            <w:vAlign w:val="bottom"/>
            <w:hideMark/>
          </w:tcPr>
          <w:p w:rsidR="005727C2" w:rsidRDefault="005727C2">
            <w:pPr>
              <w:rPr>
                <w:rFonts w:eastAsia="Times New Roman"/>
                <w:color w:val="000000"/>
                <w:sz w:val="16"/>
                <w:szCs w:val="16"/>
                <w:lang w:eastAsia="en-US"/>
              </w:rPr>
            </w:pPr>
            <w:r>
              <w:rPr>
                <w:rFonts w:eastAsia="Times New Roman"/>
                <w:color w:val="000000"/>
                <w:sz w:val="16"/>
                <w:szCs w:val="16"/>
                <w:lang w:eastAsia="en-US"/>
              </w:rPr>
              <w:t> </w:t>
            </w:r>
          </w:p>
        </w:tc>
      </w:tr>
      <w:tr w:rsidR="005727C2" w:rsidTr="005727C2">
        <w:trPr>
          <w:trHeight w:val="20"/>
        </w:trPr>
        <w:tc>
          <w:tcPr>
            <w:tcW w:w="865" w:type="dxa"/>
            <w:tcBorders>
              <w:top w:val="nil"/>
              <w:left w:val="single" w:sz="4" w:space="0" w:color="auto"/>
              <w:bottom w:val="single" w:sz="4" w:space="0" w:color="auto"/>
              <w:right w:val="single" w:sz="4" w:space="0" w:color="auto"/>
            </w:tcBorders>
            <w:vAlign w:val="center"/>
            <w:hideMark/>
          </w:tcPr>
          <w:p w:rsidR="005727C2" w:rsidRDefault="005727C2">
            <w:pPr>
              <w:jc w:val="center"/>
              <w:rPr>
                <w:rFonts w:eastAsia="Times New Roman"/>
                <w:sz w:val="16"/>
                <w:szCs w:val="16"/>
                <w:lang w:eastAsia="en-US"/>
              </w:rPr>
            </w:pPr>
            <w:r>
              <w:rPr>
                <w:rFonts w:eastAsia="Times New Roman"/>
                <w:sz w:val="16"/>
                <w:szCs w:val="16"/>
                <w:lang w:eastAsia="en-US"/>
              </w:rPr>
              <w:t>В.3.1.19</w:t>
            </w:r>
          </w:p>
        </w:tc>
        <w:tc>
          <w:tcPr>
            <w:tcW w:w="1435" w:type="dxa"/>
            <w:tcBorders>
              <w:top w:val="nil"/>
              <w:left w:val="nil"/>
              <w:bottom w:val="single" w:sz="4" w:space="0" w:color="auto"/>
              <w:right w:val="single" w:sz="4" w:space="0" w:color="auto"/>
            </w:tcBorders>
            <w:shd w:val="clear" w:color="auto" w:fill="FFFFFF"/>
            <w:vAlign w:val="center"/>
            <w:hideMark/>
          </w:tcPr>
          <w:p w:rsidR="005727C2" w:rsidRDefault="005727C2">
            <w:pPr>
              <w:rPr>
                <w:rFonts w:eastAsia="Times New Roman"/>
                <w:sz w:val="16"/>
                <w:szCs w:val="16"/>
                <w:lang w:eastAsia="en-US"/>
              </w:rPr>
            </w:pPr>
            <w:r>
              <w:rPr>
                <w:rFonts w:eastAsia="Times New Roman"/>
                <w:sz w:val="16"/>
                <w:szCs w:val="16"/>
                <w:lang w:eastAsia="en-US"/>
              </w:rPr>
              <w:t>средняя продолжительность одной проверки</w:t>
            </w:r>
          </w:p>
        </w:tc>
        <w:tc>
          <w:tcPr>
            <w:tcW w:w="1575" w:type="dxa"/>
            <w:tcBorders>
              <w:top w:val="nil"/>
              <w:left w:val="nil"/>
              <w:bottom w:val="single" w:sz="4" w:space="0" w:color="auto"/>
              <w:right w:val="single" w:sz="4" w:space="0" w:color="auto"/>
            </w:tcBorders>
            <w:shd w:val="clear" w:color="auto" w:fill="FFFFFF"/>
            <w:vAlign w:val="center"/>
            <w:hideMark/>
          </w:tcPr>
          <w:p w:rsidR="005727C2" w:rsidRDefault="005727C2">
            <w:pPr>
              <w:rPr>
                <w:rFonts w:eastAsia="Times New Roman"/>
                <w:sz w:val="16"/>
                <w:szCs w:val="16"/>
                <w:lang w:eastAsia="en-US"/>
              </w:rPr>
            </w:pPr>
            <w:r>
              <w:rPr>
                <w:rFonts w:eastAsia="Times New Roman"/>
                <w:sz w:val="16"/>
                <w:szCs w:val="16"/>
                <w:lang w:eastAsia="en-US"/>
              </w:rPr>
              <w:t>показатель рассчитывается, в том числе отдельно в отношении плановых, внеплановых и межведомственных проверок</w:t>
            </w:r>
          </w:p>
        </w:tc>
        <w:tc>
          <w:tcPr>
            <w:tcW w:w="939" w:type="dxa"/>
            <w:tcBorders>
              <w:top w:val="nil"/>
              <w:left w:val="nil"/>
              <w:bottom w:val="single" w:sz="4" w:space="0" w:color="auto"/>
              <w:right w:val="single" w:sz="4" w:space="0" w:color="auto"/>
            </w:tcBorders>
            <w:shd w:val="clear" w:color="auto" w:fill="FFFFFF"/>
            <w:noWrap/>
            <w:vAlign w:val="center"/>
            <w:hideMark/>
          </w:tcPr>
          <w:p w:rsidR="005727C2" w:rsidRDefault="005727C2">
            <w:pPr>
              <w:jc w:val="center"/>
              <w:rPr>
                <w:rFonts w:eastAsia="Times New Roman"/>
                <w:sz w:val="16"/>
                <w:szCs w:val="16"/>
                <w:lang w:eastAsia="en-US"/>
              </w:rPr>
            </w:pPr>
            <w:r>
              <w:rPr>
                <w:rFonts w:eastAsia="Times New Roman"/>
                <w:sz w:val="16"/>
                <w:szCs w:val="16"/>
                <w:lang w:eastAsia="en-US"/>
              </w:rPr>
              <w:t xml:space="preserve"> - </w:t>
            </w:r>
          </w:p>
        </w:tc>
        <w:tc>
          <w:tcPr>
            <w:tcW w:w="972" w:type="dxa"/>
            <w:tcBorders>
              <w:top w:val="nil"/>
              <w:left w:val="nil"/>
              <w:bottom w:val="single" w:sz="4" w:space="0" w:color="auto"/>
              <w:right w:val="single" w:sz="4" w:space="0" w:color="auto"/>
            </w:tcBorders>
            <w:shd w:val="clear" w:color="auto" w:fill="FFFFFF"/>
            <w:noWrap/>
            <w:vAlign w:val="bottom"/>
            <w:hideMark/>
          </w:tcPr>
          <w:p w:rsidR="005727C2" w:rsidRDefault="005727C2">
            <w:pPr>
              <w:rPr>
                <w:rFonts w:eastAsia="Times New Roman"/>
                <w:sz w:val="16"/>
                <w:szCs w:val="16"/>
                <w:lang w:eastAsia="en-US"/>
              </w:rPr>
            </w:pPr>
            <w:r>
              <w:rPr>
                <w:rFonts w:eastAsia="Times New Roman"/>
                <w:sz w:val="16"/>
                <w:szCs w:val="16"/>
                <w:lang w:eastAsia="en-US"/>
              </w:rPr>
              <w:t> </w:t>
            </w:r>
          </w:p>
        </w:tc>
        <w:tc>
          <w:tcPr>
            <w:tcW w:w="1186" w:type="dxa"/>
            <w:tcBorders>
              <w:top w:val="nil"/>
              <w:left w:val="nil"/>
              <w:bottom w:val="single" w:sz="4" w:space="0" w:color="auto"/>
              <w:right w:val="single" w:sz="4" w:space="0" w:color="auto"/>
            </w:tcBorders>
            <w:shd w:val="clear" w:color="auto" w:fill="FFFFFF"/>
            <w:noWrap/>
            <w:vAlign w:val="center"/>
            <w:hideMark/>
          </w:tcPr>
          <w:p w:rsidR="005727C2" w:rsidRDefault="005727C2">
            <w:pPr>
              <w:jc w:val="center"/>
              <w:rPr>
                <w:rFonts w:eastAsia="Times New Roman"/>
                <w:sz w:val="16"/>
                <w:szCs w:val="16"/>
                <w:lang w:eastAsia="en-US"/>
              </w:rPr>
            </w:pPr>
            <w:r>
              <w:rPr>
                <w:rFonts w:eastAsia="Times New Roman"/>
                <w:sz w:val="16"/>
                <w:szCs w:val="16"/>
                <w:lang w:eastAsia="en-US"/>
              </w:rPr>
              <w:t xml:space="preserve"> - </w:t>
            </w:r>
          </w:p>
        </w:tc>
        <w:tc>
          <w:tcPr>
            <w:tcW w:w="865" w:type="dxa"/>
            <w:tcBorders>
              <w:top w:val="nil"/>
              <w:left w:val="nil"/>
              <w:bottom w:val="nil"/>
              <w:right w:val="single" w:sz="4" w:space="0" w:color="auto"/>
            </w:tcBorders>
            <w:shd w:val="clear" w:color="auto" w:fill="FFFFFF"/>
            <w:noWrap/>
            <w:vAlign w:val="center"/>
            <w:hideMark/>
          </w:tcPr>
          <w:p w:rsidR="005727C2" w:rsidRDefault="005727C2">
            <w:pPr>
              <w:jc w:val="center"/>
              <w:rPr>
                <w:rFonts w:eastAsia="Times New Roman"/>
                <w:sz w:val="16"/>
                <w:szCs w:val="16"/>
                <w:lang w:eastAsia="en-US"/>
              </w:rPr>
            </w:pPr>
            <w:r>
              <w:rPr>
                <w:rFonts w:eastAsia="Times New Roman"/>
                <w:sz w:val="16"/>
                <w:szCs w:val="16"/>
                <w:lang w:eastAsia="en-US"/>
              </w:rPr>
              <w:t>17</w:t>
            </w:r>
          </w:p>
        </w:tc>
        <w:tc>
          <w:tcPr>
            <w:tcW w:w="684" w:type="dxa"/>
            <w:tcBorders>
              <w:top w:val="nil"/>
              <w:left w:val="nil"/>
              <w:bottom w:val="single" w:sz="4" w:space="0" w:color="auto"/>
              <w:right w:val="single" w:sz="4" w:space="0" w:color="auto"/>
            </w:tcBorders>
            <w:shd w:val="clear" w:color="auto" w:fill="FFFFFF"/>
            <w:noWrap/>
            <w:vAlign w:val="center"/>
            <w:hideMark/>
          </w:tcPr>
          <w:p w:rsidR="005727C2" w:rsidRDefault="005727C2">
            <w:pPr>
              <w:jc w:val="center"/>
              <w:rPr>
                <w:rFonts w:eastAsia="Times New Roman"/>
                <w:sz w:val="16"/>
                <w:szCs w:val="16"/>
                <w:lang w:eastAsia="en-US"/>
              </w:rPr>
            </w:pPr>
            <w:r>
              <w:rPr>
                <w:rFonts w:eastAsia="Times New Roman"/>
                <w:sz w:val="16"/>
                <w:szCs w:val="16"/>
                <w:lang w:eastAsia="en-US"/>
              </w:rPr>
              <w:t xml:space="preserve"> - </w:t>
            </w:r>
          </w:p>
        </w:tc>
        <w:tc>
          <w:tcPr>
            <w:tcW w:w="957" w:type="dxa"/>
            <w:tcBorders>
              <w:top w:val="nil"/>
              <w:left w:val="nil"/>
              <w:bottom w:val="single" w:sz="4" w:space="0" w:color="auto"/>
              <w:right w:val="single" w:sz="4" w:space="0" w:color="auto"/>
            </w:tcBorders>
            <w:shd w:val="clear" w:color="auto" w:fill="FFFFFF"/>
            <w:noWrap/>
            <w:vAlign w:val="bottom"/>
            <w:hideMark/>
          </w:tcPr>
          <w:p w:rsidR="005727C2" w:rsidRDefault="005727C2">
            <w:pPr>
              <w:rPr>
                <w:rFonts w:eastAsia="Times New Roman"/>
                <w:color w:val="000000"/>
                <w:sz w:val="16"/>
                <w:szCs w:val="16"/>
                <w:lang w:eastAsia="en-US"/>
              </w:rPr>
            </w:pPr>
            <w:r>
              <w:rPr>
                <w:rFonts w:eastAsia="Times New Roman"/>
                <w:color w:val="000000"/>
                <w:sz w:val="16"/>
                <w:szCs w:val="16"/>
                <w:lang w:eastAsia="en-US"/>
              </w:rPr>
              <w:t> </w:t>
            </w:r>
          </w:p>
        </w:tc>
      </w:tr>
      <w:tr w:rsidR="005727C2" w:rsidTr="005727C2">
        <w:trPr>
          <w:trHeight w:val="20"/>
        </w:trPr>
        <w:tc>
          <w:tcPr>
            <w:tcW w:w="865" w:type="dxa"/>
            <w:tcBorders>
              <w:top w:val="nil"/>
              <w:left w:val="single" w:sz="4" w:space="0" w:color="auto"/>
              <w:bottom w:val="single" w:sz="4" w:space="0" w:color="auto"/>
              <w:right w:val="single" w:sz="4" w:space="0" w:color="auto"/>
            </w:tcBorders>
            <w:vAlign w:val="center"/>
            <w:hideMark/>
          </w:tcPr>
          <w:p w:rsidR="005727C2" w:rsidRDefault="005727C2">
            <w:pPr>
              <w:jc w:val="center"/>
              <w:rPr>
                <w:rFonts w:eastAsia="Times New Roman"/>
                <w:sz w:val="16"/>
                <w:szCs w:val="16"/>
                <w:lang w:eastAsia="en-US"/>
              </w:rPr>
            </w:pPr>
            <w:r>
              <w:rPr>
                <w:rFonts w:eastAsia="Times New Roman"/>
                <w:sz w:val="16"/>
                <w:szCs w:val="16"/>
                <w:lang w:eastAsia="en-US"/>
              </w:rPr>
              <w:t>В.3.1.19.1</w:t>
            </w:r>
          </w:p>
        </w:tc>
        <w:tc>
          <w:tcPr>
            <w:tcW w:w="1435" w:type="dxa"/>
            <w:tcBorders>
              <w:top w:val="nil"/>
              <w:left w:val="nil"/>
              <w:bottom w:val="single" w:sz="4" w:space="0" w:color="auto"/>
              <w:right w:val="single" w:sz="4" w:space="0" w:color="auto"/>
            </w:tcBorders>
            <w:shd w:val="clear" w:color="auto" w:fill="FFFFFF"/>
            <w:vAlign w:val="center"/>
            <w:hideMark/>
          </w:tcPr>
          <w:p w:rsidR="005727C2" w:rsidRDefault="005727C2">
            <w:pPr>
              <w:rPr>
                <w:rFonts w:eastAsia="Times New Roman"/>
                <w:sz w:val="16"/>
                <w:szCs w:val="16"/>
                <w:lang w:eastAsia="en-US"/>
              </w:rPr>
            </w:pPr>
            <w:r>
              <w:rPr>
                <w:rFonts w:eastAsia="Times New Roman"/>
                <w:sz w:val="16"/>
                <w:szCs w:val="16"/>
                <w:lang w:eastAsia="en-US"/>
              </w:rPr>
              <w:t>в том числе - плановой проверки</w:t>
            </w:r>
          </w:p>
        </w:tc>
        <w:tc>
          <w:tcPr>
            <w:tcW w:w="1575" w:type="dxa"/>
            <w:tcBorders>
              <w:top w:val="nil"/>
              <w:left w:val="nil"/>
              <w:bottom w:val="single" w:sz="4" w:space="0" w:color="auto"/>
              <w:right w:val="single" w:sz="4" w:space="0" w:color="auto"/>
            </w:tcBorders>
            <w:shd w:val="clear" w:color="auto" w:fill="FFFFFF"/>
            <w:vAlign w:val="center"/>
            <w:hideMark/>
          </w:tcPr>
          <w:p w:rsidR="005727C2" w:rsidRDefault="005727C2">
            <w:pPr>
              <w:rPr>
                <w:rFonts w:eastAsia="Times New Roman"/>
                <w:sz w:val="16"/>
                <w:szCs w:val="16"/>
                <w:lang w:eastAsia="en-US"/>
              </w:rPr>
            </w:pPr>
            <w:r>
              <w:rPr>
                <w:rFonts w:eastAsia="Times New Roman"/>
                <w:sz w:val="16"/>
                <w:szCs w:val="16"/>
                <w:lang w:eastAsia="en-US"/>
              </w:rPr>
              <w:t> </w:t>
            </w:r>
          </w:p>
        </w:tc>
        <w:tc>
          <w:tcPr>
            <w:tcW w:w="939" w:type="dxa"/>
            <w:tcBorders>
              <w:top w:val="nil"/>
              <w:left w:val="nil"/>
              <w:bottom w:val="single" w:sz="4" w:space="0" w:color="auto"/>
              <w:right w:val="single" w:sz="4" w:space="0" w:color="auto"/>
            </w:tcBorders>
            <w:shd w:val="clear" w:color="auto" w:fill="FFFFFF"/>
            <w:noWrap/>
            <w:vAlign w:val="center"/>
            <w:hideMark/>
          </w:tcPr>
          <w:p w:rsidR="005727C2" w:rsidRDefault="005727C2">
            <w:pPr>
              <w:jc w:val="center"/>
              <w:rPr>
                <w:rFonts w:eastAsia="Times New Roman"/>
                <w:sz w:val="16"/>
                <w:szCs w:val="16"/>
                <w:lang w:eastAsia="en-US"/>
              </w:rPr>
            </w:pPr>
            <w:r>
              <w:rPr>
                <w:rFonts w:eastAsia="Times New Roman"/>
                <w:sz w:val="16"/>
                <w:szCs w:val="16"/>
                <w:lang w:eastAsia="en-US"/>
              </w:rPr>
              <w:t xml:space="preserve"> - </w:t>
            </w:r>
          </w:p>
        </w:tc>
        <w:tc>
          <w:tcPr>
            <w:tcW w:w="972" w:type="dxa"/>
            <w:tcBorders>
              <w:top w:val="nil"/>
              <w:left w:val="nil"/>
              <w:bottom w:val="single" w:sz="4" w:space="0" w:color="auto"/>
              <w:right w:val="single" w:sz="4" w:space="0" w:color="auto"/>
            </w:tcBorders>
            <w:shd w:val="clear" w:color="auto" w:fill="FFFFFF"/>
            <w:noWrap/>
            <w:vAlign w:val="bottom"/>
            <w:hideMark/>
          </w:tcPr>
          <w:p w:rsidR="005727C2" w:rsidRDefault="005727C2">
            <w:pPr>
              <w:rPr>
                <w:rFonts w:eastAsia="Times New Roman"/>
                <w:sz w:val="16"/>
                <w:szCs w:val="16"/>
                <w:lang w:eastAsia="en-US"/>
              </w:rPr>
            </w:pPr>
            <w:r>
              <w:rPr>
                <w:rFonts w:eastAsia="Times New Roman"/>
                <w:sz w:val="16"/>
                <w:szCs w:val="16"/>
                <w:lang w:eastAsia="en-US"/>
              </w:rPr>
              <w:t> </w:t>
            </w:r>
          </w:p>
        </w:tc>
        <w:tc>
          <w:tcPr>
            <w:tcW w:w="1186" w:type="dxa"/>
            <w:tcBorders>
              <w:top w:val="nil"/>
              <w:left w:val="nil"/>
              <w:bottom w:val="single" w:sz="4" w:space="0" w:color="auto"/>
              <w:right w:val="single" w:sz="4" w:space="0" w:color="auto"/>
            </w:tcBorders>
            <w:shd w:val="clear" w:color="auto" w:fill="FFFFFF"/>
            <w:noWrap/>
            <w:vAlign w:val="center"/>
            <w:hideMark/>
          </w:tcPr>
          <w:p w:rsidR="005727C2" w:rsidRDefault="005727C2">
            <w:pPr>
              <w:jc w:val="center"/>
              <w:rPr>
                <w:rFonts w:eastAsia="Times New Roman"/>
                <w:sz w:val="16"/>
                <w:szCs w:val="16"/>
                <w:lang w:eastAsia="en-US"/>
              </w:rPr>
            </w:pPr>
            <w:r>
              <w:rPr>
                <w:rFonts w:eastAsia="Times New Roman"/>
                <w:sz w:val="16"/>
                <w:szCs w:val="16"/>
                <w:lang w:eastAsia="en-US"/>
              </w:rPr>
              <w:t xml:space="preserve"> - </w:t>
            </w:r>
          </w:p>
        </w:tc>
        <w:tc>
          <w:tcPr>
            <w:tcW w:w="865" w:type="dxa"/>
            <w:tcBorders>
              <w:top w:val="single" w:sz="4" w:space="0" w:color="auto"/>
              <w:left w:val="nil"/>
              <w:bottom w:val="single" w:sz="4" w:space="0" w:color="auto"/>
              <w:right w:val="single" w:sz="4" w:space="0" w:color="auto"/>
            </w:tcBorders>
            <w:shd w:val="clear" w:color="auto" w:fill="FFFFFF"/>
            <w:noWrap/>
            <w:vAlign w:val="center"/>
            <w:hideMark/>
          </w:tcPr>
          <w:p w:rsidR="005727C2" w:rsidRDefault="005727C2">
            <w:pPr>
              <w:jc w:val="center"/>
              <w:rPr>
                <w:rFonts w:eastAsia="Times New Roman"/>
                <w:sz w:val="16"/>
                <w:szCs w:val="16"/>
                <w:lang w:eastAsia="en-US"/>
              </w:rPr>
            </w:pPr>
            <w:r>
              <w:rPr>
                <w:rFonts w:eastAsia="Times New Roman"/>
                <w:sz w:val="16"/>
                <w:szCs w:val="16"/>
                <w:lang w:eastAsia="en-US"/>
              </w:rPr>
              <w:t>19</w:t>
            </w:r>
          </w:p>
        </w:tc>
        <w:tc>
          <w:tcPr>
            <w:tcW w:w="684" w:type="dxa"/>
            <w:tcBorders>
              <w:top w:val="nil"/>
              <w:left w:val="nil"/>
              <w:bottom w:val="single" w:sz="4" w:space="0" w:color="auto"/>
              <w:right w:val="single" w:sz="4" w:space="0" w:color="auto"/>
            </w:tcBorders>
            <w:shd w:val="clear" w:color="auto" w:fill="FFFFFF"/>
            <w:noWrap/>
            <w:vAlign w:val="center"/>
            <w:hideMark/>
          </w:tcPr>
          <w:p w:rsidR="005727C2" w:rsidRDefault="005727C2">
            <w:pPr>
              <w:jc w:val="center"/>
              <w:rPr>
                <w:rFonts w:eastAsia="Times New Roman"/>
                <w:sz w:val="16"/>
                <w:szCs w:val="16"/>
                <w:lang w:eastAsia="en-US"/>
              </w:rPr>
            </w:pPr>
            <w:r>
              <w:rPr>
                <w:rFonts w:eastAsia="Times New Roman"/>
                <w:sz w:val="16"/>
                <w:szCs w:val="16"/>
                <w:lang w:eastAsia="en-US"/>
              </w:rPr>
              <w:t xml:space="preserve"> - </w:t>
            </w:r>
          </w:p>
        </w:tc>
        <w:tc>
          <w:tcPr>
            <w:tcW w:w="957" w:type="dxa"/>
            <w:tcBorders>
              <w:top w:val="nil"/>
              <w:left w:val="nil"/>
              <w:bottom w:val="single" w:sz="4" w:space="0" w:color="auto"/>
              <w:right w:val="single" w:sz="4" w:space="0" w:color="auto"/>
            </w:tcBorders>
            <w:shd w:val="clear" w:color="auto" w:fill="FFFFFF"/>
            <w:vAlign w:val="center"/>
            <w:hideMark/>
          </w:tcPr>
          <w:p w:rsidR="005727C2" w:rsidRDefault="005727C2">
            <w:pPr>
              <w:rPr>
                <w:rFonts w:eastAsia="Times New Roman"/>
                <w:sz w:val="16"/>
                <w:szCs w:val="16"/>
                <w:lang w:eastAsia="en-US"/>
              </w:rPr>
            </w:pPr>
            <w:r>
              <w:rPr>
                <w:rFonts w:eastAsia="Times New Roman"/>
                <w:sz w:val="16"/>
                <w:szCs w:val="16"/>
                <w:lang w:eastAsia="en-US"/>
              </w:rPr>
              <w:t> </w:t>
            </w:r>
          </w:p>
        </w:tc>
      </w:tr>
      <w:tr w:rsidR="005727C2" w:rsidTr="005727C2">
        <w:trPr>
          <w:trHeight w:val="20"/>
        </w:trPr>
        <w:tc>
          <w:tcPr>
            <w:tcW w:w="865" w:type="dxa"/>
            <w:tcBorders>
              <w:top w:val="nil"/>
              <w:left w:val="single" w:sz="4" w:space="0" w:color="auto"/>
              <w:bottom w:val="single" w:sz="4" w:space="0" w:color="auto"/>
              <w:right w:val="single" w:sz="4" w:space="0" w:color="auto"/>
            </w:tcBorders>
            <w:vAlign w:val="center"/>
            <w:hideMark/>
          </w:tcPr>
          <w:p w:rsidR="005727C2" w:rsidRDefault="005727C2">
            <w:pPr>
              <w:jc w:val="center"/>
              <w:rPr>
                <w:rFonts w:eastAsia="Times New Roman"/>
                <w:sz w:val="16"/>
                <w:szCs w:val="16"/>
                <w:lang w:eastAsia="en-US"/>
              </w:rPr>
            </w:pPr>
            <w:r>
              <w:rPr>
                <w:rFonts w:eastAsia="Times New Roman"/>
                <w:sz w:val="16"/>
                <w:szCs w:val="16"/>
                <w:lang w:eastAsia="en-US"/>
              </w:rPr>
              <w:t>В.3.1.19.2</w:t>
            </w:r>
          </w:p>
        </w:tc>
        <w:tc>
          <w:tcPr>
            <w:tcW w:w="1435" w:type="dxa"/>
            <w:tcBorders>
              <w:top w:val="nil"/>
              <w:left w:val="nil"/>
              <w:bottom w:val="single" w:sz="4" w:space="0" w:color="auto"/>
              <w:right w:val="single" w:sz="4" w:space="0" w:color="auto"/>
            </w:tcBorders>
            <w:shd w:val="clear" w:color="auto" w:fill="FFFFFF"/>
            <w:vAlign w:val="center"/>
            <w:hideMark/>
          </w:tcPr>
          <w:p w:rsidR="005727C2" w:rsidRDefault="005727C2">
            <w:pPr>
              <w:rPr>
                <w:rFonts w:eastAsia="Times New Roman"/>
                <w:sz w:val="16"/>
                <w:szCs w:val="16"/>
                <w:lang w:eastAsia="en-US"/>
              </w:rPr>
            </w:pPr>
            <w:r>
              <w:rPr>
                <w:rFonts w:eastAsia="Times New Roman"/>
                <w:sz w:val="16"/>
                <w:szCs w:val="16"/>
                <w:lang w:eastAsia="en-US"/>
              </w:rPr>
              <w:t>в том числе -  внеплановой проверки</w:t>
            </w:r>
          </w:p>
        </w:tc>
        <w:tc>
          <w:tcPr>
            <w:tcW w:w="1575" w:type="dxa"/>
            <w:tcBorders>
              <w:top w:val="nil"/>
              <w:left w:val="nil"/>
              <w:bottom w:val="single" w:sz="4" w:space="0" w:color="auto"/>
              <w:right w:val="single" w:sz="4" w:space="0" w:color="auto"/>
            </w:tcBorders>
            <w:shd w:val="clear" w:color="auto" w:fill="FFFFFF"/>
            <w:noWrap/>
            <w:vAlign w:val="bottom"/>
            <w:hideMark/>
          </w:tcPr>
          <w:p w:rsidR="005727C2" w:rsidRDefault="005727C2">
            <w:pPr>
              <w:rPr>
                <w:rFonts w:eastAsia="Times New Roman"/>
                <w:sz w:val="16"/>
                <w:szCs w:val="16"/>
                <w:lang w:eastAsia="en-US"/>
              </w:rPr>
            </w:pPr>
            <w:r>
              <w:rPr>
                <w:rFonts w:eastAsia="Times New Roman"/>
                <w:sz w:val="16"/>
                <w:szCs w:val="16"/>
                <w:lang w:eastAsia="en-US"/>
              </w:rPr>
              <w:t> </w:t>
            </w:r>
          </w:p>
        </w:tc>
        <w:tc>
          <w:tcPr>
            <w:tcW w:w="939" w:type="dxa"/>
            <w:tcBorders>
              <w:top w:val="nil"/>
              <w:left w:val="nil"/>
              <w:bottom w:val="single" w:sz="4" w:space="0" w:color="auto"/>
              <w:right w:val="single" w:sz="4" w:space="0" w:color="auto"/>
            </w:tcBorders>
            <w:shd w:val="clear" w:color="auto" w:fill="FFFFFF"/>
            <w:noWrap/>
            <w:vAlign w:val="center"/>
            <w:hideMark/>
          </w:tcPr>
          <w:p w:rsidR="005727C2" w:rsidRDefault="005727C2">
            <w:pPr>
              <w:jc w:val="center"/>
              <w:rPr>
                <w:rFonts w:eastAsia="Times New Roman"/>
                <w:sz w:val="16"/>
                <w:szCs w:val="16"/>
                <w:lang w:eastAsia="en-US"/>
              </w:rPr>
            </w:pPr>
            <w:r>
              <w:rPr>
                <w:rFonts w:eastAsia="Times New Roman"/>
                <w:sz w:val="16"/>
                <w:szCs w:val="16"/>
                <w:lang w:eastAsia="en-US"/>
              </w:rPr>
              <w:t xml:space="preserve"> - </w:t>
            </w:r>
          </w:p>
        </w:tc>
        <w:tc>
          <w:tcPr>
            <w:tcW w:w="972" w:type="dxa"/>
            <w:tcBorders>
              <w:top w:val="nil"/>
              <w:left w:val="nil"/>
              <w:bottom w:val="single" w:sz="4" w:space="0" w:color="auto"/>
              <w:right w:val="single" w:sz="4" w:space="0" w:color="auto"/>
            </w:tcBorders>
            <w:shd w:val="clear" w:color="auto" w:fill="FFFFFF"/>
            <w:noWrap/>
            <w:vAlign w:val="bottom"/>
            <w:hideMark/>
          </w:tcPr>
          <w:p w:rsidR="005727C2" w:rsidRDefault="005727C2">
            <w:pPr>
              <w:rPr>
                <w:rFonts w:eastAsia="Times New Roman"/>
                <w:sz w:val="16"/>
                <w:szCs w:val="16"/>
                <w:lang w:eastAsia="en-US"/>
              </w:rPr>
            </w:pPr>
            <w:r>
              <w:rPr>
                <w:rFonts w:eastAsia="Times New Roman"/>
                <w:sz w:val="16"/>
                <w:szCs w:val="16"/>
                <w:lang w:eastAsia="en-US"/>
              </w:rPr>
              <w:t> </w:t>
            </w:r>
          </w:p>
        </w:tc>
        <w:tc>
          <w:tcPr>
            <w:tcW w:w="1186" w:type="dxa"/>
            <w:tcBorders>
              <w:top w:val="nil"/>
              <w:left w:val="nil"/>
              <w:bottom w:val="single" w:sz="4" w:space="0" w:color="auto"/>
              <w:right w:val="single" w:sz="4" w:space="0" w:color="auto"/>
            </w:tcBorders>
            <w:shd w:val="clear" w:color="auto" w:fill="FFFFFF"/>
            <w:noWrap/>
            <w:vAlign w:val="center"/>
            <w:hideMark/>
          </w:tcPr>
          <w:p w:rsidR="005727C2" w:rsidRDefault="005727C2">
            <w:pPr>
              <w:jc w:val="center"/>
              <w:rPr>
                <w:rFonts w:eastAsia="Times New Roman"/>
                <w:sz w:val="16"/>
                <w:szCs w:val="16"/>
                <w:lang w:eastAsia="en-US"/>
              </w:rPr>
            </w:pPr>
            <w:r>
              <w:rPr>
                <w:rFonts w:eastAsia="Times New Roman"/>
                <w:sz w:val="16"/>
                <w:szCs w:val="16"/>
                <w:lang w:eastAsia="en-US"/>
              </w:rPr>
              <w:t xml:space="preserve"> - </w:t>
            </w:r>
          </w:p>
        </w:tc>
        <w:tc>
          <w:tcPr>
            <w:tcW w:w="865" w:type="dxa"/>
            <w:tcBorders>
              <w:top w:val="nil"/>
              <w:left w:val="nil"/>
              <w:bottom w:val="single" w:sz="4" w:space="0" w:color="auto"/>
              <w:right w:val="single" w:sz="4" w:space="0" w:color="auto"/>
            </w:tcBorders>
            <w:shd w:val="clear" w:color="auto" w:fill="FFFFFF"/>
            <w:noWrap/>
            <w:vAlign w:val="center"/>
            <w:hideMark/>
          </w:tcPr>
          <w:p w:rsidR="005727C2" w:rsidRDefault="005727C2">
            <w:pPr>
              <w:jc w:val="center"/>
              <w:rPr>
                <w:rFonts w:eastAsia="Times New Roman"/>
                <w:sz w:val="16"/>
                <w:szCs w:val="16"/>
                <w:lang w:eastAsia="en-US"/>
              </w:rPr>
            </w:pPr>
            <w:r>
              <w:rPr>
                <w:rFonts w:eastAsia="Times New Roman"/>
                <w:sz w:val="16"/>
                <w:szCs w:val="16"/>
                <w:lang w:eastAsia="en-US"/>
              </w:rPr>
              <w:t>13</w:t>
            </w:r>
          </w:p>
        </w:tc>
        <w:tc>
          <w:tcPr>
            <w:tcW w:w="684" w:type="dxa"/>
            <w:tcBorders>
              <w:top w:val="nil"/>
              <w:left w:val="nil"/>
              <w:bottom w:val="single" w:sz="4" w:space="0" w:color="auto"/>
              <w:right w:val="single" w:sz="4" w:space="0" w:color="auto"/>
            </w:tcBorders>
            <w:shd w:val="clear" w:color="auto" w:fill="FFFFFF"/>
            <w:noWrap/>
            <w:vAlign w:val="center"/>
            <w:hideMark/>
          </w:tcPr>
          <w:p w:rsidR="005727C2" w:rsidRDefault="005727C2">
            <w:pPr>
              <w:jc w:val="center"/>
              <w:rPr>
                <w:rFonts w:eastAsia="Times New Roman"/>
                <w:sz w:val="16"/>
                <w:szCs w:val="16"/>
                <w:lang w:eastAsia="en-US"/>
              </w:rPr>
            </w:pPr>
            <w:r>
              <w:rPr>
                <w:rFonts w:eastAsia="Times New Roman"/>
                <w:sz w:val="16"/>
                <w:szCs w:val="16"/>
                <w:lang w:eastAsia="en-US"/>
              </w:rPr>
              <w:t xml:space="preserve"> - </w:t>
            </w:r>
          </w:p>
        </w:tc>
        <w:tc>
          <w:tcPr>
            <w:tcW w:w="957" w:type="dxa"/>
            <w:tcBorders>
              <w:top w:val="nil"/>
              <w:left w:val="nil"/>
              <w:bottom w:val="single" w:sz="4" w:space="0" w:color="auto"/>
              <w:right w:val="single" w:sz="4" w:space="0" w:color="auto"/>
            </w:tcBorders>
            <w:shd w:val="clear" w:color="auto" w:fill="FFFFFF"/>
            <w:noWrap/>
            <w:vAlign w:val="bottom"/>
            <w:hideMark/>
          </w:tcPr>
          <w:p w:rsidR="005727C2" w:rsidRDefault="005727C2">
            <w:pPr>
              <w:rPr>
                <w:rFonts w:eastAsia="Times New Roman"/>
                <w:sz w:val="16"/>
                <w:szCs w:val="16"/>
                <w:lang w:eastAsia="en-US"/>
              </w:rPr>
            </w:pPr>
            <w:r>
              <w:rPr>
                <w:rFonts w:eastAsia="Times New Roman"/>
                <w:sz w:val="16"/>
                <w:szCs w:val="16"/>
                <w:lang w:eastAsia="en-US"/>
              </w:rPr>
              <w:t> </w:t>
            </w:r>
          </w:p>
        </w:tc>
      </w:tr>
      <w:tr w:rsidR="005727C2" w:rsidTr="005727C2">
        <w:trPr>
          <w:trHeight w:val="20"/>
        </w:trPr>
        <w:tc>
          <w:tcPr>
            <w:tcW w:w="865" w:type="dxa"/>
            <w:tcBorders>
              <w:top w:val="nil"/>
              <w:left w:val="single" w:sz="4" w:space="0" w:color="auto"/>
              <w:bottom w:val="single" w:sz="4" w:space="0" w:color="auto"/>
              <w:right w:val="single" w:sz="4" w:space="0" w:color="auto"/>
            </w:tcBorders>
            <w:vAlign w:val="center"/>
            <w:hideMark/>
          </w:tcPr>
          <w:p w:rsidR="005727C2" w:rsidRDefault="005727C2">
            <w:pPr>
              <w:jc w:val="center"/>
              <w:rPr>
                <w:rFonts w:eastAsia="Times New Roman"/>
                <w:sz w:val="16"/>
                <w:szCs w:val="16"/>
                <w:lang w:eastAsia="en-US"/>
              </w:rPr>
            </w:pPr>
            <w:r>
              <w:rPr>
                <w:rFonts w:eastAsia="Times New Roman"/>
                <w:sz w:val="16"/>
                <w:szCs w:val="16"/>
                <w:lang w:eastAsia="en-US"/>
              </w:rPr>
              <w:t>В.3.4</w:t>
            </w:r>
          </w:p>
        </w:tc>
        <w:tc>
          <w:tcPr>
            <w:tcW w:w="8613" w:type="dxa"/>
            <w:gridSpan w:val="8"/>
            <w:tcBorders>
              <w:top w:val="single" w:sz="4" w:space="0" w:color="auto"/>
              <w:left w:val="nil"/>
              <w:bottom w:val="single" w:sz="4" w:space="0" w:color="auto"/>
              <w:right w:val="single" w:sz="4" w:space="0" w:color="auto"/>
            </w:tcBorders>
            <w:vAlign w:val="center"/>
            <w:hideMark/>
          </w:tcPr>
          <w:p w:rsidR="005727C2" w:rsidRDefault="005727C2">
            <w:pPr>
              <w:rPr>
                <w:rFonts w:eastAsia="Times New Roman"/>
                <w:sz w:val="16"/>
                <w:szCs w:val="16"/>
                <w:lang w:eastAsia="en-US"/>
              </w:rPr>
            </w:pPr>
            <w:r>
              <w:rPr>
                <w:rFonts w:eastAsia="Times New Roman"/>
                <w:sz w:val="16"/>
                <w:szCs w:val="16"/>
                <w:lang w:eastAsia="en-US"/>
              </w:rPr>
              <w:t>мониторинговые мероприятия, осуществляемые в рамках контрольно-надзорной деятельности</w:t>
            </w:r>
          </w:p>
        </w:tc>
      </w:tr>
      <w:tr w:rsidR="005727C2" w:rsidTr="005727C2">
        <w:trPr>
          <w:trHeight w:val="20"/>
        </w:trPr>
        <w:tc>
          <w:tcPr>
            <w:tcW w:w="865" w:type="dxa"/>
            <w:tcBorders>
              <w:top w:val="nil"/>
              <w:left w:val="single" w:sz="4" w:space="0" w:color="auto"/>
              <w:bottom w:val="single" w:sz="4" w:space="0" w:color="auto"/>
              <w:right w:val="single" w:sz="4" w:space="0" w:color="auto"/>
            </w:tcBorders>
            <w:vAlign w:val="center"/>
            <w:hideMark/>
          </w:tcPr>
          <w:p w:rsidR="005727C2" w:rsidRDefault="005727C2">
            <w:pPr>
              <w:jc w:val="center"/>
              <w:rPr>
                <w:rFonts w:eastAsia="Times New Roman"/>
                <w:sz w:val="16"/>
                <w:szCs w:val="16"/>
                <w:lang w:eastAsia="en-US"/>
              </w:rPr>
            </w:pPr>
            <w:r>
              <w:rPr>
                <w:rFonts w:eastAsia="Times New Roman"/>
                <w:sz w:val="16"/>
                <w:szCs w:val="16"/>
                <w:lang w:eastAsia="en-US"/>
              </w:rPr>
              <w:t>В.3.4.1</w:t>
            </w:r>
          </w:p>
        </w:tc>
        <w:tc>
          <w:tcPr>
            <w:tcW w:w="1435" w:type="dxa"/>
            <w:tcBorders>
              <w:top w:val="nil"/>
              <w:left w:val="nil"/>
              <w:bottom w:val="single" w:sz="4" w:space="0" w:color="auto"/>
              <w:right w:val="single" w:sz="4" w:space="0" w:color="auto"/>
            </w:tcBorders>
            <w:vAlign w:val="center"/>
            <w:hideMark/>
          </w:tcPr>
          <w:p w:rsidR="005727C2" w:rsidRDefault="005727C2">
            <w:pPr>
              <w:rPr>
                <w:rFonts w:eastAsia="Times New Roman"/>
                <w:sz w:val="16"/>
                <w:szCs w:val="16"/>
                <w:lang w:eastAsia="en-US"/>
              </w:rPr>
            </w:pPr>
            <w:r>
              <w:rPr>
                <w:rFonts w:eastAsia="Times New Roman"/>
                <w:sz w:val="16"/>
                <w:szCs w:val="16"/>
                <w:lang w:eastAsia="en-US"/>
              </w:rPr>
              <w:t>общее количество подконтрольных субъектов (объектов), в отношении которых осуществляются мониторинговые мероприятия</w:t>
            </w:r>
          </w:p>
        </w:tc>
        <w:tc>
          <w:tcPr>
            <w:tcW w:w="1575" w:type="dxa"/>
            <w:tcBorders>
              <w:top w:val="nil"/>
              <w:left w:val="nil"/>
              <w:bottom w:val="single" w:sz="4" w:space="0" w:color="auto"/>
              <w:right w:val="single" w:sz="4" w:space="0" w:color="auto"/>
            </w:tcBorders>
            <w:vAlign w:val="center"/>
            <w:hideMark/>
          </w:tcPr>
          <w:p w:rsidR="005727C2" w:rsidRDefault="005727C2">
            <w:pPr>
              <w:rPr>
                <w:rFonts w:eastAsia="Times New Roman"/>
                <w:sz w:val="16"/>
                <w:szCs w:val="16"/>
                <w:lang w:eastAsia="en-US"/>
              </w:rPr>
            </w:pPr>
            <w:r>
              <w:rPr>
                <w:rFonts w:eastAsia="Times New Roman"/>
                <w:sz w:val="16"/>
                <w:szCs w:val="16"/>
                <w:lang w:eastAsia="en-US"/>
              </w:rPr>
              <w:t> </w:t>
            </w:r>
          </w:p>
        </w:tc>
        <w:tc>
          <w:tcPr>
            <w:tcW w:w="939" w:type="dxa"/>
            <w:tcBorders>
              <w:top w:val="nil"/>
              <w:left w:val="nil"/>
              <w:bottom w:val="single" w:sz="4" w:space="0" w:color="auto"/>
              <w:right w:val="single" w:sz="4" w:space="0" w:color="auto"/>
            </w:tcBorders>
            <w:noWrap/>
            <w:vAlign w:val="center"/>
            <w:hideMark/>
          </w:tcPr>
          <w:p w:rsidR="005727C2" w:rsidRDefault="005727C2">
            <w:pPr>
              <w:jc w:val="center"/>
              <w:rPr>
                <w:rFonts w:eastAsia="Times New Roman"/>
                <w:sz w:val="16"/>
                <w:szCs w:val="16"/>
                <w:lang w:eastAsia="en-US"/>
              </w:rPr>
            </w:pPr>
            <w:r>
              <w:rPr>
                <w:rFonts w:eastAsia="Times New Roman"/>
                <w:sz w:val="16"/>
                <w:szCs w:val="16"/>
                <w:lang w:eastAsia="en-US"/>
              </w:rPr>
              <w:t xml:space="preserve"> - </w:t>
            </w:r>
          </w:p>
        </w:tc>
        <w:tc>
          <w:tcPr>
            <w:tcW w:w="972" w:type="dxa"/>
            <w:tcBorders>
              <w:top w:val="nil"/>
              <w:left w:val="nil"/>
              <w:bottom w:val="single" w:sz="4" w:space="0" w:color="auto"/>
              <w:right w:val="single" w:sz="4" w:space="0" w:color="auto"/>
            </w:tcBorders>
            <w:noWrap/>
            <w:vAlign w:val="bottom"/>
            <w:hideMark/>
          </w:tcPr>
          <w:p w:rsidR="005727C2" w:rsidRDefault="005727C2">
            <w:pPr>
              <w:rPr>
                <w:rFonts w:eastAsia="Times New Roman"/>
                <w:sz w:val="16"/>
                <w:szCs w:val="16"/>
                <w:lang w:eastAsia="en-US"/>
              </w:rPr>
            </w:pPr>
            <w:r>
              <w:rPr>
                <w:rFonts w:eastAsia="Times New Roman"/>
                <w:sz w:val="16"/>
                <w:szCs w:val="16"/>
                <w:lang w:eastAsia="en-US"/>
              </w:rPr>
              <w:t> </w:t>
            </w:r>
          </w:p>
        </w:tc>
        <w:tc>
          <w:tcPr>
            <w:tcW w:w="1186" w:type="dxa"/>
            <w:tcBorders>
              <w:top w:val="nil"/>
              <w:left w:val="nil"/>
              <w:bottom w:val="single" w:sz="4" w:space="0" w:color="auto"/>
              <w:right w:val="single" w:sz="4" w:space="0" w:color="auto"/>
            </w:tcBorders>
            <w:noWrap/>
            <w:vAlign w:val="center"/>
            <w:hideMark/>
          </w:tcPr>
          <w:p w:rsidR="005727C2" w:rsidRDefault="005727C2">
            <w:pPr>
              <w:jc w:val="center"/>
              <w:rPr>
                <w:rFonts w:eastAsia="Times New Roman"/>
                <w:sz w:val="16"/>
                <w:szCs w:val="16"/>
                <w:lang w:eastAsia="en-US"/>
              </w:rPr>
            </w:pPr>
            <w:r>
              <w:rPr>
                <w:rFonts w:eastAsia="Times New Roman"/>
                <w:sz w:val="16"/>
                <w:szCs w:val="16"/>
                <w:lang w:eastAsia="en-US"/>
              </w:rPr>
              <w:t xml:space="preserve"> - </w:t>
            </w:r>
          </w:p>
        </w:tc>
        <w:tc>
          <w:tcPr>
            <w:tcW w:w="865" w:type="dxa"/>
            <w:tcBorders>
              <w:top w:val="nil"/>
              <w:left w:val="nil"/>
              <w:bottom w:val="single" w:sz="4" w:space="0" w:color="auto"/>
              <w:right w:val="single" w:sz="4" w:space="0" w:color="auto"/>
            </w:tcBorders>
            <w:shd w:val="clear" w:color="auto" w:fill="FFFFFF"/>
            <w:noWrap/>
            <w:vAlign w:val="center"/>
            <w:hideMark/>
          </w:tcPr>
          <w:p w:rsidR="005727C2" w:rsidRDefault="005727C2">
            <w:pPr>
              <w:jc w:val="center"/>
              <w:rPr>
                <w:rFonts w:eastAsia="Times New Roman"/>
                <w:sz w:val="16"/>
                <w:szCs w:val="16"/>
                <w:lang w:eastAsia="en-US"/>
              </w:rPr>
            </w:pPr>
            <w:r>
              <w:rPr>
                <w:rFonts w:eastAsia="Times New Roman"/>
                <w:sz w:val="16"/>
                <w:szCs w:val="16"/>
                <w:lang w:eastAsia="en-US"/>
              </w:rPr>
              <w:t>707</w:t>
            </w:r>
          </w:p>
        </w:tc>
        <w:tc>
          <w:tcPr>
            <w:tcW w:w="684" w:type="dxa"/>
            <w:tcBorders>
              <w:top w:val="nil"/>
              <w:left w:val="nil"/>
              <w:bottom w:val="single" w:sz="4" w:space="0" w:color="auto"/>
              <w:right w:val="single" w:sz="4" w:space="0" w:color="auto"/>
            </w:tcBorders>
            <w:noWrap/>
            <w:vAlign w:val="center"/>
            <w:hideMark/>
          </w:tcPr>
          <w:p w:rsidR="005727C2" w:rsidRDefault="005727C2">
            <w:pPr>
              <w:jc w:val="center"/>
              <w:rPr>
                <w:rFonts w:eastAsia="Times New Roman"/>
                <w:sz w:val="16"/>
                <w:szCs w:val="16"/>
                <w:lang w:eastAsia="en-US"/>
              </w:rPr>
            </w:pPr>
            <w:r>
              <w:rPr>
                <w:rFonts w:eastAsia="Times New Roman"/>
                <w:sz w:val="16"/>
                <w:szCs w:val="16"/>
                <w:lang w:eastAsia="en-US"/>
              </w:rPr>
              <w:t xml:space="preserve"> - </w:t>
            </w:r>
          </w:p>
        </w:tc>
        <w:tc>
          <w:tcPr>
            <w:tcW w:w="957" w:type="dxa"/>
            <w:tcBorders>
              <w:top w:val="nil"/>
              <w:left w:val="nil"/>
              <w:bottom w:val="single" w:sz="4" w:space="0" w:color="auto"/>
              <w:right w:val="single" w:sz="4" w:space="0" w:color="auto"/>
            </w:tcBorders>
            <w:vAlign w:val="center"/>
            <w:hideMark/>
          </w:tcPr>
          <w:p w:rsidR="005727C2" w:rsidRDefault="005727C2">
            <w:pPr>
              <w:rPr>
                <w:rFonts w:eastAsia="Times New Roman"/>
                <w:sz w:val="16"/>
                <w:szCs w:val="16"/>
                <w:lang w:eastAsia="en-US"/>
              </w:rPr>
            </w:pPr>
            <w:r>
              <w:rPr>
                <w:rFonts w:eastAsia="Times New Roman"/>
                <w:sz w:val="16"/>
                <w:szCs w:val="16"/>
                <w:lang w:eastAsia="en-US"/>
              </w:rPr>
              <w:t> </w:t>
            </w:r>
          </w:p>
        </w:tc>
      </w:tr>
      <w:tr w:rsidR="005727C2" w:rsidTr="005727C2">
        <w:trPr>
          <w:trHeight w:val="20"/>
        </w:trPr>
        <w:tc>
          <w:tcPr>
            <w:tcW w:w="865" w:type="dxa"/>
            <w:tcBorders>
              <w:top w:val="nil"/>
              <w:left w:val="single" w:sz="4" w:space="0" w:color="auto"/>
              <w:bottom w:val="single" w:sz="4" w:space="0" w:color="auto"/>
              <w:right w:val="single" w:sz="4" w:space="0" w:color="auto"/>
            </w:tcBorders>
            <w:vAlign w:val="center"/>
            <w:hideMark/>
          </w:tcPr>
          <w:p w:rsidR="005727C2" w:rsidRDefault="005727C2">
            <w:pPr>
              <w:jc w:val="center"/>
              <w:rPr>
                <w:rFonts w:eastAsia="Times New Roman"/>
                <w:sz w:val="16"/>
                <w:szCs w:val="16"/>
                <w:lang w:eastAsia="en-US"/>
              </w:rPr>
            </w:pPr>
            <w:r>
              <w:rPr>
                <w:rFonts w:eastAsia="Times New Roman"/>
                <w:sz w:val="16"/>
                <w:szCs w:val="16"/>
                <w:lang w:eastAsia="en-US"/>
              </w:rPr>
              <w:t>В.3.4.2</w:t>
            </w:r>
          </w:p>
        </w:tc>
        <w:tc>
          <w:tcPr>
            <w:tcW w:w="1435" w:type="dxa"/>
            <w:tcBorders>
              <w:top w:val="nil"/>
              <w:left w:val="nil"/>
              <w:bottom w:val="single" w:sz="4" w:space="0" w:color="auto"/>
              <w:right w:val="single" w:sz="4" w:space="0" w:color="auto"/>
            </w:tcBorders>
            <w:vAlign w:val="center"/>
            <w:hideMark/>
          </w:tcPr>
          <w:p w:rsidR="005727C2" w:rsidRDefault="005727C2">
            <w:pPr>
              <w:rPr>
                <w:rFonts w:eastAsia="Times New Roman"/>
                <w:sz w:val="16"/>
                <w:szCs w:val="16"/>
                <w:lang w:eastAsia="en-US"/>
              </w:rPr>
            </w:pPr>
            <w:r>
              <w:rPr>
                <w:rFonts w:eastAsia="Times New Roman"/>
                <w:sz w:val="16"/>
                <w:szCs w:val="16"/>
                <w:lang w:eastAsia="en-US"/>
              </w:rPr>
              <w:t>доля субъектов (объектов), регулярная отчетность которых была проверена или проанализирована на предмет нарушений обязательных требований</w:t>
            </w:r>
          </w:p>
        </w:tc>
        <w:tc>
          <w:tcPr>
            <w:tcW w:w="1575" w:type="dxa"/>
            <w:tcBorders>
              <w:top w:val="nil"/>
              <w:left w:val="nil"/>
              <w:bottom w:val="single" w:sz="4" w:space="0" w:color="auto"/>
              <w:right w:val="single" w:sz="4" w:space="0" w:color="auto"/>
            </w:tcBorders>
            <w:vAlign w:val="center"/>
            <w:hideMark/>
          </w:tcPr>
          <w:p w:rsidR="005727C2" w:rsidRDefault="005727C2">
            <w:pPr>
              <w:rPr>
                <w:rFonts w:eastAsia="Times New Roman"/>
                <w:sz w:val="16"/>
                <w:szCs w:val="16"/>
                <w:lang w:eastAsia="en-US"/>
              </w:rPr>
            </w:pPr>
            <w:r>
              <w:rPr>
                <w:rFonts w:eastAsia="Times New Roman"/>
                <w:sz w:val="16"/>
                <w:szCs w:val="16"/>
                <w:lang w:eastAsia="en-US"/>
              </w:rPr>
              <w:t>показатель устанавливается в процентах от общего количества субъектов (объектов), предоставивших регулярную отчетность</w:t>
            </w:r>
          </w:p>
        </w:tc>
        <w:tc>
          <w:tcPr>
            <w:tcW w:w="939" w:type="dxa"/>
            <w:tcBorders>
              <w:top w:val="nil"/>
              <w:left w:val="nil"/>
              <w:bottom w:val="single" w:sz="4" w:space="0" w:color="auto"/>
              <w:right w:val="single" w:sz="4" w:space="0" w:color="auto"/>
            </w:tcBorders>
            <w:noWrap/>
            <w:vAlign w:val="center"/>
            <w:hideMark/>
          </w:tcPr>
          <w:p w:rsidR="005727C2" w:rsidRDefault="005727C2">
            <w:pPr>
              <w:jc w:val="center"/>
              <w:rPr>
                <w:rFonts w:eastAsia="Times New Roman"/>
                <w:sz w:val="16"/>
                <w:szCs w:val="16"/>
                <w:lang w:eastAsia="en-US"/>
              </w:rPr>
            </w:pPr>
            <w:r>
              <w:rPr>
                <w:rFonts w:eastAsia="Times New Roman"/>
                <w:sz w:val="16"/>
                <w:szCs w:val="16"/>
                <w:lang w:eastAsia="en-US"/>
              </w:rPr>
              <w:t xml:space="preserve"> - </w:t>
            </w:r>
          </w:p>
        </w:tc>
        <w:tc>
          <w:tcPr>
            <w:tcW w:w="972" w:type="dxa"/>
            <w:tcBorders>
              <w:top w:val="nil"/>
              <w:left w:val="nil"/>
              <w:bottom w:val="single" w:sz="4" w:space="0" w:color="auto"/>
              <w:right w:val="single" w:sz="4" w:space="0" w:color="auto"/>
            </w:tcBorders>
            <w:noWrap/>
            <w:vAlign w:val="bottom"/>
            <w:hideMark/>
          </w:tcPr>
          <w:p w:rsidR="005727C2" w:rsidRDefault="005727C2">
            <w:pPr>
              <w:rPr>
                <w:rFonts w:eastAsia="Times New Roman"/>
                <w:sz w:val="16"/>
                <w:szCs w:val="16"/>
                <w:lang w:eastAsia="en-US"/>
              </w:rPr>
            </w:pPr>
            <w:r>
              <w:rPr>
                <w:rFonts w:eastAsia="Times New Roman"/>
                <w:sz w:val="16"/>
                <w:szCs w:val="16"/>
                <w:lang w:eastAsia="en-US"/>
              </w:rPr>
              <w:t> </w:t>
            </w:r>
          </w:p>
        </w:tc>
        <w:tc>
          <w:tcPr>
            <w:tcW w:w="1186" w:type="dxa"/>
            <w:tcBorders>
              <w:top w:val="nil"/>
              <w:left w:val="nil"/>
              <w:bottom w:val="single" w:sz="4" w:space="0" w:color="auto"/>
              <w:right w:val="single" w:sz="4" w:space="0" w:color="auto"/>
            </w:tcBorders>
            <w:noWrap/>
            <w:vAlign w:val="center"/>
            <w:hideMark/>
          </w:tcPr>
          <w:p w:rsidR="005727C2" w:rsidRDefault="005727C2">
            <w:pPr>
              <w:jc w:val="center"/>
              <w:rPr>
                <w:rFonts w:eastAsia="Times New Roman"/>
                <w:sz w:val="16"/>
                <w:szCs w:val="16"/>
                <w:lang w:eastAsia="en-US"/>
              </w:rPr>
            </w:pPr>
            <w:r>
              <w:rPr>
                <w:rFonts w:eastAsia="Times New Roman"/>
                <w:sz w:val="16"/>
                <w:szCs w:val="16"/>
                <w:lang w:eastAsia="en-US"/>
              </w:rPr>
              <w:t xml:space="preserve"> - </w:t>
            </w:r>
          </w:p>
        </w:tc>
        <w:tc>
          <w:tcPr>
            <w:tcW w:w="865" w:type="dxa"/>
            <w:tcBorders>
              <w:top w:val="nil"/>
              <w:left w:val="nil"/>
              <w:bottom w:val="single" w:sz="4" w:space="0" w:color="auto"/>
              <w:right w:val="single" w:sz="4" w:space="0" w:color="auto"/>
            </w:tcBorders>
            <w:shd w:val="clear" w:color="auto" w:fill="FFFFFF"/>
            <w:noWrap/>
            <w:vAlign w:val="center"/>
            <w:hideMark/>
          </w:tcPr>
          <w:p w:rsidR="005727C2" w:rsidRDefault="005727C2">
            <w:pPr>
              <w:jc w:val="center"/>
              <w:rPr>
                <w:rFonts w:eastAsia="Times New Roman"/>
                <w:sz w:val="16"/>
                <w:szCs w:val="16"/>
                <w:lang w:eastAsia="en-US"/>
              </w:rPr>
            </w:pPr>
            <w:r>
              <w:rPr>
                <w:rFonts w:eastAsia="Times New Roman"/>
                <w:sz w:val="16"/>
                <w:szCs w:val="16"/>
                <w:lang w:eastAsia="en-US"/>
              </w:rPr>
              <w:t>100%</w:t>
            </w:r>
          </w:p>
        </w:tc>
        <w:tc>
          <w:tcPr>
            <w:tcW w:w="684" w:type="dxa"/>
            <w:tcBorders>
              <w:top w:val="nil"/>
              <w:left w:val="nil"/>
              <w:bottom w:val="single" w:sz="4" w:space="0" w:color="auto"/>
              <w:right w:val="single" w:sz="4" w:space="0" w:color="auto"/>
            </w:tcBorders>
            <w:noWrap/>
            <w:vAlign w:val="center"/>
            <w:hideMark/>
          </w:tcPr>
          <w:p w:rsidR="005727C2" w:rsidRDefault="005727C2">
            <w:pPr>
              <w:jc w:val="center"/>
              <w:rPr>
                <w:rFonts w:eastAsia="Times New Roman"/>
                <w:sz w:val="16"/>
                <w:szCs w:val="16"/>
                <w:lang w:eastAsia="en-US"/>
              </w:rPr>
            </w:pPr>
            <w:r>
              <w:rPr>
                <w:rFonts w:eastAsia="Times New Roman"/>
                <w:sz w:val="16"/>
                <w:szCs w:val="16"/>
                <w:lang w:eastAsia="en-US"/>
              </w:rPr>
              <w:t xml:space="preserve"> - </w:t>
            </w:r>
          </w:p>
        </w:tc>
        <w:tc>
          <w:tcPr>
            <w:tcW w:w="957" w:type="dxa"/>
            <w:tcBorders>
              <w:top w:val="nil"/>
              <w:left w:val="nil"/>
              <w:bottom w:val="single" w:sz="4" w:space="0" w:color="auto"/>
              <w:right w:val="single" w:sz="4" w:space="0" w:color="auto"/>
            </w:tcBorders>
            <w:noWrap/>
            <w:vAlign w:val="bottom"/>
            <w:hideMark/>
          </w:tcPr>
          <w:p w:rsidR="005727C2" w:rsidRDefault="005727C2">
            <w:pPr>
              <w:rPr>
                <w:rFonts w:eastAsia="Times New Roman"/>
                <w:color w:val="000000"/>
                <w:sz w:val="16"/>
                <w:szCs w:val="16"/>
                <w:lang w:eastAsia="en-US"/>
              </w:rPr>
            </w:pPr>
            <w:r>
              <w:rPr>
                <w:rFonts w:eastAsia="Times New Roman"/>
                <w:color w:val="000000"/>
                <w:sz w:val="16"/>
                <w:szCs w:val="16"/>
                <w:lang w:eastAsia="en-US"/>
              </w:rPr>
              <w:t> </w:t>
            </w:r>
          </w:p>
        </w:tc>
      </w:tr>
      <w:tr w:rsidR="005727C2" w:rsidTr="005727C2">
        <w:trPr>
          <w:trHeight w:val="20"/>
        </w:trPr>
        <w:tc>
          <w:tcPr>
            <w:tcW w:w="865" w:type="dxa"/>
            <w:tcBorders>
              <w:top w:val="nil"/>
              <w:left w:val="single" w:sz="4" w:space="0" w:color="auto"/>
              <w:bottom w:val="single" w:sz="4" w:space="0" w:color="auto"/>
              <w:right w:val="single" w:sz="4" w:space="0" w:color="auto"/>
            </w:tcBorders>
            <w:vAlign w:val="center"/>
            <w:hideMark/>
          </w:tcPr>
          <w:p w:rsidR="005727C2" w:rsidRDefault="005727C2">
            <w:pPr>
              <w:jc w:val="center"/>
              <w:rPr>
                <w:rFonts w:eastAsia="Times New Roman"/>
                <w:sz w:val="16"/>
                <w:szCs w:val="16"/>
                <w:lang w:eastAsia="en-US"/>
              </w:rPr>
            </w:pPr>
            <w:r>
              <w:rPr>
                <w:rFonts w:eastAsia="Times New Roman"/>
                <w:sz w:val="16"/>
                <w:szCs w:val="16"/>
                <w:lang w:eastAsia="en-US"/>
              </w:rPr>
              <w:t>В.3.5</w:t>
            </w:r>
          </w:p>
        </w:tc>
        <w:tc>
          <w:tcPr>
            <w:tcW w:w="8613" w:type="dxa"/>
            <w:gridSpan w:val="8"/>
            <w:tcBorders>
              <w:top w:val="single" w:sz="4" w:space="0" w:color="auto"/>
              <w:left w:val="nil"/>
              <w:bottom w:val="single" w:sz="4" w:space="0" w:color="auto"/>
              <w:right w:val="single" w:sz="4" w:space="0" w:color="auto"/>
            </w:tcBorders>
            <w:vAlign w:val="center"/>
            <w:hideMark/>
          </w:tcPr>
          <w:p w:rsidR="005727C2" w:rsidRDefault="005727C2">
            <w:pPr>
              <w:rPr>
                <w:rFonts w:eastAsia="Times New Roman"/>
                <w:sz w:val="16"/>
                <w:szCs w:val="16"/>
                <w:lang w:eastAsia="en-US"/>
              </w:rPr>
            </w:pPr>
            <w:r>
              <w:rPr>
                <w:rFonts w:eastAsia="Times New Roman"/>
                <w:sz w:val="16"/>
                <w:szCs w:val="16"/>
                <w:lang w:eastAsia="en-US"/>
              </w:rPr>
              <w:t>административные расследования</w:t>
            </w:r>
          </w:p>
        </w:tc>
      </w:tr>
      <w:tr w:rsidR="005727C2" w:rsidTr="005727C2">
        <w:trPr>
          <w:trHeight w:val="20"/>
        </w:trPr>
        <w:tc>
          <w:tcPr>
            <w:tcW w:w="865" w:type="dxa"/>
            <w:tcBorders>
              <w:top w:val="nil"/>
              <w:left w:val="single" w:sz="4" w:space="0" w:color="auto"/>
              <w:bottom w:val="single" w:sz="4" w:space="0" w:color="auto"/>
              <w:right w:val="single" w:sz="4" w:space="0" w:color="auto"/>
            </w:tcBorders>
            <w:vAlign w:val="center"/>
            <w:hideMark/>
          </w:tcPr>
          <w:p w:rsidR="005727C2" w:rsidRDefault="005727C2">
            <w:pPr>
              <w:jc w:val="center"/>
              <w:rPr>
                <w:rFonts w:eastAsia="Times New Roman"/>
                <w:sz w:val="16"/>
                <w:szCs w:val="16"/>
                <w:lang w:eastAsia="en-US"/>
              </w:rPr>
            </w:pPr>
            <w:r>
              <w:rPr>
                <w:rFonts w:eastAsia="Times New Roman"/>
                <w:sz w:val="16"/>
                <w:szCs w:val="16"/>
                <w:lang w:eastAsia="en-US"/>
              </w:rPr>
              <w:t>В.3.5.1</w:t>
            </w:r>
          </w:p>
        </w:tc>
        <w:tc>
          <w:tcPr>
            <w:tcW w:w="1435" w:type="dxa"/>
            <w:tcBorders>
              <w:top w:val="nil"/>
              <w:left w:val="nil"/>
              <w:bottom w:val="single" w:sz="4" w:space="0" w:color="auto"/>
              <w:right w:val="single" w:sz="4" w:space="0" w:color="auto"/>
            </w:tcBorders>
            <w:vAlign w:val="center"/>
            <w:hideMark/>
          </w:tcPr>
          <w:p w:rsidR="005727C2" w:rsidRDefault="005727C2">
            <w:pPr>
              <w:rPr>
                <w:rFonts w:eastAsia="Times New Roman"/>
                <w:sz w:val="16"/>
                <w:szCs w:val="16"/>
                <w:lang w:eastAsia="en-US"/>
              </w:rPr>
            </w:pPr>
            <w:r>
              <w:rPr>
                <w:rFonts w:eastAsia="Times New Roman"/>
                <w:sz w:val="16"/>
                <w:szCs w:val="16"/>
                <w:lang w:eastAsia="en-US"/>
              </w:rPr>
              <w:t>количество вынесенных определений о проведении административного расследования</w:t>
            </w:r>
          </w:p>
        </w:tc>
        <w:tc>
          <w:tcPr>
            <w:tcW w:w="1575" w:type="dxa"/>
            <w:tcBorders>
              <w:top w:val="nil"/>
              <w:left w:val="nil"/>
              <w:bottom w:val="single" w:sz="4" w:space="0" w:color="auto"/>
              <w:right w:val="single" w:sz="4" w:space="0" w:color="auto"/>
            </w:tcBorders>
            <w:vAlign w:val="center"/>
            <w:hideMark/>
          </w:tcPr>
          <w:p w:rsidR="005727C2" w:rsidRDefault="005727C2">
            <w:pPr>
              <w:rPr>
                <w:rFonts w:eastAsia="Times New Roman"/>
                <w:sz w:val="16"/>
                <w:szCs w:val="16"/>
                <w:lang w:eastAsia="en-US"/>
              </w:rPr>
            </w:pPr>
            <w:r>
              <w:rPr>
                <w:rFonts w:eastAsia="Times New Roman"/>
                <w:sz w:val="16"/>
                <w:szCs w:val="16"/>
                <w:lang w:eastAsia="en-US"/>
              </w:rPr>
              <w:t>показатели устанавливаются в соответствии с общим количеством вынесенных определений о проведении административного расследования</w:t>
            </w:r>
          </w:p>
        </w:tc>
        <w:tc>
          <w:tcPr>
            <w:tcW w:w="939" w:type="dxa"/>
            <w:tcBorders>
              <w:top w:val="nil"/>
              <w:left w:val="nil"/>
              <w:bottom w:val="single" w:sz="4" w:space="0" w:color="auto"/>
              <w:right w:val="single" w:sz="4" w:space="0" w:color="auto"/>
            </w:tcBorders>
            <w:noWrap/>
            <w:vAlign w:val="center"/>
            <w:hideMark/>
          </w:tcPr>
          <w:p w:rsidR="005727C2" w:rsidRDefault="005727C2">
            <w:pPr>
              <w:jc w:val="center"/>
              <w:rPr>
                <w:rFonts w:eastAsia="Times New Roman"/>
                <w:sz w:val="16"/>
                <w:szCs w:val="16"/>
                <w:lang w:eastAsia="en-US"/>
              </w:rPr>
            </w:pPr>
            <w:r>
              <w:rPr>
                <w:rFonts w:eastAsia="Times New Roman"/>
                <w:sz w:val="16"/>
                <w:szCs w:val="16"/>
                <w:lang w:eastAsia="en-US"/>
              </w:rPr>
              <w:t xml:space="preserve"> - </w:t>
            </w:r>
          </w:p>
        </w:tc>
        <w:tc>
          <w:tcPr>
            <w:tcW w:w="972" w:type="dxa"/>
            <w:tcBorders>
              <w:top w:val="nil"/>
              <w:left w:val="nil"/>
              <w:bottom w:val="single" w:sz="4" w:space="0" w:color="auto"/>
              <w:right w:val="single" w:sz="4" w:space="0" w:color="auto"/>
            </w:tcBorders>
            <w:noWrap/>
            <w:vAlign w:val="bottom"/>
            <w:hideMark/>
          </w:tcPr>
          <w:p w:rsidR="005727C2" w:rsidRDefault="005727C2">
            <w:pPr>
              <w:rPr>
                <w:rFonts w:eastAsia="Times New Roman"/>
                <w:sz w:val="16"/>
                <w:szCs w:val="16"/>
                <w:lang w:eastAsia="en-US"/>
              </w:rPr>
            </w:pPr>
            <w:r>
              <w:rPr>
                <w:rFonts w:eastAsia="Times New Roman"/>
                <w:sz w:val="16"/>
                <w:szCs w:val="16"/>
                <w:lang w:eastAsia="en-US"/>
              </w:rPr>
              <w:t> </w:t>
            </w:r>
          </w:p>
        </w:tc>
        <w:tc>
          <w:tcPr>
            <w:tcW w:w="1186" w:type="dxa"/>
            <w:tcBorders>
              <w:top w:val="nil"/>
              <w:left w:val="nil"/>
              <w:bottom w:val="single" w:sz="4" w:space="0" w:color="auto"/>
              <w:right w:val="single" w:sz="4" w:space="0" w:color="auto"/>
            </w:tcBorders>
            <w:noWrap/>
            <w:vAlign w:val="center"/>
            <w:hideMark/>
          </w:tcPr>
          <w:p w:rsidR="005727C2" w:rsidRDefault="005727C2">
            <w:pPr>
              <w:jc w:val="center"/>
              <w:rPr>
                <w:rFonts w:eastAsia="Times New Roman"/>
                <w:sz w:val="16"/>
                <w:szCs w:val="16"/>
                <w:lang w:eastAsia="en-US"/>
              </w:rPr>
            </w:pPr>
            <w:r>
              <w:rPr>
                <w:rFonts w:eastAsia="Times New Roman"/>
                <w:sz w:val="16"/>
                <w:szCs w:val="16"/>
                <w:lang w:eastAsia="en-US"/>
              </w:rPr>
              <w:t xml:space="preserve"> - </w:t>
            </w:r>
          </w:p>
        </w:tc>
        <w:tc>
          <w:tcPr>
            <w:tcW w:w="865" w:type="dxa"/>
            <w:tcBorders>
              <w:top w:val="nil"/>
              <w:left w:val="nil"/>
              <w:bottom w:val="single" w:sz="4" w:space="0" w:color="auto"/>
              <w:right w:val="single" w:sz="4" w:space="0" w:color="auto"/>
            </w:tcBorders>
            <w:shd w:val="clear" w:color="auto" w:fill="FFFFFF"/>
            <w:noWrap/>
            <w:vAlign w:val="center"/>
            <w:hideMark/>
          </w:tcPr>
          <w:p w:rsidR="005727C2" w:rsidRDefault="005727C2">
            <w:pPr>
              <w:jc w:val="center"/>
              <w:rPr>
                <w:rFonts w:eastAsia="Times New Roman"/>
                <w:sz w:val="16"/>
                <w:szCs w:val="16"/>
                <w:lang w:eastAsia="en-US"/>
              </w:rPr>
            </w:pPr>
            <w:r>
              <w:rPr>
                <w:rFonts w:eastAsia="Times New Roman"/>
                <w:sz w:val="16"/>
                <w:szCs w:val="16"/>
                <w:lang w:eastAsia="en-US"/>
              </w:rPr>
              <w:t>12</w:t>
            </w:r>
          </w:p>
        </w:tc>
        <w:tc>
          <w:tcPr>
            <w:tcW w:w="684" w:type="dxa"/>
            <w:tcBorders>
              <w:top w:val="nil"/>
              <w:left w:val="nil"/>
              <w:bottom w:val="single" w:sz="4" w:space="0" w:color="auto"/>
              <w:right w:val="single" w:sz="4" w:space="0" w:color="auto"/>
            </w:tcBorders>
            <w:noWrap/>
            <w:vAlign w:val="center"/>
            <w:hideMark/>
          </w:tcPr>
          <w:p w:rsidR="005727C2" w:rsidRDefault="005727C2">
            <w:pPr>
              <w:jc w:val="center"/>
              <w:rPr>
                <w:rFonts w:eastAsia="Times New Roman"/>
                <w:sz w:val="16"/>
                <w:szCs w:val="16"/>
                <w:lang w:eastAsia="en-US"/>
              </w:rPr>
            </w:pPr>
            <w:r>
              <w:rPr>
                <w:rFonts w:eastAsia="Times New Roman"/>
                <w:sz w:val="16"/>
                <w:szCs w:val="16"/>
                <w:lang w:eastAsia="en-US"/>
              </w:rPr>
              <w:t xml:space="preserve"> - </w:t>
            </w:r>
          </w:p>
        </w:tc>
        <w:tc>
          <w:tcPr>
            <w:tcW w:w="957" w:type="dxa"/>
            <w:tcBorders>
              <w:top w:val="nil"/>
              <w:left w:val="nil"/>
              <w:bottom w:val="single" w:sz="4" w:space="0" w:color="auto"/>
              <w:right w:val="single" w:sz="4" w:space="0" w:color="auto"/>
            </w:tcBorders>
            <w:vAlign w:val="center"/>
            <w:hideMark/>
          </w:tcPr>
          <w:p w:rsidR="005727C2" w:rsidRDefault="005727C2">
            <w:pPr>
              <w:rPr>
                <w:rFonts w:eastAsia="Times New Roman"/>
                <w:sz w:val="16"/>
                <w:szCs w:val="16"/>
                <w:lang w:eastAsia="en-US"/>
              </w:rPr>
            </w:pPr>
            <w:r>
              <w:rPr>
                <w:rFonts w:eastAsia="Times New Roman"/>
                <w:sz w:val="16"/>
                <w:szCs w:val="16"/>
                <w:lang w:eastAsia="en-US"/>
              </w:rPr>
              <w:t> </w:t>
            </w:r>
          </w:p>
        </w:tc>
      </w:tr>
      <w:tr w:rsidR="005727C2" w:rsidTr="005727C2">
        <w:trPr>
          <w:trHeight w:val="20"/>
        </w:trPr>
        <w:tc>
          <w:tcPr>
            <w:tcW w:w="865" w:type="dxa"/>
            <w:tcBorders>
              <w:top w:val="nil"/>
              <w:left w:val="single" w:sz="4" w:space="0" w:color="auto"/>
              <w:bottom w:val="single" w:sz="4" w:space="0" w:color="auto"/>
              <w:right w:val="single" w:sz="4" w:space="0" w:color="auto"/>
            </w:tcBorders>
            <w:vAlign w:val="center"/>
            <w:hideMark/>
          </w:tcPr>
          <w:p w:rsidR="005727C2" w:rsidRDefault="005727C2">
            <w:pPr>
              <w:jc w:val="center"/>
              <w:rPr>
                <w:rFonts w:eastAsia="Times New Roman"/>
                <w:sz w:val="16"/>
                <w:szCs w:val="16"/>
                <w:lang w:eastAsia="en-US"/>
              </w:rPr>
            </w:pPr>
            <w:r>
              <w:rPr>
                <w:rFonts w:eastAsia="Times New Roman"/>
                <w:sz w:val="16"/>
                <w:szCs w:val="16"/>
                <w:lang w:eastAsia="en-US"/>
              </w:rPr>
              <w:lastRenderedPageBreak/>
              <w:t>В.3.5.2</w:t>
            </w:r>
          </w:p>
        </w:tc>
        <w:tc>
          <w:tcPr>
            <w:tcW w:w="1435" w:type="dxa"/>
            <w:tcBorders>
              <w:top w:val="nil"/>
              <w:left w:val="nil"/>
              <w:bottom w:val="single" w:sz="4" w:space="0" w:color="auto"/>
              <w:right w:val="single" w:sz="4" w:space="0" w:color="auto"/>
            </w:tcBorders>
            <w:vAlign w:val="center"/>
            <w:hideMark/>
          </w:tcPr>
          <w:p w:rsidR="005727C2" w:rsidRDefault="005727C2">
            <w:pPr>
              <w:rPr>
                <w:rFonts w:eastAsia="Times New Roman"/>
                <w:sz w:val="16"/>
                <w:szCs w:val="16"/>
                <w:lang w:eastAsia="en-US"/>
              </w:rPr>
            </w:pPr>
            <w:r>
              <w:rPr>
                <w:rFonts w:eastAsia="Times New Roman"/>
                <w:sz w:val="16"/>
                <w:szCs w:val="16"/>
                <w:lang w:eastAsia="en-US"/>
              </w:rPr>
              <w:t>количество административных наказаний, наложенных в результате совершения административных правонарушений, по которым были проведены административные расследования</w:t>
            </w:r>
          </w:p>
        </w:tc>
        <w:tc>
          <w:tcPr>
            <w:tcW w:w="1575" w:type="dxa"/>
            <w:tcBorders>
              <w:top w:val="nil"/>
              <w:left w:val="nil"/>
              <w:bottom w:val="single" w:sz="4" w:space="0" w:color="auto"/>
              <w:right w:val="single" w:sz="4" w:space="0" w:color="auto"/>
            </w:tcBorders>
            <w:vAlign w:val="center"/>
            <w:hideMark/>
          </w:tcPr>
          <w:p w:rsidR="005727C2" w:rsidRDefault="005727C2">
            <w:pPr>
              <w:rPr>
                <w:rFonts w:eastAsia="Times New Roman"/>
                <w:sz w:val="16"/>
                <w:szCs w:val="16"/>
                <w:lang w:eastAsia="en-US"/>
              </w:rPr>
            </w:pPr>
            <w:r>
              <w:rPr>
                <w:rFonts w:eastAsia="Times New Roman"/>
                <w:sz w:val="16"/>
                <w:szCs w:val="16"/>
                <w:lang w:eastAsia="en-US"/>
              </w:rPr>
              <w:t>показатели устанавливаются по количеству административных наказаний (всего) и по видам наказаний (предупреждение, административный штраф)</w:t>
            </w:r>
          </w:p>
        </w:tc>
        <w:tc>
          <w:tcPr>
            <w:tcW w:w="939" w:type="dxa"/>
            <w:tcBorders>
              <w:top w:val="nil"/>
              <w:left w:val="nil"/>
              <w:bottom w:val="single" w:sz="4" w:space="0" w:color="auto"/>
              <w:right w:val="single" w:sz="4" w:space="0" w:color="auto"/>
            </w:tcBorders>
            <w:noWrap/>
            <w:vAlign w:val="center"/>
            <w:hideMark/>
          </w:tcPr>
          <w:p w:rsidR="005727C2" w:rsidRDefault="005727C2">
            <w:pPr>
              <w:jc w:val="center"/>
              <w:rPr>
                <w:rFonts w:eastAsia="Times New Roman"/>
                <w:sz w:val="16"/>
                <w:szCs w:val="16"/>
                <w:lang w:eastAsia="en-US"/>
              </w:rPr>
            </w:pPr>
            <w:r>
              <w:rPr>
                <w:rFonts w:eastAsia="Times New Roman"/>
                <w:sz w:val="16"/>
                <w:szCs w:val="16"/>
                <w:lang w:eastAsia="en-US"/>
              </w:rPr>
              <w:t xml:space="preserve"> - </w:t>
            </w:r>
          </w:p>
        </w:tc>
        <w:tc>
          <w:tcPr>
            <w:tcW w:w="972" w:type="dxa"/>
            <w:tcBorders>
              <w:top w:val="nil"/>
              <w:left w:val="nil"/>
              <w:bottom w:val="single" w:sz="4" w:space="0" w:color="auto"/>
              <w:right w:val="single" w:sz="4" w:space="0" w:color="auto"/>
            </w:tcBorders>
            <w:noWrap/>
            <w:vAlign w:val="bottom"/>
            <w:hideMark/>
          </w:tcPr>
          <w:p w:rsidR="005727C2" w:rsidRDefault="005727C2">
            <w:pPr>
              <w:rPr>
                <w:rFonts w:eastAsia="Times New Roman"/>
                <w:sz w:val="16"/>
                <w:szCs w:val="16"/>
                <w:lang w:eastAsia="en-US"/>
              </w:rPr>
            </w:pPr>
            <w:r>
              <w:rPr>
                <w:rFonts w:eastAsia="Times New Roman"/>
                <w:sz w:val="16"/>
                <w:szCs w:val="16"/>
                <w:lang w:eastAsia="en-US"/>
              </w:rPr>
              <w:t> </w:t>
            </w:r>
          </w:p>
        </w:tc>
        <w:tc>
          <w:tcPr>
            <w:tcW w:w="1186" w:type="dxa"/>
            <w:tcBorders>
              <w:top w:val="nil"/>
              <w:left w:val="nil"/>
              <w:bottom w:val="single" w:sz="4" w:space="0" w:color="auto"/>
              <w:right w:val="single" w:sz="4" w:space="0" w:color="auto"/>
            </w:tcBorders>
            <w:noWrap/>
            <w:vAlign w:val="center"/>
            <w:hideMark/>
          </w:tcPr>
          <w:p w:rsidR="005727C2" w:rsidRDefault="005727C2">
            <w:pPr>
              <w:jc w:val="center"/>
              <w:rPr>
                <w:rFonts w:eastAsia="Times New Roman"/>
                <w:sz w:val="16"/>
                <w:szCs w:val="16"/>
                <w:lang w:eastAsia="en-US"/>
              </w:rPr>
            </w:pPr>
            <w:r>
              <w:rPr>
                <w:rFonts w:eastAsia="Times New Roman"/>
                <w:sz w:val="16"/>
                <w:szCs w:val="16"/>
                <w:lang w:eastAsia="en-US"/>
              </w:rPr>
              <w:t xml:space="preserve"> - </w:t>
            </w:r>
          </w:p>
        </w:tc>
        <w:tc>
          <w:tcPr>
            <w:tcW w:w="865" w:type="dxa"/>
            <w:tcBorders>
              <w:top w:val="nil"/>
              <w:left w:val="nil"/>
              <w:bottom w:val="single" w:sz="4" w:space="0" w:color="auto"/>
              <w:right w:val="single" w:sz="4" w:space="0" w:color="auto"/>
            </w:tcBorders>
            <w:shd w:val="clear" w:color="auto" w:fill="FFFFFF"/>
            <w:noWrap/>
            <w:vAlign w:val="center"/>
            <w:hideMark/>
          </w:tcPr>
          <w:p w:rsidR="005727C2" w:rsidRDefault="005727C2">
            <w:pPr>
              <w:jc w:val="center"/>
              <w:rPr>
                <w:rFonts w:eastAsia="Times New Roman"/>
                <w:sz w:val="16"/>
                <w:szCs w:val="16"/>
                <w:lang w:eastAsia="en-US"/>
              </w:rPr>
            </w:pPr>
            <w:r>
              <w:rPr>
                <w:rFonts w:eastAsia="Times New Roman"/>
                <w:sz w:val="16"/>
                <w:szCs w:val="16"/>
                <w:lang w:eastAsia="en-US"/>
              </w:rPr>
              <w:t>6</w:t>
            </w:r>
          </w:p>
        </w:tc>
        <w:tc>
          <w:tcPr>
            <w:tcW w:w="684" w:type="dxa"/>
            <w:tcBorders>
              <w:top w:val="nil"/>
              <w:left w:val="nil"/>
              <w:bottom w:val="single" w:sz="4" w:space="0" w:color="auto"/>
              <w:right w:val="single" w:sz="4" w:space="0" w:color="auto"/>
            </w:tcBorders>
            <w:noWrap/>
            <w:vAlign w:val="center"/>
            <w:hideMark/>
          </w:tcPr>
          <w:p w:rsidR="005727C2" w:rsidRDefault="005727C2">
            <w:pPr>
              <w:jc w:val="center"/>
              <w:rPr>
                <w:rFonts w:eastAsia="Times New Roman"/>
                <w:sz w:val="16"/>
                <w:szCs w:val="16"/>
                <w:lang w:eastAsia="en-US"/>
              </w:rPr>
            </w:pPr>
            <w:r>
              <w:rPr>
                <w:rFonts w:eastAsia="Times New Roman"/>
                <w:sz w:val="16"/>
                <w:szCs w:val="16"/>
                <w:lang w:eastAsia="en-US"/>
              </w:rPr>
              <w:t xml:space="preserve"> - </w:t>
            </w:r>
          </w:p>
        </w:tc>
        <w:tc>
          <w:tcPr>
            <w:tcW w:w="957" w:type="dxa"/>
            <w:tcBorders>
              <w:top w:val="nil"/>
              <w:left w:val="nil"/>
              <w:bottom w:val="single" w:sz="4" w:space="0" w:color="auto"/>
              <w:right w:val="single" w:sz="4" w:space="0" w:color="auto"/>
            </w:tcBorders>
            <w:vAlign w:val="center"/>
            <w:hideMark/>
          </w:tcPr>
          <w:p w:rsidR="005727C2" w:rsidRDefault="005727C2">
            <w:pPr>
              <w:rPr>
                <w:rFonts w:eastAsia="Times New Roman"/>
                <w:sz w:val="16"/>
                <w:szCs w:val="16"/>
                <w:lang w:eastAsia="en-US"/>
              </w:rPr>
            </w:pPr>
            <w:r>
              <w:rPr>
                <w:rFonts w:eastAsia="Times New Roman"/>
                <w:sz w:val="16"/>
                <w:szCs w:val="16"/>
                <w:lang w:eastAsia="en-US"/>
              </w:rPr>
              <w:t> </w:t>
            </w:r>
          </w:p>
        </w:tc>
      </w:tr>
      <w:tr w:rsidR="005727C2" w:rsidTr="005727C2">
        <w:trPr>
          <w:trHeight w:val="20"/>
        </w:trPr>
        <w:tc>
          <w:tcPr>
            <w:tcW w:w="865" w:type="dxa"/>
            <w:tcBorders>
              <w:top w:val="nil"/>
              <w:left w:val="single" w:sz="4" w:space="0" w:color="auto"/>
              <w:bottom w:val="single" w:sz="4" w:space="0" w:color="auto"/>
              <w:right w:val="single" w:sz="4" w:space="0" w:color="auto"/>
            </w:tcBorders>
            <w:vAlign w:val="center"/>
            <w:hideMark/>
          </w:tcPr>
          <w:p w:rsidR="005727C2" w:rsidRDefault="005727C2">
            <w:pPr>
              <w:jc w:val="center"/>
              <w:rPr>
                <w:rFonts w:eastAsia="Times New Roman"/>
                <w:sz w:val="16"/>
                <w:szCs w:val="16"/>
                <w:lang w:eastAsia="en-US"/>
              </w:rPr>
            </w:pPr>
            <w:r>
              <w:rPr>
                <w:rFonts w:eastAsia="Times New Roman"/>
                <w:sz w:val="16"/>
                <w:szCs w:val="16"/>
                <w:lang w:eastAsia="en-US"/>
              </w:rPr>
              <w:t>В.3.5.3</w:t>
            </w:r>
          </w:p>
        </w:tc>
        <w:tc>
          <w:tcPr>
            <w:tcW w:w="1435" w:type="dxa"/>
            <w:tcBorders>
              <w:top w:val="nil"/>
              <w:left w:val="nil"/>
              <w:bottom w:val="single" w:sz="4" w:space="0" w:color="auto"/>
              <w:right w:val="single" w:sz="4" w:space="0" w:color="auto"/>
            </w:tcBorders>
            <w:vAlign w:val="center"/>
            <w:hideMark/>
          </w:tcPr>
          <w:p w:rsidR="005727C2" w:rsidRDefault="005727C2">
            <w:pPr>
              <w:rPr>
                <w:rFonts w:eastAsia="Times New Roman"/>
                <w:sz w:val="16"/>
                <w:szCs w:val="16"/>
                <w:lang w:eastAsia="en-US"/>
              </w:rPr>
            </w:pPr>
            <w:r>
              <w:rPr>
                <w:rFonts w:eastAsia="Times New Roman"/>
                <w:sz w:val="16"/>
                <w:szCs w:val="16"/>
                <w:lang w:eastAsia="en-US"/>
              </w:rPr>
              <w:t>общая сумма наложенных штрафов в результате совершения административных правонарушений, по которым были проведены административные расследования</w:t>
            </w:r>
          </w:p>
        </w:tc>
        <w:tc>
          <w:tcPr>
            <w:tcW w:w="1575" w:type="dxa"/>
            <w:tcBorders>
              <w:top w:val="nil"/>
              <w:left w:val="nil"/>
              <w:bottom w:val="single" w:sz="4" w:space="0" w:color="auto"/>
              <w:right w:val="single" w:sz="4" w:space="0" w:color="auto"/>
            </w:tcBorders>
            <w:vAlign w:val="center"/>
            <w:hideMark/>
          </w:tcPr>
          <w:p w:rsidR="005727C2" w:rsidRDefault="005727C2">
            <w:pPr>
              <w:rPr>
                <w:rFonts w:eastAsia="Times New Roman"/>
                <w:sz w:val="16"/>
                <w:szCs w:val="16"/>
                <w:lang w:eastAsia="en-US"/>
              </w:rPr>
            </w:pPr>
            <w:r>
              <w:rPr>
                <w:rFonts w:eastAsia="Times New Roman"/>
                <w:sz w:val="16"/>
                <w:szCs w:val="16"/>
                <w:lang w:eastAsia="en-US"/>
              </w:rPr>
              <w:t>показатель устанавливается в млн. руб. и учитывает суммы наложенных административных штрафов, в том числе на должностных лиц, индивидуальных предпринимателей, юридических лиц, граждан</w:t>
            </w:r>
          </w:p>
        </w:tc>
        <w:tc>
          <w:tcPr>
            <w:tcW w:w="939" w:type="dxa"/>
            <w:tcBorders>
              <w:top w:val="nil"/>
              <w:left w:val="nil"/>
              <w:bottom w:val="single" w:sz="4" w:space="0" w:color="auto"/>
              <w:right w:val="single" w:sz="4" w:space="0" w:color="auto"/>
            </w:tcBorders>
            <w:noWrap/>
            <w:vAlign w:val="center"/>
            <w:hideMark/>
          </w:tcPr>
          <w:p w:rsidR="005727C2" w:rsidRDefault="005727C2">
            <w:pPr>
              <w:jc w:val="center"/>
              <w:rPr>
                <w:rFonts w:eastAsia="Times New Roman"/>
                <w:sz w:val="16"/>
                <w:szCs w:val="16"/>
                <w:lang w:eastAsia="en-US"/>
              </w:rPr>
            </w:pPr>
            <w:r>
              <w:rPr>
                <w:rFonts w:eastAsia="Times New Roman"/>
                <w:sz w:val="16"/>
                <w:szCs w:val="16"/>
                <w:lang w:eastAsia="en-US"/>
              </w:rPr>
              <w:t xml:space="preserve"> - </w:t>
            </w:r>
          </w:p>
        </w:tc>
        <w:tc>
          <w:tcPr>
            <w:tcW w:w="972" w:type="dxa"/>
            <w:tcBorders>
              <w:top w:val="nil"/>
              <w:left w:val="nil"/>
              <w:bottom w:val="single" w:sz="4" w:space="0" w:color="auto"/>
              <w:right w:val="single" w:sz="4" w:space="0" w:color="auto"/>
            </w:tcBorders>
            <w:noWrap/>
            <w:vAlign w:val="bottom"/>
            <w:hideMark/>
          </w:tcPr>
          <w:p w:rsidR="005727C2" w:rsidRDefault="005727C2">
            <w:pPr>
              <w:rPr>
                <w:rFonts w:eastAsia="Times New Roman"/>
                <w:sz w:val="16"/>
                <w:szCs w:val="16"/>
                <w:lang w:eastAsia="en-US"/>
              </w:rPr>
            </w:pPr>
            <w:r>
              <w:rPr>
                <w:rFonts w:eastAsia="Times New Roman"/>
                <w:sz w:val="16"/>
                <w:szCs w:val="16"/>
                <w:lang w:eastAsia="en-US"/>
              </w:rPr>
              <w:t> </w:t>
            </w:r>
          </w:p>
        </w:tc>
        <w:tc>
          <w:tcPr>
            <w:tcW w:w="1186" w:type="dxa"/>
            <w:tcBorders>
              <w:top w:val="nil"/>
              <w:left w:val="nil"/>
              <w:bottom w:val="single" w:sz="4" w:space="0" w:color="auto"/>
              <w:right w:val="single" w:sz="4" w:space="0" w:color="auto"/>
            </w:tcBorders>
            <w:noWrap/>
            <w:vAlign w:val="center"/>
            <w:hideMark/>
          </w:tcPr>
          <w:p w:rsidR="005727C2" w:rsidRDefault="005727C2">
            <w:pPr>
              <w:jc w:val="center"/>
              <w:rPr>
                <w:rFonts w:eastAsia="Times New Roman"/>
                <w:sz w:val="16"/>
                <w:szCs w:val="16"/>
                <w:lang w:eastAsia="en-US"/>
              </w:rPr>
            </w:pPr>
            <w:r>
              <w:rPr>
                <w:rFonts w:eastAsia="Times New Roman"/>
                <w:sz w:val="16"/>
                <w:szCs w:val="16"/>
                <w:lang w:eastAsia="en-US"/>
              </w:rPr>
              <w:t xml:space="preserve"> - </w:t>
            </w:r>
          </w:p>
        </w:tc>
        <w:tc>
          <w:tcPr>
            <w:tcW w:w="865" w:type="dxa"/>
            <w:tcBorders>
              <w:top w:val="nil"/>
              <w:left w:val="nil"/>
              <w:bottom w:val="single" w:sz="4" w:space="0" w:color="auto"/>
              <w:right w:val="single" w:sz="4" w:space="0" w:color="auto"/>
            </w:tcBorders>
            <w:shd w:val="clear" w:color="auto" w:fill="FFFFFF"/>
            <w:noWrap/>
            <w:vAlign w:val="center"/>
            <w:hideMark/>
          </w:tcPr>
          <w:p w:rsidR="005727C2" w:rsidRDefault="005727C2">
            <w:pPr>
              <w:jc w:val="center"/>
              <w:rPr>
                <w:rFonts w:eastAsia="Times New Roman"/>
                <w:sz w:val="16"/>
                <w:szCs w:val="16"/>
                <w:lang w:eastAsia="en-US"/>
              </w:rPr>
            </w:pPr>
            <w:r>
              <w:rPr>
                <w:rFonts w:eastAsia="Times New Roman"/>
                <w:sz w:val="16"/>
                <w:szCs w:val="16"/>
                <w:lang w:eastAsia="en-US"/>
              </w:rPr>
              <w:t>0,3</w:t>
            </w:r>
          </w:p>
        </w:tc>
        <w:tc>
          <w:tcPr>
            <w:tcW w:w="684" w:type="dxa"/>
            <w:tcBorders>
              <w:top w:val="nil"/>
              <w:left w:val="nil"/>
              <w:bottom w:val="single" w:sz="4" w:space="0" w:color="auto"/>
              <w:right w:val="single" w:sz="4" w:space="0" w:color="auto"/>
            </w:tcBorders>
            <w:noWrap/>
            <w:vAlign w:val="center"/>
            <w:hideMark/>
          </w:tcPr>
          <w:p w:rsidR="005727C2" w:rsidRDefault="005727C2">
            <w:pPr>
              <w:jc w:val="center"/>
              <w:rPr>
                <w:rFonts w:eastAsia="Times New Roman"/>
                <w:sz w:val="16"/>
                <w:szCs w:val="16"/>
                <w:lang w:eastAsia="en-US"/>
              </w:rPr>
            </w:pPr>
            <w:r>
              <w:rPr>
                <w:rFonts w:eastAsia="Times New Roman"/>
                <w:sz w:val="16"/>
                <w:szCs w:val="16"/>
                <w:lang w:eastAsia="en-US"/>
              </w:rPr>
              <w:t xml:space="preserve"> - </w:t>
            </w:r>
          </w:p>
        </w:tc>
        <w:tc>
          <w:tcPr>
            <w:tcW w:w="957" w:type="dxa"/>
            <w:tcBorders>
              <w:top w:val="nil"/>
              <w:left w:val="nil"/>
              <w:bottom w:val="single" w:sz="4" w:space="0" w:color="auto"/>
              <w:right w:val="single" w:sz="4" w:space="0" w:color="auto"/>
            </w:tcBorders>
            <w:vAlign w:val="center"/>
            <w:hideMark/>
          </w:tcPr>
          <w:p w:rsidR="005727C2" w:rsidRDefault="005727C2">
            <w:pPr>
              <w:rPr>
                <w:rFonts w:eastAsia="Times New Roman"/>
                <w:sz w:val="16"/>
                <w:szCs w:val="16"/>
                <w:lang w:eastAsia="en-US"/>
              </w:rPr>
            </w:pPr>
            <w:r>
              <w:rPr>
                <w:rFonts w:eastAsia="Times New Roman"/>
                <w:sz w:val="16"/>
                <w:szCs w:val="16"/>
                <w:lang w:eastAsia="en-US"/>
              </w:rPr>
              <w:t> </w:t>
            </w:r>
          </w:p>
        </w:tc>
      </w:tr>
      <w:tr w:rsidR="005727C2" w:rsidTr="005727C2">
        <w:trPr>
          <w:trHeight w:val="20"/>
        </w:trPr>
        <w:tc>
          <w:tcPr>
            <w:tcW w:w="865" w:type="dxa"/>
            <w:tcBorders>
              <w:top w:val="nil"/>
              <w:left w:val="single" w:sz="4" w:space="0" w:color="auto"/>
              <w:bottom w:val="single" w:sz="4" w:space="0" w:color="auto"/>
              <w:right w:val="single" w:sz="4" w:space="0" w:color="auto"/>
            </w:tcBorders>
            <w:vAlign w:val="center"/>
            <w:hideMark/>
          </w:tcPr>
          <w:p w:rsidR="005727C2" w:rsidRDefault="005727C2">
            <w:pPr>
              <w:jc w:val="center"/>
              <w:rPr>
                <w:rFonts w:eastAsia="Times New Roman"/>
                <w:sz w:val="16"/>
                <w:szCs w:val="16"/>
                <w:lang w:eastAsia="en-US"/>
              </w:rPr>
            </w:pPr>
            <w:r>
              <w:rPr>
                <w:rFonts w:eastAsia="Times New Roman"/>
                <w:sz w:val="16"/>
                <w:szCs w:val="16"/>
                <w:lang w:eastAsia="en-US"/>
              </w:rPr>
              <w:t>В.3.5.4</w:t>
            </w:r>
          </w:p>
        </w:tc>
        <w:tc>
          <w:tcPr>
            <w:tcW w:w="1435" w:type="dxa"/>
            <w:tcBorders>
              <w:top w:val="nil"/>
              <w:left w:val="nil"/>
              <w:bottom w:val="single" w:sz="4" w:space="0" w:color="auto"/>
              <w:right w:val="single" w:sz="4" w:space="0" w:color="auto"/>
            </w:tcBorders>
            <w:vAlign w:val="center"/>
            <w:hideMark/>
          </w:tcPr>
          <w:p w:rsidR="005727C2" w:rsidRDefault="005727C2">
            <w:pPr>
              <w:rPr>
                <w:rFonts w:eastAsia="Times New Roman"/>
                <w:sz w:val="16"/>
                <w:szCs w:val="16"/>
                <w:lang w:eastAsia="en-US"/>
              </w:rPr>
            </w:pPr>
            <w:r>
              <w:rPr>
                <w:rFonts w:eastAsia="Times New Roman"/>
                <w:sz w:val="16"/>
                <w:szCs w:val="16"/>
                <w:lang w:eastAsia="en-US"/>
              </w:rPr>
              <w:t>доля штрафов, наложенных в результате совершения административных правонарушений, по которым были проведены административные расследования</w:t>
            </w:r>
          </w:p>
        </w:tc>
        <w:tc>
          <w:tcPr>
            <w:tcW w:w="1575" w:type="dxa"/>
            <w:tcBorders>
              <w:top w:val="nil"/>
              <w:left w:val="nil"/>
              <w:bottom w:val="single" w:sz="4" w:space="0" w:color="auto"/>
              <w:right w:val="single" w:sz="4" w:space="0" w:color="auto"/>
            </w:tcBorders>
            <w:vAlign w:val="center"/>
            <w:hideMark/>
          </w:tcPr>
          <w:p w:rsidR="005727C2" w:rsidRDefault="005727C2">
            <w:pPr>
              <w:rPr>
                <w:rFonts w:eastAsia="Times New Roman"/>
                <w:sz w:val="16"/>
                <w:szCs w:val="16"/>
                <w:lang w:eastAsia="en-US"/>
              </w:rPr>
            </w:pPr>
            <w:r>
              <w:rPr>
                <w:rFonts w:eastAsia="Times New Roman"/>
                <w:sz w:val="16"/>
                <w:szCs w:val="16"/>
                <w:lang w:eastAsia="en-US"/>
              </w:rPr>
              <w:t>показатель устанавливается в процентах от общего количества наказаний, наложенных после проведения административного расследования</w:t>
            </w:r>
          </w:p>
        </w:tc>
        <w:tc>
          <w:tcPr>
            <w:tcW w:w="939" w:type="dxa"/>
            <w:tcBorders>
              <w:top w:val="nil"/>
              <w:left w:val="nil"/>
              <w:bottom w:val="single" w:sz="4" w:space="0" w:color="auto"/>
              <w:right w:val="single" w:sz="4" w:space="0" w:color="auto"/>
            </w:tcBorders>
            <w:noWrap/>
            <w:vAlign w:val="center"/>
            <w:hideMark/>
          </w:tcPr>
          <w:p w:rsidR="005727C2" w:rsidRDefault="005727C2">
            <w:pPr>
              <w:jc w:val="center"/>
              <w:rPr>
                <w:rFonts w:eastAsia="Times New Roman"/>
                <w:sz w:val="16"/>
                <w:szCs w:val="16"/>
                <w:lang w:eastAsia="en-US"/>
              </w:rPr>
            </w:pPr>
            <w:r>
              <w:rPr>
                <w:rFonts w:eastAsia="Times New Roman"/>
                <w:sz w:val="16"/>
                <w:szCs w:val="16"/>
                <w:lang w:eastAsia="en-US"/>
              </w:rPr>
              <w:t xml:space="preserve"> - </w:t>
            </w:r>
          </w:p>
        </w:tc>
        <w:tc>
          <w:tcPr>
            <w:tcW w:w="972" w:type="dxa"/>
            <w:tcBorders>
              <w:top w:val="nil"/>
              <w:left w:val="nil"/>
              <w:bottom w:val="single" w:sz="4" w:space="0" w:color="auto"/>
              <w:right w:val="single" w:sz="4" w:space="0" w:color="auto"/>
            </w:tcBorders>
            <w:noWrap/>
            <w:vAlign w:val="bottom"/>
            <w:hideMark/>
          </w:tcPr>
          <w:p w:rsidR="005727C2" w:rsidRDefault="005727C2">
            <w:pPr>
              <w:rPr>
                <w:rFonts w:eastAsia="Times New Roman"/>
                <w:sz w:val="16"/>
                <w:szCs w:val="16"/>
                <w:lang w:eastAsia="en-US"/>
              </w:rPr>
            </w:pPr>
            <w:r>
              <w:rPr>
                <w:rFonts w:eastAsia="Times New Roman"/>
                <w:sz w:val="16"/>
                <w:szCs w:val="16"/>
                <w:lang w:eastAsia="en-US"/>
              </w:rPr>
              <w:t> </w:t>
            </w:r>
          </w:p>
        </w:tc>
        <w:tc>
          <w:tcPr>
            <w:tcW w:w="1186" w:type="dxa"/>
            <w:tcBorders>
              <w:top w:val="nil"/>
              <w:left w:val="nil"/>
              <w:bottom w:val="single" w:sz="4" w:space="0" w:color="auto"/>
              <w:right w:val="single" w:sz="4" w:space="0" w:color="auto"/>
            </w:tcBorders>
            <w:noWrap/>
            <w:vAlign w:val="center"/>
            <w:hideMark/>
          </w:tcPr>
          <w:p w:rsidR="005727C2" w:rsidRDefault="005727C2">
            <w:pPr>
              <w:jc w:val="center"/>
              <w:rPr>
                <w:rFonts w:eastAsia="Times New Roman"/>
                <w:sz w:val="16"/>
                <w:szCs w:val="16"/>
                <w:lang w:eastAsia="en-US"/>
              </w:rPr>
            </w:pPr>
            <w:r>
              <w:rPr>
                <w:rFonts w:eastAsia="Times New Roman"/>
                <w:sz w:val="16"/>
                <w:szCs w:val="16"/>
                <w:lang w:eastAsia="en-US"/>
              </w:rPr>
              <w:t xml:space="preserve"> - </w:t>
            </w:r>
          </w:p>
        </w:tc>
        <w:tc>
          <w:tcPr>
            <w:tcW w:w="865" w:type="dxa"/>
            <w:tcBorders>
              <w:top w:val="nil"/>
              <w:left w:val="nil"/>
              <w:bottom w:val="single" w:sz="4" w:space="0" w:color="auto"/>
              <w:right w:val="single" w:sz="4" w:space="0" w:color="auto"/>
            </w:tcBorders>
            <w:shd w:val="clear" w:color="auto" w:fill="FFFFFF"/>
            <w:noWrap/>
            <w:vAlign w:val="center"/>
            <w:hideMark/>
          </w:tcPr>
          <w:p w:rsidR="005727C2" w:rsidRDefault="005727C2">
            <w:pPr>
              <w:jc w:val="center"/>
              <w:rPr>
                <w:rFonts w:eastAsia="Times New Roman"/>
                <w:sz w:val="16"/>
                <w:szCs w:val="16"/>
                <w:lang w:eastAsia="en-US"/>
              </w:rPr>
            </w:pPr>
            <w:r>
              <w:rPr>
                <w:rFonts w:eastAsia="Times New Roman"/>
                <w:sz w:val="16"/>
                <w:szCs w:val="16"/>
                <w:lang w:eastAsia="en-US"/>
              </w:rPr>
              <w:t>50%</w:t>
            </w:r>
          </w:p>
        </w:tc>
        <w:tc>
          <w:tcPr>
            <w:tcW w:w="684" w:type="dxa"/>
            <w:tcBorders>
              <w:top w:val="nil"/>
              <w:left w:val="nil"/>
              <w:bottom w:val="single" w:sz="4" w:space="0" w:color="auto"/>
              <w:right w:val="single" w:sz="4" w:space="0" w:color="auto"/>
            </w:tcBorders>
            <w:noWrap/>
            <w:vAlign w:val="center"/>
            <w:hideMark/>
          </w:tcPr>
          <w:p w:rsidR="005727C2" w:rsidRDefault="005727C2">
            <w:pPr>
              <w:jc w:val="center"/>
              <w:rPr>
                <w:rFonts w:eastAsia="Times New Roman"/>
                <w:sz w:val="16"/>
                <w:szCs w:val="16"/>
                <w:lang w:eastAsia="en-US"/>
              </w:rPr>
            </w:pPr>
            <w:r>
              <w:rPr>
                <w:rFonts w:eastAsia="Times New Roman"/>
                <w:sz w:val="16"/>
                <w:szCs w:val="16"/>
                <w:lang w:eastAsia="en-US"/>
              </w:rPr>
              <w:t xml:space="preserve"> - </w:t>
            </w:r>
          </w:p>
        </w:tc>
        <w:tc>
          <w:tcPr>
            <w:tcW w:w="957" w:type="dxa"/>
            <w:tcBorders>
              <w:top w:val="nil"/>
              <w:left w:val="nil"/>
              <w:bottom w:val="single" w:sz="4" w:space="0" w:color="auto"/>
              <w:right w:val="single" w:sz="4" w:space="0" w:color="auto"/>
            </w:tcBorders>
            <w:vAlign w:val="center"/>
            <w:hideMark/>
          </w:tcPr>
          <w:p w:rsidR="005727C2" w:rsidRDefault="005727C2">
            <w:pPr>
              <w:rPr>
                <w:rFonts w:eastAsia="Times New Roman"/>
                <w:sz w:val="16"/>
                <w:szCs w:val="16"/>
                <w:lang w:eastAsia="en-US"/>
              </w:rPr>
            </w:pPr>
            <w:r>
              <w:rPr>
                <w:rFonts w:eastAsia="Times New Roman"/>
                <w:sz w:val="16"/>
                <w:szCs w:val="16"/>
                <w:lang w:eastAsia="en-US"/>
              </w:rPr>
              <w:t> </w:t>
            </w:r>
          </w:p>
        </w:tc>
      </w:tr>
      <w:tr w:rsidR="005727C2" w:rsidTr="005727C2">
        <w:trPr>
          <w:trHeight w:val="20"/>
        </w:trPr>
        <w:tc>
          <w:tcPr>
            <w:tcW w:w="865" w:type="dxa"/>
            <w:tcBorders>
              <w:top w:val="nil"/>
              <w:left w:val="single" w:sz="4" w:space="0" w:color="auto"/>
              <w:bottom w:val="single" w:sz="4" w:space="0" w:color="auto"/>
              <w:right w:val="single" w:sz="4" w:space="0" w:color="auto"/>
            </w:tcBorders>
            <w:vAlign w:val="center"/>
            <w:hideMark/>
          </w:tcPr>
          <w:p w:rsidR="005727C2" w:rsidRDefault="005727C2">
            <w:pPr>
              <w:jc w:val="center"/>
              <w:rPr>
                <w:rFonts w:eastAsia="Times New Roman"/>
                <w:sz w:val="16"/>
                <w:szCs w:val="16"/>
                <w:lang w:eastAsia="en-US"/>
              </w:rPr>
            </w:pPr>
            <w:r>
              <w:rPr>
                <w:rFonts w:eastAsia="Times New Roman"/>
                <w:sz w:val="16"/>
                <w:szCs w:val="16"/>
                <w:lang w:eastAsia="en-US"/>
              </w:rPr>
              <w:t>В.3.5.5</w:t>
            </w:r>
          </w:p>
        </w:tc>
        <w:tc>
          <w:tcPr>
            <w:tcW w:w="1435" w:type="dxa"/>
            <w:tcBorders>
              <w:top w:val="nil"/>
              <w:left w:val="nil"/>
              <w:bottom w:val="single" w:sz="4" w:space="0" w:color="auto"/>
              <w:right w:val="single" w:sz="4" w:space="0" w:color="auto"/>
            </w:tcBorders>
            <w:vAlign w:val="center"/>
            <w:hideMark/>
          </w:tcPr>
          <w:p w:rsidR="005727C2" w:rsidRDefault="005727C2">
            <w:pPr>
              <w:rPr>
                <w:rFonts w:eastAsia="Times New Roman"/>
                <w:sz w:val="16"/>
                <w:szCs w:val="16"/>
                <w:lang w:eastAsia="en-US"/>
              </w:rPr>
            </w:pPr>
            <w:r>
              <w:rPr>
                <w:rFonts w:eastAsia="Times New Roman"/>
                <w:sz w:val="16"/>
                <w:szCs w:val="16"/>
                <w:lang w:eastAsia="en-US"/>
              </w:rPr>
              <w:t>общая сумма уплаченных (взысканных) административных штрафов</w:t>
            </w:r>
          </w:p>
        </w:tc>
        <w:tc>
          <w:tcPr>
            <w:tcW w:w="1575" w:type="dxa"/>
            <w:tcBorders>
              <w:top w:val="nil"/>
              <w:left w:val="nil"/>
              <w:bottom w:val="single" w:sz="4" w:space="0" w:color="auto"/>
              <w:right w:val="single" w:sz="4" w:space="0" w:color="auto"/>
            </w:tcBorders>
            <w:vAlign w:val="center"/>
            <w:hideMark/>
          </w:tcPr>
          <w:p w:rsidR="005727C2" w:rsidRDefault="005727C2">
            <w:pPr>
              <w:rPr>
                <w:rFonts w:eastAsia="Times New Roman"/>
                <w:sz w:val="16"/>
                <w:szCs w:val="16"/>
                <w:lang w:eastAsia="en-US"/>
              </w:rPr>
            </w:pPr>
            <w:r>
              <w:rPr>
                <w:rFonts w:eastAsia="Times New Roman"/>
                <w:sz w:val="16"/>
                <w:szCs w:val="16"/>
                <w:lang w:eastAsia="en-US"/>
              </w:rPr>
              <w:t>показатель устанавливается в тыс. руб.</w:t>
            </w:r>
          </w:p>
        </w:tc>
        <w:tc>
          <w:tcPr>
            <w:tcW w:w="939" w:type="dxa"/>
            <w:tcBorders>
              <w:top w:val="nil"/>
              <w:left w:val="nil"/>
              <w:bottom w:val="single" w:sz="4" w:space="0" w:color="auto"/>
              <w:right w:val="single" w:sz="4" w:space="0" w:color="auto"/>
            </w:tcBorders>
            <w:noWrap/>
            <w:vAlign w:val="center"/>
            <w:hideMark/>
          </w:tcPr>
          <w:p w:rsidR="005727C2" w:rsidRDefault="005727C2">
            <w:pPr>
              <w:jc w:val="center"/>
              <w:rPr>
                <w:rFonts w:eastAsia="Times New Roman"/>
                <w:sz w:val="16"/>
                <w:szCs w:val="16"/>
                <w:lang w:eastAsia="en-US"/>
              </w:rPr>
            </w:pPr>
            <w:r>
              <w:rPr>
                <w:rFonts w:eastAsia="Times New Roman"/>
                <w:sz w:val="16"/>
                <w:szCs w:val="16"/>
                <w:lang w:eastAsia="en-US"/>
              </w:rPr>
              <w:t xml:space="preserve"> - </w:t>
            </w:r>
          </w:p>
        </w:tc>
        <w:tc>
          <w:tcPr>
            <w:tcW w:w="972" w:type="dxa"/>
            <w:tcBorders>
              <w:top w:val="nil"/>
              <w:left w:val="nil"/>
              <w:bottom w:val="single" w:sz="4" w:space="0" w:color="auto"/>
              <w:right w:val="single" w:sz="4" w:space="0" w:color="auto"/>
            </w:tcBorders>
            <w:noWrap/>
            <w:vAlign w:val="bottom"/>
            <w:hideMark/>
          </w:tcPr>
          <w:p w:rsidR="005727C2" w:rsidRDefault="005727C2">
            <w:pPr>
              <w:rPr>
                <w:rFonts w:eastAsia="Times New Roman"/>
                <w:sz w:val="16"/>
                <w:szCs w:val="16"/>
                <w:lang w:eastAsia="en-US"/>
              </w:rPr>
            </w:pPr>
            <w:r>
              <w:rPr>
                <w:rFonts w:eastAsia="Times New Roman"/>
                <w:sz w:val="16"/>
                <w:szCs w:val="16"/>
                <w:lang w:eastAsia="en-US"/>
              </w:rPr>
              <w:t> </w:t>
            </w:r>
          </w:p>
        </w:tc>
        <w:tc>
          <w:tcPr>
            <w:tcW w:w="1186" w:type="dxa"/>
            <w:tcBorders>
              <w:top w:val="nil"/>
              <w:left w:val="nil"/>
              <w:bottom w:val="single" w:sz="4" w:space="0" w:color="auto"/>
              <w:right w:val="single" w:sz="4" w:space="0" w:color="auto"/>
            </w:tcBorders>
            <w:noWrap/>
            <w:vAlign w:val="center"/>
            <w:hideMark/>
          </w:tcPr>
          <w:p w:rsidR="005727C2" w:rsidRDefault="005727C2">
            <w:pPr>
              <w:jc w:val="center"/>
              <w:rPr>
                <w:rFonts w:eastAsia="Times New Roman"/>
                <w:sz w:val="16"/>
                <w:szCs w:val="16"/>
                <w:lang w:eastAsia="en-US"/>
              </w:rPr>
            </w:pPr>
            <w:r>
              <w:rPr>
                <w:rFonts w:eastAsia="Times New Roman"/>
                <w:sz w:val="16"/>
                <w:szCs w:val="16"/>
                <w:lang w:eastAsia="en-US"/>
              </w:rPr>
              <w:t xml:space="preserve"> - </w:t>
            </w:r>
          </w:p>
        </w:tc>
        <w:tc>
          <w:tcPr>
            <w:tcW w:w="865" w:type="dxa"/>
            <w:tcBorders>
              <w:top w:val="nil"/>
              <w:left w:val="nil"/>
              <w:bottom w:val="single" w:sz="4" w:space="0" w:color="auto"/>
              <w:right w:val="single" w:sz="4" w:space="0" w:color="auto"/>
            </w:tcBorders>
            <w:shd w:val="clear" w:color="auto" w:fill="FFFFFF"/>
            <w:noWrap/>
            <w:vAlign w:val="center"/>
            <w:hideMark/>
          </w:tcPr>
          <w:p w:rsidR="005727C2" w:rsidRDefault="005727C2">
            <w:pPr>
              <w:jc w:val="center"/>
              <w:rPr>
                <w:rFonts w:eastAsia="Times New Roman"/>
                <w:sz w:val="16"/>
                <w:szCs w:val="16"/>
                <w:lang w:eastAsia="en-US"/>
              </w:rPr>
            </w:pPr>
            <w:r>
              <w:rPr>
                <w:rFonts w:eastAsia="Times New Roman"/>
                <w:sz w:val="16"/>
                <w:szCs w:val="16"/>
                <w:lang w:eastAsia="en-US"/>
              </w:rPr>
              <w:t>0</w:t>
            </w:r>
          </w:p>
        </w:tc>
        <w:tc>
          <w:tcPr>
            <w:tcW w:w="684" w:type="dxa"/>
            <w:tcBorders>
              <w:top w:val="nil"/>
              <w:left w:val="nil"/>
              <w:bottom w:val="single" w:sz="4" w:space="0" w:color="auto"/>
              <w:right w:val="single" w:sz="4" w:space="0" w:color="auto"/>
            </w:tcBorders>
            <w:noWrap/>
            <w:vAlign w:val="center"/>
            <w:hideMark/>
          </w:tcPr>
          <w:p w:rsidR="005727C2" w:rsidRDefault="005727C2">
            <w:pPr>
              <w:jc w:val="center"/>
              <w:rPr>
                <w:rFonts w:eastAsia="Times New Roman"/>
                <w:sz w:val="16"/>
                <w:szCs w:val="16"/>
                <w:lang w:eastAsia="en-US"/>
              </w:rPr>
            </w:pPr>
            <w:r>
              <w:rPr>
                <w:rFonts w:eastAsia="Times New Roman"/>
                <w:sz w:val="16"/>
                <w:szCs w:val="16"/>
                <w:lang w:eastAsia="en-US"/>
              </w:rPr>
              <w:t xml:space="preserve"> - </w:t>
            </w:r>
          </w:p>
        </w:tc>
        <w:tc>
          <w:tcPr>
            <w:tcW w:w="957" w:type="dxa"/>
            <w:tcBorders>
              <w:top w:val="nil"/>
              <w:left w:val="nil"/>
              <w:bottom w:val="single" w:sz="4" w:space="0" w:color="auto"/>
              <w:right w:val="single" w:sz="4" w:space="0" w:color="auto"/>
            </w:tcBorders>
            <w:vAlign w:val="center"/>
            <w:hideMark/>
          </w:tcPr>
          <w:p w:rsidR="005727C2" w:rsidRDefault="005727C2">
            <w:pPr>
              <w:rPr>
                <w:rFonts w:eastAsia="Times New Roman"/>
                <w:sz w:val="16"/>
                <w:szCs w:val="16"/>
                <w:lang w:eastAsia="en-US"/>
              </w:rPr>
            </w:pPr>
            <w:r>
              <w:rPr>
                <w:rFonts w:eastAsia="Times New Roman"/>
                <w:sz w:val="16"/>
                <w:szCs w:val="16"/>
                <w:lang w:eastAsia="en-US"/>
              </w:rPr>
              <w:t> </w:t>
            </w:r>
          </w:p>
        </w:tc>
      </w:tr>
      <w:tr w:rsidR="005727C2" w:rsidTr="005727C2">
        <w:trPr>
          <w:trHeight w:val="20"/>
        </w:trPr>
        <w:tc>
          <w:tcPr>
            <w:tcW w:w="865" w:type="dxa"/>
            <w:tcBorders>
              <w:top w:val="nil"/>
              <w:left w:val="single" w:sz="4" w:space="0" w:color="auto"/>
              <w:bottom w:val="single" w:sz="4" w:space="0" w:color="auto"/>
              <w:right w:val="single" w:sz="4" w:space="0" w:color="auto"/>
            </w:tcBorders>
            <w:vAlign w:val="center"/>
            <w:hideMark/>
          </w:tcPr>
          <w:p w:rsidR="005727C2" w:rsidRDefault="005727C2">
            <w:pPr>
              <w:jc w:val="center"/>
              <w:rPr>
                <w:rFonts w:eastAsia="Times New Roman"/>
                <w:sz w:val="16"/>
                <w:szCs w:val="16"/>
                <w:lang w:eastAsia="en-US"/>
              </w:rPr>
            </w:pPr>
            <w:r>
              <w:rPr>
                <w:rFonts w:eastAsia="Times New Roman"/>
                <w:sz w:val="16"/>
                <w:szCs w:val="16"/>
                <w:lang w:eastAsia="en-US"/>
              </w:rPr>
              <w:t>В.3.5.6</w:t>
            </w:r>
          </w:p>
        </w:tc>
        <w:tc>
          <w:tcPr>
            <w:tcW w:w="1435" w:type="dxa"/>
            <w:tcBorders>
              <w:top w:val="nil"/>
              <w:left w:val="nil"/>
              <w:bottom w:val="single" w:sz="4" w:space="0" w:color="auto"/>
              <w:right w:val="single" w:sz="4" w:space="0" w:color="auto"/>
            </w:tcBorders>
            <w:vAlign w:val="center"/>
            <w:hideMark/>
          </w:tcPr>
          <w:p w:rsidR="005727C2" w:rsidRDefault="005727C2">
            <w:pPr>
              <w:rPr>
                <w:rFonts w:eastAsia="Times New Roman"/>
                <w:sz w:val="16"/>
                <w:szCs w:val="16"/>
                <w:lang w:eastAsia="en-US"/>
              </w:rPr>
            </w:pPr>
            <w:r>
              <w:rPr>
                <w:rFonts w:eastAsia="Times New Roman"/>
                <w:sz w:val="16"/>
                <w:szCs w:val="16"/>
                <w:lang w:eastAsia="en-US"/>
              </w:rPr>
              <w:t>отношение суммы взысканных административных штрафов к общей сумме наложенных административных штрафов</w:t>
            </w:r>
          </w:p>
        </w:tc>
        <w:tc>
          <w:tcPr>
            <w:tcW w:w="1575" w:type="dxa"/>
            <w:tcBorders>
              <w:top w:val="nil"/>
              <w:left w:val="nil"/>
              <w:bottom w:val="single" w:sz="4" w:space="0" w:color="auto"/>
              <w:right w:val="single" w:sz="4" w:space="0" w:color="auto"/>
            </w:tcBorders>
            <w:vAlign w:val="center"/>
            <w:hideMark/>
          </w:tcPr>
          <w:p w:rsidR="005727C2" w:rsidRDefault="005727C2">
            <w:pPr>
              <w:rPr>
                <w:rFonts w:eastAsia="Times New Roman"/>
                <w:sz w:val="16"/>
                <w:szCs w:val="16"/>
                <w:lang w:eastAsia="en-US"/>
              </w:rPr>
            </w:pPr>
            <w:r>
              <w:rPr>
                <w:rFonts w:eastAsia="Times New Roman"/>
                <w:sz w:val="16"/>
                <w:szCs w:val="16"/>
                <w:lang w:eastAsia="en-US"/>
              </w:rPr>
              <w:t>показатель устанавливается в процентах</w:t>
            </w:r>
          </w:p>
        </w:tc>
        <w:tc>
          <w:tcPr>
            <w:tcW w:w="939" w:type="dxa"/>
            <w:tcBorders>
              <w:top w:val="nil"/>
              <w:left w:val="nil"/>
              <w:bottom w:val="single" w:sz="4" w:space="0" w:color="auto"/>
              <w:right w:val="single" w:sz="4" w:space="0" w:color="auto"/>
            </w:tcBorders>
            <w:noWrap/>
            <w:vAlign w:val="center"/>
            <w:hideMark/>
          </w:tcPr>
          <w:p w:rsidR="005727C2" w:rsidRDefault="005727C2">
            <w:pPr>
              <w:jc w:val="center"/>
              <w:rPr>
                <w:rFonts w:eastAsia="Times New Roman"/>
                <w:sz w:val="16"/>
                <w:szCs w:val="16"/>
                <w:lang w:eastAsia="en-US"/>
              </w:rPr>
            </w:pPr>
            <w:r>
              <w:rPr>
                <w:rFonts w:eastAsia="Times New Roman"/>
                <w:sz w:val="16"/>
                <w:szCs w:val="16"/>
                <w:lang w:eastAsia="en-US"/>
              </w:rPr>
              <w:t xml:space="preserve"> - </w:t>
            </w:r>
          </w:p>
        </w:tc>
        <w:tc>
          <w:tcPr>
            <w:tcW w:w="972" w:type="dxa"/>
            <w:tcBorders>
              <w:top w:val="nil"/>
              <w:left w:val="nil"/>
              <w:bottom w:val="single" w:sz="4" w:space="0" w:color="auto"/>
              <w:right w:val="single" w:sz="4" w:space="0" w:color="auto"/>
            </w:tcBorders>
            <w:noWrap/>
            <w:vAlign w:val="bottom"/>
            <w:hideMark/>
          </w:tcPr>
          <w:p w:rsidR="005727C2" w:rsidRDefault="005727C2">
            <w:pPr>
              <w:rPr>
                <w:rFonts w:eastAsia="Times New Roman"/>
                <w:sz w:val="16"/>
                <w:szCs w:val="16"/>
                <w:lang w:eastAsia="en-US"/>
              </w:rPr>
            </w:pPr>
            <w:r>
              <w:rPr>
                <w:rFonts w:eastAsia="Times New Roman"/>
                <w:sz w:val="16"/>
                <w:szCs w:val="16"/>
                <w:lang w:eastAsia="en-US"/>
              </w:rPr>
              <w:t> </w:t>
            </w:r>
          </w:p>
        </w:tc>
        <w:tc>
          <w:tcPr>
            <w:tcW w:w="1186" w:type="dxa"/>
            <w:tcBorders>
              <w:top w:val="nil"/>
              <w:left w:val="nil"/>
              <w:bottom w:val="single" w:sz="4" w:space="0" w:color="auto"/>
              <w:right w:val="single" w:sz="4" w:space="0" w:color="auto"/>
            </w:tcBorders>
            <w:noWrap/>
            <w:vAlign w:val="center"/>
            <w:hideMark/>
          </w:tcPr>
          <w:p w:rsidR="005727C2" w:rsidRDefault="005727C2">
            <w:pPr>
              <w:jc w:val="center"/>
              <w:rPr>
                <w:rFonts w:eastAsia="Times New Roman"/>
                <w:sz w:val="16"/>
                <w:szCs w:val="16"/>
                <w:lang w:eastAsia="en-US"/>
              </w:rPr>
            </w:pPr>
            <w:r>
              <w:rPr>
                <w:rFonts w:eastAsia="Times New Roman"/>
                <w:sz w:val="16"/>
                <w:szCs w:val="16"/>
                <w:lang w:eastAsia="en-US"/>
              </w:rPr>
              <w:t xml:space="preserve"> - </w:t>
            </w:r>
          </w:p>
        </w:tc>
        <w:tc>
          <w:tcPr>
            <w:tcW w:w="865" w:type="dxa"/>
            <w:tcBorders>
              <w:top w:val="nil"/>
              <w:left w:val="nil"/>
              <w:bottom w:val="single" w:sz="4" w:space="0" w:color="auto"/>
              <w:right w:val="single" w:sz="4" w:space="0" w:color="auto"/>
            </w:tcBorders>
            <w:shd w:val="clear" w:color="auto" w:fill="FFFFFF"/>
            <w:noWrap/>
            <w:vAlign w:val="center"/>
            <w:hideMark/>
          </w:tcPr>
          <w:p w:rsidR="005727C2" w:rsidRDefault="005727C2">
            <w:pPr>
              <w:jc w:val="center"/>
              <w:rPr>
                <w:rFonts w:eastAsia="Times New Roman"/>
                <w:sz w:val="16"/>
                <w:szCs w:val="16"/>
                <w:lang w:eastAsia="en-US"/>
              </w:rPr>
            </w:pPr>
            <w:r>
              <w:rPr>
                <w:rFonts w:eastAsia="Times New Roman"/>
                <w:sz w:val="16"/>
                <w:szCs w:val="16"/>
                <w:lang w:eastAsia="en-US"/>
              </w:rPr>
              <w:t>0</w:t>
            </w:r>
          </w:p>
        </w:tc>
        <w:tc>
          <w:tcPr>
            <w:tcW w:w="684" w:type="dxa"/>
            <w:tcBorders>
              <w:top w:val="nil"/>
              <w:left w:val="nil"/>
              <w:bottom w:val="single" w:sz="4" w:space="0" w:color="auto"/>
              <w:right w:val="single" w:sz="4" w:space="0" w:color="auto"/>
            </w:tcBorders>
            <w:noWrap/>
            <w:vAlign w:val="center"/>
            <w:hideMark/>
          </w:tcPr>
          <w:p w:rsidR="005727C2" w:rsidRDefault="005727C2">
            <w:pPr>
              <w:jc w:val="center"/>
              <w:rPr>
                <w:rFonts w:eastAsia="Times New Roman"/>
                <w:sz w:val="16"/>
                <w:szCs w:val="16"/>
                <w:lang w:eastAsia="en-US"/>
              </w:rPr>
            </w:pPr>
            <w:r>
              <w:rPr>
                <w:rFonts w:eastAsia="Times New Roman"/>
                <w:sz w:val="16"/>
                <w:szCs w:val="16"/>
                <w:lang w:eastAsia="en-US"/>
              </w:rPr>
              <w:t xml:space="preserve"> - </w:t>
            </w:r>
          </w:p>
        </w:tc>
        <w:tc>
          <w:tcPr>
            <w:tcW w:w="957" w:type="dxa"/>
            <w:tcBorders>
              <w:top w:val="nil"/>
              <w:left w:val="nil"/>
              <w:bottom w:val="single" w:sz="4" w:space="0" w:color="auto"/>
              <w:right w:val="single" w:sz="4" w:space="0" w:color="auto"/>
            </w:tcBorders>
            <w:vAlign w:val="center"/>
            <w:hideMark/>
          </w:tcPr>
          <w:p w:rsidR="005727C2" w:rsidRDefault="005727C2">
            <w:pPr>
              <w:rPr>
                <w:rFonts w:eastAsia="Times New Roman"/>
                <w:sz w:val="16"/>
                <w:szCs w:val="16"/>
                <w:lang w:eastAsia="en-US"/>
              </w:rPr>
            </w:pPr>
            <w:r>
              <w:rPr>
                <w:rFonts w:eastAsia="Times New Roman"/>
                <w:sz w:val="16"/>
                <w:szCs w:val="16"/>
                <w:lang w:eastAsia="en-US"/>
              </w:rPr>
              <w:t> </w:t>
            </w:r>
          </w:p>
        </w:tc>
      </w:tr>
      <w:tr w:rsidR="005727C2" w:rsidTr="005727C2">
        <w:trPr>
          <w:trHeight w:val="20"/>
        </w:trPr>
        <w:tc>
          <w:tcPr>
            <w:tcW w:w="865" w:type="dxa"/>
            <w:tcBorders>
              <w:top w:val="nil"/>
              <w:left w:val="single" w:sz="4" w:space="0" w:color="auto"/>
              <w:bottom w:val="single" w:sz="4" w:space="0" w:color="auto"/>
              <w:right w:val="single" w:sz="4" w:space="0" w:color="auto"/>
            </w:tcBorders>
            <w:vAlign w:val="center"/>
            <w:hideMark/>
          </w:tcPr>
          <w:p w:rsidR="005727C2" w:rsidRDefault="005727C2">
            <w:pPr>
              <w:jc w:val="center"/>
              <w:rPr>
                <w:rFonts w:eastAsia="Times New Roman"/>
                <w:sz w:val="16"/>
                <w:szCs w:val="16"/>
                <w:lang w:eastAsia="en-US"/>
              </w:rPr>
            </w:pPr>
            <w:r>
              <w:rPr>
                <w:rFonts w:eastAsia="Times New Roman"/>
                <w:sz w:val="16"/>
                <w:szCs w:val="16"/>
                <w:lang w:eastAsia="en-US"/>
              </w:rPr>
              <w:t>В.3.5.7</w:t>
            </w:r>
          </w:p>
        </w:tc>
        <w:tc>
          <w:tcPr>
            <w:tcW w:w="1435" w:type="dxa"/>
            <w:tcBorders>
              <w:top w:val="nil"/>
              <w:left w:val="nil"/>
              <w:bottom w:val="single" w:sz="4" w:space="0" w:color="auto"/>
              <w:right w:val="single" w:sz="4" w:space="0" w:color="auto"/>
            </w:tcBorders>
            <w:vAlign w:val="center"/>
            <w:hideMark/>
          </w:tcPr>
          <w:p w:rsidR="005727C2" w:rsidRDefault="005727C2">
            <w:pPr>
              <w:rPr>
                <w:rFonts w:eastAsia="Times New Roman"/>
                <w:sz w:val="16"/>
                <w:szCs w:val="16"/>
                <w:lang w:eastAsia="en-US"/>
              </w:rPr>
            </w:pPr>
            <w:r>
              <w:rPr>
                <w:rFonts w:eastAsia="Times New Roman"/>
                <w:sz w:val="16"/>
                <w:szCs w:val="16"/>
                <w:lang w:eastAsia="en-US"/>
              </w:rPr>
              <w:t>средний размер наложенного административного штрафа в результате проведения административного расследования</w:t>
            </w:r>
          </w:p>
        </w:tc>
        <w:tc>
          <w:tcPr>
            <w:tcW w:w="1575" w:type="dxa"/>
            <w:tcBorders>
              <w:top w:val="nil"/>
              <w:left w:val="nil"/>
              <w:bottom w:val="single" w:sz="4" w:space="0" w:color="auto"/>
              <w:right w:val="single" w:sz="4" w:space="0" w:color="auto"/>
            </w:tcBorders>
            <w:vAlign w:val="center"/>
            <w:hideMark/>
          </w:tcPr>
          <w:p w:rsidR="005727C2" w:rsidRDefault="005727C2">
            <w:pPr>
              <w:rPr>
                <w:rFonts w:eastAsia="Times New Roman"/>
                <w:sz w:val="16"/>
                <w:szCs w:val="16"/>
                <w:lang w:eastAsia="en-US"/>
              </w:rPr>
            </w:pPr>
            <w:r>
              <w:rPr>
                <w:rFonts w:eastAsia="Times New Roman"/>
                <w:sz w:val="16"/>
                <w:szCs w:val="16"/>
                <w:lang w:eastAsia="en-US"/>
              </w:rPr>
              <w:t>показатель устанавливается в тыс. руб. и учитывает суммы наложенных административных штрафов, в том числе на должностных лиц, индивидуальных предпринимателей, юридических лиц, граждан</w:t>
            </w:r>
          </w:p>
        </w:tc>
        <w:tc>
          <w:tcPr>
            <w:tcW w:w="939" w:type="dxa"/>
            <w:tcBorders>
              <w:top w:val="nil"/>
              <w:left w:val="nil"/>
              <w:bottom w:val="single" w:sz="4" w:space="0" w:color="auto"/>
              <w:right w:val="single" w:sz="4" w:space="0" w:color="auto"/>
            </w:tcBorders>
            <w:noWrap/>
            <w:vAlign w:val="center"/>
            <w:hideMark/>
          </w:tcPr>
          <w:p w:rsidR="005727C2" w:rsidRDefault="005727C2">
            <w:pPr>
              <w:jc w:val="center"/>
              <w:rPr>
                <w:rFonts w:eastAsia="Times New Roman"/>
                <w:sz w:val="16"/>
                <w:szCs w:val="16"/>
                <w:lang w:eastAsia="en-US"/>
              </w:rPr>
            </w:pPr>
            <w:r>
              <w:rPr>
                <w:rFonts w:eastAsia="Times New Roman"/>
                <w:sz w:val="16"/>
                <w:szCs w:val="16"/>
                <w:lang w:eastAsia="en-US"/>
              </w:rPr>
              <w:t xml:space="preserve"> - </w:t>
            </w:r>
          </w:p>
        </w:tc>
        <w:tc>
          <w:tcPr>
            <w:tcW w:w="972" w:type="dxa"/>
            <w:tcBorders>
              <w:top w:val="nil"/>
              <w:left w:val="nil"/>
              <w:bottom w:val="single" w:sz="4" w:space="0" w:color="auto"/>
              <w:right w:val="single" w:sz="4" w:space="0" w:color="auto"/>
            </w:tcBorders>
            <w:noWrap/>
            <w:vAlign w:val="bottom"/>
            <w:hideMark/>
          </w:tcPr>
          <w:p w:rsidR="005727C2" w:rsidRDefault="005727C2">
            <w:pPr>
              <w:rPr>
                <w:rFonts w:eastAsia="Times New Roman"/>
                <w:sz w:val="16"/>
                <w:szCs w:val="16"/>
                <w:lang w:eastAsia="en-US"/>
              </w:rPr>
            </w:pPr>
            <w:r>
              <w:rPr>
                <w:rFonts w:eastAsia="Times New Roman"/>
                <w:sz w:val="16"/>
                <w:szCs w:val="16"/>
                <w:lang w:eastAsia="en-US"/>
              </w:rPr>
              <w:t> </w:t>
            </w:r>
          </w:p>
        </w:tc>
        <w:tc>
          <w:tcPr>
            <w:tcW w:w="1186" w:type="dxa"/>
            <w:tcBorders>
              <w:top w:val="nil"/>
              <w:left w:val="nil"/>
              <w:bottom w:val="single" w:sz="4" w:space="0" w:color="auto"/>
              <w:right w:val="single" w:sz="4" w:space="0" w:color="auto"/>
            </w:tcBorders>
            <w:noWrap/>
            <w:vAlign w:val="center"/>
            <w:hideMark/>
          </w:tcPr>
          <w:p w:rsidR="005727C2" w:rsidRDefault="005727C2">
            <w:pPr>
              <w:jc w:val="center"/>
              <w:rPr>
                <w:rFonts w:eastAsia="Times New Roman"/>
                <w:sz w:val="16"/>
                <w:szCs w:val="16"/>
                <w:lang w:eastAsia="en-US"/>
              </w:rPr>
            </w:pPr>
            <w:r>
              <w:rPr>
                <w:rFonts w:eastAsia="Times New Roman"/>
                <w:sz w:val="16"/>
                <w:szCs w:val="16"/>
                <w:lang w:eastAsia="en-US"/>
              </w:rPr>
              <w:t xml:space="preserve"> - </w:t>
            </w:r>
          </w:p>
        </w:tc>
        <w:tc>
          <w:tcPr>
            <w:tcW w:w="865" w:type="dxa"/>
            <w:tcBorders>
              <w:top w:val="nil"/>
              <w:left w:val="nil"/>
              <w:bottom w:val="single" w:sz="4" w:space="0" w:color="auto"/>
              <w:right w:val="single" w:sz="4" w:space="0" w:color="auto"/>
            </w:tcBorders>
            <w:shd w:val="clear" w:color="auto" w:fill="FFFFFF"/>
            <w:noWrap/>
            <w:vAlign w:val="center"/>
            <w:hideMark/>
          </w:tcPr>
          <w:p w:rsidR="005727C2" w:rsidRDefault="005727C2">
            <w:pPr>
              <w:jc w:val="center"/>
              <w:rPr>
                <w:rFonts w:eastAsia="Times New Roman"/>
                <w:sz w:val="16"/>
                <w:szCs w:val="16"/>
                <w:lang w:eastAsia="en-US"/>
              </w:rPr>
            </w:pPr>
            <w:r>
              <w:rPr>
                <w:rFonts w:eastAsia="Times New Roman"/>
                <w:sz w:val="16"/>
                <w:szCs w:val="16"/>
                <w:lang w:eastAsia="en-US"/>
              </w:rPr>
              <w:t>75</w:t>
            </w:r>
          </w:p>
        </w:tc>
        <w:tc>
          <w:tcPr>
            <w:tcW w:w="684" w:type="dxa"/>
            <w:tcBorders>
              <w:top w:val="nil"/>
              <w:left w:val="nil"/>
              <w:bottom w:val="single" w:sz="4" w:space="0" w:color="auto"/>
              <w:right w:val="single" w:sz="4" w:space="0" w:color="auto"/>
            </w:tcBorders>
            <w:noWrap/>
            <w:vAlign w:val="center"/>
            <w:hideMark/>
          </w:tcPr>
          <w:p w:rsidR="005727C2" w:rsidRDefault="005727C2">
            <w:pPr>
              <w:jc w:val="center"/>
              <w:rPr>
                <w:rFonts w:eastAsia="Times New Roman"/>
                <w:sz w:val="16"/>
                <w:szCs w:val="16"/>
                <w:lang w:eastAsia="en-US"/>
              </w:rPr>
            </w:pPr>
            <w:r>
              <w:rPr>
                <w:rFonts w:eastAsia="Times New Roman"/>
                <w:sz w:val="16"/>
                <w:szCs w:val="16"/>
                <w:lang w:eastAsia="en-US"/>
              </w:rPr>
              <w:t xml:space="preserve"> - </w:t>
            </w:r>
          </w:p>
        </w:tc>
        <w:tc>
          <w:tcPr>
            <w:tcW w:w="957" w:type="dxa"/>
            <w:tcBorders>
              <w:top w:val="nil"/>
              <w:left w:val="nil"/>
              <w:bottom w:val="single" w:sz="4" w:space="0" w:color="auto"/>
              <w:right w:val="single" w:sz="4" w:space="0" w:color="auto"/>
            </w:tcBorders>
            <w:noWrap/>
            <w:vAlign w:val="bottom"/>
            <w:hideMark/>
          </w:tcPr>
          <w:p w:rsidR="005727C2" w:rsidRDefault="005727C2">
            <w:pPr>
              <w:rPr>
                <w:rFonts w:eastAsia="Times New Roman"/>
                <w:color w:val="000000"/>
                <w:sz w:val="16"/>
                <w:szCs w:val="16"/>
                <w:lang w:eastAsia="en-US"/>
              </w:rPr>
            </w:pPr>
            <w:r>
              <w:rPr>
                <w:rFonts w:eastAsia="Times New Roman"/>
                <w:color w:val="000000"/>
                <w:sz w:val="16"/>
                <w:szCs w:val="16"/>
                <w:lang w:eastAsia="en-US"/>
              </w:rPr>
              <w:t> </w:t>
            </w:r>
          </w:p>
        </w:tc>
      </w:tr>
      <w:tr w:rsidR="005727C2" w:rsidTr="005727C2">
        <w:trPr>
          <w:trHeight w:val="20"/>
        </w:trPr>
        <w:tc>
          <w:tcPr>
            <w:tcW w:w="865" w:type="dxa"/>
            <w:tcBorders>
              <w:top w:val="nil"/>
              <w:left w:val="single" w:sz="4" w:space="0" w:color="auto"/>
              <w:bottom w:val="single" w:sz="4" w:space="0" w:color="auto"/>
              <w:right w:val="single" w:sz="4" w:space="0" w:color="auto"/>
            </w:tcBorders>
            <w:vAlign w:val="center"/>
            <w:hideMark/>
          </w:tcPr>
          <w:p w:rsidR="005727C2" w:rsidRDefault="005727C2">
            <w:pPr>
              <w:jc w:val="center"/>
              <w:rPr>
                <w:rFonts w:eastAsia="Times New Roman"/>
                <w:sz w:val="16"/>
                <w:szCs w:val="16"/>
                <w:lang w:eastAsia="en-US"/>
              </w:rPr>
            </w:pPr>
            <w:r>
              <w:rPr>
                <w:rFonts w:eastAsia="Times New Roman"/>
                <w:sz w:val="16"/>
                <w:szCs w:val="16"/>
                <w:lang w:eastAsia="en-US"/>
              </w:rPr>
              <w:lastRenderedPageBreak/>
              <w:t>В.3.5.8</w:t>
            </w:r>
          </w:p>
        </w:tc>
        <w:tc>
          <w:tcPr>
            <w:tcW w:w="1435" w:type="dxa"/>
            <w:tcBorders>
              <w:top w:val="nil"/>
              <w:left w:val="nil"/>
              <w:bottom w:val="single" w:sz="4" w:space="0" w:color="auto"/>
              <w:right w:val="single" w:sz="4" w:space="0" w:color="auto"/>
            </w:tcBorders>
            <w:vAlign w:val="center"/>
            <w:hideMark/>
          </w:tcPr>
          <w:p w:rsidR="005727C2" w:rsidRDefault="005727C2">
            <w:pPr>
              <w:rPr>
                <w:rFonts w:eastAsia="Times New Roman"/>
                <w:sz w:val="16"/>
                <w:szCs w:val="16"/>
                <w:lang w:eastAsia="en-US"/>
              </w:rPr>
            </w:pPr>
            <w:r>
              <w:rPr>
                <w:rFonts w:eastAsia="Times New Roman"/>
                <w:sz w:val="16"/>
                <w:szCs w:val="16"/>
                <w:lang w:eastAsia="en-US"/>
              </w:rPr>
              <w:t>средняя продолжительность одного административного расследования</w:t>
            </w:r>
          </w:p>
        </w:tc>
        <w:tc>
          <w:tcPr>
            <w:tcW w:w="1575" w:type="dxa"/>
            <w:tcBorders>
              <w:top w:val="nil"/>
              <w:left w:val="nil"/>
              <w:bottom w:val="single" w:sz="4" w:space="0" w:color="auto"/>
              <w:right w:val="single" w:sz="4" w:space="0" w:color="auto"/>
            </w:tcBorders>
            <w:vAlign w:val="center"/>
            <w:hideMark/>
          </w:tcPr>
          <w:p w:rsidR="005727C2" w:rsidRDefault="005727C2">
            <w:pPr>
              <w:rPr>
                <w:rFonts w:eastAsia="Times New Roman"/>
                <w:sz w:val="16"/>
                <w:szCs w:val="16"/>
                <w:lang w:eastAsia="en-US"/>
              </w:rPr>
            </w:pPr>
            <w:r>
              <w:rPr>
                <w:rFonts w:eastAsia="Times New Roman"/>
                <w:sz w:val="16"/>
                <w:szCs w:val="16"/>
                <w:lang w:eastAsia="en-US"/>
              </w:rPr>
              <w:t> </w:t>
            </w:r>
          </w:p>
        </w:tc>
        <w:tc>
          <w:tcPr>
            <w:tcW w:w="939" w:type="dxa"/>
            <w:tcBorders>
              <w:top w:val="nil"/>
              <w:left w:val="nil"/>
              <w:bottom w:val="single" w:sz="4" w:space="0" w:color="auto"/>
              <w:right w:val="single" w:sz="4" w:space="0" w:color="auto"/>
            </w:tcBorders>
            <w:noWrap/>
            <w:vAlign w:val="center"/>
            <w:hideMark/>
          </w:tcPr>
          <w:p w:rsidR="005727C2" w:rsidRDefault="005727C2">
            <w:pPr>
              <w:jc w:val="center"/>
              <w:rPr>
                <w:rFonts w:eastAsia="Times New Roman"/>
                <w:sz w:val="16"/>
                <w:szCs w:val="16"/>
                <w:lang w:eastAsia="en-US"/>
              </w:rPr>
            </w:pPr>
            <w:r>
              <w:rPr>
                <w:rFonts w:eastAsia="Times New Roman"/>
                <w:sz w:val="16"/>
                <w:szCs w:val="16"/>
                <w:lang w:eastAsia="en-US"/>
              </w:rPr>
              <w:t xml:space="preserve"> - </w:t>
            </w:r>
          </w:p>
        </w:tc>
        <w:tc>
          <w:tcPr>
            <w:tcW w:w="972" w:type="dxa"/>
            <w:tcBorders>
              <w:top w:val="nil"/>
              <w:left w:val="nil"/>
              <w:bottom w:val="single" w:sz="4" w:space="0" w:color="auto"/>
              <w:right w:val="single" w:sz="4" w:space="0" w:color="auto"/>
            </w:tcBorders>
            <w:noWrap/>
            <w:vAlign w:val="bottom"/>
            <w:hideMark/>
          </w:tcPr>
          <w:p w:rsidR="005727C2" w:rsidRDefault="005727C2">
            <w:pPr>
              <w:rPr>
                <w:rFonts w:eastAsia="Times New Roman"/>
                <w:sz w:val="16"/>
                <w:szCs w:val="16"/>
                <w:lang w:eastAsia="en-US"/>
              </w:rPr>
            </w:pPr>
            <w:r>
              <w:rPr>
                <w:rFonts w:eastAsia="Times New Roman"/>
                <w:sz w:val="16"/>
                <w:szCs w:val="16"/>
                <w:lang w:eastAsia="en-US"/>
              </w:rPr>
              <w:t> </w:t>
            </w:r>
          </w:p>
        </w:tc>
        <w:tc>
          <w:tcPr>
            <w:tcW w:w="1186" w:type="dxa"/>
            <w:tcBorders>
              <w:top w:val="nil"/>
              <w:left w:val="nil"/>
              <w:bottom w:val="single" w:sz="4" w:space="0" w:color="auto"/>
              <w:right w:val="single" w:sz="4" w:space="0" w:color="auto"/>
            </w:tcBorders>
            <w:noWrap/>
            <w:vAlign w:val="center"/>
            <w:hideMark/>
          </w:tcPr>
          <w:p w:rsidR="005727C2" w:rsidRDefault="005727C2">
            <w:pPr>
              <w:jc w:val="center"/>
              <w:rPr>
                <w:rFonts w:eastAsia="Times New Roman"/>
                <w:sz w:val="16"/>
                <w:szCs w:val="16"/>
                <w:lang w:eastAsia="en-US"/>
              </w:rPr>
            </w:pPr>
            <w:r>
              <w:rPr>
                <w:rFonts w:eastAsia="Times New Roman"/>
                <w:sz w:val="16"/>
                <w:szCs w:val="16"/>
                <w:lang w:eastAsia="en-US"/>
              </w:rPr>
              <w:t xml:space="preserve"> - </w:t>
            </w:r>
          </w:p>
        </w:tc>
        <w:tc>
          <w:tcPr>
            <w:tcW w:w="865" w:type="dxa"/>
            <w:tcBorders>
              <w:top w:val="nil"/>
              <w:left w:val="nil"/>
              <w:bottom w:val="single" w:sz="4" w:space="0" w:color="auto"/>
              <w:right w:val="single" w:sz="4" w:space="0" w:color="auto"/>
            </w:tcBorders>
            <w:shd w:val="clear" w:color="auto" w:fill="FFFFFF"/>
            <w:noWrap/>
            <w:vAlign w:val="center"/>
            <w:hideMark/>
          </w:tcPr>
          <w:p w:rsidR="005727C2" w:rsidRDefault="005727C2">
            <w:pPr>
              <w:jc w:val="center"/>
              <w:rPr>
                <w:rFonts w:eastAsia="Times New Roman"/>
                <w:sz w:val="16"/>
                <w:szCs w:val="16"/>
                <w:lang w:eastAsia="en-US"/>
              </w:rPr>
            </w:pPr>
            <w:r>
              <w:rPr>
                <w:rFonts w:eastAsia="Times New Roman"/>
                <w:sz w:val="16"/>
                <w:szCs w:val="16"/>
                <w:lang w:eastAsia="en-US"/>
              </w:rPr>
              <w:t>1 месяц</w:t>
            </w:r>
          </w:p>
        </w:tc>
        <w:tc>
          <w:tcPr>
            <w:tcW w:w="684" w:type="dxa"/>
            <w:tcBorders>
              <w:top w:val="nil"/>
              <w:left w:val="nil"/>
              <w:bottom w:val="single" w:sz="4" w:space="0" w:color="auto"/>
              <w:right w:val="single" w:sz="4" w:space="0" w:color="auto"/>
            </w:tcBorders>
            <w:noWrap/>
            <w:vAlign w:val="center"/>
            <w:hideMark/>
          </w:tcPr>
          <w:p w:rsidR="005727C2" w:rsidRDefault="005727C2">
            <w:pPr>
              <w:jc w:val="center"/>
              <w:rPr>
                <w:rFonts w:eastAsia="Times New Roman"/>
                <w:sz w:val="16"/>
                <w:szCs w:val="16"/>
                <w:lang w:eastAsia="en-US"/>
              </w:rPr>
            </w:pPr>
            <w:r>
              <w:rPr>
                <w:rFonts w:eastAsia="Times New Roman"/>
                <w:sz w:val="16"/>
                <w:szCs w:val="16"/>
                <w:lang w:eastAsia="en-US"/>
              </w:rPr>
              <w:t xml:space="preserve"> - </w:t>
            </w:r>
          </w:p>
        </w:tc>
        <w:tc>
          <w:tcPr>
            <w:tcW w:w="957" w:type="dxa"/>
            <w:tcBorders>
              <w:top w:val="nil"/>
              <w:left w:val="nil"/>
              <w:bottom w:val="single" w:sz="4" w:space="0" w:color="auto"/>
              <w:right w:val="single" w:sz="4" w:space="0" w:color="auto"/>
            </w:tcBorders>
            <w:vAlign w:val="center"/>
            <w:hideMark/>
          </w:tcPr>
          <w:p w:rsidR="005727C2" w:rsidRDefault="005727C2">
            <w:pPr>
              <w:rPr>
                <w:rFonts w:eastAsia="Times New Roman"/>
                <w:sz w:val="16"/>
                <w:szCs w:val="16"/>
                <w:lang w:eastAsia="en-US"/>
              </w:rPr>
            </w:pPr>
            <w:r>
              <w:rPr>
                <w:rFonts w:eastAsia="Times New Roman"/>
                <w:sz w:val="16"/>
                <w:szCs w:val="16"/>
                <w:lang w:eastAsia="en-US"/>
              </w:rPr>
              <w:t> </w:t>
            </w:r>
          </w:p>
        </w:tc>
      </w:tr>
      <w:tr w:rsidR="005727C2" w:rsidTr="005727C2">
        <w:trPr>
          <w:trHeight w:val="20"/>
        </w:trPr>
        <w:tc>
          <w:tcPr>
            <w:tcW w:w="865" w:type="dxa"/>
            <w:tcBorders>
              <w:top w:val="nil"/>
              <w:left w:val="single" w:sz="4" w:space="0" w:color="auto"/>
              <w:bottom w:val="single" w:sz="4" w:space="0" w:color="auto"/>
              <w:right w:val="single" w:sz="4" w:space="0" w:color="auto"/>
            </w:tcBorders>
            <w:vAlign w:val="center"/>
            <w:hideMark/>
          </w:tcPr>
          <w:p w:rsidR="005727C2" w:rsidRDefault="005727C2">
            <w:pPr>
              <w:jc w:val="center"/>
              <w:rPr>
                <w:rFonts w:eastAsia="Times New Roman"/>
                <w:sz w:val="16"/>
                <w:szCs w:val="16"/>
                <w:lang w:eastAsia="en-US"/>
              </w:rPr>
            </w:pPr>
            <w:r>
              <w:rPr>
                <w:rFonts w:eastAsia="Times New Roman"/>
                <w:sz w:val="16"/>
                <w:szCs w:val="16"/>
                <w:lang w:eastAsia="en-US"/>
              </w:rPr>
              <w:t>В.3.6</w:t>
            </w:r>
          </w:p>
        </w:tc>
        <w:tc>
          <w:tcPr>
            <w:tcW w:w="8613" w:type="dxa"/>
            <w:gridSpan w:val="8"/>
            <w:tcBorders>
              <w:top w:val="single" w:sz="4" w:space="0" w:color="auto"/>
              <w:left w:val="nil"/>
              <w:bottom w:val="single" w:sz="4" w:space="0" w:color="auto"/>
              <w:right w:val="single" w:sz="4" w:space="0" w:color="auto"/>
            </w:tcBorders>
            <w:vAlign w:val="center"/>
            <w:hideMark/>
          </w:tcPr>
          <w:p w:rsidR="005727C2" w:rsidRDefault="005727C2">
            <w:pPr>
              <w:rPr>
                <w:rFonts w:eastAsia="Times New Roman"/>
                <w:sz w:val="16"/>
                <w:szCs w:val="16"/>
                <w:lang w:eastAsia="en-US"/>
              </w:rPr>
            </w:pPr>
            <w:r>
              <w:rPr>
                <w:rFonts w:eastAsia="Times New Roman"/>
                <w:sz w:val="16"/>
                <w:szCs w:val="16"/>
                <w:lang w:eastAsia="en-US"/>
              </w:rPr>
              <w:t>производство по делам об административных правонарушениях</w:t>
            </w:r>
          </w:p>
        </w:tc>
      </w:tr>
      <w:tr w:rsidR="005727C2" w:rsidTr="005727C2">
        <w:trPr>
          <w:trHeight w:val="20"/>
        </w:trPr>
        <w:tc>
          <w:tcPr>
            <w:tcW w:w="865" w:type="dxa"/>
            <w:tcBorders>
              <w:top w:val="nil"/>
              <w:left w:val="single" w:sz="4" w:space="0" w:color="auto"/>
              <w:bottom w:val="single" w:sz="4" w:space="0" w:color="auto"/>
              <w:right w:val="single" w:sz="4" w:space="0" w:color="auto"/>
            </w:tcBorders>
            <w:vAlign w:val="center"/>
            <w:hideMark/>
          </w:tcPr>
          <w:p w:rsidR="005727C2" w:rsidRDefault="005727C2">
            <w:pPr>
              <w:jc w:val="center"/>
              <w:rPr>
                <w:rFonts w:eastAsia="Times New Roman"/>
                <w:sz w:val="16"/>
                <w:szCs w:val="16"/>
                <w:lang w:eastAsia="en-US"/>
              </w:rPr>
            </w:pPr>
            <w:r>
              <w:rPr>
                <w:rFonts w:eastAsia="Times New Roman"/>
                <w:sz w:val="16"/>
                <w:szCs w:val="16"/>
                <w:lang w:eastAsia="en-US"/>
              </w:rPr>
              <w:t>В.3.6.1</w:t>
            </w:r>
          </w:p>
        </w:tc>
        <w:tc>
          <w:tcPr>
            <w:tcW w:w="1435" w:type="dxa"/>
            <w:tcBorders>
              <w:top w:val="nil"/>
              <w:left w:val="nil"/>
              <w:bottom w:val="single" w:sz="4" w:space="0" w:color="auto"/>
              <w:right w:val="single" w:sz="4" w:space="0" w:color="auto"/>
            </w:tcBorders>
            <w:vAlign w:val="center"/>
            <w:hideMark/>
          </w:tcPr>
          <w:p w:rsidR="005727C2" w:rsidRDefault="005727C2">
            <w:pPr>
              <w:rPr>
                <w:rFonts w:eastAsia="Times New Roman"/>
                <w:sz w:val="16"/>
                <w:szCs w:val="16"/>
                <w:lang w:eastAsia="en-US"/>
              </w:rPr>
            </w:pPr>
            <w:r>
              <w:rPr>
                <w:rFonts w:eastAsia="Times New Roman"/>
                <w:sz w:val="16"/>
                <w:szCs w:val="16"/>
                <w:lang w:eastAsia="en-US"/>
              </w:rPr>
              <w:t>количество протоколов об административных правонарушениях</w:t>
            </w:r>
          </w:p>
        </w:tc>
        <w:tc>
          <w:tcPr>
            <w:tcW w:w="1575" w:type="dxa"/>
            <w:tcBorders>
              <w:top w:val="nil"/>
              <w:left w:val="nil"/>
              <w:bottom w:val="single" w:sz="4" w:space="0" w:color="auto"/>
              <w:right w:val="single" w:sz="4" w:space="0" w:color="auto"/>
            </w:tcBorders>
            <w:vAlign w:val="center"/>
            <w:hideMark/>
          </w:tcPr>
          <w:p w:rsidR="005727C2" w:rsidRDefault="005727C2">
            <w:pPr>
              <w:rPr>
                <w:rFonts w:eastAsia="Times New Roman"/>
                <w:sz w:val="16"/>
                <w:szCs w:val="16"/>
                <w:lang w:eastAsia="en-US"/>
              </w:rPr>
            </w:pPr>
            <w:r>
              <w:rPr>
                <w:rFonts w:eastAsia="Times New Roman"/>
                <w:sz w:val="16"/>
                <w:szCs w:val="16"/>
                <w:lang w:eastAsia="en-US"/>
              </w:rPr>
              <w:t>показатели устанавливаются по количеству протоколов об административных правонарушениях (всего) и по различным основаниям (нарушение обязательных требований законодательства, невыполнение предписаний)</w:t>
            </w:r>
          </w:p>
        </w:tc>
        <w:tc>
          <w:tcPr>
            <w:tcW w:w="939" w:type="dxa"/>
            <w:tcBorders>
              <w:top w:val="nil"/>
              <w:left w:val="nil"/>
              <w:bottom w:val="single" w:sz="4" w:space="0" w:color="auto"/>
              <w:right w:val="single" w:sz="4" w:space="0" w:color="auto"/>
            </w:tcBorders>
            <w:noWrap/>
            <w:vAlign w:val="center"/>
            <w:hideMark/>
          </w:tcPr>
          <w:p w:rsidR="005727C2" w:rsidRDefault="005727C2">
            <w:pPr>
              <w:jc w:val="center"/>
              <w:rPr>
                <w:rFonts w:eastAsia="Times New Roman"/>
                <w:sz w:val="16"/>
                <w:szCs w:val="16"/>
                <w:lang w:eastAsia="en-US"/>
              </w:rPr>
            </w:pPr>
            <w:r>
              <w:rPr>
                <w:rFonts w:eastAsia="Times New Roman"/>
                <w:sz w:val="16"/>
                <w:szCs w:val="16"/>
                <w:lang w:eastAsia="en-US"/>
              </w:rPr>
              <w:t xml:space="preserve"> - </w:t>
            </w:r>
          </w:p>
        </w:tc>
        <w:tc>
          <w:tcPr>
            <w:tcW w:w="972" w:type="dxa"/>
            <w:tcBorders>
              <w:top w:val="nil"/>
              <w:left w:val="nil"/>
              <w:bottom w:val="single" w:sz="4" w:space="0" w:color="auto"/>
              <w:right w:val="single" w:sz="4" w:space="0" w:color="auto"/>
            </w:tcBorders>
            <w:noWrap/>
            <w:vAlign w:val="bottom"/>
            <w:hideMark/>
          </w:tcPr>
          <w:p w:rsidR="005727C2" w:rsidRDefault="005727C2">
            <w:pPr>
              <w:rPr>
                <w:rFonts w:eastAsia="Times New Roman"/>
                <w:sz w:val="16"/>
                <w:szCs w:val="16"/>
                <w:lang w:eastAsia="en-US"/>
              </w:rPr>
            </w:pPr>
            <w:r>
              <w:rPr>
                <w:rFonts w:eastAsia="Times New Roman"/>
                <w:sz w:val="16"/>
                <w:szCs w:val="16"/>
                <w:lang w:eastAsia="en-US"/>
              </w:rPr>
              <w:t> </w:t>
            </w:r>
          </w:p>
        </w:tc>
        <w:tc>
          <w:tcPr>
            <w:tcW w:w="1186" w:type="dxa"/>
            <w:tcBorders>
              <w:top w:val="nil"/>
              <w:left w:val="nil"/>
              <w:bottom w:val="single" w:sz="4" w:space="0" w:color="auto"/>
              <w:right w:val="single" w:sz="4" w:space="0" w:color="auto"/>
            </w:tcBorders>
            <w:noWrap/>
            <w:vAlign w:val="center"/>
            <w:hideMark/>
          </w:tcPr>
          <w:p w:rsidR="005727C2" w:rsidRDefault="005727C2">
            <w:pPr>
              <w:jc w:val="center"/>
              <w:rPr>
                <w:rFonts w:eastAsia="Times New Roman"/>
                <w:sz w:val="16"/>
                <w:szCs w:val="16"/>
                <w:lang w:eastAsia="en-US"/>
              </w:rPr>
            </w:pPr>
            <w:r>
              <w:rPr>
                <w:rFonts w:eastAsia="Times New Roman"/>
                <w:sz w:val="16"/>
                <w:szCs w:val="16"/>
                <w:lang w:eastAsia="en-US"/>
              </w:rPr>
              <w:t xml:space="preserve"> - </w:t>
            </w:r>
          </w:p>
        </w:tc>
        <w:tc>
          <w:tcPr>
            <w:tcW w:w="865" w:type="dxa"/>
            <w:tcBorders>
              <w:top w:val="nil"/>
              <w:left w:val="nil"/>
              <w:bottom w:val="single" w:sz="4" w:space="0" w:color="auto"/>
              <w:right w:val="single" w:sz="4" w:space="0" w:color="auto"/>
            </w:tcBorders>
            <w:shd w:val="clear" w:color="auto" w:fill="FFFFFF"/>
            <w:noWrap/>
            <w:vAlign w:val="center"/>
            <w:hideMark/>
          </w:tcPr>
          <w:p w:rsidR="005727C2" w:rsidRDefault="005727C2">
            <w:pPr>
              <w:jc w:val="center"/>
              <w:rPr>
                <w:rFonts w:eastAsia="Times New Roman"/>
                <w:sz w:val="16"/>
                <w:szCs w:val="16"/>
                <w:lang w:eastAsia="en-US"/>
              </w:rPr>
            </w:pPr>
            <w:r>
              <w:rPr>
                <w:rFonts w:eastAsia="Times New Roman"/>
                <w:sz w:val="16"/>
                <w:szCs w:val="16"/>
                <w:lang w:eastAsia="en-US"/>
              </w:rPr>
              <w:t>232</w:t>
            </w:r>
          </w:p>
        </w:tc>
        <w:tc>
          <w:tcPr>
            <w:tcW w:w="684" w:type="dxa"/>
            <w:tcBorders>
              <w:top w:val="nil"/>
              <w:left w:val="nil"/>
              <w:bottom w:val="single" w:sz="4" w:space="0" w:color="auto"/>
              <w:right w:val="single" w:sz="4" w:space="0" w:color="auto"/>
            </w:tcBorders>
            <w:noWrap/>
            <w:vAlign w:val="center"/>
            <w:hideMark/>
          </w:tcPr>
          <w:p w:rsidR="005727C2" w:rsidRDefault="005727C2">
            <w:pPr>
              <w:jc w:val="center"/>
              <w:rPr>
                <w:rFonts w:eastAsia="Times New Roman"/>
                <w:sz w:val="16"/>
                <w:szCs w:val="16"/>
                <w:lang w:eastAsia="en-US"/>
              </w:rPr>
            </w:pPr>
            <w:r>
              <w:rPr>
                <w:rFonts w:eastAsia="Times New Roman"/>
                <w:sz w:val="16"/>
                <w:szCs w:val="16"/>
                <w:lang w:eastAsia="en-US"/>
              </w:rPr>
              <w:t> </w:t>
            </w:r>
          </w:p>
        </w:tc>
        <w:tc>
          <w:tcPr>
            <w:tcW w:w="957" w:type="dxa"/>
            <w:tcBorders>
              <w:top w:val="nil"/>
              <w:left w:val="nil"/>
              <w:bottom w:val="single" w:sz="4" w:space="0" w:color="auto"/>
              <w:right w:val="single" w:sz="4" w:space="0" w:color="auto"/>
            </w:tcBorders>
            <w:noWrap/>
            <w:vAlign w:val="bottom"/>
            <w:hideMark/>
          </w:tcPr>
          <w:p w:rsidR="005727C2" w:rsidRDefault="005727C2">
            <w:pPr>
              <w:rPr>
                <w:rFonts w:eastAsia="Times New Roman"/>
                <w:color w:val="000000"/>
                <w:sz w:val="16"/>
                <w:szCs w:val="16"/>
                <w:lang w:eastAsia="en-US"/>
              </w:rPr>
            </w:pPr>
            <w:r>
              <w:rPr>
                <w:rFonts w:eastAsia="Times New Roman"/>
                <w:color w:val="000000"/>
                <w:sz w:val="16"/>
                <w:szCs w:val="16"/>
                <w:lang w:eastAsia="en-US"/>
              </w:rPr>
              <w:t> </w:t>
            </w:r>
          </w:p>
        </w:tc>
      </w:tr>
      <w:tr w:rsidR="005727C2" w:rsidTr="005727C2">
        <w:trPr>
          <w:trHeight w:val="20"/>
        </w:trPr>
        <w:tc>
          <w:tcPr>
            <w:tcW w:w="865" w:type="dxa"/>
            <w:tcBorders>
              <w:top w:val="nil"/>
              <w:left w:val="single" w:sz="4" w:space="0" w:color="auto"/>
              <w:bottom w:val="single" w:sz="4" w:space="0" w:color="auto"/>
              <w:right w:val="single" w:sz="4" w:space="0" w:color="auto"/>
            </w:tcBorders>
            <w:vAlign w:val="center"/>
            <w:hideMark/>
          </w:tcPr>
          <w:p w:rsidR="005727C2" w:rsidRDefault="005727C2">
            <w:pPr>
              <w:jc w:val="center"/>
              <w:rPr>
                <w:rFonts w:eastAsia="Times New Roman"/>
                <w:sz w:val="16"/>
                <w:szCs w:val="16"/>
                <w:lang w:eastAsia="en-US"/>
              </w:rPr>
            </w:pPr>
            <w:r>
              <w:rPr>
                <w:rFonts w:eastAsia="Times New Roman"/>
                <w:sz w:val="16"/>
                <w:szCs w:val="16"/>
                <w:lang w:eastAsia="en-US"/>
              </w:rPr>
              <w:t>В.3.6.2</w:t>
            </w:r>
          </w:p>
        </w:tc>
        <w:tc>
          <w:tcPr>
            <w:tcW w:w="1435" w:type="dxa"/>
            <w:tcBorders>
              <w:top w:val="nil"/>
              <w:left w:val="nil"/>
              <w:bottom w:val="single" w:sz="4" w:space="0" w:color="auto"/>
              <w:right w:val="single" w:sz="4" w:space="0" w:color="auto"/>
            </w:tcBorders>
            <w:vAlign w:val="center"/>
            <w:hideMark/>
          </w:tcPr>
          <w:p w:rsidR="005727C2" w:rsidRDefault="005727C2">
            <w:pPr>
              <w:rPr>
                <w:rFonts w:eastAsia="Times New Roman"/>
                <w:sz w:val="16"/>
                <w:szCs w:val="16"/>
                <w:lang w:eastAsia="en-US"/>
              </w:rPr>
            </w:pPr>
            <w:r>
              <w:rPr>
                <w:rFonts w:eastAsia="Times New Roman"/>
                <w:sz w:val="16"/>
                <w:szCs w:val="16"/>
                <w:lang w:eastAsia="en-US"/>
              </w:rPr>
              <w:t>количество постановлений о прекращении производства по делу об административном правонарушении</w:t>
            </w:r>
          </w:p>
        </w:tc>
        <w:tc>
          <w:tcPr>
            <w:tcW w:w="1575" w:type="dxa"/>
            <w:tcBorders>
              <w:top w:val="nil"/>
              <w:left w:val="nil"/>
              <w:bottom w:val="single" w:sz="4" w:space="0" w:color="auto"/>
              <w:right w:val="single" w:sz="4" w:space="0" w:color="auto"/>
            </w:tcBorders>
            <w:vAlign w:val="center"/>
            <w:hideMark/>
          </w:tcPr>
          <w:p w:rsidR="005727C2" w:rsidRDefault="005727C2">
            <w:pPr>
              <w:rPr>
                <w:rFonts w:eastAsia="Times New Roman"/>
                <w:sz w:val="16"/>
                <w:szCs w:val="16"/>
                <w:lang w:eastAsia="en-US"/>
              </w:rPr>
            </w:pPr>
            <w:r>
              <w:rPr>
                <w:rFonts w:eastAsia="Times New Roman"/>
                <w:sz w:val="16"/>
                <w:szCs w:val="16"/>
                <w:lang w:eastAsia="en-US"/>
              </w:rPr>
              <w:t>показатели устанавливаются по количеству постановлений о прекращении производства по делу об административном правонарушении (всего) и по различным основаниям (нарушение обязательных требований законодательства, невыполнение предписаний)</w:t>
            </w:r>
          </w:p>
        </w:tc>
        <w:tc>
          <w:tcPr>
            <w:tcW w:w="939" w:type="dxa"/>
            <w:tcBorders>
              <w:top w:val="nil"/>
              <w:left w:val="nil"/>
              <w:bottom w:val="single" w:sz="4" w:space="0" w:color="auto"/>
              <w:right w:val="single" w:sz="4" w:space="0" w:color="auto"/>
            </w:tcBorders>
            <w:noWrap/>
            <w:vAlign w:val="center"/>
            <w:hideMark/>
          </w:tcPr>
          <w:p w:rsidR="005727C2" w:rsidRDefault="005727C2">
            <w:pPr>
              <w:jc w:val="center"/>
              <w:rPr>
                <w:rFonts w:eastAsia="Times New Roman"/>
                <w:sz w:val="16"/>
                <w:szCs w:val="16"/>
                <w:lang w:eastAsia="en-US"/>
              </w:rPr>
            </w:pPr>
            <w:r>
              <w:rPr>
                <w:rFonts w:eastAsia="Times New Roman"/>
                <w:sz w:val="16"/>
                <w:szCs w:val="16"/>
                <w:lang w:eastAsia="en-US"/>
              </w:rPr>
              <w:t xml:space="preserve"> - </w:t>
            </w:r>
          </w:p>
        </w:tc>
        <w:tc>
          <w:tcPr>
            <w:tcW w:w="972" w:type="dxa"/>
            <w:tcBorders>
              <w:top w:val="nil"/>
              <w:left w:val="nil"/>
              <w:bottom w:val="single" w:sz="4" w:space="0" w:color="auto"/>
              <w:right w:val="single" w:sz="4" w:space="0" w:color="auto"/>
            </w:tcBorders>
            <w:noWrap/>
            <w:vAlign w:val="bottom"/>
            <w:hideMark/>
          </w:tcPr>
          <w:p w:rsidR="005727C2" w:rsidRDefault="005727C2">
            <w:pPr>
              <w:rPr>
                <w:rFonts w:eastAsia="Times New Roman"/>
                <w:sz w:val="16"/>
                <w:szCs w:val="16"/>
                <w:lang w:eastAsia="en-US"/>
              </w:rPr>
            </w:pPr>
            <w:r>
              <w:rPr>
                <w:rFonts w:eastAsia="Times New Roman"/>
                <w:sz w:val="16"/>
                <w:szCs w:val="16"/>
                <w:lang w:eastAsia="en-US"/>
              </w:rPr>
              <w:t> </w:t>
            </w:r>
          </w:p>
        </w:tc>
        <w:tc>
          <w:tcPr>
            <w:tcW w:w="1186" w:type="dxa"/>
            <w:tcBorders>
              <w:top w:val="nil"/>
              <w:left w:val="nil"/>
              <w:bottom w:val="single" w:sz="4" w:space="0" w:color="auto"/>
              <w:right w:val="single" w:sz="4" w:space="0" w:color="auto"/>
            </w:tcBorders>
            <w:noWrap/>
            <w:vAlign w:val="center"/>
            <w:hideMark/>
          </w:tcPr>
          <w:p w:rsidR="005727C2" w:rsidRDefault="005727C2">
            <w:pPr>
              <w:jc w:val="center"/>
              <w:rPr>
                <w:rFonts w:eastAsia="Times New Roman"/>
                <w:sz w:val="16"/>
                <w:szCs w:val="16"/>
                <w:lang w:eastAsia="en-US"/>
              </w:rPr>
            </w:pPr>
            <w:r>
              <w:rPr>
                <w:rFonts w:eastAsia="Times New Roman"/>
                <w:sz w:val="16"/>
                <w:szCs w:val="16"/>
                <w:lang w:eastAsia="en-US"/>
              </w:rPr>
              <w:t xml:space="preserve"> - </w:t>
            </w:r>
          </w:p>
        </w:tc>
        <w:tc>
          <w:tcPr>
            <w:tcW w:w="865" w:type="dxa"/>
            <w:tcBorders>
              <w:top w:val="nil"/>
              <w:left w:val="nil"/>
              <w:bottom w:val="single" w:sz="4" w:space="0" w:color="auto"/>
              <w:right w:val="single" w:sz="4" w:space="0" w:color="auto"/>
            </w:tcBorders>
            <w:shd w:val="clear" w:color="auto" w:fill="FFFFFF"/>
            <w:noWrap/>
            <w:vAlign w:val="center"/>
            <w:hideMark/>
          </w:tcPr>
          <w:p w:rsidR="005727C2" w:rsidRDefault="005727C2">
            <w:pPr>
              <w:jc w:val="center"/>
              <w:rPr>
                <w:rFonts w:eastAsia="Times New Roman"/>
                <w:sz w:val="16"/>
                <w:szCs w:val="16"/>
                <w:lang w:eastAsia="en-US"/>
              </w:rPr>
            </w:pPr>
            <w:r>
              <w:rPr>
                <w:rFonts w:eastAsia="Times New Roman"/>
                <w:sz w:val="16"/>
                <w:szCs w:val="16"/>
                <w:lang w:eastAsia="en-US"/>
              </w:rPr>
              <w:t>21</w:t>
            </w:r>
          </w:p>
        </w:tc>
        <w:tc>
          <w:tcPr>
            <w:tcW w:w="684" w:type="dxa"/>
            <w:tcBorders>
              <w:top w:val="nil"/>
              <w:left w:val="nil"/>
              <w:bottom w:val="single" w:sz="4" w:space="0" w:color="auto"/>
              <w:right w:val="single" w:sz="4" w:space="0" w:color="auto"/>
            </w:tcBorders>
            <w:noWrap/>
            <w:vAlign w:val="center"/>
            <w:hideMark/>
          </w:tcPr>
          <w:p w:rsidR="005727C2" w:rsidRDefault="005727C2">
            <w:pPr>
              <w:jc w:val="center"/>
              <w:rPr>
                <w:rFonts w:eastAsia="Times New Roman"/>
                <w:sz w:val="16"/>
                <w:szCs w:val="16"/>
                <w:lang w:eastAsia="en-US"/>
              </w:rPr>
            </w:pPr>
            <w:r>
              <w:rPr>
                <w:rFonts w:eastAsia="Times New Roman"/>
                <w:sz w:val="16"/>
                <w:szCs w:val="16"/>
                <w:lang w:eastAsia="en-US"/>
              </w:rPr>
              <w:t xml:space="preserve"> - </w:t>
            </w:r>
          </w:p>
        </w:tc>
        <w:tc>
          <w:tcPr>
            <w:tcW w:w="957" w:type="dxa"/>
            <w:tcBorders>
              <w:top w:val="nil"/>
              <w:left w:val="nil"/>
              <w:bottom w:val="single" w:sz="4" w:space="0" w:color="auto"/>
              <w:right w:val="single" w:sz="4" w:space="0" w:color="auto"/>
            </w:tcBorders>
            <w:noWrap/>
            <w:vAlign w:val="bottom"/>
            <w:hideMark/>
          </w:tcPr>
          <w:p w:rsidR="005727C2" w:rsidRDefault="005727C2">
            <w:pPr>
              <w:rPr>
                <w:rFonts w:eastAsia="Times New Roman"/>
                <w:color w:val="000000"/>
                <w:sz w:val="16"/>
                <w:szCs w:val="16"/>
                <w:lang w:eastAsia="en-US"/>
              </w:rPr>
            </w:pPr>
            <w:r>
              <w:rPr>
                <w:rFonts w:eastAsia="Times New Roman"/>
                <w:color w:val="000000"/>
                <w:sz w:val="16"/>
                <w:szCs w:val="16"/>
                <w:lang w:eastAsia="en-US"/>
              </w:rPr>
              <w:t> </w:t>
            </w:r>
          </w:p>
        </w:tc>
      </w:tr>
      <w:tr w:rsidR="005727C2" w:rsidTr="005727C2">
        <w:trPr>
          <w:trHeight w:val="20"/>
        </w:trPr>
        <w:tc>
          <w:tcPr>
            <w:tcW w:w="865" w:type="dxa"/>
            <w:tcBorders>
              <w:top w:val="nil"/>
              <w:left w:val="single" w:sz="4" w:space="0" w:color="auto"/>
              <w:bottom w:val="single" w:sz="4" w:space="0" w:color="auto"/>
              <w:right w:val="single" w:sz="4" w:space="0" w:color="auto"/>
            </w:tcBorders>
            <w:vAlign w:val="center"/>
            <w:hideMark/>
          </w:tcPr>
          <w:p w:rsidR="005727C2" w:rsidRDefault="005727C2">
            <w:pPr>
              <w:jc w:val="center"/>
              <w:rPr>
                <w:rFonts w:eastAsia="Times New Roman"/>
                <w:sz w:val="16"/>
                <w:szCs w:val="16"/>
                <w:lang w:eastAsia="en-US"/>
              </w:rPr>
            </w:pPr>
            <w:r>
              <w:rPr>
                <w:rFonts w:eastAsia="Times New Roman"/>
                <w:sz w:val="16"/>
                <w:szCs w:val="16"/>
                <w:lang w:eastAsia="en-US"/>
              </w:rPr>
              <w:t>В.3.6.3</w:t>
            </w:r>
          </w:p>
        </w:tc>
        <w:tc>
          <w:tcPr>
            <w:tcW w:w="1435" w:type="dxa"/>
            <w:tcBorders>
              <w:top w:val="nil"/>
              <w:left w:val="nil"/>
              <w:bottom w:val="single" w:sz="4" w:space="0" w:color="auto"/>
              <w:right w:val="single" w:sz="4" w:space="0" w:color="auto"/>
            </w:tcBorders>
            <w:vAlign w:val="center"/>
            <w:hideMark/>
          </w:tcPr>
          <w:p w:rsidR="005727C2" w:rsidRDefault="005727C2">
            <w:pPr>
              <w:rPr>
                <w:rFonts w:eastAsia="Times New Roman"/>
                <w:sz w:val="16"/>
                <w:szCs w:val="16"/>
                <w:lang w:eastAsia="en-US"/>
              </w:rPr>
            </w:pPr>
            <w:r>
              <w:rPr>
                <w:rFonts w:eastAsia="Times New Roman"/>
                <w:sz w:val="16"/>
                <w:szCs w:val="16"/>
                <w:lang w:eastAsia="en-US"/>
              </w:rPr>
              <w:t>количество постановлений о назначении административных наказаний</w:t>
            </w:r>
          </w:p>
        </w:tc>
        <w:tc>
          <w:tcPr>
            <w:tcW w:w="1575" w:type="dxa"/>
            <w:tcBorders>
              <w:top w:val="nil"/>
              <w:left w:val="nil"/>
              <w:bottom w:val="single" w:sz="4" w:space="0" w:color="auto"/>
              <w:right w:val="single" w:sz="4" w:space="0" w:color="auto"/>
            </w:tcBorders>
            <w:vAlign w:val="center"/>
            <w:hideMark/>
          </w:tcPr>
          <w:p w:rsidR="005727C2" w:rsidRDefault="005727C2">
            <w:pPr>
              <w:rPr>
                <w:rFonts w:eastAsia="Times New Roman"/>
                <w:sz w:val="16"/>
                <w:szCs w:val="16"/>
                <w:lang w:eastAsia="en-US"/>
              </w:rPr>
            </w:pPr>
            <w:r>
              <w:rPr>
                <w:rFonts w:eastAsia="Times New Roman"/>
                <w:sz w:val="16"/>
                <w:szCs w:val="16"/>
                <w:lang w:eastAsia="en-US"/>
              </w:rPr>
              <w:t xml:space="preserve">показатели устанавливаются по количеству административных наказаний </w:t>
            </w:r>
            <w:r>
              <w:rPr>
                <w:rFonts w:eastAsia="Times New Roman"/>
                <w:b/>
                <w:bCs/>
                <w:sz w:val="16"/>
                <w:szCs w:val="16"/>
                <w:lang w:eastAsia="en-US"/>
              </w:rPr>
              <w:t>(всего)</w:t>
            </w:r>
            <w:r>
              <w:rPr>
                <w:rFonts w:eastAsia="Times New Roman"/>
                <w:sz w:val="16"/>
                <w:szCs w:val="16"/>
                <w:lang w:eastAsia="en-US"/>
              </w:rPr>
              <w:t xml:space="preserve"> и по видам наказаний (предупреждение, административный штраф)</w:t>
            </w:r>
          </w:p>
        </w:tc>
        <w:tc>
          <w:tcPr>
            <w:tcW w:w="939" w:type="dxa"/>
            <w:tcBorders>
              <w:top w:val="nil"/>
              <w:left w:val="nil"/>
              <w:bottom w:val="single" w:sz="4" w:space="0" w:color="auto"/>
              <w:right w:val="single" w:sz="4" w:space="0" w:color="auto"/>
            </w:tcBorders>
            <w:noWrap/>
            <w:vAlign w:val="center"/>
            <w:hideMark/>
          </w:tcPr>
          <w:p w:rsidR="005727C2" w:rsidRDefault="005727C2">
            <w:pPr>
              <w:jc w:val="center"/>
              <w:rPr>
                <w:rFonts w:eastAsia="Times New Roman"/>
                <w:sz w:val="16"/>
                <w:szCs w:val="16"/>
                <w:lang w:eastAsia="en-US"/>
              </w:rPr>
            </w:pPr>
            <w:r>
              <w:rPr>
                <w:rFonts w:eastAsia="Times New Roman"/>
                <w:sz w:val="16"/>
                <w:szCs w:val="16"/>
                <w:lang w:eastAsia="en-US"/>
              </w:rPr>
              <w:t xml:space="preserve"> - </w:t>
            </w:r>
          </w:p>
        </w:tc>
        <w:tc>
          <w:tcPr>
            <w:tcW w:w="972" w:type="dxa"/>
            <w:tcBorders>
              <w:top w:val="nil"/>
              <w:left w:val="nil"/>
              <w:bottom w:val="single" w:sz="4" w:space="0" w:color="auto"/>
              <w:right w:val="single" w:sz="4" w:space="0" w:color="auto"/>
            </w:tcBorders>
            <w:noWrap/>
            <w:vAlign w:val="bottom"/>
            <w:hideMark/>
          </w:tcPr>
          <w:p w:rsidR="005727C2" w:rsidRDefault="005727C2">
            <w:pPr>
              <w:rPr>
                <w:rFonts w:eastAsia="Times New Roman"/>
                <w:sz w:val="16"/>
                <w:szCs w:val="16"/>
                <w:lang w:eastAsia="en-US"/>
              </w:rPr>
            </w:pPr>
            <w:r>
              <w:rPr>
                <w:rFonts w:eastAsia="Times New Roman"/>
                <w:sz w:val="16"/>
                <w:szCs w:val="16"/>
                <w:lang w:eastAsia="en-US"/>
              </w:rPr>
              <w:t> </w:t>
            </w:r>
          </w:p>
        </w:tc>
        <w:tc>
          <w:tcPr>
            <w:tcW w:w="1186" w:type="dxa"/>
            <w:tcBorders>
              <w:top w:val="nil"/>
              <w:left w:val="nil"/>
              <w:bottom w:val="single" w:sz="4" w:space="0" w:color="auto"/>
              <w:right w:val="single" w:sz="4" w:space="0" w:color="auto"/>
            </w:tcBorders>
            <w:noWrap/>
            <w:vAlign w:val="center"/>
            <w:hideMark/>
          </w:tcPr>
          <w:p w:rsidR="005727C2" w:rsidRDefault="005727C2">
            <w:pPr>
              <w:jc w:val="center"/>
              <w:rPr>
                <w:rFonts w:eastAsia="Times New Roman"/>
                <w:sz w:val="16"/>
                <w:szCs w:val="16"/>
                <w:lang w:eastAsia="en-US"/>
              </w:rPr>
            </w:pPr>
            <w:r>
              <w:rPr>
                <w:rFonts w:eastAsia="Times New Roman"/>
                <w:sz w:val="16"/>
                <w:szCs w:val="16"/>
                <w:lang w:eastAsia="en-US"/>
              </w:rPr>
              <w:t xml:space="preserve"> - </w:t>
            </w:r>
          </w:p>
        </w:tc>
        <w:tc>
          <w:tcPr>
            <w:tcW w:w="865" w:type="dxa"/>
            <w:tcBorders>
              <w:top w:val="nil"/>
              <w:left w:val="nil"/>
              <w:bottom w:val="single" w:sz="4" w:space="0" w:color="auto"/>
              <w:right w:val="single" w:sz="4" w:space="0" w:color="auto"/>
            </w:tcBorders>
            <w:shd w:val="clear" w:color="auto" w:fill="FFFFFF"/>
            <w:noWrap/>
            <w:vAlign w:val="center"/>
            <w:hideMark/>
          </w:tcPr>
          <w:p w:rsidR="005727C2" w:rsidRDefault="005727C2">
            <w:pPr>
              <w:jc w:val="center"/>
              <w:rPr>
                <w:rFonts w:eastAsia="Times New Roman"/>
                <w:sz w:val="16"/>
                <w:szCs w:val="16"/>
                <w:lang w:eastAsia="en-US"/>
              </w:rPr>
            </w:pPr>
            <w:r>
              <w:rPr>
                <w:rFonts w:eastAsia="Times New Roman"/>
                <w:sz w:val="16"/>
                <w:szCs w:val="16"/>
                <w:lang w:eastAsia="en-US"/>
              </w:rPr>
              <w:t>195</w:t>
            </w:r>
          </w:p>
        </w:tc>
        <w:tc>
          <w:tcPr>
            <w:tcW w:w="684" w:type="dxa"/>
            <w:tcBorders>
              <w:top w:val="nil"/>
              <w:left w:val="nil"/>
              <w:bottom w:val="single" w:sz="4" w:space="0" w:color="auto"/>
              <w:right w:val="single" w:sz="4" w:space="0" w:color="auto"/>
            </w:tcBorders>
            <w:noWrap/>
            <w:vAlign w:val="center"/>
            <w:hideMark/>
          </w:tcPr>
          <w:p w:rsidR="005727C2" w:rsidRDefault="005727C2">
            <w:pPr>
              <w:jc w:val="center"/>
              <w:rPr>
                <w:rFonts w:eastAsia="Times New Roman"/>
                <w:sz w:val="16"/>
                <w:szCs w:val="16"/>
                <w:lang w:eastAsia="en-US"/>
              </w:rPr>
            </w:pPr>
            <w:r>
              <w:rPr>
                <w:rFonts w:eastAsia="Times New Roman"/>
                <w:sz w:val="16"/>
                <w:szCs w:val="16"/>
                <w:lang w:eastAsia="en-US"/>
              </w:rPr>
              <w:t xml:space="preserve"> - </w:t>
            </w:r>
          </w:p>
        </w:tc>
        <w:tc>
          <w:tcPr>
            <w:tcW w:w="957" w:type="dxa"/>
            <w:tcBorders>
              <w:top w:val="nil"/>
              <w:left w:val="nil"/>
              <w:bottom w:val="single" w:sz="4" w:space="0" w:color="auto"/>
              <w:right w:val="single" w:sz="4" w:space="0" w:color="auto"/>
            </w:tcBorders>
            <w:noWrap/>
            <w:vAlign w:val="bottom"/>
            <w:hideMark/>
          </w:tcPr>
          <w:p w:rsidR="005727C2" w:rsidRDefault="005727C2">
            <w:pPr>
              <w:rPr>
                <w:rFonts w:eastAsia="Times New Roman"/>
                <w:color w:val="000000"/>
                <w:sz w:val="16"/>
                <w:szCs w:val="16"/>
                <w:lang w:eastAsia="en-US"/>
              </w:rPr>
            </w:pPr>
            <w:r>
              <w:rPr>
                <w:rFonts w:eastAsia="Times New Roman"/>
                <w:color w:val="000000"/>
                <w:sz w:val="16"/>
                <w:szCs w:val="16"/>
                <w:lang w:eastAsia="en-US"/>
              </w:rPr>
              <w:t> </w:t>
            </w:r>
          </w:p>
        </w:tc>
      </w:tr>
      <w:tr w:rsidR="005727C2" w:rsidTr="005727C2">
        <w:trPr>
          <w:trHeight w:val="20"/>
        </w:trPr>
        <w:tc>
          <w:tcPr>
            <w:tcW w:w="865" w:type="dxa"/>
            <w:tcBorders>
              <w:top w:val="nil"/>
              <w:left w:val="single" w:sz="4" w:space="0" w:color="auto"/>
              <w:bottom w:val="single" w:sz="4" w:space="0" w:color="auto"/>
              <w:right w:val="single" w:sz="4" w:space="0" w:color="auto"/>
            </w:tcBorders>
            <w:vAlign w:val="center"/>
            <w:hideMark/>
          </w:tcPr>
          <w:p w:rsidR="005727C2" w:rsidRDefault="005727C2">
            <w:pPr>
              <w:jc w:val="center"/>
              <w:rPr>
                <w:rFonts w:eastAsia="Times New Roman"/>
                <w:sz w:val="16"/>
                <w:szCs w:val="16"/>
                <w:lang w:eastAsia="en-US"/>
              </w:rPr>
            </w:pPr>
            <w:r>
              <w:rPr>
                <w:rFonts w:eastAsia="Times New Roman"/>
                <w:sz w:val="16"/>
                <w:szCs w:val="16"/>
                <w:lang w:eastAsia="en-US"/>
              </w:rPr>
              <w:t>В.3.6.3.1</w:t>
            </w:r>
          </w:p>
        </w:tc>
        <w:tc>
          <w:tcPr>
            <w:tcW w:w="1435" w:type="dxa"/>
            <w:tcBorders>
              <w:top w:val="nil"/>
              <w:left w:val="nil"/>
              <w:bottom w:val="single" w:sz="4" w:space="0" w:color="auto"/>
              <w:right w:val="single" w:sz="4" w:space="0" w:color="auto"/>
            </w:tcBorders>
            <w:vAlign w:val="center"/>
            <w:hideMark/>
          </w:tcPr>
          <w:p w:rsidR="005727C2" w:rsidRDefault="005727C2">
            <w:pPr>
              <w:rPr>
                <w:rFonts w:eastAsia="Times New Roman"/>
                <w:sz w:val="16"/>
                <w:szCs w:val="16"/>
                <w:lang w:eastAsia="en-US"/>
              </w:rPr>
            </w:pPr>
            <w:r>
              <w:rPr>
                <w:rFonts w:eastAsia="Times New Roman"/>
                <w:sz w:val="16"/>
                <w:szCs w:val="16"/>
                <w:lang w:eastAsia="en-US"/>
              </w:rPr>
              <w:t>количество постановлений о назначении административных наказаний - предупреждение</w:t>
            </w:r>
          </w:p>
        </w:tc>
        <w:tc>
          <w:tcPr>
            <w:tcW w:w="1575" w:type="dxa"/>
            <w:tcBorders>
              <w:top w:val="nil"/>
              <w:left w:val="nil"/>
              <w:bottom w:val="single" w:sz="4" w:space="0" w:color="auto"/>
              <w:right w:val="single" w:sz="4" w:space="0" w:color="auto"/>
            </w:tcBorders>
            <w:vAlign w:val="center"/>
            <w:hideMark/>
          </w:tcPr>
          <w:p w:rsidR="005727C2" w:rsidRDefault="005727C2">
            <w:pPr>
              <w:rPr>
                <w:rFonts w:eastAsia="Times New Roman"/>
                <w:sz w:val="16"/>
                <w:szCs w:val="16"/>
                <w:lang w:eastAsia="en-US"/>
              </w:rPr>
            </w:pPr>
            <w:r>
              <w:rPr>
                <w:rFonts w:eastAsia="Times New Roman"/>
                <w:sz w:val="16"/>
                <w:szCs w:val="16"/>
                <w:lang w:eastAsia="en-US"/>
              </w:rPr>
              <w:t>в т.ч. - предупреждение</w:t>
            </w:r>
          </w:p>
        </w:tc>
        <w:tc>
          <w:tcPr>
            <w:tcW w:w="939" w:type="dxa"/>
            <w:tcBorders>
              <w:top w:val="nil"/>
              <w:left w:val="nil"/>
              <w:bottom w:val="single" w:sz="4" w:space="0" w:color="auto"/>
              <w:right w:val="single" w:sz="4" w:space="0" w:color="auto"/>
            </w:tcBorders>
            <w:noWrap/>
            <w:vAlign w:val="center"/>
            <w:hideMark/>
          </w:tcPr>
          <w:p w:rsidR="005727C2" w:rsidRDefault="005727C2">
            <w:pPr>
              <w:jc w:val="center"/>
              <w:rPr>
                <w:rFonts w:eastAsia="Times New Roman"/>
                <w:sz w:val="16"/>
                <w:szCs w:val="16"/>
                <w:lang w:eastAsia="en-US"/>
              </w:rPr>
            </w:pPr>
            <w:r>
              <w:rPr>
                <w:rFonts w:eastAsia="Times New Roman"/>
                <w:sz w:val="16"/>
                <w:szCs w:val="16"/>
                <w:lang w:eastAsia="en-US"/>
              </w:rPr>
              <w:t> </w:t>
            </w:r>
          </w:p>
        </w:tc>
        <w:tc>
          <w:tcPr>
            <w:tcW w:w="972" w:type="dxa"/>
            <w:tcBorders>
              <w:top w:val="nil"/>
              <w:left w:val="nil"/>
              <w:bottom w:val="single" w:sz="4" w:space="0" w:color="auto"/>
              <w:right w:val="single" w:sz="4" w:space="0" w:color="auto"/>
            </w:tcBorders>
            <w:noWrap/>
            <w:vAlign w:val="bottom"/>
            <w:hideMark/>
          </w:tcPr>
          <w:p w:rsidR="005727C2" w:rsidRDefault="005727C2">
            <w:pPr>
              <w:rPr>
                <w:rFonts w:eastAsia="Times New Roman"/>
                <w:sz w:val="16"/>
                <w:szCs w:val="16"/>
                <w:lang w:eastAsia="en-US"/>
              </w:rPr>
            </w:pPr>
            <w:r>
              <w:rPr>
                <w:rFonts w:eastAsia="Times New Roman"/>
                <w:sz w:val="16"/>
                <w:szCs w:val="16"/>
                <w:lang w:eastAsia="en-US"/>
              </w:rPr>
              <w:t> </w:t>
            </w:r>
          </w:p>
        </w:tc>
        <w:tc>
          <w:tcPr>
            <w:tcW w:w="1186" w:type="dxa"/>
            <w:tcBorders>
              <w:top w:val="nil"/>
              <w:left w:val="nil"/>
              <w:bottom w:val="single" w:sz="4" w:space="0" w:color="auto"/>
              <w:right w:val="single" w:sz="4" w:space="0" w:color="auto"/>
            </w:tcBorders>
            <w:noWrap/>
            <w:vAlign w:val="center"/>
            <w:hideMark/>
          </w:tcPr>
          <w:p w:rsidR="005727C2" w:rsidRDefault="005727C2">
            <w:pPr>
              <w:jc w:val="center"/>
              <w:rPr>
                <w:rFonts w:eastAsia="Times New Roman"/>
                <w:sz w:val="16"/>
                <w:szCs w:val="16"/>
                <w:lang w:eastAsia="en-US"/>
              </w:rPr>
            </w:pPr>
            <w:r>
              <w:rPr>
                <w:rFonts w:eastAsia="Times New Roman"/>
                <w:sz w:val="16"/>
                <w:szCs w:val="16"/>
                <w:lang w:eastAsia="en-US"/>
              </w:rPr>
              <w:t xml:space="preserve"> - </w:t>
            </w:r>
          </w:p>
        </w:tc>
        <w:tc>
          <w:tcPr>
            <w:tcW w:w="865" w:type="dxa"/>
            <w:tcBorders>
              <w:top w:val="nil"/>
              <w:left w:val="nil"/>
              <w:bottom w:val="single" w:sz="4" w:space="0" w:color="auto"/>
              <w:right w:val="single" w:sz="4" w:space="0" w:color="auto"/>
            </w:tcBorders>
            <w:shd w:val="clear" w:color="auto" w:fill="FFFFFF"/>
            <w:noWrap/>
            <w:vAlign w:val="center"/>
            <w:hideMark/>
          </w:tcPr>
          <w:p w:rsidR="005727C2" w:rsidRDefault="005727C2">
            <w:pPr>
              <w:jc w:val="center"/>
              <w:rPr>
                <w:rFonts w:eastAsia="Times New Roman"/>
                <w:sz w:val="16"/>
                <w:szCs w:val="16"/>
                <w:lang w:eastAsia="en-US"/>
              </w:rPr>
            </w:pPr>
            <w:r>
              <w:rPr>
                <w:rFonts w:eastAsia="Times New Roman"/>
                <w:sz w:val="16"/>
                <w:szCs w:val="16"/>
                <w:lang w:eastAsia="en-US"/>
              </w:rPr>
              <w:t>58</w:t>
            </w:r>
          </w:p>
        </w:tc>
        <w:tc>
          <w:tcPr>
            <w:tcW w:w="684" w:type="dxa"/>
            <w:tcBorders>
              <w:top w:val="nil"/>
              <w:left w:val="nil"/>
              <w:bottom w:val="single" w:sz="4" w:space="0" w:color="auto"/>
              <w:right w:val="single" w:sz="4" w:space="0" w:color="auto"/>
            </w:tcBorders>
            <w:noWrap/>
            <w:vAlign w:val="center"/>
            <w:hideMark/>
          </w:tcPr>
          <w:p w:rsidR="005727C2" w:rsidRDefault="005727C2">
            <w:pPr>
              <w:jc w:val="center"/>
              <w:rPr>
                <w:rFonts w:eastAsia="Times New Roman"/>
                <w:sz w:val="16"/>
                <w:szCs w:val="16"/>
                <w:lang w:eastAsia="en-US"/>
              </w:rPr>
            </w:pPr>
            <w:r>
              <w:rPr>
                <w:rFonts w:eastAsia="Times New Roman"/>
                <w:sz w:val="16"/>
                <w:szCs w:val="16"/>
                <w:lang w:eastAsia="en-US"/>
              </w:rPr>
              <w:t xml:space="preserve"> - </w:t>
            </w:r>
          </w:p>
        </w:tc>
        <w:tc>
          <w:tcPr>
            <w:tcW w:w="957" w:type="dxa"/>
            <w:tcBorders>
              <w:top w:val="nil"/>
              <w:left w:val="nil"/>
              <w:bottom w:val="single" w:sz="4" w:space="0" w:color="auto"/>
              <w:right w:val="single" w:sz="4" w:space="0" w:color="auto"/>
            </w:tcBorders>
            <w:noWrap/>
            <w:vAlign w:val="bottom"/>
            <w:hideMark/>
          </w:tcPr>
          <w:p w:rsidR="005727C2" w:rsidRDefault="005727C2">
            <w:pPr>
              <w:rPr>
                <w:rFonts w:eastAsia="Times New Roman"/>
                <w:color w:val="000000"/>
                <w:sz w:val="16"/>
                <w:szCs w:val="16"/>
                <w:lang w:eastAsia="en-US"/>
              </w:rPr>
            </w:pPr>
            <w:r>
              <w:rPr>
                <w:rFonts w:eastAsia="Times New Roman"/>
                <w:color w:val="000000"/>
                <w:sz w:val="16"/>
                <w:szCs w:val="16"/>
                <w:lang w:eastAsia="en-US"/>
              </w:rPr>
              <w:t> </w:t>
            </w:r>
          </w:p>
        </w:tc>
      </w:tr>
      <w:tr w:rsidR="005727C2" w:rsidTr="005727C2">
        <w:trPr>
          <w:trHeight w:val="20"/>
        </w:trPr>
        <w:tc>
          <w:tcPr>
            <w:tcW w:w="865" w:type="dxa"/>
            <w:tcBorders>
              <w:top w:val="nil"/>
              <w:left w:val="single" w:sz="4" w:space="0" w:color="auto"/>
              <w:bottom w:val="single" w:sz="4" w:space="0" w:color="auto"/>
              <w:right w:val="single" w:sz="4" w:space="0" w:color="auto"/>
            </w:tcBorders>
            <w:shd w:val="clear" w:color="auto" w:fill="FFFFFF"/>
            <w:vAlign w:val="center"/>
            <w:hideMark/>
          </w:tcPr>
          <w:p w:rsidR="005727C2" w:rsidRDefault="005727C2">
            <w:pPr>
              <w:jc w:val="center"/>
              <w:rPr>
                <w:rFonts w:eastAsia="Times New Roman"/>
                <w:sz w:val="16"/>
                <w:szCs w:val="16"/>
                <w:lang w:eastAsia="en-US"/>
              </w:rPr>
            </w:pPr>
            <w:r>
              <w:rPr>
                <w:rFonts w:eastAsia="Times New Roman"/>
                <w:sz w:val="16"/>
                <w:szCs w:val="16"/>
                <w:lang w:eastAsia="en-US"/>
              </w:rPr>
              <w:t>В.3.6.3.2</w:t>
            </w:r>
          </w:p>
        </w:tc>
        <w:tc>
          <w:tcPr>
            <w:tcW w:w="1435" w:type="dxa"/>
            <w:tcBorders>
              <w:top w:val="nil"/>
              <w:left w:val="nil"/>
              <w:bottom w:val="single" w:sz="4" w:space="0" w:color="auto"/>
              <w:right w:val="single" w:sz="4" w:space="0" w:color="auto"/>
            </w:tcBorders>
            <w:vAlign w:val="center"/>
            <w:hideMark/>
          </w:tcPr>
          <w:p w:rsidR="005727C2" w:rsidRDefault="005727C2">
            <w:pPr>
              <w:rPr>
                <w:rFonts w:eastAsia="Times New Roman"/>
                <w:sz w:val="16"/>
                <w:szCs w:val="16"/>
                <w:lang w:eastAsia="en-US"/>
              </w:rPr>
            </w:pPr>
            <w:r>
              <w:rPr>
                <w:rFonts w:eastAsia="Times New Roman"/>
                <w:sz w:val="16"/>
                <w:szCs w:val="16"/>
                <w:lang w:eastAsia="en-US"/>
              </w:rPr>
              <w:t>количество постановлений о назначении административных наказаний - административный штраф</w:t>
            </w:r>
          </w:p>
        </w:tc>
        <w:tc>
          <w:tcPr>
            <w:tcW w:w="1575" w:type="dxa"/>
            <w:tcBorders>
              <w:top w:val="nil"/>
              <w:left w:val="nil"/>
              <w:bottom w:val="single" w:sz="4" w:space="0" w:color="auto"/>
              <w:right w:val="single" w:sz="4" w:space="0" w:color="auto"/>
            </w:tcBorders>
            <w:vAlign w:val="center"/>
            <w:hideMark/>
          </w:tcPr>
          <w:p w:rsidR="005727C2" w:rsidRDefault="005727C2">
            <w:pPr>
              <w:rPr>
                <w:rFonts w:eastAsia="Times New Roman"/>
                <w:sz w:val="16"/>
                <w:szCs w:val="16"/>
                <w:lang w:eastAsia="en-US"/>
              </w:rPr>
            </w:pPr>
            <w:r>
              <w:rPr>
                <w:rFonts w:eastAsia="Times New Roman"/>
                <w:sz w:val="16"/>
                <w:szCs w:val="16"/>
                <w:lang w:eastAsia="en-US"/>
              </w:rPr>
              <w:t>в т.ч. - административный штраф</w:t>
            </w:r>
          </w:p>
        </w:tc>
        <w:tc>
          <w:tcPr>
            <w:tcW w:w="939" w:type="dxa"/>
            <w:tcBorders>
              <w:top w:val="nil"/>
              <w:left w:val="nil"/>
              <w:bottom w:val="single" w:sz="4" w:space="0" w:color="auto"/>
              <w:right w:val="single" w:sz="4" w:space="0" w:color="auto"/>
            </w:tcBorders>
            <w:noWrap/>
            <w:vAlign w:val="center"/>
            <w:hideMark/>
          </w:tcPr>
          <w:p w:rsidR="005727C2" w:rsidRDefault="005727C2">
            <w:pPr>
              <w:jc w:val="center"/>
              <w:rPr>
                <w:rFonts w:eastAsia="Times New Roman"/>
                <w:sz w:val="16"/>
                <w:szCs w:val="16"/>
                <w:lang w:eastAsia="en-US"/>
              </w:rPr>
            </w:pPr>
            <w:r>
              <w:rPr>
                <w:rFonts w:eastAsia="Times New Roman"/>
                <w:sz w:val="16"/>
                <w:szCs w:val="16"/>
                <w:lang w:eastAsia="en-US"/>
              </w:rPr>
              <w:t> </w:t>
            </w:r>
          </w:p>
        </w:tc>
        <w:tc>
          <w:tcPr>
            <w:tcW w:w="972" w:type="dxa"/>
            <w:tcBorders>
              <w:top w:val="nil"/>
              <w:left w:val="nil"/>
              <w:bottom w:val="single" w:sz="4" w:space="0" w:color="auto"/>
              <w:right w:val="single" w:sz="4" w:space="0" w:color="auto"/>
            </w:tcBorders>
            <w:noWrap/>
            <w:vAlign w:val="bottom"/>
            <w:hideMark/>
          </w:tcPr>
          <w:p w:rsidR="005727C2" w:rsidRDefault="005727C2">
            <w:pPr>
              <w:rPr>
                <w:rFonts w:eastAsia="Times New Roman"/>
                <w:sz w:val="16"/>
                <w:szCs w:val="16"/>
                <w:lang w:eastAsia="en-US"/>
              </w:rPr>
            </w:pPr>
            <w:r>
              <w:rPr>
                <w:rFonts w:eastAsia="Times New Roman"/>
                <w:sz w:val="16"/>
                <w:szCs w:val="16"/>
                <w:lang w:eastAsia="en-US"/>
              </w:rPr>
              <w:t> </w:t>
            </w:r>
          </w:p>
        </w:tc>
        <w:tc>
          <w:tcPr>
            <w:tcW w:w="1186" w:type="dxa"/>
            <w:tcBorders>
              <w:top w:val="nil"/>
              <w:left w:val="nil"/>
              <w:bottom w:val="single" w:sz="4" w:space="0" w:color="auto"/>
              <w:right w:val="single" w:sz="4" w:space="0" w:color="auto"/>
            </w:tcBorders>
            <w:noWrap/>
            <w:vAlign w:val="center"/>
            <w:hideMark/>
          </w:tcPr>
          <w:p w:rsidR="005727C2" w:rsidRDefault="005727C2">
            <w:pPr>
              <w:jc w:val="center"/>
              <w:rPr>
                <w:rFonts w:eastAsia="Times New Roman"/>
                <w:sz w:val="16"/>
                <w:szCs w:val="16"/>
                <w:lang w:eastAsia="en-US"/>
              </w:rPr>
            </w:pPr>
            <w:r>
              <w:rPr>
                <w:rFonts w:eastAsia="Times New Roman"/>
                <w:sz w:val="16"/>
                <w:szCs w:val="16"/>
                <w:lang w:eastAsia="en-US"/>
              </w:rPr>
              <w:t xml:space="preserve"> - </w:t>
            </w:r>
          </w:p>
        </w:tc>
        <w:tc>
          <w:tcPr>
            <w:tcW w:w="865" w:type="dxa"/>
            <w:tcBorders>
              <w:top w:val="nil"/>
              <w:left w:val="nil"/>
              <w:bottom w:val="single" w:sz="4" w:space="0" w:color="auto"/>
              <w:right w:val="single" w:sz="4" w:space="0" w:color="auto"/>
            </w:tcBorders>
            <w:shd w:val="clear" w:color="auto" w:fill="FFFFFF"/>
            <w:noWrap/>
            <w:vAlign w:val="center"/>
            <w:hideMark/>
          </w:tcPr>
          <w:p w:rsidR="005727C2" w:rsidRDefault="005727C2">
            <w:pPr>
              <w:jc w:val="center"/>
              <w:rPr>
                <w:rFonts w:eastAsia="Times New Roman"/>
                <w:sz w:val="16"/>
                <w:szCs w:val="16"/>
                <w:lang w:eastAsia="en-US"/>
              </w:rPr>
            </w:pPr>
            <w:r>
              <w:rPr>
                <w:rFonts w:eastAsia="Times New Roman"/>
                <w:sz w:val="16"/>
                <w:szCs w:val="16"/>
                <w:lang w:eastAsia="en-US"/>
              </w:rPr>
              <w:t>137</w:t>
            </w:r>
          </w:p>
        </w:tc>
        <w:tc>
          <w:tcPr>
            <w:tcW w:w="684" w:type="dxa"/>
            <w:tcBorders>
              <w:top w:val="nil"/>
              <w:left w:val="nil"/>
              <w:bottom w:val="single" w:sz="4" w:space="0" w:color="auto"/>
              <w:right w:val="single" w:sz="4" w:space="0" w:color="auto"/>
            </w:tcBorders>
            <w:noWrap/>
            <w:vAlign w:val="center"/>
            <w:hideMark/>
          </w:tcPr>
          <w:p w:rsidR="005727C2" w:rsidRDefault="005727C2">
            <w:pPr>
              <w:jc w:val="center"/>
              <w:rPr>
                <w:rFonts w:eastAsia="Times New Roman"/>
                <w:sz w:val="16"/>
                <w:szCs w:val="16"/>
                <w:lang w:eastAsia="en-US"/>
              </w:rPr>
            </w:pPr>
            <w:r>
              <w:rPr>
                <w:rFonts w:eastAsia="Times New Roman"/>
                <w:sz w:val="16"/>
                <w:szCs w:val="16"/>
                <w:lang w:eastAsia="en-US"/>
              </w:rPr>
              <w:t xml:space="preserve"> - </w:t>
            </w:r>
          </w:p>
        </w:tc>
        <w:tc>
          <w:tcPr>
            <w:tcW w:w="957" w:type="dxa"/>
            <w:tcBorders>
              <w:top w:val="nil"/>
              <w:left w:val="nil"/>
              <w:bottom w:val="single" w:sz="4" w:space="0" w:color="auto"/>
              <w:right w:val="single" w:sz="4" w:space="0" w:color="auto"/>
            </w:tcBorders>
            <w:noWrap/>
            <w:vAlign w:val="bottom"/>
            <w:hideMark/>
          </w:tcPr>
          <w:p w:rsidR="005727C2" w:rsidRDefault="005727C2">
            <w:pPr>
              <w:rPr>
                <w:rFonts w:eastAsia="Times New Roman"/>
                <w:color w:val="000000"/>
                <w:sz w:val="16"/>
                <w:szCs w:val="16"/>
                <w:lang w:eastAsia="en-US"/>
              </w:rPr>
            </w:pPr>
            <w:r>
              <w:rPr>
                <w:rFonts w:eastAsia="Times New Roman"/>
                <w:color w:val="000000"/>
                <w:sz w:val="16"/>
                <w:szCs w:val="16"/>
                <w:lang w:eastAsia="en-US"/>
              </w:rPr>
              <w:t> </w:t>
            </w:r>
          </w:p>
        </w:tc>
      </w:tr>
      <w:tr w:rsidR="005727C2" w:rsidTr="005727C2">
        <w:trPr>
          <w:trHeight w:val="20"/>
        </w:trPr>
        <w:tc>
          <w:tcPr>
            <w:tcW w:w="865" w:type="dxa"/>
            <w:tcBorders>
              <w:top w:val="nil"/>
              <w:left w:val="single" w:sz="4" w:space="0" w:color="auto"/>
              <w:bottom w:val="single" w:sz="4" w:space="0" w:color="auto"/>
              <w:right w:val="single" w:sz="4" w:space="0" w:color="auto"/>
            </w:tcBorders>
            <w:vAlign w:val="center"/>
            <w:hideMark/>
          </w:tcPr>
          <w:p w:rsidR="005727C2" w:rsidRDefault="005727C2">
            <w:pPr>
              <w:jc w:val="center"/>
              <w:rPr>
                <w:rFonts w:eastAsia="Times New Roman"/>
                <w:sz w:val="16"/>
                <w:szCs w:val="16"/>
                <w:lang w:eastAsia="en-US"/>
              </w:rPr>
            </w:pPr>
            <w:r>
              <w:rPr>
                <w:rFonts w:eastAsia="Times New Roman"/>
                <w:sz w:val="16"/>
                <w:szCs w:val="16"/>
                <w:lang w:eastAsia="en-US"/>
              </w:rPr>
              <w:t>В.3.6.4</w:t>
            </w:r>
          </w:p>
        </w:tc>
        <w:tc>
          <w:tcPr>
            <w:tcW w:w="1435" w:type="dxa"/>
            <w:tcBorders>
              <w:top w:val="nil"/>
              <w:left w:val="nil"/>
              <w:bottom w:val="single" w:sz="4" w:space="0" w:color="auto"/>
              <w:right w:val="single" w:sz="4" w:space="0" w:color="auto"/>
            </w:tcBorders>
            <w:vAlign w:val="center"/>
            <w:hideMark/>
          </w:tcPr>
          <w:p w:rsidR="005727C2" w:rsidRDefault="005727C2">
            <w:pPr>
              <w:rPr>
                <w:rFonts w:eastAsia="Times New Roman"/>
                <w:sz w:val="16"/>
                <w:szCs w:val="16"/>
                <w:lang w:eastAsia="en-US"/>
              </w:rPr>
            </w:pPr>
            <w:r>
              <w:rPr>
                <w:rFonts w:eastAsia="Times New Roman"/>
                <w:sz w:val="16"/>
                <w:szCs w:val="16"/>
                <w:lang w:eastAsia="en-US"/>
              </w:rPr>
              <w:t xml:space="preserve">количество административных наказаний, по </w:t>
            </w:r>
            <w:r>
              <w:rPr>
                <w:rFonts w:eastAsia="Times New Roman"/>
                <w:sz w:val="16"/>
                <w:szCs w:val="16"/>
                <w:lang w:eastAsia="en-US"/>
              </w:rPr>
              <w:lastRenderedPageBreak/>
              <w:t>которым административный штраф был заменен предупреждением</w:t>
            </w:r>
          </w:p>
        </w:tc>
        <w:tc>
          <w:tcPr>
            <w:tcW w:w="1575" w:type="dxa"/>
            <w:tcBorders>
              <w:top w:val="nil"/>
              <w:left w:val="nil"/>
              <w:bottom w:val="single" w:sz="4" w:space="0" w:color="auto"/>
              <w:right w:val="single" w:sz="4" w:space="0" w:color="auto"/>
            </w:tcBorders>
            <w:vAlign w:val="center"/>
            <w:hideMark/>
          </w:tcPr>
          <w:p w:rsidR="005727C2" w:rsidRDefault="005727C2">
            <w:pPr>
              <w:rPr>
                <w:rFonts w:eastAsia="Times New Roman"/>
                <w:sz w:val="16"/>
                <w:szCs w:val="16"/>
                <w:lang w:eastAsia="en-US"/>
              </w:rPr>
            </w:pPr>
            <w:r>
              <w:rPr>
                <w:rFonts w:eastAsia="Times New Roman"/>
                <w:sz w:val="16"/>
                <w:szCs w:val="16"/>
                <w:lang w:eastAsia="en-US"/>
              </w:rPr>
              <w:lastRenderedPageBreak/>
              <w:t xml:space="preserve">показатель отражает количество </w:t>
            </w:r>
            <w:r>
              <w:rPr>
                <w:rFonts w:eastAsia="Times New Roman"/>
                <w:sz w:val="16"/>
                <w:szCs w:val="16"/>
                <w:lang w:eastAsia="en-US"/>
              </w:rPr>
              <w:lastRenderedPageBreak/>
              <w:t>административных штрафов, наложенных на лиц, являющихся субъектами малого и среднего предпринимательства, осуществляющих предпринимательскую деятельность без образования юридического лица, и юридическими лицами, а также на их работников, замененных на предупреждение</w:t>
            </w:r>
          </w:p>
        </w:tc>
        <w:tc>
          <w:tcPr>
            <w:tcW w:w="939" w:type="dxa"/>
            <w:tcBorders>
              <w:top w:val="nil"/>
              <w:left w:val="nil"/>
              <w:bottom w:val="single" w:sz="4" w:space="0" w:color="auto"/>
              <w:right w:val="single" w:sz="4" w:space="0" w:color="auto"/>
            </w:tcBorders>
            <w:noWrap/>
            <w:vAlign w:val="center"/>
            <w:hideMark/>
          </w:tcPr>
          <w:p w:rsidR="005727C2" w:rsidRDefault="005727C2">
            <w:pPr>
              <w:jc w:val="center"/>
              <w:rPr>
                <w:rFonts w:eastAsia="Times New Roman"/>
                <w:sz w:val="16"/>
                <w:szCs w:val="16"/>
                <w:lang w:eastAsia="en-US"/>
              </w:rPr>
            </w:pPr>
            <w:r>
              <w:rPr>
                <w:rFonts w:eastAsia="Times New Roman"/>
                <w:sz w:val="16"/>
                <w:szCs w:val="16"/>
                <w:lang w:eastAsia="en-US"/>
              </w:rPr>
              <w:lastRenderedPageBreak/>
              <w:t xml:space="preserve"> - </w:t>
            </w:r>
          </w:p>
        </w:tc>
        <w:tc>
          <w:tcPr>
            <w:tcW w:w="972" w:type="dxa"/>
            <w:tcBorders>
              <w:top w:val="nil"/>
              <w:left w:val="nil"/>
              <w:bottom w:val="single" w:sz="4" w:space="0" w:color="auto"/>
              <w:right w:val="single" w:sz="4" w:space="0" w:color="auto"/>
            </w:tcBorders>
            <w:noWrap/>
            <w:vAlign w:val="bottom"/>
            <w:hideMark/>
          </w:tcPr>
          <w:p w:rsidR="005727C2" w:rsidRDefault="005727C2">
            <w:pPr>
              <w:rPr>
                <w:rFonts w:eastAsia="Times New Roman"/>
                <w:sz w:val="16"/>
                <w:szCs w:val="16"/>
                <w:lang w:eastAsia="en-US"/>
              </w:rPr>
            </w:pPr>
            <w:r>
              <w:rPr>
                <w:rFonts w:eastAsia="Times New Roman"/>
                <w:sz w:val="16"/>
                <w:szCs w:val="16"/>
                <w:lang w:eastAsia="en-US"/>
              </w:rPr>
              <w:t> </w:t>
            </w:r>
          </w:p>
        </w:tc>
        <w:tc>
          <w:tcPr>
            <w:tcW w:w="1186" w:type="dxa"/>
            <w:tcBorders>
              <w:top w:val="nil"/>
              <w:left w:val="nil"/>
              <w:bottom w:val="single" w:sz="4" w:space="0" w:color="auto"/>
              <w:right w:val="single" w:sz="4" w:space="0" w:color="auto"/>
            </w:tcBorders>
            <w:noWrap/>
            <w:vAlign w:val="center"/>
            <w:hideMark/>
          </w:tcPr>
          <w:p w:rsidR="005727C2" w:rsidRDefault="005727C2">
            <w:pPr>
              <w:jc w:val="center"/>
              <w:rPr>
                <w:rFonts w:eastAsia="Times New Roman"/>
                <w:sz w:val="16"/>
                <w:szCs w:val="16"/>
                <w:lang w:eastAsia="en-US"/>
              </w:rPr>
            </w:pPr>
            <w:r>
              <w:rPr>
                <w:rFonts w:eastAsia="Times New Roman"/>
                <w:sz w:val="16"/>
                <w:szCs w:val="16"/>
                <w:lang w:eastAsia="en-US"/>
              </w:rPr>
              <w:t xml:space="preserve"> - </w:t>
            </w:r>
          </w:p>
        </w:tc>
        <w:tc>
          <w:tcPr>
            <w:tcW w:w="865" w:type="dxa"/>
            <w:tcBorders>
              <w:top w:val="nil"/>
              <w:left w:val="nil"/>
              <w:bottom w:val="single" w:sz="4" w:space="0" w:color="auto"/>
              <w:right w:val="single" w:sz="4" w:space="0" w:color="auto"/>
            </w:tcBorders>
            <w:shd w:val="clear" w:color="auto" w:fill="FFFFFF"/>
            <w:noWrap/>
            <w:vAlign w:val="center"/>
            <w:hideMark/>
          </w:tcPr>
          <w:p w:rsidR="005727C2" w:rsidRDefault="005727C2">
            <w:pPr>
              <w:jc w:val="center"/>
              <w:rPr>
                <w:rFonts w:eastAsia="Times New Roman"/>
                <w:sz w:val="16"/>
                <w:szCs w:val="16"/>
                <w:lang w:eastAsia="en-US"/>
              </w:rPr>
            </w:pPr>
            <w:r>
              <w:rPr>
                <w:rFonts w:eastAsia="Times New Roman"/>
                <w:sz w:val="16"/>
                <w:szCs w:val="16"/>
                <w:lang w:eastAsia="en-US"/>
              </w:rPr>
              <w:t>27</w:t>
            </w:r>
          </w:p>
        </w:tc>
        <w:tc>
          <w:tcPr>
            <w:tcW w:w="684" w:type="dxa"/>
            <w:tcBorders>
              <w:top w:val="nil"/>
              <w:left w:val="nil"/>
              <w:bottom w:val="single" w:sz="4" w:space="0" w:color="auto"/>
              <w:right w:val="single" w:sz="4" w:space="0" w:color="auto"/>
            </w:tcBorders>
            <w:noWrap/>
            <w:vAlign w:val="center"/>
            <w:hideMark/>
          </w:tcPr>
          <w:p w:rsidR="005727C2" w:rsidRDefault="005727C2">
            <w:pPr>
              <w:jc w:val="center"/>
              <w:rPr>
                <w:rFonts w:eastAsia="Times New Roman"/>
                <w:sz w:val="16"/>
                <w:szCs w:val="16"/>
                <w:lang w:eastAsia="en-US"/>
              </w:rPr>
            </w:pPr>
            <w:r>
              <w:rPr>
                <w:rFonts w:eastAsia="Times New Roman"/>
                <w:sz w:val="16"/>
                <w:szCs w:val="16"/>
                <w:lang w:eastAsia="en-US"/>
              </w:rPr>
              <w:t xml:space="preserve"> - </w:t>
            </w:r>
          </w:p>
        </w:tc>
        <w:tc>
          <w:tcPr>
            <w:tcW w:w="957" w:type="dxa"/>
            <w:tcBorders>
              <w:top w:val="nil"/>
              <w:left w:val="nil"/>
              <w:bottom w:val="single" w:sz="4" w:space="0" w:color="auto"/>
              <w:right w:val="single" w:sz="4" w:space="0" w:color="auto"/>
            </w:tcBorders>
            <w:noWrap/>
            <w:vAlign w:val="bottom"/>
            <w:hideMark/>
          </w:tcPr>
          <w:p w:rsidR="005727C2" w:rsidRDefault="005727C2">
            <w:pPr>
              <w:rPr>
                <w:rFonts w:eastAsia="Times New Roman"/>
                <w:color w:val="000000"/>
                <w:sz w:val="16"/>
                <w:szCs w:val="16"/>
                <w:lang w:eastAsia="en-US"/>
              </w:rPr>
            </w:pPr>
            <w:r>
              <w:rPr>
                <w:rFonts w:eastAsia="Times New Roman"/>
                <w:color w:val="000000"/>
                <w:sz w:val="16"/>
                <w:szCs w:val="16"/>
                <w:lang w:eastAsia="en-US"/>
              </w:rPr>
              <w:t> </w:t>
            </w:r>
          </w:p>
        </w:tc>
      </w:tr>
      <w:tr w:rsidR="005727C2" w:rsidTr="005727C2">
        <w:trPr>
          <w:trHeight w:val="20"/>
        </w:trPr>
        <w:tc>
          <w:tcPr>
            <w:tcW w:w="865" w:type="dxa"/>
            <w:tcBorders>
              <w:top w:val="nil"/>
              <w:left w:val="single" w:sz="4" w:space="0" w:color="auto"/>
              <w:bottom w:val="single" w:sz="4" w:space="0" w:color="auto"/>
              <w:right w:val="single" w:sz="4" w:space="0" w:color="auto"/>
            </w:tcBorders>
            <w:vAlign w:val="center"/>
            <w:hideMark/>
          </w:tcPr>
          <w:p w:rsidR="005727C2" w:rsidRDefault="005727C2">
            <w:pPr>
              <w:jc w:val="center"/>
              <w:rPr>
                <w:rFonts w:eastAsia="Times New Roman"/>
                <w:sz w:val="16"/>
                <w:szCs w:val="16"/>
                <w:lang w:eastAsia="en-US"/>
              </w:rPr>
            </w:pPr>
            <w:r>
              <w:rPr>
                <w:rFonts w:eastAsia="Times New Roman"/>
                <w:sz w:val="16"/>
                <w:szCs w:val="16"/>
                <w:lang w:eastAsia="en-US"/>
              </w:rPr>
              <w:lastRenderedPageBreak/>
              <w:t>В.3.6.5</w:t>
            </w:r>
          </w:p>
        </w:tc>
        <w:tc>
          <w:tcPr>
            <w:tcW w:w="1435" w:type="dxa"/>
            <w:tcBorders>
              <w:top w:val="nil"/>
              <w:left w:val="nil"/>
              <w:bottom w:val="single" w:sz="4" w:space="0" w:color="auto"/>
              <w:right w:val="single" w:sz="4" w:space="0" w:color="auto"/>
            </w:tcBorders>
            <w:vAlign w:val="center"/>
            <w:hideMark/>
          </w:tcPr>
          <w:p w:rsidR="005727C2" w:rsidRDefault="005727C2">
            <w:pPr>
              <w:rPr>
                <w:rFonts w:eastAsia="Times New Roman"/>
                <w:sz w:val="16"/>
                <w:szCs w:val="16"/>
                <w:lang w:eastAsia="en-US"/>
              </w:rPr>
            </w:pPr>
            <w:r>
              <w:rPr>
                <w:rFonts w:eastAsia="Times New Roman"/>
                <w:sz w:val="16"/>
                <w:szCs w:val="16"/>
                <w:lang w:eastAsia="en-US"/>
              </w:rPr>
              <w:t>общая сумма наложенных штрафов по результатам рассмотрения дел об административных правонарушениях</w:t>
            </w:r>
          </w:p>
        </w:tc>
        <w:tc>
          <w:tcPr>
            <w:tcW w:w="1575" w:type="dxa"/>
            <w:tcBorders>
              <w:top w:val="nil"/>
              <w:left w:val="nil"/>
              <w:bottom w:val="single" w:sz="4" w:space="0" w:color="auto"/>
              <w:right w:val="single" w:sz="4" w:space="0" w:color="auto"/>
            </w:tcBorders>
            <w:vAlign w:val="center"/>
            <w:hideMark/>
          </w:tcPr>
          <w:p w:rsidR="005727C2" w:rsidRDefault="005727C2">
            <w:pPr>
              <w:rPr>
                <w:rFonts w:eastAsia="Times New Roman"/>
                <w:sz w:val="16"/>
                <w:szCs w:val="16"/>
                <w:lang w:eastAsia="en-US"/>
              </w:rPr>
            </w:pPr>
            <w:r>
              <w:rPr>
                <w:rFonts w:eastAsia="Times New Roman"/>
                <w:sz w:val="16"/>
                <w:szCs w:val="16"/>
                <w:lang w:eastAsia="en-US"/>
              </w:rPr>
              <w:t>показатель устанавливается в млн. руб. и учитывает суммы наложенных административных штрафов, в том числе на должностных лиц, индивидуальных предпринимателей, юридических лиц, граждан</w:t>
            </w:r>
          </w:p>
        </w:tc>
        <w:tc>
          <w:tcPr>
            <w:tcW w:w="939" w:type="dxa"/>
            <w:tcBorders>
              <w:top w:val="nil"/>
              <w:left w:val="nil"/>
              <w:bottom w:val="single" w:sz="4" w:space="0" w:color="auto"/>
              <w:right w:val="single" w:sz="4" w:space="0" w:color="auto"/>
            </w:tcBorders>
            <w:noWrap/>
            <w:vAlign w:val="center"/>
            <w:hideMark/>
          </w:tcPr>
          <w:p w:rsidR="005727C2" w:rsidRDefault="005727C2">
            <w:pPr>
              <w:jc w:val="center"/>
              <w:rPr>
                <w:rFonts w:eastAsia="Times New Roman"/>
                <w:sz w:val="16"/>
                <w:szCs w:val="16"/>
                <w:lang w:eastAsia="en-US"/>
              </w:rPr>
            </w:pPr>
            <w:r>
              <w:rPr>
                <w:rFonts w:eastAsia="Times New Roman"/>
                <w:sz w:val="16"/>
                <w:szCs w:val="16"/>
                <w:lang w:eastAsia="en-US"/>
              </w:rPr>
              <w:t xml:space="preserve"> - </w:t>
            </w:r>
          </w:p>
        </w:tc>
        <w:tc>
          <w:tcPr>
            <w:tcW w:w="972" w:type="dxa"/>
            <w:tcBorders>
              <w:top w:val="nil"/>
              <w:left w:val="nil"/>
              <w:bottom w:val="single" w:sz="4" w:space="0" w:color="auto"/>
              <w:right w:val="single" w:sz="4" w:space="0" w:color="auto"/>
            </w:tcBorders>
            <w:noWrap/>
            <w:vAlign w:val="bottom"/>
            <w:hideMark/>
          </w:tcPr>
          <w:p w:rsidR="005727C2" w:rsidRDefault="005727C2">
            <w:pPr>
              <w:rPr>
                <w:rFonts w:eastAsia="Times New Roman"/>
                <w:sz w:val="16"/>
                <w:szCs w:val="16"/>
                <w:lang w:eastAsia="en-US"/>
              </w:rPr>
            </w:pPr>
            <w:r>
              <w:rPr>
                <w:rFonts w:eastAsia="Times New Roman"/>
                <w:sz w:val="16"/>
                <w:szCs w:val="16"/>
                <w:lang w:eastAsia="en-US"/>
              </w:rPr>
              <w:t> </w:t>
            </w:r>
          </w:p>
        </w:tc>
        <w:tc>
          <w:tcPr>
            <w:tcW w:w="1186" w:type="dxa"/>
            <w:tcBorders>
              <w:top w:val="nil"/>
              <w:left w:val="nil"/>
              <w:bottom w:val="single" w:sz="4" w:space="0" w:color="auto"/>
              <w:right w:val="single" w:sz="4" w:space="0" w:color="auto"/>
            </w:tcBorders>
            <w:noWrap/>
            <w:vAlign w:val="center"/>
            <w:hideMark/>
          </w:tcPr>
          <w:p w:rsidR="005727C2" w:rsidRDefault="005727C2">
            <w:pPr>
              <w:jc w:val="center"/>
              <w:rPr>
                <w:rFonts w:eastAsia="Times New Roman"/>
                <w:sz w:val="16"/>
                <w:szCs w:val="16"/>
                <w:lang w:eastAsia="en-US"/>
              </w:rPr>
            </w:pPr>
            <w:r>
              <w:rPr>
                <w:rFonts w:eastAsia="Times New Roman"/>
                <w:sz w:val="16"/>
                <w:szCs w:val="16"/>
                <w:lang w:eastAsia="en-US"/>
              </w:rPr>
              <w:t xml:space="preserve"> - </w:t>
            </w:r>
          </w:p>
        </w:tc>
        <w:tc>
          <w:tcPr>
            <w:tcW w:w="865" w:type="dxa"/>
            <w:tcBorders>
              <w:top w:val="nil"/>
              <w:left w:val="nil"/>
              <w:bottom w:val="single" w:sz="4" w:space="0" w:color="auto"/>
              <w:right w:val="single" w:sz="4" w:space="0" w:color="auto"/>
            </w:tcBorders>
            <w:shd w:val="clear" w:color="auto" w:fill="FFFFFF"/>
            <w:noWrap/>
            <w:vAlign w:val="center"/>
            <w:hideMark/>
          </w:tcPr>
          <w:p w:rsidR="005727C2" w:rsidRDefault="005727C2">
            <w:pPr>
              <w:jc w:val="center"/>
              <w:rPr>
                <w:rFonts w:eastAsia="Times New Roman"/>
                <w:sz w:val="16"/>
                <w:szCs w:val="16"/>
                <w:lang w:eastAsia="en-US"/>
              </w:rPr>
            </w:pPr>
            <w:r>
              <w:rPr>
                <w:rFonts w:eastAsia="Times New Roman"/>
                <w:sz w:val="16"/>
                <w:szCs w:val="16"/>
                <w:lang w:eastAsia="en-US"/>
              </w:rPr>
              <w:t>4,56</w:t>
            </w:r>
          </w:p>
        </w:tc>
        <w:tc>
          <w:tcPr>
            <w:tcW w:w="684" w:type="dxa"/>
            <w:tcBorders>
              <w:top w:val="nil"/>
              <w:left w:val="nil"/>
              <w:bottom w:val="single" w:sz="4" w:space="0" w:color="auto"/>
              <w:right w:val="single" w:sz="4" w:space="0" w:color="auto"/>
            </w:tcBorders>
            <w:noWrap/>
            <w:vAlign w:val="center"/>
            <w:hideMark/>
          </w:tcPr>
          <w:p w:rsidR="005727C2" w:rsidRDefault="005727C2">
            <w:pPr>
              <w:jc w:val="center"/>
              <w:rPr>
                <w:rFonts w:eastAsia="Times New Roman"/>
                <w:sz w:val="16"/>
                <w:szCs w:val="16"/>
                <w:lang w:eastAsia="en-US"/>
              </w:rPr>
            </w:pPr>
            <w:r>
              <w:rPr>
                <w:rFonts w:eastAsia="Times New Roman"/>
                <w:sz w:val="16"/>
                <w:szCs w:val="16"/>
                <w:lang w:eastAsia="en-US"/>
              </w:rPr>
              <w:t xml:space="preserve"> - </w:t>
            </w:r>
          </w:p>
        </w:tc>
        <w:tc>
          <w:tcPr>
            <w:tcW w:w="957" w:type="dxa"/>
            <w:tcBorders>
              <w:top w:val="nil"/>
              <w:left w:val="nil"/>
              <w:bottom w:val="single" w:sz="4" w:space="0" w:color="auto"/>
              <w:right w:val="single" w:sz="4" w:space="0" w:color="auto"/>
            </w:tcBorders>
            <w:noWrap/>
            <w:vAlign w:val="bottom"/>
            <w:hideMark/>
          </w:tcPr>
          <w:p w:rsidR="005727C2" w:rsidRDefault="005727C2">
            <w:pPr>
              <w:rPr>
                <w:rFonts w:eastAsia="Times New Roman"/>
                <w:color w:val="000000"/>
                <w:sz w:val="16"/>
                <w:szCs w:val="16"/>
                <w:lang w:eastAsia="en-US"/>
              </w:rPr>
            </w:pPr>
            <w:r>
              <w:rPr>
                <w:rFonts w:eastAsia="Times New Roman"/>
                <w:color w:val="000000"/>
                <w:sz w:val="16"/>
                <w:szCs w:val="16"/>
                <w:lang w:eastAsia="en-US"/>
              </w:rPr>
              <w:t> </w:t>
            </w:r>
          </w:p>
        </w:tc>
      </w:tr>
      <w:tr w:rsidR="005727C2" w:rsidTr="005727C2">
        <w:trPr>
          <w:trHeight w:val="20"/>
        </w:trPr>
        <w:tc>
          <w:tcPr>
            <w:tcW w:w="865" w:type="dxa"/>
            <w:tcBorders>
              <w:top w:val="nil"/>
              <w:left w:val="single" w:sz="4" w:space="0" w:color="auto"/>
              <w:bottom w:val="single" w:sz="4" w:space="0" w:color="auto"/>
              <w:right w:val="single" w:sz="4" w:space="0" w:color="auto"/>
            </w:tcBorders>
            <w:vAlign w:val="center"/>
            <w:hideMark/>
          </w:tcPr>
          <w:p w:rsidR="005727C2" w:rsidRDefault="005727C2">
            <w:pPr>
              <w:jc w:val="center"/>
              <w:rPr>
                <w:rFonts w:eastAsia="Times New Roman"/>
                <w:sz w:val="16"/>
                <w:szCs w:val="16"/>
                <w:lang w:eastAsia="en-US"/>
              </w:rPr>
            </w:pPr>
            <w:r>
              <w:rPr>
                <w:rFonts w:eastAsia="Times New Roman"/>
                <w:sz w:val="16"/>
                <w:szCs w:val="16"/>
                <w:lang w:eastAsia="en-US"/>
              </w:rPr>
              <w:t>В.3.6.6</w:t>
            </w:r>
          </w:p>
        </w:tc>
        <w:tc>
          <w:tcPr>
            <w:tcW w:w="1435" w:type="dxa"/>
            <w:tcBorders>
              <w:top w:val="nil"/>
              <w:left w:val="nil"/>
              <w:bottom w:val="single" w:sz="4" w:space="0" w:color="auto"/>
              <w:right w:val="single" w:sz="4" w:space="0" w:color="auto"/>
            </w:tcBorders>
            <w:vAlign w:val="center"/>
            <w:hideMark/>
          </w:tcPr>
          <w:p w:rsidR="005727C2" w:rsidRDefault="005727C2">
            <w:pPr>
              <w:rPr>
                <w:rFonts w:eastAsia="Times New Roman"/>
                <w:sz w:val="16"/>
                <w:szCs w:val="16"/>
                <w:lang w:eastAsia="en-US"/>
              </w:rPr>
            </w:pPr>
            <w:r>
              <w:rPr>
                <w:rFonts w:eastAsia="Times New Roman"/>
                <w:sz w:val="16"/>
                <w:szCs w:val="16"/>
                <w:lang w:eastAsia="en-US"/>
              </w:rPr>
              <w:t>доля штрафов, наложенных по результатам рассмотрения дел об административных правонарушениях</w:t>
            </w:r>
          </w:p>
        </w:tc>
        <w:tc>
          <w:tcPr>
            <w:tcW w:w="1575" w:type="dxa"/>
            <w:tcBorders>
              <w:top w:val="nil"/>
              <w:left w:val="nil"/>
              <w:bottom w:val="single" w:sz="4" w:space="0" w:color="auto"/>
              <w:right w:val="single" w:sz="4" w:space="0" w:color="auto"/>
            </w:tcBorders>
            <w:vAlign w:val="center"/>
            <w:hideMark/>
          </w:tcPr>
          <w:p w:rsidR="005727C2" w:rsidRDefault="005727C2">
            <w:pPr>
              <w:rPr>
                <w:rFonts w:eastAsia="Times New Roman"/>
                <w:sz w:val="16"/>
                <w:szCs w:val="16"/>
                <w:lang w:eastAsia="en-US"/>
              </w:rPr>
            </w:pPr>
            <w:r>
              <w:rPr>
                <w:rFonts w:eastAsia="Times New Roman"/>
                <w:sz w:val="16"/>
                <w:szCs w:val="16"/>
                <w:lang w:eastAsia="en-US"/>
              </w:rPr>
              <w:t>показатель устанавливается в процентах от общего количества наказаний, наложенных по результатам рассмотрения дел об административных правонарушениях</w:t>
            </w:r>
          </w:p>
        </w:tc>
        <w:tc>
          <w:tcPr>
            <w:tcW w:w="939" w:type="dxa"/>
            <w:tcBorders>
              <w:top w:val="nil"/>
              <w:left w:val="nil"/>
              <w:bottom w:val="single" w:sz="4" w:space="0" w:color="auto"/>
              <w:right w:val="single" w:sz="4" w:space="0" w:color="auto"/>
            </w:tcBorders>
            <w:noWrap/>
            <w:vAlign w:val="center"/>
            <w:hideMark/>
          </w:tcPr>
          <w:p w:rsidR="005727C2" w:rsidRDefault="005727C2">
            <w:pPr>
              <w:jc w:val="center"/>
              <w:rPr>
                <w:rFonts w:eastAsia="Times New Roman"/>
                <w:sz w:val="16"/>
                <w:szCs w:val="16"/>
                <w:lang w:eastAsia="en-US"/>
              </w:rPr>
            </w:pPr>
            <w:r>
              <w:rPr>
                <w:rFonts w:eastAsia="Times New Roman"/>
                <w:sz w:val="16"/>
                <w:szCs w:val="16"/>
                <w:lang w:eastAsia="en-US"/>
              </w:rPr>
              <w:t xml:space="preserve"> - </w:t>
            </w:r>
          </w:p>
        </w:tc>
        <w:tc>
          <w:tcPr>
            <w:tcW w:w="972" w:type="dxa"/>
            <w:tcBorders>
              <w:top w:val="nil"/>
              <w:left w:val="nil"/>
              <w:bottom w:val="single" w:sz="4" w:space="0" w:color="auto"/>
              <w:right w:val="single" w:sz="4" w:space="0" w:color="auto"/>
            </w:tcBorders>
            <w:noWrap/>
            <w:vAlign w:val="bottom"/>
            <w:hideMark/>
          </w:tcPr>
          <w:p w:rsidR="005727C2" w:rsidRDefault="005727C2">
            <w:pPr>
              <w:rPr>
                <w:rFonts w:eastAsia="Times New Roman"/>
                <w:sz w:val="16"/>
                <w:szCs w:val="16"/>
                <w:lang w:eastAsia="en-US"/>
              </w:rPr>
            </w:pPr>
            <w:r>
              <w:rPr>
                <w:rFonts w:eastAsia="Times New Roman"/>
                <w:sz w:val="16"/>
                <w:szCs w:val="16"/>
                <w:lang w:eastAsia="en-US"/>
              </w:rPr>
              <w:t> </w:t>
            </w:r>
          </w:p>
        </w:tc>
        <w:tc>
          <w:tcPr>
            <w:tcW w:w="1186" w:type="dxa"/>
            <w:tcBorders>
              <w:top w:val="nil"/>
              <w:left w:val="nil"/>
              <w:bottom w:val="single" w:sz="4" w:space="0" w:color="auto"/>
              <w:right w:val="single" w:sz="4" w:space="0" w:color="auto"/>
            </w:tcBorders>
            <w:noWrap/>
            <w:vAlign w:val="center"/>
            <w:hideMark/>
          </w:tcPr>
          <w:p w:rsidR="005727C2" w:rsidRDefault="005727C2">
            <w:pPr>
              <w:jc w:val="center"/>
              <w:rPr>
                <w:rFonts w:eastAsia="Times New Roman"/>
                <w:sz w:val="16"/>
                <w:szCs w:val="16"/>
                <w:lang w:eastAsia="en-US"/>
              </w:rPr>
            </w:pPr>
            <w:r>
              <w:rPr>
                <w:rFonts w:eastAsia="Times New Roman"/>
                <w:sz w:val="16"/>
                <w:szCs w:val="16"/>
                <w:lang w:eastAsia="en-US"/>
              </w:rPr>
              <w:t xml:space="preserve"> - </w:t>
            </w:r>
          </w:p>
        </w:tc>
        <w:tc>
          <w:tcPr>
            <w:tcW w:w="865" w:type="dxa"/>
            <w:tcBorders>
              <w:top w:val="nil"/>
              <w:left w:val="nil"/>
              <w:bottom w:val="single" w:sz="4" w:space="0" w:color="auto"/>
              <w:right w:val="single" w:sz="4" w:space="0" w:color="auto"/>
            </w:tcBorders>
            <w:shd w:val="clear" w:color="auto" w:fill="FFFFFF"/>
            <w:noWrap/>
            <w:vAlign w:val="center"/>
            <w:hideMark/>
          </w:tcPr>
          <w:p w:rsidR="005727C2" w:rsidRDefault="005727C2">
            <w:pPr>
              <w:jc w:val="center"/>
              <w:rPr>
                <w:rFonts w:eastAsia="Times New Roman"/>
                <w:sz w:val="16"/>
                <w:szCs w:val="16"/>
                <w:lang w:eastAsia="en-US"/>
              </w:rPr>
            </w:pPr>
            <w:r>
              <w:rPr>
                <w:rFonts w:eastAsia="Times New Roman"/>
                <w:sz w:val="16"/>
                <w:szCs w:val="16"/>
                <w:lang w:eastAsia="en-US"/>
              </w:rPr>
              <w:t>70,25%</w:t>
            </w:r>
          </w:p>
        </w:tc>
        <w:tc>
          <w:tcPr>
            <w:tcW w:w="684" w:type="dxa"/>
            <w:tcBorders>
              <w:top w:val="nil"/>
              <w:left w:val="nil"/>
              <w:bottom w:val="single" w:sz="4" w:space="0" w:color="auto"/>
              <w:right w:val="single" w:sz="4" w:space="0" w:color="auto"/>
            </w:tcBorders>
            <w:noWrap/>
            <w:vAlign w:val="center"/>
            <w:hideMark/>
          </w:tcPr>
          <w:p w:rsidR="005727C2" w:rsidRDefault="005727C2">
            <w:pPr>
              <w:jc w:val="center"/>
              <w:rPr>
                <w:rFonts w:eastAsia="Times New Roman"/>
                <w:sz w:val="16"/>
                <w:szCs w:val="16"/>
                <w:lang w:eastAsia="en-US"/>
              </w:rPr>
            </w:pPr>
            <w:r>
              <w:rPr>
                <w:rFonts w:eastAsia="Times New Roman"/>
                <w:sz w:val="16"/>
                <w:szCs w:val="16"/>
                <w:lang w:eastAsia="en-US"/>
              </w:rPr>
              <w:t xml:space="preserve"> - </w:t>
            </w:r>
          </w:p>
        </w:tc>
        <w:tc>
          <w:tcPr>
            <w:tcW w:w="957" w:type="dxa"/>
            <w:tcBorders>
              <w:top w:val="nil"/>
              <w:left w:val="nil"/>
              <w:bottom w:val="single" w:sz="4" w:space="0" w:color="auto"/>
              <w:right w:val="single" w:sz="4" w:space="0" w:color="auto"/>
            </w:tcBorders>
            <w:noWrap/>
            <w:vAlign w:val="bottom"/>
            <w:hideMark/>
          </w:tcPr>
          <w:p w:rsidR="005727C2" w:rsidRDefault="005727C2">
            <w:pPr>
              <w:rPr>
                <w:rFonts w:eastAsia="Times New Roman"/>
                <w:color w:val="000000"/>
                <w:sz w:val="16"/>
                <w:szCs w:val="16"/>
                <w:lang w:eastAsia="en-US"/>
              </w:rPr>
            </w:pPr>
            <w:r>
              <w:rPr>
                <w:rFonts w:eastAsia="Times New Roman"/>
                <w:color w:val="000000"/>
                <w:sz w:val="16"/>
                <w:szCs w:val="16"/>
                <w:lang w:eastAsia="en-US"/>
              </w:rPr>
              <w:t> </w:t>
            </w:r>
          </w:p>
        </w:tc>
      </w:tr>
      <w:tr w:rsidR="005727C2" w:rsidTr="005727C2">
        <w:trPr>
          <w:trHeight w:val="20"/>
        </w:trPr>
        <w:tc>
          <w:tcPr>
            <w:tcW w:w="865" w:type="dxa"/>
            <w:tcBorders>
              <w:top w:val="nil"/>
              <w:left w:val="single" w:sz="4" w:space="0" w:color="auto"/>
              <w:bottom w:val="single" w:sz="4" w:space="0" w:color="auto"/>
              <w:right w:val="single" w:sz="4" w:space="0" w:color="auto"/>
            </w:tcBorders>
            <w:vAlign w:val="center"/>
            <w:hideMark/>
          </w:tcPr>
          <w:p w:rsidR="005727C2" w:rsidRDefault="005727C2">
            <w:pPr>
              <w:jc w:val="center"/>
              <w:rPr>
                <w:rFonts w:eastAsia="Times New Roman"/>
                <w:sz w:val="16"/>
                <w:szCs w:val="16"/>
                <w:lang w:eastAsia="en-US"/>
              </w:rPr>
            </w:pPr>
            <w:r>
              <w:rPr>
                <w:rFonts w:eastAsia="Times New Roman"/>
                <w:sz w:val="16"/>
                <w:szCs w:val="16"/>
                <w:lang w:eastAsia="en-US"/>
              </w:rPr>
              <w:t>В.3.6.7</w:t>
            </w:r>
          </w:p>
        </w:tc>
        <w:tc>
          <w:tcPr>
            <w:tcW w:w="1435" w:type="dxa"/>
            <w:tcBorders>
              <w:top w:val="nil"/>
              <w:left w:val="nil"/>
              <w:bottom w:val="single" w:sz="4" w:space="0" w:color="auto"/>
              <w:right w:val="single" w:sz="4" w:space="0" w:color="auto"/>
            </w:tcBorders>
            <w:vAlign w:val="center"/>
            <w:hideMark/>
          </w:tcPr>
          <w:p w:rsidR="005727C2" w:rsidRDefault="005727C2">
            <w:pPr>
              <w:rPr>
                <w:rFonts w:eastAsia="Times New Roman"/>
                <w:sz w:val="16"/>
                <w:szCs w:val="16"/>
                <w:lang w:eastAsia="en-US"/>
              </w:rPr>
            </w:pPr>
            <w:r>
              <w:rPr>
                <w:rFonts w:eastAsia="Times New Roman"/>
                <w:sz w:val="16"/>
                <w:szCs w:val="16"/>
                <w:lang w:eastAsia="en-US"/>
              </w:rPr>
              <w:t>общая сумма уплаченных (взысканных) штрафов</w:t>
            </w:r>
          </w:p>
        </w:tc>
        <w:tc>
          <w:tcPr>
            <w:tcW w:w="1575" w:type="dxa"/>
            <w:tcBorders>
              <w:top w:val="nil"/>
              <w:left w:val="nil"/>
              <w:bottom w:val="single" w:sz="4" w:space="0" w:color="auto"/>
              <w:right w:val="single" w:sz="4" w:space="0" w:color="auto"/>
            </w:tcBorders>
            <w:vAlign w:val="center"/>
            <w:hideMark/>
          </w:tcPr>
          <w:p w:rsidR="005727C2" w:rsidRDefault="005727C2">
            <w:pPr>
              <w:rPr>
                <w:rFonts w:eastAsia="Times New Roman"/>
                <w:sz w:val="16"/>
                <w:szCs w:val="16"/>
                <w:lang w:eastAsia="en-US"/>
              </w:rPr>
            </w:pPr>
            <w:r>
              <w:rPr>
                <w:rFonts w:eastAsia="Times New Roman"/>
                <w:sz w:val="16"/>
                <w:szCs w:val="16"/>
                <w:lang w:eastAsia="en-US"/>
              </w:rPr>
              <w:t>показатель устанавливается в млн. руб.</w:t>
            </w:r>
          </w:p>
        </w:tc>
        <w:tc>
          <w:tcPr>
            <w:tcW w:w="939" w:type="dxa"/>
            <w:tcBorders>
              <w:top w:val="nil"/>
              <w:left w:val="nil"/>
              <w:bottom w:val="single" w:sz="4" w:space="0" w:color="auto"/>
              <w:right w:val="single" w:sz="4" w:space="0" w:color="auto"/>
            </w:tcBorders>
            <w:noWrap/>
            <w:vAlign w:val="center"/>
            <w:hideMark/>
          </w:tcPr>
          <w:p w:rsidR="005727C2" w:rsidRDefault="005727C2">
            <w:pPr>
              <w:jc w:val="center"/>
              <w:rPr>
                <w:rFonts w:eastAsia="Times New Roman"/>
                <w:sz w:val="16"/>
                <w:szCs w:val="16"/>
                <w:lang w:eastAsia="en-US"/>
              </w:rPr>
            </w:pPr>
            <w:r>
              <w:rPr>
                <w:rFonts w:eastAsia="Times New Roman"/>
                <w:sz w:val="16"/>
                <w:szCs w:val="16"/>
                <w:lang w:eastAsia="en-US"/>
              </w:rPr>
              <w:t xml:space="preserve"> - </w:t>
            </w:r>
          </w:p>
        </w:tc>
        <w:tc>
          <w:tcPr>
            <w:tcW w:w="972" w:type="dxa"/>
            <w:tcBorders>
              <w:top w:val="nil"/>
              <w:left w:val="nil"/>
              <w:bottom w:val="single" w:sz="4" w:space="0" w:color="auto"/>
              <w:right w:val="single" w:sz="4" w:space="0" w:color="auto"/>
            </w:tcBorders>
            <w:noWrap/>
            <w:vAlign w:val="bottom"/>
            <w:hideMark/>
          </w:tcPr>
          <w:p w:rsidR="005727C2" w:rsidRDefault="005727C2">
            <w:pPr>
              <w:rPr>
                <w:rFonts w:eastAsia="Times New Roman"/>
                <w:sz w:val="16"/>
                <w:szCs w:val="16"/>
                <w:lang w:eastAsia="en-US"/>
              </w:rPr>
            </w:pPr>
            <w:r>
              <w:rPr>
                <w:rFonts w:eastAsia="Times New Roman"/>
                <w:sz w:val="16"/>
                <w:szCs w:val="16"/>
                <w:lang w:eastAsia="en-US"/>
              </w:rPr>
              <w:t> </w:t>
            </w:r>
          </w:p>
        </w:tc>
        <w:tc>
          <w:tcPr>
            <w:tcW w:w="1186" w:type="dxa"/>
            <w:tcBorders>
              <w:top w:val="nil"/>
              <w:left w:val="nil"/>
              <w:bottom w:val="single" w:sz="4" w:space="0" w:color="auto"/>
              <w:right w:val="single" w:sz="4" w:space="0" w:color="auto"/>
            </w:tcBorders>
            <w:noWrap/>
            <w:vAlign w:val="center"/>
            <w:hideMark/>
          </w:tcPr>
          <w:p w:rsidR="005727C2" w:rsidRDefault="005727C2">
            <w:pPr>
              <w:jc w:val="center"/>
              <w:rPr>
                <w:rFonts w:eastAsia="Times New Roman"/>
                <w:sz w:val="16"/>
                <w:szCs w:val="16"/>
                <w:lang w:eastAsia="en-US"/>
              </w:rPr>
            </w:pPr>
            <w:r>
              <w:rPr>
                <w:rFonts w:eastAsia="Times New Roman"/>
                <w:sz w:val="16"/>
                <w:szCs w:val="16"/>
                <w:lang w:eastAsia="en-US"/>
              </w:rPr>
              <w:t xml:space="preserve"> - </w:t>
            </w:r>
          </w:p>
        </w:tc>
        <w:tc>
          <w:tcPr>
            <w:tcW w:w="865" w:type="dxa"/>
            <w:tcBorders>
              <w:top w:val="nil"/>
              <w:left w:val="nil"/>
              <w:bottom w:val="single" w:sz="4" w:space="0" w:color="auto"/>
              <w:right w:val="single" w:sz="4" w:space="0" w:color="auto"/>
            </w:tcBorders>
            <w:shd w:val="clear" w:color="auto" w:fill="FFFFFF"/>
            <w:noWrap/>
            <w:vAlign w:val="center"/>
            <w:hideMark/>
          </w:tcPr>
          <w:p w:rsidR="005727C2" w:rsidRDefault="005727C2">
            <w:pPr>
              <w:jc w:val="center"/>
              <w:rPr>
                <w:rFonts w:eastAsia="Times New Roman"/>
                <w:sz w:val="16"/>
                <w:szCs w:val="16"/>
                <w:lang w:eastAsia="en-US"/>
              </w:rPr>
            </w:pPr>
            <w:r>
              <w:rPr>
                <w:rFonts w:eastAsia="Times New Roman"/>
                <w:sz w:val="16"/>
                <w:szCs w:val="16"/>
                <w:lang w:eastAsia="en-US"/>
              </w:rPr>
              <w:t>2,27</w:t>
            </w:r>
          </w:p>
        </w:tc>
        <w:tc>
          <w:tcPr>
            <w:tcW w:w="684" w:type="dxa"/>
            <w:tcBorders>
              <w:top w:val="nil"/>
              <w:left w:val="nil"/>
              <w:bottom w:val="single" w:sz="4" w:space="0" w:color="auto"/>
              <w:right w:val="single" w:sz="4" w:space="0" w:color="auto"/>
            </w:tcBorders>
            <w:noWrap/>
            <w:vAlign w:val="center"/>
            <w:hideMark/>
          </w:tcPr>
          <w:p w:rsidR="005727C2" w:rsidRDefault="005727C2">
            <w:pPr>
              <w:jc w:val="center"/>
              <w:rPr>
                <w:rFonts w:eastAsia="Times New Roman"/>
                <w:sz w:val="16"/>
                <w:szCs w:val="16"/>
                <w:lang w:eastAsia="en-US"/>
              </w:rPr>
            </w:pPr>
            <w:r>
              <w:rPr>
                <w:rFonts w:eastAsia="Times New Roman"/>
                <w:sz w:val="16"/>
                <w:szCs w:val="16"/>
                <w:lang w:eastAsia="en-US"/>
              </w:rPr>
              <w:t xml:space="preserve"> - </w:t>
            </w:r>
          </w:p>
        </w:tc>
        <w:tc>
          <w:tcPr>
            <w:tcW w:w="957" w:type="dxa"/>
            <w:tcBorders>
              <w:top w:val="nil"/>
              <w:left w:val="nil"/>
              <w:bottom w:val="single" w:sz="4" w:space="0" w:color="auto"/>
              <w:right w:val="single" w:sz="4" w:space="0" w:color="auto"/>
            </w:tcBorders>
            <w:noWrap/>
            <w:vAlign w:val="bottom"/>
            <w:hideMark/>
          </w:tcPr>
          <w:p w:rsidR="005727C2" w:rsidRDefault="005727C2">
            <w:pPr>
              <w:rPr>
                <w:rFonts w:eastAsia="Times New Roman"/>
                <w:color w:val="000000"/>
                <w:sz w:val="16"/>
                <w:szCs w:val="16"/>
                <w:lang w:eastAsia="en-US"/>
              </w:rPr>
            </w:pPr>
            <w:r>
              <w:rPr>
                <w:rFonts w:eastAsia="Times New Roman"/>
                <w:color w:val="000000"/>
                <w:sz w:val="16"/>
                <w:szCs w:val="16"/>
                <w:lang w:eastAsia="en-US"/>
              </w:rPr>
              <w:t> </w:t>
            </w:r>
          </w:p>
        </w:tc>
      </w:tr>
      <w:tr w:rsidR="005727C2" w:rsidTr="005727C2">
        <w:trPr>
          <w:trHeight w:val="20"/>
        </w:trPr>
        <w:tc>
          <w:tcPr>
            <w:tcW w:w="865" w:type="dxa"/>
            <w:tcBorders>
              <w:top w:val="nil"/>
              <w:left w:val="single" w:sz="4" w:space="0" w:color="auto"/>
              <w:bottom w:val="single" w:sz="4" w:space="0" w:color="auto"/>
              <w:right w:val="single" w:sz="4" w:space="0" w:color="auto"/>
            </w:tcBorders>
            <w:vAlign w:val="center"/>
            <w:hideMark/>
          </w:tcPr>
          <w:p w:rsidR="005727C2" w:rsidRDefault="005727C2">
            <w:pPr>
              <w:jc w:val="center"/>
              <w:rPr>
                <w:rFonts w:eastAsia="Times New Roman"/>
                <w:sz w:val="16"/>
                <w:szCs w:val="16"/>
                <w:lang w:eastAsia="en-US"/>
              </w:rPr>
            </w:pPr>
            <w:r>
              <w:rPr>
                <w:rFonts w:eastAsia="Times New Roman"/>
                <w:sz w:val="16"/>
                <w:szCs w:val="16"/>
                <w:lang w:eastAsia="en-US"/>
              </w:rPr>
              <w:t>В.3.6.8</w:t>
            </w:r>
          </w:p>
        </w:tc>
        <w:tc>
          <w:tcPr>
            <w:tcW w:w="1435" w:type="dxa"/>
            <w:tcBorders>
              <w:top w:val="nil"/>
              <w:left w:val="nil"/>
              <w:bottom w:val="single" w:sz="4" w:space="0" w:color="auto"/>
              <w:right w:val="single" w:sz="4" w:space="0" w:color="auto"/>
            </w:tcBorders>
            <w:vAlign w:val="center"/>
            <w:hideMark/>
          </w:tcPr>
          <w:p w:rsidR="005727C2" w:rsidRDefault="005727C2">
            <w:pPr>
              <w:rPr>
                <w:rFonts w:eastAsia="Times New Roman"/>
                <w:sz w:val="16"/>
                <w:szCs w:val="16"/>
                <w:lang w:eastAsia="en-US"/>
              </w:rPr>
            </w:pPr>
            <w:r>
              <w:rPr>
                <w:rFonts w:eastAsia="Times New Roman"/>
                <w:sz w:val="16"/>
                <w:szCs w:val="16"/>
                <w:lang w:eastAsia="en-US"/>
              </w:rPr>
              <w:t>отношение суммы взысканных штрафов к общей сумме наложенных административных штрафов</w:t>
            </w:r>
          </w:p>
        </w:tc>
        <w:tc>
          <w:tcPr>
            <w:tcW w:w="1575" w:type="dxa"/>
            <w:tcBorders>
              <w:top w:val="nil"/>
              <w:left w:val="nil"/>
              <w:bottom w:val="single" w:sz="4" w:space="0" w:color="auto"/>
              <w:right w:val="single" w:sz="4" w:space="0" w:color="auto"/>
            </w:tcBorders>
            <w:vAlign w:val="center"/>
            <w:hideMark/>
          </w:tcPr>
          <w:p w:rsidR="005727C2" w:rsidRDefault="005727C2">
            <w:pPr>
              <w:rPr>
                <w:rFonts w:eastAsia="Times New Roman"/>
                <w:sz w:val="16"/>
                <w:szCs w:val="16"/>
                <w:lang w:eastAsia="en-US"/>
              </w:rPr>
            </w:pPr>
            <w:r>
              <w:rPr>
                <w:rFonts w:eastAsia="Times New Roman"/>
                <w:sz w:val="16"/>
                <w:szCs w:val="16"/>
                <w:lang w:eastAsia="en-US"/>
              </w:rPr>
              <w:t>показатель устанавливается в процентах</w:t>
            </w:r>
          </w:p>
        </w:tc>
        <w:tc>
          <w:tcPr>
            <w:tcW w:w="939" w:type="dxa"/>
            <w:tcBorders>
              <w:top w:val="nil"/>
              <w:left w:val="nil"/>
              <w:bottom w:val="single" w:sz="4" w:space="0" w:color="auto"/>
              <w:right w:val="single" w:sz="4" w:space="0" w:color="auto"/>
            </w:tcBorders>
            <w:noWrap/>
            <w:vAlign w:val="center"/>
            <w:hideMark/>
          </w:tcPr>
          <w:p w:rsidR="005727C2" w:rsidRDefault="005727C2">
            <w:pPr>
              <w:jc w:val="center"/>
              <w:rPr>
                <w:rFonts w:eastAsia="Times New Roman"/>
                <w:sz w:val="16"/>
                <w:szCs w:val="16"/>
                <w:lang w:eastAsia="en-US"/>
              </w:rPr>
            </w:pPr>
            <w:r>
              <w:rPr>
                <w:rFonts w:eastAsia="Times New Roman"/>
                <w:sz w:val="16"/>
                <w:szCs w:val="16"/>
                <w:lang w:eastAsia="en-US"/>
              </w:rPr>
              <w:t xml:space="preserve"> - </w:t>
            </w:r>
          </w:p>
        </w:tc>
        <w:tc>
          <w:tcPr>
            <w:tcW w:w="972" w:type="dxa"/>
            <w:tcBorders>
              <w:top w:val="nil"/>
              <w:left w:val="nil"/>
              <w:bottom w:val="single" w:sz="4" w:space="0" w:color="auto"/>
              <w:right w:val="single" w:sz="4" w:space="0" w:color="auto"/>
            </w:tcBorders>
            <w:noWrap/>
            <w:vAlign w:val="bottom"/>
            <w:hideMark/>
          </w:tcPr>
          <w:p w:rsidR="005727C2" w:rsidRDefault="005727C2">
            <w:pPr>
              <w:rPr>
                <w:rFonts w:eastAsia="Times New Roman"/>
                <w:sz w:val="16"/>
                <w:szCs w:val="16"/>
                <w:lang w:eastAsia="en-US"/>
              </w:rPr>
            </w:pPr>
            <w:r>
              <w:rPr>
                <w:rFonts w:eastAsia="Times New Roman"/>
                <w:sz w:val="16"/>
                <w:szCs w:val="16"/>
                <w:lang w:eastAsia="en-US"/>
              </w:rPr>
              <w:t> </w:t>
            </w:r>
          </w:p>
        </w:tc>
        <w:tc>
          <w:tcPr>
            <w:tcW w:w="1186" w:type="dxa"/>
            <w:tcBorders>
              <w:top w:val="nil"/>
              <w:left w:val="nil"/>
              <w:bottom w:val="single" w:sz="4" w:space="0" w:color="auto"/>
              <w:right w:val="single" w:sz="4" w:space="0" w:color="auto"/>
            </w:tcBorders>
            <w:noWrap/>
            <w:vAlign w:val="center"/>
            <w:hideMark/>
          </w:tcPr>
          <w:p w:rsidR="005727C2" w:rsidRDefault="005727C2">
            <w:pPr>
              <w:jc w:val="center"/>
              <w:rPr>
                <w:rFonts w:eastAsia="Times New Roman"/>
                <w:sz w:val="16"/>
                <w:szCs w:val="16"/>
                <w:lang w:eastAsia="en-US"/>
              </w:rPr>
            </w:pPr>
            <w:r>
              <w:rPr>
                <w:rFonts w:eastAsia="Times New Roman"/>
                <w:sz w:val="16"/>
                <w:szCs w:val="16"/>
                <w:lang w:eastAsia="en-US"/>
              </w:rPr>
              <w:t xml:space="preserve"> - </w:t>
            </w:r>
          </w:p>
        </w:tc>
        <w:tc>
          <w:tcPr>
            <w:tcW w:w="865" w:type="dxa"/>
            <w:tcBorders>
              <w:top w:val="nil"/>
              <w:left w:val="nil"/>
              <w:bottom w:val="single" w:sz="4" w:space="0" w:color="auto"/>
              <w:right w:val="single" w:sz="4" w:space="0" w:color="auto"/>
            </w:tcBorders>
            <w:shd w:val="clear" w:color="auto" w:fill="FFFFFF"/>
            <w:noWrap/>
            <w:vAlign w:val="center"/>
            <w:hideMark/>
          </w:tcPr>
          <w:p w:rsidR="005727C2" w:rsidRDefault="005727C2">
            <w:pPr>
              <w:jc w:val="center"/>
              <w:rPr>
                <w:rFonts w:eastAsia="Times New Roman"/>
                <w:sz w:val="16"/>
                <w:szCs w:val="16"/>
                <w:lang w:eastAsia="en-US"/>
              </w:rPr>
            </w:pPr>
            <w:r>
              <w:rPr>
                <w:rFonts w:eastAsia="Times New Roman"/>
                <w:sz w:val="16"/>
                <w:szCs w:val="16"/>
                <w:lang w:eastAsia="en-US"/>
              </w:rPr>
              <w:t>49,90%</w:t>
            </w:r>
          </w:p>
        </w:tc>
        <w:tc>
          <w:tcPr>
            <w:tcW w:w="684" w:type="dxa"/>
            <w:tcBorders>
              <w:top w:val="nil"/>
              <w:left w:val="nil"/>
              <w:bottom w:val="single" w:sz="4" w:space="0" w:color="auto"/>
              <w:right w:val="single" w:sz="4" w:space="0" w:color="auto"/>
            </w:tcBorders>
            <w:noWrap/>
            <w:vAlign w:val="center"/>
            <w:hideMark/>
          </w:tcPr>
          <w:p w:rsidR="005727C2" w:rsidRDefault="005727C2">
            <w:pPr>
              <w:jc w:val="center"/>
              <w:rPr>
                <w:rFonts w:eastAsia="Times New Roman"/>
                <w:sz w:val="16"/>
                <w:szCs w:val="16"/>
                <w:lang w:eastAsia="en-US"/>
              </w:rPr>
            </w:pPr>
            <w:r>
              <w:rPr>
                <w:rFonts w:eastAsia="Times New Roman"/>
                <w:sz w:val="16"/>
                <w:szCs w:val="16"/>
                <w:lang w:eastAsia="en-US"/>
              </w:rPr>
              <w:t xml:space="preserve"> - </w:t>
            </w:r>
          </w:p>
        </w:tc>
        <w:tc>
          <w:tcPr>
            <w:tcW w:w="957" w:type="dxa"/>
            <w:tcBorders>
              <w:top w:val="nil"/>
              <w:left w:val="nil"/>
              <w:bottom w:val="single" w:sz="4" w:space="0" w:color="auto"/>
              <w:right w:val="single" w:sz="4" w:space="0" w:color="auto"/>
            </w:tcBorders>
            <w:noWrap/>
            <w:vAlign w:val="bottom"/>
            <w:hideMark/>
          </w:tcPr>
          <w:p w:rsidR="005727C2" w:rsidRDefault="005727C2">
            <w:pPr>
              <w:rPr>
                <w:rFonts w:eastAsia="Times New Roman"/>
                <w:color w:val="000000"/>
                <w:sz w:val="16"/>
                <w:szCs w:val="16"/>
                <w:lang w:eastAsia="en-US"/>
              </w:rPr>
            </w:pPr>
            <w:r>
              <w:rPr>
                <w:rFonts w:eastAsia="Times New Roman"/>
                <w:color w:val="000000"/>
                <w:sz w:val="16"/>
                <w:szCs w:val="16"/>
                <w:lang w:eastAsia="en-US"/>
              </w:rPr>
              <w:t> </w:t>
            </w:r>
          </w:p>
        </w:tc>
      </w:tr>
      <w:tr w:rsidR="005727C2" w:rsidTr="005727C2">
        <w:trPr>
          <w:trHeight w:val="20"/>
        </w:trPr>
        <w:tc>
          <w:tcPr>
            <w:tcW w:w="865" w:type="dxa"/>
            <w:tcBorders>
              <w:top w:val="nil"/>
              <w:left w:val="single" w:sz="4" w:space="0" w:color="auto"/>
              <w:bottom w:val="single" w:sz="4" w:space="0" w:color="auto"/>
              <w:right w:val="single" w:sz="4" w:space="0" w:color="auto"/>
            </w:tcBorders>
            <w:vAlign w:val="center"/>
            <w:hideMark/>
          </w:tcPr>
          <w:p w:rsidR="005727C2" w:rsidRDefault="005727C2">
            <w:pPr>
              <w:jc w:val="center"/>
              <w:rPr>
                <w:rFonts w:eastAsia="Times New Roman"/>
                <w:sz w:val="16"/>
                <w:szCs w:val="16"/>
                <w:lang w:eastAsia="en-US"/>
              </w:rPr>
            </w:pPr>
            <w:r>
              <w:rPr>
                <w:rFonts w:eastAsia="Times New Roman"/>
                <w:sz w:val="16"/>
                <w:szCs w:val="16"/>
                <w:lang w:eastAsia="en-US"/>
              </w:rPr>
              <w:t>В.3.6.9</w:t>
            </w:r>
          </w:p>
        </w:tc>
        <w:tc>
          <w:tcPr>
            <w:tcW w:w="1435" w:type="dxa"/>
            <w:tcBorders>
              <w:top w:val="nil"/>
              <w:left w:val="nil"/>
              <w:bottom w:val="single" w:sz="4" w:space="0" w:color="auto"/>
              <w:right w:val="single" w:sz="4" w:space="0" w:color="auto"/>
            </w:tcBorders>
            <w:vAlign w:val="center"/>
            <w:hideMark/>
          </w:tcPr>
          <w:p w:rsidR="005727C2" w:rsidRDefault="005727C2">
            <w:pPr>
              <w:rPr>
                <w:rFonts w:eastAsia="Times New Roman"/>
                <w:sz w:val="16"/>
                <w:szCs w:val="16"/>
                <w:lang w:eastAsia="en-US"/>
              </w:rPr>
            </w:pPr>
            <w:r>
              <w:rPr>
                <w:rFonts w:eastAsia="Times New Roman"/>
                <w:sz w:val="16"/>
                <w:szCs w:val="16"/>
                <w:lang w:eastAsia="en-US"/>
              </w:rPr>
              <w:t>средний размер наложенного штрафа</w:t>
            </w:r>
          </w:p>
        </w:tc>
        <w:tc>
          <w:tcPr>
            <w:tcW w:w="1575" w:type="dxa"/>
            <w:tcBorders>
              <w:top w:val="nil"/>
              <w:left w:val="nil"/>
              <w:bottom w:val="single" w:sz="4" w:space="0" w:color="auto"/>
              <w:right w:val="single" w:sz="4" w:space="0" w:color="auto"/>
            </w:tcBorders>
            <w:vAlign w:val="center"/>
            <w:hideMark/>
          </w:tcPr>
          <w:p w:rsidR="005727C2" w:rsidRDefault="005727C2">
            <w:pPr>
              <w:rPr>
                <w:rFonts w:eastAsia="Times New Roman"/>
                <w:sz w:val="16"/>
                <w:szCs w:val="16"/>
                <w:lang w:eastAsia="en-US"/>
              </w:rPr>
            </w:pPr>
            <w:r>
              <w:rPr>
                <w:rFonts w:eastAsia="Times New Roman"/>
                <w:sz w:val="16"/>
                <w:szCs w:val="16"/>
                <w:lang w:eastAsia="en-US"/>
              </w:rPr>
              <w:t xml:space="preserve">показатель устанавливается в тыс. руб. и учитывает суммы наложенных административных штрафов, в том числе на должностных лиц, индивидуальных </w:t>
            </w:r>
            <w:r>
              <w:rPr>
                <w:rFonts w:eastAsia="Times New Roman"/>
                <w:sz w:val="16"/>
                <w:szCs w:val="16"/>
                <w:lang w:eastAsia="en-US"/>
              </w:rPr>
              <w:lastRenderedPageBreak/>
              <w:t>предпринимателей, юридических лиц, граждан</w:t>
            </w:r>
          </w:p>
        </w:tc>
        <w:tc>
          <w:tcPr>
            <w:tcW w:w="939" w:type="dxa"/>
            <w:tcBorders>
              <w:top w:val="nil"/>
              <w:left w:val="nil"/>
              <w:bottom w:val="single" w:sz="4" w:space="0" w:color="auto"/>
              <w:right w:val="single" w:sz="4" w:space="0" w:color="auto"/>
            </w:tcBorders>
            <w:noWrap/>
            <w:vAlign w:val="center"/>
            <w:hideMark/>
          </w:tcPr>
          <w:p w:rsidR="005727C2" w:rsidRDefault="005727C2">
            <w:pPr>
              <w:jc w:val="center"/>
              <w:rPr>
                <w:rFonts w:eastAsia="Times New Roman"/>
                <w:sz w:val="16"/>
                <w:szCs w:val="16"/>
                <w:lang w:eastAsia="en-US"/>
              </w:rPr>
            </w:pPr>
            <w:r>
              <w:rPr>
                <w:rFonts w:eastAsia="Times New Roman"/>
                <w:sz w:val="16"/>
                <w:szCs w:val="16"/>
                <w:lang w:eastAsia="en-US"/>
              </w:rPr>
              <w:lastRenderedPageBreak/>
              <w:t xml:space="preserve"> - </w:t>
            </w:r>
          </w:p>
        </w:tc>
        <w:tc>
          <w:tcPr>
            <w:tcW w:w="972" w:type="dxa"/>
            <w:tcBorders>
              <w:top w:val="nil"/>
              <w:left w:val="nil"/>
              <w:bottom w:val="single" w:sz="4" w:space="0" w:color="auto"/>
              <w:right w:val="single" w:sz="4" w:space="0" w:color="auto"/>
            </w:tcBorders>
            <w:noWrap/>
            <w:vAlign w:val="bottom"/>
            <w:hideMark/>
          </w:tcPr>
          <w:p w:rsidR="005727C2" w:rsidRDefault="005727C2">
            <w:pPr>
              <w:rPr>
                <w:rFonts w:eastAsia="Times New Roman"/>
                <w:sz w:val="16"/>
                <w:szCs w:val="16"/>
                <w:lang w:eastAsia="en-US"/>
              </w:rPr>
            </w:pPr>
            <w:r>
              <w:rPr>
                <w:rFonts w:eastAsia="Times New Roman"/>
                <w:sz w:val="16"/>
                <w:szCs w:val="16"/>
                <w:lang w:eastAsia="en-US"/>
              </w:rPr>
              <w:t> </w:t>
            </w:r>
          </w:p>
        </w:tc>
        <w:tc>
          <w:tcPr>
            <w:tcW w:w="1186" w:type="dxa"/>
            <w:tcBorders>
              <w:top w:val="nil"/>
              <w:left w:val="nil"/>
              <w:bottom w:val="single" w:sz="4" w:space="0" w:color="auto"/>
              <w:right w:val="single" w:sz="4" w:space="0" w:color="auto"/>
            </w:tcBorders>
            <w:noWrap/>
            <w:vAlign w:val="center"/>
            <w:hideMark/>
          </w:tcPr>
          <w:p w:rsidR="005727C2" w:rsidRDefault="005727C2">
            <w:pPr>
              <w:jc w:val="center"/>
              <w:rPr>
                <w:rFonts w:eastAsia="Times New Roman"/>
                <w:sz w:val="16"/>
                <w:szCs w:val="16"/>
                <w:lang w:eastAsia="en-US"/>
              </w:rPr>
            </w:pPr>
            <w:r>
              <w:rPr>
                <w:rFonts w:eastAsia="Times New Roman"/>
                <w:sz w:val="16"/>
                <w:szCs w:val="16"/>
                <w:lang w:eastAsia="en-US"/>
              </w:rPr>
              <w:t xml:space="preserve"> - </w:t>
            </w:r>
          </w:p>
        </w:tc>
        <w:tc>
          <w:tcPr>
            <w:tcW w:w="865" w:type="dxa"/>
            <w:tcBorders>
              <w:top w:val="nil"/>
              <w:left w:val="nil"/>
              <w:bottom w:val="single" w:sz="4" w:space="0" w:color="auto"/>
              <w:right w:val="single" w:sz="4" w:space="0" w:color="auto"/>
            </w:tcBorders>
            <w:shd w:val="clear" w:color="auto" w:fill="FFFFFF"/>
            <w:noWrap/>
            <w:vAlign w:val="center"/>
            <w:hideMark/>
          </w:tcPr>
          <w:p w:rsidR="005727C2" w:rsidRDefault="005727C2">
            <w:pPr>
              <w:jc w:val="center"/>
              <w:rPr>
                <w:rFonts w:eastAsia="Times New Roman"/>
                <w:sz w:val="16"/>
                <w:szCs w:val="16"/>
                <w:lang w:eastAsia="en-US"/>
              </w:rPr>
            </w:pPr>
            <w:r>
              <w:rPr>
                <w:rFonts w:eastAsia="Times New Roman"/>
                <w:sz w:val="16"/>
                <w:szCs w:val="16"/>
                <w:lang w:eastAsia="en-US"/>
              </w:rPr>
              <w:t>33,26</w:t>
            </w:r>
          </w:p>
        </w:tc>
        <w:tc>
          <w:tcPr>
            <w:tcW w:w="684" w:type="dxa"/>
            <w:tcBorders>
              <w:top w:val="nil"/>
              <w:left w:val="nil"/>
              <w:bottom w:val="single" w:sz="4" w:space="0" w:color="auto"/>
              <w:right w:val="single" w:sz="4" w:space="0" w:color="auto"/>
            </w:tcBorders>
            <w:noWrap/>
            <w:vAlign w:val="center"/>
            <w:hideMark/>
          </w:tcPr>
          <w:p w:rsidR="005727C2" w:rsidRDefault="005727C2">
            <w:pPr>
              <w:jc w:val="center"/>
              <w:rPr>
                <w:rFonts w:eastAsia="Times New Roman"/>
                <w:sz w:val="16"/>
                <w:szCs w:val="16"/>
                <w:lang w:eastAsia="en-US"/>
              </w:rPr>
            </w:pPr>
            <w:r>
              <w:rPr>
                <w:rFonts w:eastAsia="Times New Roman"/>
                <w:sz w:val="16"/>
                <w:szCs w:val="16"/>
                <w:lang w:eastAsia="en-US"/>
              </w:rPr>
              <w:t xml:space="preserve"> - </w:t>
            </w:r>
          </w:p>
        </w:tc>
        <w:tc>
          <w:tcPr>
            <w:tcW w:w="957" w:type="dxa"/>
            <w:tcBorders>
              <w:top w:val="nil"/>
              <w:left w:val="nil"/>
              <w:bottom w:val="single" w:sz="4" w:space="0" w:color="auto"/>
              <w:right w:val="single" w:sz="4" w:space="0" w:color="auto"/>
            </w:tcBorders>
            <w:noWrap/>
            <w:vAlign w:val="bottom"/>
            <w:hideMark/>
          </w:tcPr>
          <w:p w:rsidR="005727C2" w:rsidRDefault="005727C2">
            <w:pPr>
              <w:rPr>
                <w:rFonts w:eastAsia="Times New Roman"/>
                <w:color w:val="000000"/>
                <w:sz w:val="16"/>
                <w:szCs w:val="16"/>
                <w:lang w:eastAsia="en-US"/>
              </w:rPr>
            </w:pPr>
            <w:r>
              <w:rPr>
                <w:rFonts w:eastAsia="Times New Roman"/>
                <w:color w:val="000000"/>
                <w:sz w:val="16"/>
                <w:szCs w:val="16"/>
                <w:lang w:eastAsia="en-US"/>
              </w:rPr>
              <w:t> </w:t>
            </w:r>
          </w:p>
        </w:tc>
      </w:tr>
      <w:tr w:rsidR="005727C2" w:rsidTr="005727C2">
        <w:trPr>
          <w:trHeight w:val="20"/>
        </w:trPr>
        <w:tc>
          <w:tcPr>
            <w:tcW w:w="865" w:type="dxa"/>
            <w:tcBorders>
              <w:top w:val="nil"/>
              <w:left w:val="single" w:sz="4" w:space="0" w:color="auto"/>
              <w:bottom w:val="single" w:sz="4" w:space="0" w:color="auto"/>
              <w:right w:val="single" w:sz="4" w:space="0" w:color="auto"/>
            </w:tcBorders>
            <w:vAlign w:val="center"/>
            <w:hideMark/>
          </w:tcPr>
          <w:p w:rsidR="005727C2" w:rsidRDefault="005727C2">
            <w:pPr>
              <w:jc w:val="center"/>
              <w:rPr>
                <w:rFonts w:eastAsia="Times New Roman"/>
                <w:sz w:val="16"/>
                <w:szCs w:val="16"/>
                <w:lang w:eastAsia="en-US"/>
              </w:rPr>
            </w:pPr>
            <w:r>
              <w:rPr>
                <w:rFonts w:eastAsia="Times New Roman"/>
                <w:sz w:val="16"/>
                <w:szCs w:val="16"/>
                <w:lang w:eastAsia="en-US"/>
              </w:rPr>
              <w:lastRenderedPageBreak/>
              <w:t>В.3.6.10</w:t>
            </w:r>
          </w:p>
        </w:tc>
        <w:tc>
          <w:tcPr>
            <w:tcW w:w="1435" w:type="dxa"/>
            <w:tcBorders>
              <w:top w:val="nil"/>
              <w:left w:val="nil"/>
              <w:bottom w:val="single" w:sz="4" w:space="0" w:color="auto"/>
              <w:right w:val="single" w:sz="4" w:space="0" w:color="auto"/>
            </w:tcBorders>
            <w:vAlign w:val="center"/>
            <w:hideMark/>
          </w:tcPr>
          <w:p w:rsidR="005727C2" w:rsidRDefault="005727C2">
            <w:pPr>
              <w:rPr>
                <w:rFonts w:eastAsia="Times New Roman"/>
                <w:sz w:val="16"/>
                <w:szCs w:val="16"/>
                <w:lang w:eastAsia="en-US"/>
              </w:rPr>
            </w:pPr>
            <w:r>
              <w:rPr>
                <w:rFonts w:eastAsia="Times New Roman"/>
                <w:sz w:val="16"/>
                <w:szCs w:val="16"/>
                <w:lang w:eastAsia="en-US"/>
              </w:rPr>
              <w:t>средняя продолжительность производства по одному делу об административном правонарушении</w:t>
            </w:r>
          </w:p>
        </w:tc>
        <w:tc>
          <w:tcPr>
            <w:tcW w:w="1575" w:type="dxa"/>
            <w:tcBorders>
              <w:top w:val="nil"/>
              <w:left w:val="nil"/>
              <w:bottom w:val="single" w:sz="4" w:space="0" w:color="auto"/>
              <w:right w:val="single" w:sz="4" w:space="0" w:color="auto"/>
            </w:tcBorders>
            <w:vAlign w:val="center"/>
            <w:hideMark/>
          </w:tcPr>
          <w:p w:rsidR="005727C2" w:rsidRDefault="005727C2">
            <w:pPr>
              <w:rPr>
                <w:rFonts w:eastAsia="Times New Roman"/>
                <w:sz w:val="16"/>
                <w:szCs w:val="16"/>
                <w:lang w:eastAsia="en-US"/>
              </w:rPr>
            </w:pPr>
            <w:r>
              <w:rPr>
                <w:rFonts w:eastAsia="Times New Roman"/>
                <w:sz w:val="16"/>
                <w:szCs w:val="16"/>
                <w:lang w:eastAsia="en-US"/>
              </w:rPr>
              <w:t> </w:t>
            </w:r>
          </w:p>
        </w:tc>
        <w:tc>
          <w:tcPr>
            <w:tcW w:w="939" w:type="dxa"/>
            <w:tcBorders>
              <w:top w:val="nil"/>
              <w:left w:val="nil"/>
              <w:bottom w:val="single" w:sz="4" w:space="0" w:color="auto"/>
              <w:right w:val="single" w:sz="4" w:space="0" w:color="auto"/>
            </w:tcBorders>
            <w:noWrap/>
            <w:vAlign w:val="center"/>
            <w:hideMark/>
          </w:tcPr>
          <w:p w:rsidR="005727C2" w:rsidRDefault="005727C2">
            <w:pPr>
              <w:jc w:val="center"/>
              <w:rPr>
                <w:rFonts w:eastAsia="Times New Roman"/>
                <w:sz w:val="16"/>
                <w:szCs w:val="16"/>
                <w:lang w:eastAsia="en-US"/>
              </w:rPr>
            </w:pPr>
            <w:r>
              <w:rPr>
                <w:rFonts w:eastAsia="Times New Roman"/>
                <w:sz w:val="16"/>
                <w:szCs w:val="16"/>
                <w:lang w:eastAsia="en-US"/>
              </w:rPr>
              <w:t xml:space="preserve"> - </w:t>
            </w:r>
          </w:p>
        </w:tc>
        <w:tc>
          <w:tcPr>
            <w:tcW w:w="972" w:type="dxa"/>
            <w:tcBorders>
              <w:top w:val="nil"/>
              <w:left w:val="nil"/>
              <w:bottom w:val="single" w:sz="4" w:space="0" w:color="auto"/>
              <w:right w:val="single" w:sz="4" w:space="0" w:color="auto"/>
            </w:tcBorders>
            <w:noWrap/>
            <w:vAlign w:val="bottom"/>
            <w:hideMark/>
          </w:tcPr>
          <w:p w:rsidR="005727C2" w:rsidRDefault="005727C2">
            <w:pPr>
              <w:rPr>
                <w:rFonts w:eastAsia="Times New Roman"/>
                <w:sz w:val="16"/>
                <w:szCs w:val="16"/>
                <w:lang w:eastAsia="en-US"/>
              </w:rPr>
            </w:pPr>
            <w:r>
              <w:rPr>
                <w:rFonts w:eastAsia="Times New Roman"/>
                <w:sz w:val="16"/>
                <w:szCs w:val="16"/>
                <w:lang w:eastAsia="en-US"/>
              </w:rPr>
              <w:t> </w:t>
            </w:r>
          </w:p>
        </w:tc>
        <w:tc>
          <w:tcPr>
            <w:tcW w:w="1186" w:type="dxa"/>
            <w:tcBorders>
              <w:top w:val="nil"/>
              <w:left w:val="nil"/>
              <w:bottom w:val="single" w:sz="4" w:space="0" w:color="auto"/>
              <w:right w:val="single" w:sz="4" w:space="0" w:color="auto"/>
            </w:tcBorders>
            <w:noWrap/>
            <w:vAlign w:val="center"/>
            <w:hideMark/>
          </w:tcPr>
          <w:p w:rsidR="005727C2" w:rsidRDefault="005727C2">
            <w:pPr>
              <w:jc w:val="center"/>
              <w:rPr>
                <w:rFonts w:eastAsia="Times New Roman"/>
                <w:sz w:val="16"/>
                <w:szCs w:val="16"/>
                <w:lang w:eastAsia="en-US"/>
              </w:rPr>
            </w:pPr>
            <w:r>
              <w:rPr>
                <w:rFonts w:eastAsia="Times New Roman"/>
                <w:sz w:val="16"/>
                <w:szCs w:val="16"/>
                <w:lang w:eastAsia="en-US"/>
              </w:rPr>
              <w:t xml:space="preserve"> - </w:t>
            </w:r>
          </w:p>
        </w:tc>
        <w:tc>
          <w:tcPr>
            <w:tcW w:w="865" w:type="dxa"/>
            <w:tcBorders>
              <w:top w:val="nil"/>
              <w:left w:val="nil"/>
              <w:bottom w:val="single" w:sz="4" w:space="0" w:color="auto"/>
              <w:right w:val="single" w:sz="4" w:space="0" w:color="auto"/>
            </w:tcBorders>
            <w:shd w:val="clear" w:color="auto" w:fill="FFFFFF"/>
            <w:noWrap/>
            <w:vAlign w:val="center"/>
            <w:hideMark/>
          </w:tcPr>
          <w:p w:rsidR="005727C2" w:rsidRDefault="005727C2">
            <w:pPr>
              <w:jc w:val="center"/>
              <w:rPr>
                <w:rFonts w:eastAsia="Times New Roman"/>
                <w:sz w:val="16"/>
                <w:szCs w:val="16"/>
                <w:lang w:eastAsia="en-US"/>
              </w:rPr>
            </w:pPr>
            <w:r>
              <w:rPr>
                <w:rFonts w:eastAsia="Times New Roman"/>
                <w:sz w:val="16"/>
                <w:szCs w:val="16"/>
                <w:lang w:eastAsia="en-US"/>
              </w:rPr>
              <w:t>15 дней</w:t>
            </w:r>
          </w:p>
        </w:tc>
        <w:tc>
          <w:tcPr>
            <w:tcW w:w="684" w:type="dxa"/>
            <w:tcBorders>
              <w:top w:val="nil"/>
              <w:left w:val="nil"/>
              <w:bottom w:val="single" w:sz="4" w:space="0" w:color="auto"/>
              <w:right w:val="single" w:sz="4" w:space="0" w:color="auto"/>
            </w:tcBorders>
            <w:noWrap/>
            <w:vAlign w:val="center"/>
            <w:hideMark/>
          </w:tcPr>
          <w:p w:rsidR="005727C2" w:rsidRDefault="005727C2">
            <w:pPr>
              <w:jc w:val="center"/>
              <w:rPr>
                <w:rFonts w:eastAsia="Times New Roman"/>
                <w:sz w:val="16"/>
                <w:szCs w:val="16"/>
                <w:lang w:eastAsia="en-US"/>
              </w:rPr>
            </w:pPr>
            <w:r>
              <w:rPr>
                <w:rFonts w:eastAsia="Times New Roman"/>
                <w:sz w:val="16"/>
                <w:szCs w:val="16"/>
                <w:lang w:eastAsia="en-US"/>
              </w:rPr>
              <w:t xml:space="preserve"> - </w:t>
            </w:r>
          </w:p>
        </w:tc>
        <w:tc>
          <w:tcPr>
            <w:tcW w:w="957" w:type="dxa"/>
            <w:tcBorders>
              <w:top w:val="nil"/>
              <w:left w:val="nil"/>
              <w:bottom w:val="single" w:sz="4" w:space="0" w:color="auto"/>
              <w:right w:val="single" w:sz="4" w:space="0" w:color="auto"/>
            </w:tcBorders>
            <w:vAlign w:val="center"/>
            <w:hideMark/>
          </w:tcPr>
          <w:p w:rsidR="005727C2" w:rsidRDefault="005727C2">
            <w:pPr>
              <w:rPr>
                <w:rFonts w:eastAsia="Times New Roman"/>
                <w:sz w:val="16"/>
                <w:szCs w:val="16"/>
                <w:lang w:eastAsia="en-US"/>
              </w:rPr>
            </w:pPr>
            <w:r>
              <w:rPr>
                <w:rFonts w:eastAsia="Times New Roman"/>
                <w:sz w:val="16"/>
                <w:szCs w:val="16"/>
                <w:lang w:eastAsia="en-US"/>
              </w:rPr>
              <w:t> </w:t>
            </w:r>
          </w:p>
        </w:tc>
      </w:tr>
      <w:tr w:rsidR="005727C2" w:rsidTr="005727C2">
        <w:trPr>
          <w:trHeight w:val="20"/>
        </w:trPr>
        <w:tc>
          <w:tcPr>
            <w:tcW w:w="865" w:type="dxa"/>
            <w:tcBorders>
              <w:top w:val="nil"/>
              <w:left w:val="single" w:sz="4" w:space="0" w:color="auto"/>
              <w:bottom w:val="single" w:sz="4" w:space="0" w:color="auto"/>
              <w:right w:val="single" w:sz="4" w:space="0" w:color="auto"/>
            </w:tcBorders>
            <w:shd w:val="clear" w:color="auto" w:fill="FFFFFF"/>
            <w:vAlign w:val="center"/>
            <w:hideMark/>
          </w:tcPr>
          <w:p w:rsidR="005727C2" w:rsidRDefault="005727C2">
            <w:pPr>
              <w:jc w:val="center"/>
              <w:rPr>
                <w:rFonts w:eastAsia="Times New Roman"/>
                <w:sz w:val="16"/>
                <w:szCs w:val="16"/>
                <w:lang w:eastAsia="en-US"/>
              </w:rPr>
            </w:pPr>
            <w:r>
              <w:rPr>
                <w:rFonts w:eastAsia="Times New Roman"/>
                <w:sz w:val="16"/>
                <w:szCs w:val="16"/>
                <w:lang w:eastAsia="en-US"/>
              </w:rPr>
              <w:t>В.3.6.11</w:t>
            </w:r>
          </w:p>
        </w:tc>
        <w:tc>
          <w:tcPr>
            <w:tcW w:w="1435" w:type="dxa"/>
            <w:tcBorders>
              <w:top w:val="nil"/>
              <w:left w:val="nil"/>
              <w:bottom w:val="single" w:sz="4" w:space="0" w:color="auto"/>
              <w:right w:val="single" w:sz="4" w:space="0" w:color="auto"/>
            </w:tcBorders>
            <w:vAlign w:val="center"/>
            <w:hideMark/>
          </w:tcPr>
          <w:p w:rsidR="005727C2" w:rsidRDefault="005727C2">
            <w:pPr>
              <w:rPr>
                <w:rFonts w:eastAsia="Times New Roman"/>
                <w:sz w:val="16"/>
                <w:szCs w:val="16"/>
                <w:lang w:eastAsia="en-US"/>
              </w:rPr>
            </w:pPr>
            <w:r>
              <w:rPr>
                <w:rFonts w:eastAsia="Times New Roman"/>
                <w:sz w:val="16"/>
                <w:szCs w:val="16"/>
                <w:lang w:eastAsia="en-US"/>
              </w:rPr>
              <w:t>среднее число должностных лиц, задействованных в производстве по одному делу об административном правонарушении</w:t>
            </w:r>
          </w:p>
        </w:tc>
        <w:tc>
          <w:tcPr>
            <w:tcW w:w="1575" w:type="dxa"/>
            <w:tcBorders>
              <w:top w:val="nil"/>
              <w:left w:val="nil"/>
              <w:bottom w:val="single" w:sz="4" w:space="0" w:color="auto"/>
              <w:right w:val="single" w:sz="4" w:space="0" w:color="auto"/>
            </w:tcBorders>
            <w:vAlign w:val="center"/>
            <w:hideMark/>
          </w:tcPr>
          <w:p w:rsidR="005727C2" w:rsidRDefault="005727C2">
            <w:pPr>
              <w:rPr>
                <w:rFonts w:eastAsia="Times New Roman"/>
                <w:sz w:val="16"/>
                <w:szCs w:val="16"/>
                <w:lang w:eastAsia="en-US"/>
              </w:rPr>
            </w:pPr>
            <w:r>
              <w:rPr>
                <w:rFonts w:eastAsia="Times New Roman"/>
                <w:sz w:val="16"/>
                <w:szCs w:val="16"/>
                <w:lang w:eastAsia="en-US"/>
              </w:rPr>
              <w:t> </w:t>
            </w:r>
          </w:p>
        </w:tc>
        <w:tc>
          <w:tcPr>
            <w:tcW w:w="939" w:type="dxa"/>
            <w:tcBorders>
              <w:top w:val="nil"/>
              <w:left w:val="nil"/>
              <w:bottom w:val="single" w:sz="4" w:space="0" w:color="auto"/>
              <w:right w:val="single" w:sz="4" w:space="0" w:color="auto"/>
            </w:tcBorders>
            <w:noWrap/>
            <w:vAlign w:val="center"/>
            <w:hideMark/>
          </w:tcPr>
          <w:p w:rsidR="005727C2" w:rsidRDefault="005727C2">
            <w:pPr>
              <w:jc w:val="center"/>
              <w:rPr>
                <w:rFonts w:eastAsia="Times New Roman"/>
                <w:sz w:val="16"/>
                <w:szCs w:val="16"/>
                <w:lang w:eastAsia="en-US"/>
              </w:rPr>
            </w:pPr>
            <w:r>
              <w:rPr>
                <w:rFonts w:eastAsia="Times New Roman"/>
                <w:sz w:val="16"/>
                <w:szCs w:val="16"/>
                <w:lang w:eastAsia="en-US"/>
              </w:rPr>
              <w:t xml:space="preserve"> - </w:t>
            </w:r>
          </w:p>
        </w:tc>
        <w:tc>
          <w:tcPr>
            <w:tcW w:w="972" w:type="dxa"/>
            <w:tcBorders>
              <w:top w:val="nil"/>
              <w:left w:val="nil"/>
              <w:bottom w:val="single" w:sz="4" w:space="0" w:color="auto"/>
              <w:right w:val="single" w:sz="4" w:space="0" w:color="auto"/>
            </w:tcBorders>
            <w:noWrap/>
            <w:vAlign w:val="bottom"/>
            <w:hideMark/>
          </w:tcPr>
          <w:p w:rsidR="005727C2" w:rsidRDefault="005727C2">
            <w:pPr>
              <w:rPr>
                <w:rFonts w:eastAsia="Times New Roman"/>
                <w:sz w:val="16"/>
                <w:szCs w:val="16"/>
                <w:lang w:eastAsia="en-US"/>
              </w:rPr>
            </w:pPr>
            <w:r>
              <w:rPr>
                <w:rFonts w:eastAsia="Times New Roman"/>
                <w:sz w:val="16"/>
                <w:szCs w:val="16"/>
                <w:lang w:eastAsia="en-US"/>
              </w:rPr>
              <w:t> </w:t>
            </w:r>
          </w:p>
        </w:tc>
        <w:tc>
          <w:tcPr>
            <w:tcW w:w="1186" w:type="dxa"/>
            <w:tcBorders>
              <w:top w:val="nil"/>
              <w:left w:val="nil"/>
              <w:bottom w:val="single" w:sz="4" w:space="0" w:color="auto"/>
              <w:right w:val="single" w:sz="4" w:space="0" w:color="auto"/>
            </w:tcBorders>
            <w:noWrap/>
            <w:vAlign w:val="center"/>
            <w:hideMark/>
          </w:tcPr>
          <w:p w:rsidR="005727C2" w:rsidRDefault="005727C2">
            <w:pPr>
              <w:jc w:val="center"/>
              <w:rPr>
                <w:rFonts w:eastAsia="Times New Roman"/>
                <w:sz w:val="16"/>
                <w:szCs w:val="16"/>
                <w:lang w:eastAsia="en-US"/>
              </w:rPr>
            </w:pPr>
            <w:r>
              <w:rPr>
                <w:rFonts w:eastAsia="Times New Roman"/>
                <w:sz w:val="16"/>
                <w:szCs w:val="16"/>
                <w:lang w:eastAsia="en-US"/>
              </w:rPr>
              <w:t xml:space="preserve"> - </w:t>
            </w:r>
          </w:p>
        </w:tc>
        <w:tc>
          <w:tcPr>
            <w:tcW w:w="865" w:type="dxa"/>
            <w:tcBorders>
              <w:top w:val="nil"/>
              <w:left w:val="nil"/>
              <w:bottom w:val="single" w:sz="4" w:space="0" w:color="auto"/>
              <w:right w:val="single" w:sz="4" w:space="0" w:color="auto"/>
            </w:tcBorders>
            <w:shd w:val="clear" w:color="auto" w:fill="FFFFFF"/>
            <w:noWrap/>
            <w:vAlign w:val="center"/>
            <w:hideMark/>
          </w:tcPr>
          <w:p w:rsidR="005727C2" w:rsidRDefault="005727C2">
            <w:pPr>
              <w:jc w:val="center"/>
              <w:rPr>
                <w:rFonts w:eastAsia="Times New Roman"/>
                <w:sz w:val="16"/>
                <w:szCs w:val="16"/>
                <w:lang w:eastAsia="en-US"/>
              </w:rPr>
            </w:pPr>
            <w:r>
              <w:rPr>
                <w:rFonts w:eastAsia="Times New Roman"/>
                <w:sz w:val="16"/>
                <w:szCs w:val="16"/>
                <w:lang w:eastAsia="en-US"/>
              </w:rPr>
              <w:t>2</w:t>
            </w:r>
          </w:p>
        </w:tc>
        <w:tc>
          <w:tcPr>
            <w:tcW w:w="684" w:type="dxa"/>
            <w:tcBorders>
              <w:top w:val="nil"/>
              <w:left w:val="nil"/>
              <w:bottom w:val="single" w:sz="4" w:space="0" w:color="auto"/>
              <w:right w:val="single" w:sz="4" w:space="0" w:color="auto"/>
            </w:tcBorders>
            <w:noWrap/>
            <w:vAlign w:val="center"/>
            <w:hideMark/>
          </w:tcPr>
          <w:p w:rsidR="005727C2" w:rsidRDefault="005727C2">
            <w:pPr>
              <w:jc w:val="center"/>
              <w:rPr>
                <w:rFonts w:eastAsia="Times New Roman"/>
                <w:sz w:val="16"/>
                <w:szCs w:val="16"/>
                <w:lang w:eastAsia="en-US"/>
              </w:rPr>
            </w:pPr>
            <w:r>
              <w:rPr>
                <w:rFonts w:eastAsia="Times New Roman"/>
                <w:sz w:val="16"/>
                <w:szCs w:val="16"/>
                <w:lang w:eastAsia="en-US"/>
              </w:rPr>
              <w:t xml:space="preserve"> - </w:t>
            </w:r>
          </w:p>
        </w:tc>
        <w:tc>
          <w:tcPr>
            <w:tcW w:w="957" w:type="dxa"/>
            <w:tcBorders>
              <w:top w:val="nil"/>
              <w:left w:val="nil"/>
              <w:bottom w:val="single" w:sz="4" w:space="0" w:color="auto"/>
              <w:right w:val="single" w:sz="4" w:space="0" w:color="auto"/>
            </w:tcBorders>
            <w:vAlign w:val="center"/>
            <w:hideMark/>
          </w:tcPr>
          <w:p w:rsidR="005727C2" w:rsidRDefault="005727C2">
            <w:pPr>
              <w:rPr>
                <w:rFonts w:eastAsia="Times New Roman"/>
                <w:sz w:val="16"/>
                <w:szCs w:val="16"/>
                <w:lang w:eastAsia="en-US"/>
              </w:rPr>
            </w:pPr>
            <w:r>
              <w:rPr>
                <w:rFonts w:eastAsia="Times New Roman"/>
                <w:sz w:val="16"/>
                <w:szCs w:val="16"/>
                <w:lang w:eastAsia="en-US"/>
              </w:rPr>
              <w:t> </w:t>
            </w:r>
          </w:p>
        </w:tc>
      </w:tr>
      <w:tr w:rsidR="005727C2" w:rsidTr="005727C2">
        <w:trPr>
          <w:trHeight w:val="20"/>
        </w:trPr>
        <w:tc>
          <w:tcPr>
            <w:tcW w:w="865" w:type="dxa"/>
            <w:tcBorders>
              <w:top w:val="nil"/>
              <w:left w:val="single" w:sz="4" w:space="0" w:color="auto"/>
              <w:bottom w:val="single" w:sz="4" w:space="0" w:color="auto"/>
              <w:right w:val="single" w:sz="4" w:space="0" w:color="auto"/>
            </w:tcBorders>
            <w:shd w:val="clear" w:color="auto" w:fill="FFFFFF"/>
            <w:vAlign w:val="center"/>
            <w:hideMark/>
          </w:tcPr>
          <w:p w:rsidR="005727C2" w:rsidRDefault="005727C2">
            <w:pPr>
              <w:jc w:val="center"/>
              <w:rPr>
                <w:rFonts w:eastAsia="Times New Roman"/>
                <w:sz w:val="16"/>
                <w:szCs w:val="16"/>
                <w:lang w:eastAsia="en-US"/>
              </w:rPr>
            </w:pPr>
            <w:r>
              <w:rPr>
                <w:rFonts w:eastAsia="Times New Roman"/>
                <w:sz w:val="16"/>
                <w:szCs w:val="16"/>
                <w:lang w:eastAsia="en-US"/>
              </w:rPr>
              <w:t>В.3.8</w:t>
            </w:r>
          </w:p>
        </w:tc>
        <w:tc>
          <w:tcPr>
            <w:tcW w:w="8613" w:type="dxa"/>
            <w:gridSpan w:val="8"/>
            <w:tcBorders>
              <w:top w:val="single" w:sz="4" w:space="0" w:color="auto"/>
              <w:left w:val="nil"/>
              <w:bottom w:val="single" w:sz="4" w:space="0" w:color="auto"/>
              <w:right w:val="single" w:sz="4" w:space="0" w:color="auto"/>
            </w:tcBorders>
            <w:shd w:val="clear" w:color="auto" w:fill="FFFFFF"/>
            <w:vAlign w:val="center"/>
            <w:hideMark/>
          </w:tcPr>
          <w:p w:rsidR="005727C2" w:rsidRDefault="005727C2">
            <w:pPr>
              <w:rPr>
                <w:rFonts w:eastAsia="Times New Roman"/>
                <w:sz w:val="16"/>
                <w:szCs w:val="16"/>
                <w:lang w:eastAsia="en-US"/>
              </w:rPr>
            </w:pPr>
            <w:r>
              <w:rPr>
                <w:rFonts w:eastAsia="Times New Roman"/>
                <w:sz w:val="16"/>
                <w:szCs w:val="16"/>
                <w:lang w:eastAsia="en-US"/>
              </w:rPr>
              <w:t>мероприятия, направленные на профилактику нарушений обязательных требований, включая предостережения о недопустимости нарушения обязательных требований</w:t>
            </w:r>
          </w:p>
        </w:tc>
      </w:tr>
      <w:tr w:rsidR="005727C2" w:rsidTr="005727C2">
        <w:trPr>
          <w:trHeight w:val="20"/>
        </w:trPr>
        <w:tc>
          <w:tcPr>
            <w:tcW w:w="865" w:type="dxa"/>
            <w:tcBorders>
              <w:top w:val="nil"/>
              <w:left w:val="single" w:sz="4" w:space="0" w:color="auto"/>
              <w:bottom w:val="single" w:sz="4" w:space="0" w:color="auto"/>
              <w:right w:val="single" w:sz="4" w:space="0" w:color="auto"/>
            </w:tcBorders>
            <w:shd w:val="clear" w:color="auto" w:fill="FFFFFF"/>
            <w:vAlign w:val="center"/>
            <w:hideMark/>
          </w:tcPr>
          <w:p w:rsidR="005727C2" w:rsidRDefault="005727C2">
            <w:pPr>
              <w:jc w:val="center"/>
              <w:rPr>
                <w:rFonts w:eastAsia="Times New Roman"/>
                <w:sz w:val="16"/>
                <w:szCs w:val="16"/>
                <w:lang w:eastAsia="en-US"/>
              </w:rPr>
            </w:pPr>
            <w:r>
              <w:rPr>
                <w:rFonts w:eastAsia="Times New Roman"/>
                <w:sz w:val="16"/>
                <w:szCs w:val="16"/>
                <w:lang w:eastAsia="en-US"/>
              </w:rPr>
              <w:t>В.3.8.1</w:t>
            </w:r>
          </w:p>
        </w:tc>
        <w:tc>
          <w:tcPr>
            <w:tcW w:w="1435" w:type="dxa"/>
            <w:tcBorders>
              <w:top w:val="nil"/>
              <w:left w:val="nil"/>
              <w:bottom w:val="single" w:sz="4" w:space="0" w:color="auto"/>
              <w:right w:val="single" w:sz="4" w:space="0" w:color="auto"/>
            </w:tcBorders>
            <w:shd w:val="clear" w:color="auto" w:fill="FFFFFF"/>
            <w:vAlign w:val="center"/>
            <w:hideMark/>
          </w:tcPr>
          <w:p w:rsidR="005727C2" w:rsidRDefault="005727C2">
            <w:pPr>
              <w:rPr>
                <w:rFonts w:eastAsia="Times New Roman"/>
                <w:sz w:val="16"/>
                <w:szCs w:val="16"/>
                <w:lang w:eastAsia="en-US"/>
              </w:rPr>
            </w:pPr>
            <w:r>
              <w:rPr>
                <w:rFonts w:eastAsia="Times New Roman"/>
                <w:sz w:val="16"/>
                <w:szCs w:val="16"/>
                <w:lang w:eastAsia="en-US"/>
              </w:rPr>
              <w:t>количество проведенных профилактических мероприятий</w:t>
            </w:r>
          </w:p>
        </w:tc>
        <w:tc>
          <w:tcPr>
            <w:tcW w:w="1575" w:type="dxa"/>
            <w:tcBorders>
              <w:top w:val="nil"/>
              <w:left w:val="nil"/>
              <w:bottom w:val="single" w:sz="4" w:space="0" w:color="auto"/>
              <w:right w:val="single" w:sz="4" w:space="0" w:color="auto"/>
            </w:tcBorders>
            <w:shd w:val="clear" w:color="auto" w:fill="FFFFFF"/>
            <w:vAlign w:val="center"/>
            <w:hideMark/>
          </w:tcPr>
          <w:p w:rsidR="005727C2" w:rsidRDefault="005727C2">
            <w:pPr>
              <w:rPr>
                <w:rFonts w:eastAsia="Times New Roman"/>
                <w:sz w:val="16"/>
                <w:szCs w:val="16"/>
                <w:lang w:eastAsia="en-US"/>
              </w:rPr>
            </w:pPr>
            <w:r>
              <w:rPr>
                <w:rFonts w:eastAsia="Times New Roman"/>
                <w:sz w:val="16"/>
                <w:szCs w:val="16"/>
                <w:lang w:eastAsia="en-US"/>
              </w:rPr>
              <w:t> </w:t>
            </w:r>
          </w:p>
        </w:tc>
        <w:tc>
          <w:tcPr>
            <w:tcW w:w="939" w:type="dxa"/>
            <w:tcBorders>
              <w:top w:val="nil"/>
              <w:left w:val="nil"/>
              <w:bottom w:val="single" w:sz="4" w:space="0" w:color="auto"/>
              <w:right w:val="single" w:sz="4" w:space="0" w:color="auto"/>
            </w:tcBorders>
            <w:shd w:val="clear" w:color="auto" w:fill="FFFFFF"/>
            <w:noWrap/>
            <w:vAlign w:val="center"/>
            <w:hideMark/>
          </w:tcPr>
          <w:p w:rsidR="005727C2" w:rsidRDefault="005727C2">
            <w:pPr>
              <w:jc w:val="center"/>
              <w:rPr>
                <w:rFonts w:eastAsia="Times New Roman"/>
                <w:sz w:val="16"/>
                <w:szCs w:val="16"/>
                <w:lang w:eastAsia="en-US"/>
              </w:rPr>
            </w:pPr>
            <w:r>
              <w:rPr>
                <w:rFonts w:eastAsia="Times New Roman"/>
                <w:sz w:val="16"/>
                <w:szCs w:val="16"/>
                <w:lang w:eastAsia="en-US"/>
              </w:rPr>
              <w:t xml:space="preserve"> - </w:t>
            </w:r>
          </w:p>
        </w:tc>
        <w:tc>
          <w:tcPr>
            <w:tcW w:w="972" w:type="dxa"/>
            <w:tcBorders>
              <w:top w:val="nil"/>
              <w:left w:val="nil"/>
              <w:bottom w:val="single" w:sz="4" w:space="0" w:color="auto"/>
              <w:right w:val="single" w:sz="4" w:space="0" w:color="auto"/>
            </w:tcBorders>
            <w:shd w:val="clear" w:color="auto" w:fill="FFFFFF"/>
            <w:noWrap/>
            <w:vAlign w:val="bottom"/>
            <w:hideMark/>
          </w:tcPr>
          <w:p w:rsidR="005727C2" w:rsidRDefault="005727C2">
            <w:pPr>
              <w:rPr>
                <w:rFonts w:eastAsia="Times New Roman"/>
                <w:sz w:val="16"/>
                <w:szCs w:val="16"/>
                <w:lang w:eastAsia="en-US"/>
              </w:rPr>
            </w:pPr>
            <w:r>
              <w:rPr>
                <w:rFonts w:eastAsia="Times New Roman"/>
                <w:sz w:val="16"/>
                <w:szCs w:val="16"/>
                <w:lang w:eastAsia="en-US"/>
              </w:rPr>
              <w:t> </w:t>
            </w:r>
          </w:p>
        </w:tc>
        <w:tc>
          <w:tcPr>
            <w:tcW w:w="1186" w:type="dxa"/>
            <w:tcBorders>
              <w:top w:val="nil"/>
              <w:left w:val="nil"/>
              <w:bottom w:val="single" w:sz="4" w:space="0" w:color="auto"/>
              <w:right w:val="single" w:sz="4" w:space="0" w:color="auto"/>
            </w:tcBorders>
            <w:shd w:val="clear" w:color="auto" w:fill="FFFFFF"/>
            <w:noWrap/>
            <w:vAlign w:val="center"/>
            <w:hideMark/>
          </w:tcPr>
          <w:p w:rsidR="005727C2" w:rsidRDefault="005727C2">
            <w:pPr>
              <w:jc w:val="center"/>
              <w:rPr>
                <w:rFonts w:eastAsia="Times New Roman"/>
                <w:sz w:val="16"/>
                <w:szCs w:val="16"/>
                <w:lang w:eastAsia="en-US"/>
              </w:rPr>
            </w:pPr>
            <w:r>
              <w:rPr>
                <w:rFonts w:eastAsia="Times New Roman"/>
                <w:sz w:val="16"/>
                <w:szCs w:val="16"/>
                <w:lang w:eastAsia="en-US"/>
              </w:rPr>
              <w:t xml:space="preserve"> - </w:t>
            </w:r>
          </w:p>
        </w:tc>
        <w:tc>
          <w:tcPr>
            <w:tcW w:w="865" w:type="dxa"/>
            <w:tcBorders>
              <w:top w:val="nil"/>
              <w:left w:val="nil"/>
              <w:bottom w:val="single" w:sz="4" w:space="0" w:color="auto"/>
              <w:right w:val="single" w:sz="4" w:space="0" w:color="auto"/>
            </w:tcBorders>
            <w:shd w:val="clear" w:color="auto" w:fill="FFFFFF"/>
            <w:noWrap/>
            <w:vAlign w:val="center"/>
            <w:hideMark/>
          </w:tcPr>
          <w:p w:rsidR="005727C2" w:rsidRDefault="005727C2">
            <w:pPr>
              <w:jc w:val="center"/>
              <w:rPr>
                <w:rFonts w:eastAsia="Times New Roman"/>
                <w:sz w:val="16"/>
                <w:szCs w:val="16"/>
                <w:lang w:eastAsia="en-US"/>
              </w:rPr>
            </w:pPr>
            <w:r>
              <w:rPr>
                <w:rFonts w:eastAsia="Times New Roman"/>
                <w:sz w:val="16"/>
                <w:szCs w:val="16"/>
                <w:lang w:eastAsia="en-US"/>
              </w:rPr>
              <w:t>68</w:t>
            </w:r>
          </w:p>
        </w:tc>
        <w:tc>
          <w:tcPr>
            <w:tcW w:w="684" w:type="dxa"/>
            <w:tcBorders>
              <w:top w:val="nil"/>
              <w:left w:val="nil"/>
              <w:bottom w:val="single" w:sz="4" w:space="0" w:color="auto"/>
              <w:right w:val="single" w:sz="4" w:space="0" w:color="auto"/>
            </w:tcBorders>
            <w:shd w:val="clear" w:color="auto" w:fill="FFFFFF"/>
            <w:noWrap/>
            <w:vAlign w:val="center"/>
            <w:hideMark/>
          </w:tcPr>
          <w:p w:rsidR="005727C2" w:rsidRDefault="005727C2">
            <w:pPr>
              <w:jc w:val="center"/>
              <w:rPr>
                <w:rFonts w:eastAsia="Times New Roman"/>
                <w:sz w:val="16"/>
                <w:szCs w:val="16"/>
                <w:lang w:eastAsia="en-US"/>
              </w:rPr>
            </w:pPr>
            <w:r>
              <w:rPr>
                <w:rFonts w:eastAsia="Times New Roman"/>
                <w:sz w:val="16"/>
                <w:szCs w:val="16"/>
                <w:lang w:eastAsia="en-US"/>
              </w:rPr>
              <w:t xml:space="preserve"> - </w:t>
            </w:r>
          </w:p>
        </w:tc>
        <w:tc>
          <w:tcPr>
            <w:tcW w:w="957" w:type="dxa"/>
            <w:tcBorders>
              <w:top w:val="nil"/>
              <w:left w:val="nil"/>
              <w:bottom w:val="single" w:sz="4" w:space="0" w:color="auto"/>
              <w:right w:val="single" w:sz="4" w:space="0" w:color="auto"/>
            </w:tcBorders>
            <w:shd w:val="clear" w:color="auto" w:fill="FFFFFF"/>
            <w:vAlign w:val="center"/>
            <w:hideMark/>
          </w:tcPr>
          <w:p w:rsidR="005727C2" w:rsidRDefault="005727C2">
            <w:pPr>
              <w:rPr>
                <w:rFonts w:eastAsia="Times New Roman"/>
                <w:sz w:val="16"/>
                <w:szCs w:val="16"/>
                <w:lang w:eastAsia="en-US"/>
              </w:rPr>
            </w:pPr>
            <w:r>
              <w:rPr>
                <w:rFonts w:eastAsia="Times New Roman"/>
                <w:sz w:val="16"/>
                <w:szCs w:val="16"/>
                <w:lang w:eastAsia="en-US"/>
              </w:rPr>
              <w:t> </w:t>
            </w:r>
          </w:p>
        </w:tc>
      </w:tr>
      <w:tr w:rsidR="005727C2" w:rsidTr="005727C2">
        <w:trPr>
          <w:trHeight w:val="20"/>
        </w:trPr>
        <w:tc>
          <w:tcPr>
            <w:tcW w:w="865" w:type="dxa"/>
            <w:tcBorders>
              <w:top w:val="nil"/>
              <w:left w:val="single" w:sz="4" w:space="0" w:color="auto"/>
              <w:bottom w:val="single" w:sz="4" w:space="0" w:color="auto"/>
              <w:right w:val="single" w:sz="4" w:space="0" w:color="auto"/>
            </w:tcBorders>
            <w:shd w:val="clear" w:color="auto" w:fill="FFFFFF"/>
            <w:vAlign w:val="center"/>
            <w:hideMark/>
          </w:tcPr>
          <w:p w:rsidR="005727C2" w:rsidRDefault="005727C2">
            <w:pPr>
              <w:jc w:val="center"/>
              <w:rPr>
                <w:rFonts w:eastAsia="Times New Roman"/>
                <w:sz w:val="16"/>
                <w:szCs w:val="16"/>
                <w:lang w:eastAsia="en-US"/>
              </w:rPr>
            </w:pPr>
            <w:r>
              <w:rPr>
                <w:rFonts w:eastAsia="Times New Roman"/>
                <w:sz w:val="16"/>
                <w:szCs w:val="16"/>
                <w:lang w:eastAsia="en-US"/>
              </w:rPr>
              <w:t>В.3.8.2</w:t>
            </w:r>
          </w:p>
        </w:tc>
        <w:tc>
          <w:tcPr>
            <w:tcW w:w="1435" w:type="dxa"/>
            <w:tcBorders>
              <w:top w:val="nil"/>
              <w:left w:val="nil"/>
              <w:bottom w:val="single" w:sz="4" w:space="0" w:color="auto"/>
              <w:right w:val="single" w:sz="4" w:space="0" w:color="auto"/>
            </w:tcBorders>
            <w:shd w:val="clear" w:color="auto" w:fill="FFFFFF"/>
            <w:vAlign w:val="center"/>
            <w:hideMark/>
          </w:tcPr>
          <w:p w:rsidR="005727C2" w:rsidRDefault="005727C2">
            <w:pPr>
              <w:rPr>
                <w:rFonts w:eastAsia="Times New Roman"/>
                <w:sz w:val="16"/>
                <w:szCs w:val="16"/>
                <w:lang w:eastAsia="en-US"/>
              </w:rPr>
            </w:pPr>
            <w:r>
              <w:rPr>
                <w:rFonts w:eastAsia="Times New Roman"/>
                <w:sz w:val="16"/>
                <w:szCs w:val="16"/>
                <w:lang w:eastAsia="en-US"/>
              </w:rPr>
              <w:t>количество субъектов, в отношении которых проведены профилактические мероприятия</w:t>
            </w:r>
          </w:p>
        </w:tc>
        <w:tc>
          <w:tcPr>
            <w:tcW w:w="1575" w:type="dxa"/>
            <w:tcBorders>
              <w:top w:val="nil"/>
              <w:left w:val="nil"/>
              <w:bottom w:val="single" w:sz="4" w:space="0" w:color="auto"/>
              <w:right w:val="single" w:sz="4" w:space="0" w:color="auto"/>
            </w:tcBorders>
            <w:shd w:val="clear" w:color="auto" w:fill="FFFFFF"/>
            <w:vAlign w:val="center"/>
            <w:hideMark/>
          </w:tcPr>
          <w:p w:rsidR="005727C2" w:rsidRDefault="005727C2">
            <w:pPr>
              <w:rPr>
                <w:rFonts w:eastAsia="Times New Roman"/>
                <w:sz w:val="16"/>
                <w:szCs w:val="16"/>
                <w:lang w:eastAsia="en-US"/>
              </w:rPr>
            </w:pPr>
            <w:r>
              <w:rPr>
                <w:rFonts w:eastAsia="Times New Roman"/>
                <w:sz w:val="16"/>
                <w:szCs w:val="16"/>
                <w:lang w:eastAsia="en-US"/>
              </w:rPr>
              <w:t> </w:t>
            </w:r>
          </w:p>
        </w:tc>
        <w:tc>
          <w:tcPr>
            <w:tcW w:w="939" w:type="dxa"/>
            <w:tcBorders>
              <w:top w:val="nil"/>
              <w:left w:val="nil"/>
              <w:bottom w:val="single" w:sz="4" w:space="0" w:color="auto"/>
              <w:right w:val="single" w:sz="4" w:space="0" w:color="auto"/>
            </w:tcBorders>
            <w:shd w:val="clear" w:color="auto" w:fill="FFFFFF"/>
            <w:noWrap/>
            <w:vAlign w:val="center"/>
            <w:hideMark/>
          </w:tcPr>
          <w:p w:rsidR="005727C2" w:rsidRDefault="005727C2">
            <w:pPr>
              <w:jc w:val="center"/>
              <w:rPr>
                <w:rFonts w:eastAsia="Times New Roman"/>
                <w:sz w:val="16"/>
                <w:szCs w:val="16"/>
                <w:lang w:eastAsia="en-US"/>
              </w:rPr>
            </w:pPr>
            <w:r>
              <w:rPr>
                <w:rFonts w:eastAsia="Times New Roman"/>
                <w:sz w:val="16"/>
                <w:szCs w:val="16"/>
                <w:lang w:eastAsia="en-US"/>
              </w:rPr>
              <w:t xml:space="preserve"> - </w:t>
            </w:r>
          </w:p>
        </w:tc>
        <w:tc>
          <w:tcPr>
            <w:tcW w:w="972" w:type="dxa"/>
            <w:tcBorders>
              <w:top w:val="nil"/>
              <w:left w:val="nil"/>
              <w:bottom w:val="single" w:sz="4" w:space="0" w:color="auto"/>
              <w:right w:val="single" w:sz="4" w:space="0" w:color="auto"/>
            </w:tcBorders>
            <w:shd w:val="clear" w:color="auto" w:fill="FFFFFF"/>
            <w:noWrap/>
            <w:vAlign w:val="bottom"/>
            <w:hideMark/>
          </w:tcPr>
          <w:p w:rsidR="005727C2" w:rsidRDefault="005727C2">
            <w:pPr>
              <w:rPr>
                <w:rFonts w:eastAsia="Times New Roman"/>
                <w:sz w:val="16"/>
                <w:szCs w:val="16"/>
                <w:lang w:eastAsia="en-US"/>
              </w:rPr>
            </w:pPr>
            <w:r>
              <w:rPr>
                <w:rFonts w:eastAsia="Times New Roman"/>
                <w:sz w:val="16"/>
                <w:szCs w:val="16"/>
                <w:lang w:eastAsia="en-US"/>
              </w:rPr>
              <w:t> </w:t>
            </w:r>
          </w:p>
        </w:tc>
        <w:tc>
          <w:tcPr>
            <w:tcW w:w="1186" w:type="dxa"/>
            <w:tcBorders>
              <w:top w:val="nil"/>
              <w:left w:val="nil"/>
              <w:bottom w:val="single" w:sz="4" w:space="0" w:color="auto"/>
              <w:right w:val="single" w:sz="4" w:space="0" w:color="auto"/>
            </w:tcBorders>
            <w:shd w:val="clear" w:color="auto" w:fill="FFFFFF"/>
            <w:noWrap/>
            <w:vAlign w:val="center"/>
            <w:hideMark/>
          </w:tcPr>
          <w:p w:rsidR="005727C2" w:rsidRDefault="005727C2">
            <w:pPr>
              <w:jc w:val="center"/>
              <w:rPr>
                <w:rFonts w:eastAsia="Times New Roman"/>
                <w:sz w:val="16"/>
                <w:szCs w:val="16"/>
                <w:lang w:eastAsia="en-US"/>
              </w:rPr>
            </w:pPr>
            <w:r>
              <w:rPr>
                <w:rFonts w:eastAsia="Times New Roman"/>
                <w:sz w:val="16"/>
                <w:szCs w:val="16"/>
                <w:lang w:eastAsia="en-US"/>
              </w:rPr>
              <w:t xml:space="preserve"> - </w:t>
            </w:r>
          </w:p>
        </w:tc>
        <w:tc>
          <w:tcPr>
            <w:tcW w:w="865" w:type="dxa"/>
            <w:tcBorders>
              <w:top w:val="nil"/>
              <w:left w:val="nil"/>
              <w:bottom w:val="single" w:sz="4" w:space="0" w:color="auto"/>
              <w:right w:val="single" w:sz="4" w:space="0" w:color="auto"/>
            </w:tcBorders>
            <w:shd w:val="clear" w:color="auto" w:fill="FFFFFF"/>
            <w:noWrap/>
            <w:vAlign w:val="center"/>
            <w:hideMark/>
          </w:tcPr>
          <w:p w:rsidR="005727C2" w:rsidRDefault="005727C2">
            <w:pPr>
              <w:jc w:val="center"/>
              <w:rPr>
                <w:rFonts w:eastAsia="Times New Roman"/>
                <w:sz w:val="16"/>
                <w:szCs w:val="16"/>
                <w:lang w:eastAsia="en-US"/>
              </w:rPr>
            </w:pPr>
            <w:r>
              <w:rPr>
                <w:rFonts w:eastAsia="Times New Roman"/>
                <w:sz w:val="16"/>
                <w:szCs w:val="16"/>
                <w:lang w:eastAsia="en-US"/>
              </w:rPr>
              <w:t>708</w:t>
            </w:r>
          </w:p>
        </w:tc>
        <w:tc>
          <w:tcPr>
            <w:tcW w:w="684" w:type="dxa"/>
            <w:tcBorders>
              <w:top w:val="nil"/>
              <w:left w:val="nil"/>
              <w:bottom w:val="single" w:sz="4" w:space="0" w:color="auto"/>
              <w:right w:val="single" w:sz="4" w:space="0" w:color="auto"/>
            </w:tcBorders>
            <w:shd w:val="clear" w:color="auto" w:fill="FFFFFF"/>
            <w:noWrap/>
            <w:vAlign w:val="center"/>
            <w:hideMark/>
          </w:tcPr>
          <w:p w:rsidR="005727C2" w:rsidRDefault="005727C2">
            <w:pPr>
              <w:jc w:val="center"/>
              <w:rPr>
                <w:rFonts w:eastAsia="Times New Roman"/>
                <w:sz w:val="16"/>
                <w:szCs w:val="16"/>
                <w:lang w:eastAsia="en-US"/>
              </w:rPr>
            </w:pPr>
            <w:r>
              <w:rPr>
                <w:rFonts w:eastAsia="Times New Roman"/>
                <w:sz w:val="16"/>
                <w:szCs w:val="16"/>
                <w:lang w:eastAsia="en-US"/>
              </w:rPr>
              <w:t xml:space="preserve"> - </w:t>
            </w:r>
          </w:p>
        </w:tc>
        <w:tc>
          <w:tcPr>
            <w:tcW w:w="957" w:type="dxa"/>
            <w:tcBorders>
              <w:top w:val="nil"/>
              <w:left w:val="nil"/>
              <w:bottom w:val="single" w:sz="4" w:space="0" w:color="auto"/>
              <w:right w:val="single" w:sz="4" w:space="0" w:color="auto"/>
            </w:tcBorders>
            <w:shd w:val="clear" w:color="auto" w:fill="FFFFFF"/>
            <w:vAlign w:val="center"/>
            <w:hideMark/>
          </w:tcPr>
          <w:p w:rsidR="005727C2" w:rsidRDefault="005727C2">
            <w:pPr>
              <w:rPr>
                <w:rFonts w:eastAsia="Times New Roman"/>
                <w:sz w:val="16"/>
                <w:szCs w:val="16"/>
                <w:lang w:eastAsia="en-US"/>
              </w:rPr>
            </w:pPr>
            <w:r>
              <w:rPr>
                <w:rFonts w:eastAsia="Times New Roman"/>
                <w:sz w:val="16"/>
                <w:szCs w:val="16"/>
                <w:lang w:eastAsia="en-US"/>
              </w:rPr>
              <w:t> </w:t>
            </w:r>
          </w:p>
        </w:tc>
      </w:tr>
      <w:tr w:rsidR="005727C2" w:rsidTr="005727C2">
        <w:trPr>
          <w:trHeight w:val="20"/>
        </w:trPr>
        <w:tc>
          <w:tcPr>
            <w:tcW w:w="865" w:type="dxa"/>
            <w:tcBorders>
              <w:top w:val="nil"/>
              <w:left w:val="single" w:sz="4" w:space="0" w:color="auto"/>
              <w:bottom w:val="single" w:sz="4" w:space="0" w:color="auto"/>
              <w:right w:val="single" w:sz="4" w:space="0" w:color="auto"/>
            </w:tcBorders>
            <w:shd w:val="clear" w:color="auto" w:fill="FFFFFF"/>
            <w:vAlign w:val="center"/>
            <w:hideMark/>
          </w:tcPr>
          <w:p w:rsidR="005727C2" w:rsidRDefault="005727C2">
            <w:pPr>
              <w:jc w:val="center"/>
              <w:rPr>
                <w:rFonts w:eastAsia="Times New Roman"/>
                <w:sz w:val="16"/>
                <w:szCs w:val="16"/>
                <w:lang w:eastAsia="en-US"/>
              </w:rPr>
            </w:pPr>
            <w:r>
              <w:rPr>
                <w:rFonts w:eastAsia="Times New Roman"/>
                <w:sz w:val="16"/>
                <w:szCs w:val="16"/>
                <w:lang w:eastAsia="en-US"/>
              </w:rPr>
              <w:t>В.3.8.3</w:t>
            </w:r>
          </w:p>
        </w:tc>
        <w:tc>
          <w:tcPr>
            <w:tcW w:w="1435" w:type="dxa"/>
            <w:tcBorders>
              <w:top w:val="nil"/>
              <w:left w:val="nil"/>
              <w:bottom w:val="single" w:sz="4" w:space="0" w:color="auto"/>
              <w:right w:val="single" w:sz="4" w:space="0" w:color="auto"/>
            </w:tcBorders>
            <w:shd w:val="clear" w:color="auto" w:fill="FFFFFF"/>
            <w:vAlign w:val="center"/>
            <w:hideMark/>
          </w:tcPr>
          <w:p w:rsidR="005727C2" w:rsidRDefault="005727C2">
            <w:pPr>
              <w:rPr>
                <w:rFonts w:eastAsia="Times New Roman"/>
                <w:sz w:val="16"/>
                <w:szCs w:val="16"/>
                <w:lang w:eastAsia="en-US"/>
              </w:rPr>
            </w:pPr>
            <w:r>
              <w:rPr>
                <w:rFonts w:eastAsia="Times New Roman"/>
                <w:sz w:val="16"/>
                <w:szCs w:val="16"/>
                <w:lang w:eastAsia="en-US"/>
              </w:rPr>
              <w:t>доля субъектов, в отношении которых проведены профилактические мероприятия</w:t>
            </w:r>
          </w:p>
        </w:tc>
        <w:tc>
          <w:tcPr>
            <w:tcW w:w="1575" w:type="dxa"/>
            <w:tcBorders>
              <w:top w:val="nil"/>
              <w:left w:val="nil"/>
              <w:bottom w:val="single" w:sz="4" w:space="0" w:color="auto"/>
              <w:right w:val="single" w:sz="4" w:space="0" w:color="auto"/>
            </w:tcBorders>
            <w:shd w:val="clear" w:color="auto" w:fill="FFFFFF"/>
            <w:vAlign w:val="center"/>
            <w:hideMark/>
          </w:tcPr>
          <w:p w:rsidR="005727C2" w:rsidRDefault="005727C2">
            <w:pPr>
              <w:rPr>
                <w:rFonts w:eastAsia="Times New Roman"/>
                <w:sz w:val="16"/>
                <w:szCs w:val="16"/>
                <w:lang w:eastAsia="en-US"/>
              </w:rPr>
            </w:pPr>
            <w:r>
              <w:rPr>
                <w:rFonts w:eastAsia="Times New Roman"/>
                <w:sz w:val="16"/>
                <w:szCs w:val="16"/>
                <w:lang w:eastAsia="en-US"/>
              </w:rPr>
              <w:t>показатель устанавливается в процентах от общего количества подконтрольных (поднадзорных) субъектов</w:t>
            </w:r>
          </w:p>
        </w:tc>
        <w:tc>
          <w:tcPr>
            <w:tcW w:w="939" w:type="dxa"/>
            <w:tcBorders>
              <w:top w:val="nil"/>
              <w:left w:val="nil"/>
              <w:bottom w:val="single" w:sz="4" w:space="0" w:color="auto"/>
              <w:right w:val="single" w:sz="4" w:space="0" w:color="auto"/>
            </w:tcBorders>
            <w:shd w:val="clear" w:color="auto" w:fill="FFFFFF"/>
            <w:noWrap/>
            <w:vAlign w:val="center"/>
            <w:hideMark/>
          </w:tcPr>
          <w:p w:rsidR="005727C2" w:rsidRDefault="005727C2">
            <w:pPr>
              <w:jc w:val="center"/>
              <w:rPr>
                <w:rFonts w:eastAsia="Times New Roman"/>
                <w:sz w:val="16"/>
                <w:szCs w:val="16"/>
                <w:lang w:eastAsia="en-US"/>
              </w:rPr>
            </w:pPr>
            <w:r>
              <w:rPr>
                <w:rFonts w:eastAsia="Times New Roman"/>
                <w:sz w:val="16"/>
                <w:szCs w:val="16"/>
                <w:lang w:eastAsia="en-US"/>
              </w:rPr>
              <w:t xml:space="preserve"> - </w:t>
            </w:r>
          </w:p>
        </w:tc>
        <w:tc>
          <w:tcPr>
            <w:tcW w:w="972" w:type="dxa"/>
            <w:tcBorders>
              <w:top w:val="nil"/>
              <w:left w:val="nil"/>
              <w:bottom w:val="single" w:sz="4" w:space="0" w:color="auto"/>
              <w:right w:val="single" w:sz="4" w:space="0" w:color="auto"/>
            </w:tcBorders>
            <w:shd w:val="clear" w:color="auto" w:fill="FFFFFF"/>
            <w:noWrap/>
            <w:vAlign w:val="bottom"/>
            <w:hideMark/>
          </w:tcPr>
          <w:p w:rsidR="005727C2" w:rsidRDefault="005727C2">
            <w:pPr>
              <w:rPr>
                <w:rFonts w:eastAsia="Times New Roman"/>
                <w:sz w:val="16"/>
                <w:szCs w:val="16"/>
                <w:lang w:eastAsia="en-US"/>
              </w:rPr>
            </w:pPr>
            <w:r>
              <w:rPr>
                <w:rFonts w:eastAsia="Times New Roman"/>
                <w:sz w:val="16"/>
                <w:szCs w:val="16"/>
                <w:lang w:eastAsia="en-US"/>
              </w:rPr>
              <w:t> </w:t>
            </w:r>
          </w:p>
        </w:tc>
        <w:tc>
          <w:tcPr>
            <w:tcW w:w="1186" w:type="dxa"/>
            <w:tcBorders>
              <w:top w:val="nil"/>
              <w:left w:val="nil"/>
              <w:bottom w:val="single" w:sz="4" w:space="0" w:color="auto"/>
              <w:right w:val="single" w:sz="4" w:space="0" w:color="auto"/>
            </w:tcBorders>
            <w:shd w:val="clear" w:color="auto" w:fill="FFFFFF"/>
            <w:noWrap/>
            <w:vAlign w:val="center"/>
            <w:hideMark/>
          </w:tcPr>
          <w:p w:rsidR="005727C2" w:rsidRDefault="005727C2">
            <w:pPr>
              <w:jc w:val="center"/>
              <w:rPr>
                <w:rFonts w:eastAsia="Times New Roman"/>
                <w:sz w:val="16"/>
                <w:szCs w:val="16"/>
                <w:lang w:eastAsia="en-US"/>
              </w:rPr>
            </w:pPr>
            <w:r>
              <w:rPr>
                <w:rFonts w:eastAsia="Times New Roman"/>
                <w:sz w:val="16"/>
                <w:szCs w:val="16"/>
                <w:lang w:eastAsia="en-US"/>
              </w:rPr>
              <w:t xml:space="preserve"> - </w:t>
            </w:r>
          </w:p>
        </w:tc>
        <w:tc>
          <w:tcPr>
            <w:tcW w:w="865" w:type="dxa"/>
            <w:tcBorders>
              <w:top w:val="nil"/>
              <w:left w:val="nil"/>
              <w:bottom w:val="single" w:sz="4" w:space="0" w:color="auto"/>
              <w:right w:val="single" w:sz="4" w:space="0" w:color="auto"/>
            </w:tcBorders>
            <w:shd w:val="clear" w:color="auto" w:fill="FFFFFF"/>
            <w:noWrap/>
            <w:vAlign w:val="center"/>
            <w:hideMark/>
          </w:tcPr>
          <w:p w:rsidR="005727C2" w:rsidRDefault="005727C2">
            <w:pPr>
              <w:jc w:val="center"/>
              <w:rPr>
                <w:rFonts w:eastAsia="Times New Roman"/>
                <w:sz w:val="16"/>
                <w:szCs w:val="16"/>
                <w:lang w:eastAsia="en-US"/>
              </w:rPr>
            </w:pPr>
            <w:r>
              <w:rPr>
                <w:rFonts w:eastAsia="Times New Roman"/>
                <w:sz w:val="16"/>
                <w:szCs w:val="16"/>
                <w:lang w:eastAsia="en-US"/>
              </w:rPr>
              <w:t>100%</w:t>
            </w:r>
          </w:p>
        </w:tc>
        <w:tc>
          <w:tcPr>
            <w:tcW w:w="684" w:type="dxa"/>
            <w:tcBorders>
              <w:top w:val="nil"/>
              <w:left w:val="nil"/>
              <w:bottom w:val="single" w:sz="4" w:space="0" w:color="auto"/>
              <w:right w:val="single" w:sz="4" w:space="0" w:color="auto"/>
            </w:tcBorders>
            <w:shd w:val="clear" w:color="auto" w:fill="FFFFFF"/>
            <w:noWrap/>
            <w:vAlign w:val="center"/>
            <w:hideMark/>
          </w:tcPr>
          <w:p w:rsidR="005727C2" w:rsidRDefault="005727C2">
            <w:pPr>
              <w:jc w:val="center"/>
              <w:rPr>
                <w:rFonts w:eastAsia="Times New Roman"/>
                <w:sz w:val="16"/>
                <w:szCs w:val="16"/>
                <w:lang w:eastAsia="en-US"/>
              </w:rPr>
            </w:pPr>
            <w:r>
              <w:rPr>
                <w:rFonts w:eastAsia="Times New Roman"/>
                <w:sz w:val="16"/>
                <w:szCs w:val="16"/>
                <w:lang w:eastAsia="en-US"/>
              </w:rPr>
              <w:t xml:space="preserve"> - </w:t>
            </w:r>
          </w:p>
        </w:tc>
        <w:tc>
          <w:tcPr>
            <w:tcW w:w="957" w:type="dxa"/>
            <w:tcBorders>
              <w:top w:val="nil"/>
              <w:left w:val="nil"/>
              <w:bottom w:val="single" w:sz="4" w:space="0" w:color="auto"/>
              <w:right w:val="single" w:sz="4" w:space="0" w:color="auto"/>
            </w:tcBorders>
            <w:shd w:val="clear" w:color="auto" w:fill="FFFFFF"/>
            <w:noWrap/>
            <w:vAlign w:val="bottom"/>
            <w:hideMark/>
          </w:tcPr>
          <w:p w:rsidR="005727C2" w:rsidRDefault="005727C2">
            <w:pPr>
              <w:rPr>
                <w:rFonts w:eastAsia="Times New Roman"/>
                <w:color w:val="000000"/>
                <w:sz w:val="16"/>
                <w:szCs w:val="16"/>
                <w:lang w:eastAsia="en-US"/>
              </w:rPr>
            </w:pPr>
            <w:r>
              <w:rPr>
                <w:rFonts w:eastAsia="Times New Roman"/>
                <w:color w:val="000000"/>
                <w:sz w:val="16"/>
                <w:szCs w:val="16"/>
                <w:lang w:eastAsia="en-US"/>
              </w:rPr>
              <w:t> </w:t>
            </w:r>
          </w:p>
        </w:tc>
      </w:tr>
      <w:tr w:rsidR="005727C2" w:rsidTr="005727C2">
        <w:trPr>
          <w:trHeight w:val="20"/>
        </w:trPr>
        <w:tc>
          <w:tcPr>
            <w:tcW w:w="865" w:type="dxa"/>
            <w:tcBorders>
              <w:top w:val="nil"/>
              <w:left w:val="single" w:sz="4" w:space="0" w:color="auto"/>
              <w:bottom w:val="single" w:sz="4" w:space="0" w:color="auto"/>
              <w:right w:val="single" w:sz="4" w:space="0" w:color="auto"/>
            </w:tcBorders>
            <w:shd w:val="clear" w:color="auto" w:fill="FFFFFF"/>
            <w:vAlign w:val="center"/>
            <w:hideMark/>
          </w:tcPr>
          <w:p w:rsidR="005727C2" w:rsidRDefault="005727C2">
            <w:pPr>
              <w:jc w:val="center"/>
              <w:rPr>
                <w:rFonts w:eastAsia="Times New Roman"/>
                <w:sz w:val="16"/>
                <w:szCs w:val="16"/>
                <w:lang w:eastAsia="en-US"/>
              </w:rPr>
            </w:pPr>
            <w:r>
              <w:rPr>
                <w:rFonts w:eastAsia="Times New Roman"/>
                <w:sz w:val="16"/>
                <w:szCs w:val="16"/>
                <w:lang w:eastAsia="en-US"/>
              </w:rPr>
              <w:t>В.3.8.4</w:t>
            </w:r>
          </w:p>
        </w:tc>
        <w:tc>
          <w:tcPr>
            <w:tcW w:w="1435" w:type="dxa"/>
            <w:tcBorders>
              <w:top w:val="nil"/>
              <w:left w:val="nil"/>
              <w:bottom w:val="single" w:sz="4" w:space="0" w:color="auto"/>
              <w:right w:val="single" w:sz="4" w:space="0" w:color="auto"/>
            </w:tcBorders>
            <w:shd w:val="clear" w:color="auto" w:fill="FFFFFF"/>
            <w:vAlign w:val="center"/>
            <w:hideMark/>
          </w:tcPr>
          <w:p w:rsidR="005727C2" w:rsidRDefault="005727C2">
            <w:pPr>
              <w:rPr>
                <w:rFonts w:eastAsia="Times New Roman"/>
                <w:sz w:val="16"/>
                <w:szCs w:val="16"/>
                <w:lang w:eastAsia="en-US"/>
              </w:rPr>
            </w:pPr>
            <w:r>
              <w:rPr>
                <w:rFonts w:eastAsia="Times New Roman"/>
                <w:sz w:val="16"/>
                <w:szCs w:val="16"/>
                <w:lang w:eastAsia="en-US"/>
              </w:rPr>
              <w:t>средняя продолжительность одного профилактического мероприятия</w:t>
            </w:r>
          </w:p>
        </w:tc>
        <w:tc>
          <w:tcPr>
            <w:tcW w:w="1575" w:type="dxa"/>
            <w:tcBorders>
              <w:top w:val="nil"/>
              <w:left w:val="nil"/>
              <w:bottom w:val="single" w:sz="4" w:space="0" w:color="auto"/>
              <w:right w:val="single" w:sz="4" w:space="0" w:color="auto"/>
            </w:tcBorders>
            <w:shd w:val="clear" w:color="auto" w:fill="FFFFFF"/>
            <w:vAlign w:val="center"/>
            <w:hideMark/>
          </w:tcPr>
          <w:p w:rsidR="005727C2" w:rsidRDefault="005727C2">
            <w:pPr>
              <w:rPr>
                <w:rFonts w:eastAsia="Times New Roman"/>
                <w:sz w:val="16"/>
                <w:szCs w:val="16"/>
                <w:lang w:eastAsia="en-US"/>
              </w:rPr>
            </w:pPr>
            <w:r>
              <w:rPr>
                <w:rFonts w:eastAsia="Times New Roman"/>
                <w:sz w:val="16"/>
                <w:szCs w:val="16"/>
                <w:lang w:eastAsia="en-US"/>
              </w:rPr>
              <w:t>показатель устанавливается в рабочих днях</w:t>
            </w:r>
          </w:p>
        </w:tc>
        <w:tc>
          <w:tcPr>
            <w:tcW w:w="939" w:type="dxa"/>
            <w:tcBorders>
              <w:top w:val="nil"/>
              <w:left w:val="nil"/>
              <w:bottom w:val="single" w:sz="4" w:space="0" w:color="auto"/>
              <w:right w:val="single" w:sz="4" w:space="0" w:color="auto"/>
            </w:tcBorders>
            <w:shd w:val="clear" w:color="auto" w:fill="FFFFFF"/>
            <w:noWrap/>
            <w:vAlign w:val="center"/>
            <w:hideMark/>
          </w:tcPr>
          <w:p w:rsidR="005727C2" w:rsidRDefault="005727C2">
            <w:pPr>
              <w:jc w:val="center"/>
              <w:rPr>
                <w:rFonts w:eastAsia="Times New Roman"/>
                <w:sz w:val="16"/>
                <w:szCs w:val="16"/>
                <w:lang w:eastAsia="en-US"/>
              </w:rPr>
            </w:pPr>
            <w:r>
              <w:rPr>
                <w:rFonts w:eastAsia="Times New Roman"/>
                <w:sz w:val="16"/>
                <w:szCs w:val="16"/>
                <w:lang w:eastAsia="en-US"/>
              </w:rPr>
              <w:t xml:space="preserve"> - </w:t>
            </w:r>
          </w:p>
        </w:tc>
        <w:tc>
          <w:tcPr>
            <w:tcW w:w="972" w:type="dxa"/>
            <w:tcBorders>
              <w:top w:val="nil"/>
              <w:left w:val="nil"/>
              <w:bottom w:val="single" w:sz="4" w:space="0" w:color="auto"/>
              <w:right w:val="single" w:sz="4" w:space="0" w:color="auto"/>
            </w:tcBorders>
            <w:shd w:val="clear" w:color="auto" w:fill="FFFFFF"/>
            <w:noWrap/>
            <w:vAlign w:val="bottom"/>
            <w:hideMark/>
          </w:tcPr>
          <w:p w:rsidR="005727C2" w:rsidRDefault="005727C2">
            <w:pPr>
              <w:rPr>
                <w:rFonts w:eastAsia="Times New Roman"/>
                <w:sz w:val="16"/>
                <w:szCs w:val="16"/>
                <w:lang w:eastAsia="en-US"/>
              </w:rPr>
            </w:pPr>
            <w:r>
              <w:rPr>
                <w:rFonts w:eastAsia="Times New Roman"/>
                <w:sz w:val="16"/>
                <w:szCs w:val="16"/>
                <w:lang w:eastAsia="en-US"/>
              </w:rPr>
              <w:t> </w:t>
            </w:r>
          </w:p>
        </w:tc>
        <w:tc>
          <w:tcPr>
            <w:tcW w:w="1186" w:type="dxa"/>
            <w:tcBorders>
              <w:top w:val="nil"/>
              <w:left w:val="nil"/>
              <w:bottom w:val="single" w:sz="4" w:space="0" w:color="auto"/>
              <w:right w:val="single" w:sz="4" w:space="0" w:color="auto"/>
            </w:tcBorders>
            <w:shd w:val="clear" w:color="auto" w:fill="FFFFFF"/>
            <w:noWrap/>
            <w:vAlign w:val="center"/>
            <w:hideMark/>
          </w:tcPr>
          <w:p w:rsidR="005727C2" w:rsidRDefault="005727C2">
            <w:pPr>
              <w:jc w:val="center"/>
              <w:rPr>
                <w:rFonts w:eastAsia="Times New Roman"/>
                <w:sz w:val="16"/>
                <w:szCs w:val="16"/>
                <w:lang w:eastAsia="en-US"/>
              </w:rPr>
            </w:pPr>
            <w:r>
              <w:rPr>
                <w:rFonts w:eastAsia="Times New Roman"/>
                <w:sz w:val="16"/>
                <w:szCs w:val="16"/>
                <w:lang w:eastAsia="en-US"/>
              </w:rPr>
              <w:t xml:space="preserve"> - </w:t>
            </w:r>
          </w:p>
        </w:tc>
        <w:tc>
          <w:tcPr>
            <w:tcW w:w="865" w:type="dxa"/>
            <w:tcBorders>
              <w:top w:val="nil"/>
              <w:left w:val="nil"/>
              <w:bottom w:val="single" w:sz="4" w:space="0" w:color="auto"/>
              <w:right w:val="single" w:sz="4" w:space="0" w:color="auto"/>
            </w:tcBorders>
            <w:shd w:val="clear" w:color="auto" w:fill="FFFFFF"/>
            <w:noWrap/>
            <w:vAlign w:val="center"/>
            <w:hideMark/>
          </w:tcPr>
          <w:p w:rsidR="005727C2" w:rsidRDefault="005727C2">
            <w:pPr>
              <w:jc w:val="center"/>
              <w:rPr>
                <w:rFonts w:eastAsia="Times New Roman"/>
                <w:sz w:val="16"/>
                <w:szCs w:val="16"/>
                <w:lang w:eastAsia="en-US"/>
              </w:rPr>
            </w:pPr>
            <w:r>
              <w:rPr>
                <w:rFonts w:eastAsia="Times New Roman"/>
                <w:sz w:val="16"/>
                <w:szCs w:val="16"/>
                <w:lang w:eastAsia="en-US"/>
              </w:rPr>
              <w:t>1,3</w:t>
            </w:r>
          </w:p>
        </w:tc>
        <w:tc>
          <w:tcPr>
            <w:tcW w:w="684" w:type="dxa"/>
            <w:tcBorders>
              <w:top w:val="nil"/>
              <w:left w:val="nil"/>
              <w:bottom w:val="single" w:sz="4" w:space="0" w:color="auto"/>
              <w:right w:val="single" w:sz="4" w:space="0" w:color="auto"/>
            </w:tcBorders>
            <w:shd w:val="clear" w:color="auto" w:fill="FFFFFF"/>
            <w:noWrap/>
            <w:vAlign w:val="center"/>
            <w:hideMark/>
          </w:tcPr>
          <w:p w:rsidR="005727C2" w:rsidRDefault="005727C2">
            <w:pPr>
              <w:jc w:val="center"/>
              <w:rPr>
                <w:rFonts w:eastAsia="Times New Roman"/>
                <w:sz w:val="16"/>
                <w:szCs w:val="16"/>
                <w:lang w:eastAsia="en-US"/>
              </w:rPr>
            </w:pPr>
            <w:r>
              <w:rPr>
                <w:rFonts w:eastAsia="Times New Roman"/>
                <w:sz w:val="16"/>
                <w:szCs w:val="16"/>
                <w:lang w:eastAsia="en-US"/>
              </w:rPr>
              <w:t xml:space="preserve"> - </w:t>
            </w:r>
          </w:p>
        </w:tc>
        <w:tc>
          <w:tcPr>
            <w:tcW w:w="957" w:type="dxa"/>
            <w:tcBorders>
              <w:top w:val="nil"/>
              <w:left w:val="nil"/>
              <w:bottom w:val="single" w:sz="4" w:space="0" w:color="auto"/>
              <w:right w:val="single" w:sz="4" w:space="0" w:color="auto"/>
            </w:tcBorders>
            <w:shd w:val="clear" w:color="auto" w:fill="FFFFFF"/>
            <w:noWrap/>
            <w:vAlign w:val="bottom"/>
            <w:hideMark/>
          </w:tcPr>
          <w:p w:rsidR="005727C2" w:rsidRDefault="005727C2">
            <w:pPr>
              <w:rPr>
                <w:rFonts w:eastAsia="Times New Roman"/>
                <w:color w:val="000000"/>
                <w:sz w:val="16"/>
                <w:szCs w:val="16"/>
                <w:lang w:eastAsia="en-US"/>
              </w:rPr>
            </w:pPr>
            <w:r>
              <w:rPr>
                <w:rFonts w:eastAsia="Times New Roman"/>
                <w:color w:val="000000"/>
                <w:sz w:val="16"/>
                <w:szCs w:val="16"/>
                <w:lang w:eastAsia="en-US"/>
              </w:rPr>
              <w:t> </w:t>
            </w:r>
          </w:p>
        </w:tc>
      </w:tr>
      <w:tr w:rsidR="005727C2" w:rsidTr="005727C2">
        <w:trPr>
          <w:trHeight w:val="20"/>
        </w:trPr>
        <w:tc>
          <w:tcPr>
            <w:tcW w:w="865" w:type="dxa"/>
            <w:tcBorders>
              <w:top w:val="nil"/>
              <w:left w:val="single" w:sz="4" w:space="0" w:color="auto"/>
              <w:bottom w:val="single" w:sz="4" w:space="0" w:color="auto"/>
              <w:right w:val="single" w:sz="4" w:space="0" w:color="auto"/>
            </w:tcBorders>
            <w:shd w:val="clear" w:color="auto" w:fill="FFFFFF"/>
            <w:vAlign w:val="center"/>
            <w:hideMark/>
          </w:tcPr>
          <w:p w:rsidR="005727C2" w:rsidRDefault="005727C2">
            <w:pPr>
              <w:jc w:val="center"/>
              <w:rPr>
                <w:rFonts w:eastAsia="Times New Roman"/>
                <w:sz w:val="16"/>
                <w:szCs w:val="16"/>
                <w:lang w:eastAsia="en-US"/>
              </w:rPr>
            </w:pPr>
            <w:r>
              <w:rPr>
                <w:rFonts w:eastAsia="Times New Roman"/>
                <w:sz w:val="16"/>
                <w:szCs w:val="16"/>
                <w:lang w:eastAsia="en-US"/>
              </w:rPr>
              <w:t>В.3.8.5</w:t>
            </w:r>
          </w:p>
        </w:tc>
        <w:tc>
          <w:tcPr>
            <w:tcW w:w="1435" w:type="dxa"/>
            <w:tcBorders>
              <w:top w:val="nil"/>
              <w:left w:val="nil"/>
              <w:bottom w:val="single" w:sz="4" w:space="0" w:color="auto"/>
              <w:right w:val="single" w:sz="4" w:space="0" w:color="auto"/>
            </w:tcBorders>
            <w:shd w:val="clear" w:color="auto" w:fill="FFFFFF"/>
            <w:vAlign w:val="center"/>
            <w:hideMark/>
          </w:tcPr>
          <w:p w:rsidR="005727C2" w:rsidRDefault="005727C2">
            <w:pPr>
              <w:rPr>
                <w:rFonts w:eastAsia="Times New Roman"/>
                <w:sz w:val="16"/>
                <w:szCs w:val="16"/>
                <w:lang w:eastAsia="en-US"/>
              </w:rPr>
            </w:pPr>
            <w:r>
              <w:rPr>
                <w:rFonts w:eastAsia="Times New Roman"/>
                <w:sz w:val="16"/>
                <w:szCs w:val="16"/>
                <w:lang w:eastAsia="en-US"/>
              </w:rPr>
              <w:t>среднее число должностных лиц, задействованных в проведении одного профилактического мероприятия</w:t>
            </w:r>
          </w:p>
        </w:tc>
        <w:tc>
          <w:tcPr>
            <w:tcW w:w="1575" w:type="dxa"/>
            <w:tcBorders>
              <w:top w:val="nil"/>
              <w:left w:val="nil"/>
              <w:bottom w:val="single" w:sz="4" w:space="0" w:color="auto"/>
              <w:right w:val="single" w:sz="4" w:space="0" w:color="auto"/>
            </w:tcBorders>
            <w:shd w:val="clear" w:color="auto" w:fill="FFFFFF"/>
            <w:vAlign w:val="center"/>
            <w:hideMark/>
          </w:tcPr>
          <w:p w:rsidR="005727C2" w:rsidRDefault="005727C2">
            <w:pPr>
              <w:rPr>
                <w:rFonts w:eastAsia="Times New Roman"/>
                <w:sz w:val="16"/>
                <w:szCs w:val="16"/>
                <w:lang w:eastAsia="en-US"/>
              </w:rPr>
            </w:pPr>
            <w:r>
              <w:rPr>
                <w:rFonts w:eastAsia="Times New Roman"/>
                <w:sz w:val="16"/>
                <w:szCs w:val="16"/>
                <w:lang w:eastAsia="en-US"/>
              </w:rPr>
              <w:t> </w:t>
            </w:r>
          </w:p>
        </w:tc>
        <w:tc>
          <w:tcPr>
            <w:tcW w:w="939" w:type="dxa"/>
            <w:tcBorders>
              <w:top w:val="nil"/>
              <w:left w:val="nil"/>
              <w:bottom w:val="single" w:sz="4" w:space="0" w:color="auto"/>
              <w:right w:val="single" w:sz="4" w:space="0" w:color="auto"/>
            </w:tcBorders>
            <w:shd w:val="clear" w:color="auto" w:fill="FFFFFF"/>
            <w:noWrap/>
            <w:vAlign w:val="center"/>
            <w:hideMark/>
          </w:tcPr>
          <w:p w:rsidR="005727C2" w:rsidRDefault="005727C2">
            <w:pPr>
              <w:jc w:val="center"/>
              <w:rPr>
                <w:rFonts w:eastAsia="Times New Roman"/>
                <w:sz w:val="16"/>
                <w:szCs w:val="16"/>
                <w:lang w:eastAsia="en-US"/>
              </w:rPr>
            </w:pPr>
            <w:r>
              <w:rPr>
                <w:rFonts w:eastAsia="Times New Roman"/>
                <w:sz w:val="16"/>
                <w:szCs w:val="16"/>
                <w:lang w:eastAsia="en-US"/>
              </w:rPr>
              <w:t xml:space="preserve"> - </w:t>
            </w:r>
          </w:p>
        </w:tc>
        <w:tc>
          <w:tcPr>
            <w:tcW w:w="972" w:type="dxa"/>
            <w:tcBorders>
              <w:top w:val="nil"/>
              <w:left w:val="nil"/>
              <w:bottom w:val="single" w:sz="4" w:space="0" w:color="auto"/>
              <w:right w:val="single" w:sz="4" w:space="0" w:color="auto"/>
            </w:tcBorders>
            <w:shd w:val="clear" w:color="auto" w:fill="FFFFFF"/>
            <w:noWrap/>
            <w:vAlign w:val="bottom"/>
            <w:hideMark/>
          </w:tcPr>
          <w:p w:rsidR="005727C2" w:rsidRDefault="005727C2">
            <w:pPr>
              <w:rPr>
                <w:rFonts w:eastAsia="Times New Roman"/>
                <w:sz w:val="16"/>
                <w:szCs w:val="16"/>
                <w:lang w:eastAsia="en-US"/>
              </w:rPr>
            </w:pPr>
            <w:r>
              <w:rPr>
                <w:rFonts w:eastAsia="Times New Roman"/>
                <w:sz w:val="16"/>
                <w:szCs w:val="16"/>
                <w:lang w:eastAsia="en-US"/>
              </w:rPr>
              <w:t> </w:t>
            </w:r>
          </w:p>
        </w:tc>
        <w:tc>
          <w:tcPr>
            <w:tcW w:w="1186" w:type="dxa"/>
            <w:tcBorders>
              <w:top w:val="nil"/>
              <w:left w:val="nil"/>
              <w:bottom w:val="single" w:sz="4" w:space="0" w:color="auto"/>
              <w:right w:val="single" w:sz="4" w:space="0" w:color="auto"/>
            </w:tcBorders>
            <w:shd w:val="clear" w:color="auto" w:fill="FFFFFF"/>
            <w:noWrap/>
            <w:vAlign w:val="center"/>
            <w:hideMark/>
          </w:tcPr>
          <w:p w:rsidR="005727C2" w:rsidRDefault="005727C2">
            <w:pPr>
              <w:jc w:val="center"/>
              <w:rPr>
                <w:rFonts w:eastAsia="Times New Roman"/>
                <w:sz w:val="16"/>
                <w:szCs w:val="16"/>
                <w:lang w:eastAsia="en-US"/>
              </w:rPr>
            </w:pPr>
            <w:r>
              <w:rPr>
                <w:rFonts w:eastAsia="Times New Roman"/>
                <w:sz w:val="16"/>
                <w:szCs w:val="16"/>
                <w:lang w:eastAsia="en-US"/>
              </w:rPr>
              <w:t xml:space="preserve"> - </w:t>
            </w:r>
          </w:p>
        </w:tc>
        <w:tc>
          <w:tcPr>
            <w:tcW w:w="865" w:type="dxa"/>
            <w:tcBorders>
              <w:top w:val="nil"/>
              <w:left w:val="nil"/>
              <w:bottom w:val="single" w:sz="4" w:space="0" w:color="auto"/>
              <w:right w:val="single" w:sz="4" w:space="0" w:color="auto"/>
            </w:tcBorders>
            <w:shd w:val="clear" w:color="auto" w:fill="FFFFFF"/>
            <w:noWrap/>
            <w:vAlign w:val="center"/>
            <w:hideMark/>
          </w:tcPr>
          <w:p w:rsidR="005727C2" w:rsidRDefault="005727C2">
            <w:pPr>
              <w:jc w:val="center"/>
              <w:rPr>
                <w:rFonts w:eastAsia="Times New Roman"/>
                <w:sz w:val="16"/>
                <w:szCs w:val="16"/>
                <w:lang w:eastAsia="en-US"/>
              </w:rPr>
            </w:pPr>
            <w:r>
              <w:rPr>
                <w:rFonts w:eastAsia="Times New Roman"/>
                <w:sz w:val="16"/>
                <w:szCs w:val="16"/>
                <w:lang w:eastAsia="en-US"/>
              </w:rPr>
              <w:t>1</w:t>
            </w:r>
          </w:p>
        </w:tc>
        <w:tc>
          <w:tcPr>
            <w:tcW w:w="684" w:type="dxa"/>
            <w:tcBorders>
              <w:top w:val="nil"/>
              <w:left w:val="nil"/>
              <w:bottom w:val="single" w:sz="4" w:space="0" w:color="auto"/>
              <w:right w:val="single" w:sz="4" w:space="0" w:color="auto"/>
            </w:tcBorders>
            <w:shd w:val="clear" w:color="auto" w:fill="FFFFFF"/>
            <w:noWrap/>
            <w:vAlign w:val="center"/>
            <w:hideMark/>
          </w:tcPr>
          <w:p w:rsidR="005727C2" w:rsidRDefault="005727C2">
            <w:pPr>
              <w:jc w:val="center"/>
              <w:rPr>
                <w:rFonts w:eastAsia="Times New Roman"/>
                <w:sz w:val="16"/>
                <w:szCs w:val="16"/>
                <w:lang w:eastAsia="en-US"/>
              </w:rPr>
            </w:pPr>
            <w:r>
              <w:rPr>
                <w:rFonts w:eastAsia="Times New Roman"/>
                <w:sz w:val="16"/>
                <w:szCs w:val="16"/>
                <w:lang w:eastAsia="en-US"/>
              </w:rPr>
              <w:t xml:space="preserve"> - </w:t>
            </w:r>
          </w:p>
        </w:tc>
        <w:tc>
          <w:tcPr>
            <w:tcW w:w="957" w:type="dxa"/>
            <w:tcBorders>
              <w:top w:val="nil"/>
              <w:left w:val="nil"/>
              <w:bottom w:val="single" w:sz="4" w:space="0" w:color="auto"/>
              <w:right w:val="single" w:sz="4" w:space="0" w:color="auto"/>
            </w:tcBorders>
            <w:shd w:val="clear" w:color="auto" w:fill="FFFFFF"/>
            <w:vAlign w:val="center"/>
            <w:hideMark/>
          </w:tcPr>
          <w:p w:rsidR="005727C2" w:rsidRDefault="005727C2">
            <w:pPr>
              <w:rPr>
                <w:rFonts w:eastAsia="Times New Roman"/>
                <w:sz w:val="16"/>
                <w:szCs w:val="16"/>
                <w:lang w:eastAsia="en-US"/>
              </w:rPr>
            </w:pPr>
            <w:r>
              <w:rPr>
                <w:rFonts w:eastAsia="Times New Roman"/>
                <w:sz w:val="16"/>
                <w:szCs w:val="16"/>
                <w:lang w:eastAsia="en-US"/>
              </w:rPr>
              <w:t> </w:t>
            </w:r>
          </w:p>
        </w:tc>
      </w:tr>
      <w:tr w:rsidR="005727C2" w:rsidTr="005727C2">
        <w:trPr>
          <w:trHeight w:val="20"/>
        </w:trPr>
        <w:tc>
          <w:tcPr>
            <w:tcW w:w="865" w:type="dxa"/>
            <w:tcBorders>
              <w:top w:val="nil"/>
              <w:left w:val="single" w:sz="4" w:space="0" w:color="auto"/>
              <w:bottom w:val="single" w:sz="4" w:space="0" w:color="auto"/>
              <w:right w:val="single" w:sz="4" w:space="0" w:color="auto"/>
            </w:tcBorders>
            <w:vAlign w:val="center"/>
            <w:hideMark/>
          </w:tcPr>
          <w:p w:rsidR="005727C2" w:rsidRDefault="005727C2">
            <w:pPr>
              <w:jc w:val="center"/>
              <w:rPr>
                <w:rFonts w:eastAsia="Times New Roman"/>
                <w:sz w:val="16"/>
                <w:szCs w:val="16"/>
                <w:lang w:eastAsia="en-US"/>
              </w:rPr>
            </w:pPr>
            <w:r>
              <w:rPr>
                <w:rFonts w:eastAsia="Times New Roman"/>
                <w:sz w:val="16"/>
                <w:szCs w:val="16"/>
                <w:lang w:eastAsia="en-US"/>
              </w:rPr>
              <w:t>В.3.10</w:t>
            </w:r>
          </w:p>
        </w:tc>
        <w:tc>
          <w:tcPr>
            <w:tcW w:w="8613" w:type="dxa"/>
            <w:gridSpan w:val="8"/>
            <w:tcBorders>
              <w:top w:val="single" w:sz="4" w:space="0" w:color="auto"/>
              <w:left w:val="nil"/>
              <w:bottom w:val="single" w:sz="4" w:space="0" w:color="auto"/>
              <w:right w:val="single" w:sz="4" w:space="0" w:color="auto"/>
            </w:tcBorders>
            <w:vAlign w:val="center"/>
            <w:hideMark/>
          </w:tcPr>
          <w:p w:rsidR="005727C2" w:rsidRDefault="005727C2">
            <w:pPr>
              <w:rPr>
                <w:rFonts w:eastAsia="Times New Roman"/>
                <w:sz w:val="16"/>
                <w:szCs w:val="16"/>
                <w:lang w:eastAsia="en-US"/>
              </w:rPr>
            </w:pPr>
            <w:r>
              <w:rPr>
                <w:rFonts w:eastAsia="Times New Roman"/>
                <w:sz w:val="16"/>
                <w:szCs w:val="16"/>
                <w:lang w:eastAsia="en-US"/>
              </w:rPr>
              <w:t>мероприятия по контролю без взаимодействия с юридическими лицами, индивидуальными предпринимателями</w:t>
            </w:r>
          </w:p>
        </w:tc>
      </w:tr>
      <w:tr w:rsidR="005727C2" w:rsidTr="005727C2">
        <w:trPr>
          <w:trHeight w:val="20"/>
        </w:trPr>
        <w:tc>
          <w:tcPr>
            <w:tcW w:w="865" w:type="dxa"/>
            <w:tcBorders>
              <w:top w:val="nil"/>
              <w:left w:val="single" w:sz="4" w:space="0" w:color="auto"/>
              <w:bottom w:val="single" w:sz="4" w:space="0" w:color="auto"/>
              <w:right w:val="single" w:sz="4" w:space="0" w:color="auto"/>
            </w:tcBorders>
            <w:shd w:val="clear" w:color="auto" w:fill="FFFFFF"/>
            <w:vAlign w:val="center"/>
            <w:hideMark/>
          </w:tcPr>
          <w:p w:rsidR="005727C2" w:rsidRDefault="005727C2">
            <w:pPr>
              <w:jc w:val="center"/>
              <w:rPr>
                <w:rFonts w:eastAsia="Times New Roman"/>
                <w:sz w:val="16"/>
                <w:szCs w:val="16"/>
                <w:lang w:eastAsia="en-US"/>
              </w:rPr>
            </w:pPr>
            <w:r>
              <w:rPr>
                <w:rFonts w:eastAsia="Times New Roman"/>
                <w:sz w:val="16"/>
                <w:szCs w:val="16"/>
                <w:lang w:eastAsia="en-US"/>
              </w:rPr>
              <w:t>В.3.10.1</w:t>
            </w:r>
          </w:p>
        </w:tc>
        <w:tc>
          <w:tcPr>
            <w:tcW w:w="1435" w:type="dxa"/>
            <w:tcBorders>
              <w:top w:val="nil"/>
              <w:left w:val="nil"/>
              <w:bottom w:val="single" w:sz="4" w:space="0" w:color="auto"/>
              <w:right w:val="single" w:sz="4" w:space="0" w:color="auto"/>
            </w:tcBorders>
            <w:vAlign w:val="center"/>
            <w:hideMark/>
          </w:tcPr>
          <w:p w:rsidR="005727C2" w:rsidRDefault="005727C2">
            <w:pPr>
              <w:rPr>
                <w:rFonts w:eastAsia="Times New Roman"/>
                <w:sz w:val="16"/>
                <w:szCs w:val="16"/>
                <w:lang w:eastAsia="en-US"/>
              </w:rPr>
            </w:pPr>
            <w:r>
              <w:rPr>
                <w:rFonts w:eastAsia="Times New Roman"/>
                <w:sz w:val="16"/>
                <w:szCs w:val="16"/>
                <w:lang w:eastAsia="en-US"/>
              </w:rPr>
              <w:t xml:space="preserve">общее количество мероприятия по контролю без взаимодействия с юридическими лицами, </w:t>
            </w:r>
            <w:r>
              <w:rPr>
                <w:rFonts w:eastAsia="Times New Roman"/>
                <w:sz w:val="16"/>
                <w:szCs w:val="16"/>
                <w:lang w:eastAsia="en-US"/>
              </w:rPr>
              <w:lastRenderedPageBreak/>
              <w:t xml:space="preserve">индивидуальными предпринимателями </w:t>
            </w:r>
          </w:p>
        </w:tc>
        <w:tc>
          <w:tcPr>
            <w:tcW w:w="1575" w:type="dxa"/>
            <w:tcBorders>
              <w:top w:val="nil"/>
              <w:left w:val="nil"/>
              <w:bottom w:val="single" w:sz="4" w:space="0" w:color="auto"/>
              <w:right w:val="single" w:sz="4" w:space="0" w:color="auto"/>
            </w:tcBorders>
            <w:vAlign w:val="center"/>
            <w:hideMark/>
          </w:tcPr>
          <w:p w:rsidR="005727C2" w:rsidRDefault="005727C2">
            <w:pPr>
              <w:rPr>
                <w:rFonts w:eastAsia="Times New Roman"/>
                <w:sz w:val="16"/>
                <w:szCs w:val="16"/>
                <w:lang w:eastAsia="en-US"/>
              </w:rPr>
            </w:pPr>
            <w:r>
              <w:rPr>
                <w:rFonts w:eastAsia="Times New Roman"/>
                <w:sz w:val="16"/>
                <w:szCs w:val="16"/>
                <w:lang w:eastAsia="en-US"/>
              </w:rPr>
              <w:lastRenderedPageBreak/>
              <w:t> </w:t>
            </w:r>
          </w:p>
        </w:tc>
        <w:tc>
          <w:tcPr>
            <w:tcW w:w="939" w:type="dxa"/>
            <w:tcBorders>
              <w:top w:val="nil"/>
              <w:left w:val="nil"/>
              <w:bottom w:val="single" w:sz="4" w:space="0" w:color="auto"/>
              <w:right w:val="single" w:sz="4" w:space="0" w:color="auto"/>
            </w:tcBorders>
            <w:noWrap/>
            <w:vAlign w:val="bottom"/>
            <w:hideMark/>
          </w:tcPr>
          <w:p w:rsidR="005727C2" w:rsidRDefault="005727C2">
            <w:pPr>
              <w:rPr>
                <w:rFonts w:eastAsia="Times New Roman"/>
                <w:sz w:val="16"/>
                <w:szCs w:val="16"/>
                <w:lang w:eastAsia="en-US"/>
              </w:rPr>
            </w:pPr>
            <w:r>
              <w:rPr>
                <w:rFonts w:eastAsia="Times New Roman"/>
                <w:sz w:val="16"/>
                <w:szCs w:val="16"/>
                <w:lang w:eastAsia="en-US"/>
              </w:rPr>
              <w:t> </w:t>
            </w:r>
          </w:p>
        </w:tc>
        <w:tc>
          <w:tcPr>
            <w:tcW w:w="972" w:type="dxa"/>
            <w:tcBorders>
              <w:top w:val="nil"/>
              <w:left w:val="nil"/>
              <w:bottom w:val="single" w:sz="4" w:space="0" w:color="auto"/>
              <w:right w:val="single" w:sz="4" w:space="0" w:color="auto"/>
            </w:tcBorders>
            <w:noWrap/>
            <w:vAlign w:val="bottom"/>
            <w:hideMark/>
          </w:tcPr>
          <w:p w:rsidR="005727C2" w:rsidRDefault="005727C2">
            <w:pPr>
              <w:rPr>
                <w:rFonts w:eastAsia="Times New Roman"/>
                <w:sz w:val="16"/>
                <w:szCs w:val="16"/>
                <w:lang w:eastAsia="en-US"/>
              </w:rPr>
            </w:pPr>
            <w:r>
              <w:rPr>
                <w:rFonts w:eastAsia="Times New Roman"/>
                <w:sz w:val="16"/>
                <w:szCs w:val="16"/>
                <w:lang w:eastAsia="en-US"/>
              </w:rPr>
              <w:t> </w:t>
            </w:r>
          </w:p>
        </w:tc>
        <w:tc>
          <w:tcPr>
            <w:tcW w:w="1186" w:type="dxa"/>
            <w:tcBorders>
              <w:top w:val="nil"/>
              <w:left w:val="nil"/>
              <w:bottom w:val="single" w:sz="4" w:space="0" w:color="auto"/>
              <w:right w:val="single" w:sz="4" w:space="0" w:color="auto"/>
            </w:tcBorders>
            <w:noWrap/>
            <w:vAlign w:val="bottom"/>
            <w:hideMark/>
          </w:tcPr>
          <w:p w:rsidR="005727C2" w:rsidRDefault="005727C2">
            <w:pPr>
              <w:rPr>
                <w:rFonts w:eastAsia="Times New Roman"/>
                <w:sz w:val="16"/>
                <w:szCs w:val="16"/>
                <w:lang w:eastAsia="en-US"/>
              </w:rPr>
            </w:pPr>
            <w:r>
              <w:rPr>
                <w:rFonts w:eastAsia="Times New Roman"/>
                <w:sz w:val="16"/>
                <w:szCs w:val="16"/>
                <w:lang w:eastAsia="en-US"/>
              </w:rPr>
              <w:t> </w:t>
            </w:r>
          </w:p>
        </w:tc>
        <w:tc>
          <w:tcPr>
            <w:tcW w:w="865" w:type="dxa"/>
            <w:tcBorders>
              <w:top w:val="nil"/>
              <w:left w:val="nil"/>
              <w:bottom w:val="single" w:sz="4" w:space="0" w:color="auto"/>
              <w:right w:val="single" w:sz="4" w:space="0" w:color="auto"/>
            </w:tcBorders>
            <w:shd w:val="clear" w:color="auto" w:fill="FFFFFF"/>
            <w:noWrap/>
            <w:vAlign w:val="center"/>
            <w:hideMark/>
          </w:tcPr>
          <w:p w:rsidR="005727C2" w:rsidRDefault="005727C2">
            <w:pPr>
              <w:jc w:val="center"/>
              <w:rPr>
                <w:rFonts w:eastAsia="Times New Roman"/>
                <w:sz w:val="16"/>
                <w:szCs w:val="16"/>
                <w:lang w:eastAsia="en-US"/>
              </w:rPr>
            </w:pPr>
            <w:r>
              <w:rPr>
                <w:rFonts w:eastAsia="Times New Roman"/>
                <w:sz w:val="16"/>
                <w:szCs w:val="16"/>
                <w:lang w:eastAsia="en-US"/>
              </w:rPr>
              <w:t>5003</w:t>
            </w:r>
          </w:p>
        </w:tc>
        <w:tc>
          <w:tcPr>
            <w:tcW w:w="684" w:type="dxa"/>
            <w:tcBorders>
              <w:top w:val="nil"/>
              <w:left w:val="nil"/>
              <w:bottom w:val="single" w:sz="4" w:space="0" w:color="auto"/>
              <w:right w:val="single" w:sz="4" w:space="0" w:color="auto"/>
            </w:tcBorders>
            <w:noWrap/>
            <w:vAlign w:val="bottom"/>
            <w:hideMark/>
          </w:tcPr>
          <w:p w:rsidR="005727C2" w:rsidRDefault="005727C2">
            <w:pPr>
              <w:rPr>
                <w:rFonts w:eastAsia="Times New Roman"/>
                <w:sz w:val="16"/>
                <w:szCs w:val="16"/>
                <w:lang w:eastAsia="en-US"/>
              </w:rPr>
            </w:pPr>
            <w:r>
              <w:rPr>
                <w:rFonts w:eastAsia="Times New Roman"/>
                <w:sz w:val="16"/>
                <w:szCs w:val="16"/>
                <w:lang w:eastAsia="en-US"/>
              </w:rPr>
              <w:t> </w:t>
            </w:r>
          </w:p>
        </w:tc>
        <w:tc>
          <w:tcPr>
            <w:tcW w:w="957" w:type="dxa"/>
            <w:tcBorders>
              <w:top w:val="nil"/>
              <w:left w:val="nil"/>
              <w:bottom w:val="single" w:sz="4" w:space="0" w:color="auto"/>
              <w:right w:val="single" w:sz="4" w:space="0" w:color="auto"/>
            </w:tcBorders>
            <w:noWrap/>
            <w:vAlign w:val="bottom"/>
            <w:hideMark/>
          </w:tcPr>
          <w:p w:rsidR="005727C2" w:rsidRDefault="005727C2">
            <w:pPr>
              <w:rPr>
                <w:rFonts w:eastAsia="Times New Roman"/>
                <w:sz w:val="16"/>
                <w:szCs w:val="16"/>
                <w:lang w:eastAsia="en-US"/>
              </w:rPr>
            </w:pPr>
            <w:r>
              <w:rPr>
                <w:rFonts w:eastAsia="Times New Roman"/>
                <w:sz w:val="16"/>
                <w:szCs w:val="16"/>
                <w:lang w:eastAsia="en-US"/>
              </w:rPr>
              <w:t> </w:t>
            </w:r>
          </w:p>
        </w:tc>
      </w:tr>
      <w:tr w:rsidR="005727C2" w:rsidTr="005727C2">
        <w:trPr>
          <w:trHeight w:val="20"/>
        </w:trPr>
        <w:tc>
          <w:tcPr>
            <w:tcW w:w="865" w:type="dxa"/>
            <w:tcBorders>
              <w:top w:val="nil"/>
              <w:left w:val="single" w:sz="4" w:space="0" w:color="auto"/>
              <w:bottom w:val="single" w:sz="4" w:space="0" w:color="auto"/>
              <w:right w:val="single" w:sz="4" w:space="0" w:color="auto"/>
            </w:tcBorders>
            <w:shd w:val="clear" w:color="auto" w:fill="FFFFFF"/>
            <w:vAlign w:val="center"/>
            <w:hideMark/>
          </w:tcPr>
          <w:p w:rsidR="005727C2" w:rsidRDefault="005727C2">
            <w:pPr>
              <w:jc w:val="center"/>
              <w:rPr>
                <w:rFonts w:eastAsia="Times New Roman"/>
                <w:sz w:val="16"/>
                <w:szCs w:val="16"/>
                <w:lang w:eastAsia="en-US"/>
              </w:rPr>
            </w:pPr>
            <w:r>
              <w:rPr>
                <w:rFonts w:eastAsia="Times New Roman"/>
                <w:sz w:val="16"/>
                <w:szCs w:val="16"/>
                <w:lang w:eastAsia="en-US"/>
              </w:rPr>
              <w:lastRenderedPageBreak/>
              <w:t>В.3.10.2</w:t>
            </w:r>
          </w:p>
        </w:tc>
        <w:tc>
          <w:tcPr>
            <w:tcW w:w="1435" w:type="dxa"/>
            <w:tcBorders>
              <w:top w:val="nil"/>
              <w:left w:val="nil"/>
              <w:bottom w:val="single" w:sz="4" w:space="0" w:color="auto"/>
              <w:right w:val="single" w:sz="4" w:space="0" w:color="auto"/>
            </w:tcBorders>
            <w:vAlign w:val="center"/>
            <w:hideMark/>
          </w:tcPr>
          <w:p w:rsidR="005727C2" w:rsidRDefault="005727C2">
            <w:pPr>
              <w:rPr>
                <w:rFonts w:eastAsia="Times New Roman"/>
                <w:sz w:val="16"/>
                <w:szCs w:val="16"/>
                <w:lang w:eastAsia="en-US"/>
              </w:rPr>
            </w:pPr>
            <w:r>
              <w:rPr>
                <w:rFonts w:eastAsia="Times New Roman"/>
                <w:sz w:val="16"/>
                <w:szCs w:val="16"/>
                <w:lang w:eastAsia="en-US"/>
              </w:rPr>
              <w:t xml:space="preserve">общее количество подконтрольных субъектов (объектов), в отношении которых были проведены мероприятия по контролю без взаимодействия с юридическими лицами, индивидуальными предпринимателями </w:t>
            </w:r>
          </w:p>
        </w:tc>
        <w:tc>
          <w:tcPr>
            <w:tcW w:w="1575" w:type="dxa"/>
            <w:tcBorders>
              <w:top w:val="nil"/>
              <w:left w:val="nil"/>
              <w:bottom w:val="single" w:sz="4" w:space="0" w:color="auto"/>
              <w:right w:val="single" w:sz="4" w:space="0" w:color="auto"/>
            </w:tcBorders>
            <w:vAlign w:val="center"/>
            <w:hideMark/>
          </w:tcPr>
          <w:p w:rsidR="005727C2" w:rsidRDefault="005727C2">
            <w:pPr>
              <w:rPr>
                <w:rFonts w:eastAsia="Times New Roman"/>
                <w:sz w:val="16"/>
                <w:szCs w:val="16"/>
                <w:lang w:eastAsia="en-US"/>
              </w:rPr>
            </w:pPr>
            <w:r>
              <w:rPr>
                <w:rFonts w:eastAsia="Times New Roman"/>
                <w:sz w:val="16"/>
                <w:szCs w:val="16"/>
                <w:lang w:eastAsia="en-US"/>
              </w:rPr>
              <w:t> </w:t>
            </w:r>
          </w:p>
        </w:tc>
        <w:tc>
          <w:tcPr>
            <w:tcW w:w="939" w:type="dxa"/>
            <w:tcBorders>
              <w:top w:val="nil"/>
              <w:left w:val="nil"/>
              <w:bottom w:val="single" w:sz="4" w:space="0" w:color="auto"/>
              <w:right w:val="single" w:sz="4" w:space="0" w:color="auto"/>
            </w:tcBorders>
            <w:noWrap/>
            <w:vAlign w:val="center"/>
            <w:hideMark/>
          </w:tcPr>
          <w:p w:rsidR="005727C2" w:rsidRDefault="005727C2">
            <w:pPr>
              <w:jc w:val="center"/>
              <w:rPr>
                <w:rFonts w:eastAsia="Times New Roman"/>
                <w:sz w:val="16"/>
                <w:szCs w:val="16"/>
                <w:lang w:eastAsia="en-US"/>
              </w:rPr>
            </w:pPr>
            <w:r>
              <w:rPr>
                <w:rFonts w:eastAsia="Times New Roman"/>
                <w:sz w:val="16"/>
                <w:szCs w:val="16"/>
                <w:lang w:eastAsia="en-US"/>
              </w:rPr>
              <w:t xml:space="preserve"> - </w:t>
            </w:r>
          </w:p>
        </w:tc>
        <w:tc>
          <w:tcPr>
            <w:tcW w:w="972" w:type="dxa"/>
            <w:tcBorders>
              <w:top w:val="nil"/>
              <w:left w:val="nil"/>
              <w:bottom w:val="single" w:sz="4" w:space="0" w:color="auto"/>
              <w:right w:val="single" w:sz="4" w:space="0" w:color="auto"/>
            </w:tcBorders>
            <w:noWrap/>
            <w:vAlign w:val="bottom"/>
            <w:hideMark/>
          </w:tcPr>
          <w:p w:rsidR="005727C2" w:rsidRDefault="005727C2">
            <w:pPr>
              <w:rPr>
                <w:rFonts w:eastAsia="Times New Roman"/>
                <w:sz w:val="16"/>
                <w:szCs w:val="16"/>
                <w:lang w:eastAsia="en-US"/>
              </w:rPr>
            </w:pPr>
            <w:r>
              <w:rPr>
                <w:rFonts w:eastAsia="Times New Roman"/>
                <w:sz w:val="16"/>
                <w:szCs w:val="16"/>
                <w:lang w:eastAsia="en-US"/>
              </w:rPr>
              <w:t> </w:t>
            </w:r>
          </w:p>
        </w:tc>
        <w:tc>
          <w:tcPr>
            <w:tcW w:w="1186" w:type="dxa"/>
            <w:tcBorders>
              <w:top w:val="nil"/>
              <w:left w:val="nil"/>
              <w:bottom w:val="single" w:sz="4" w:space="0" w:color="auto"/>
              <w:right w:val="single" w:sz="4" w:space="0" w:color="auto"/>
            </w:tcBorders>
            <w:noWrap/>
            <w:vAlign w:val="center"/>
            <w:hideMark/>
          </w:tcPr>
          <w:p w:rsidR="005727C2" w:rsidRDefault="005727C2">
            <w:pPr>
              <w:jc w:val="center"/>
              <w:rPr>
                <w:rFonts w:eastAsia="Times New Roman"/>
                <w:sz w:val="16"/>
                <w:szCs w:val="16"/>
                <w:lang w:eastAsia="en-US"/>
              </w:rPr>
            </w:pPr>
            <w:r>
              <w:rPr>
                <w:rFonts w:eastAsia="Times New Roman"/>
                <w:sz w:val="16"/>
                <w:szCs w:val="16"/>
                <w:lang w:eastAsia="en-US"/>
              </w:rPr>
              <w:t xml:space="preserve"> - </w:t>
            </w:r>
          </w:p>
        </w:tc>
        <w:tc>
          <w:tcPr>
            <w:tcW w:w="865" w:type="dxa"/>
            <w:tcBorders>
              <w:top w:val="nil"/>
              <w:left w:val="nil"/>
              <w:bottom w:val="single" w:sz="4" w:space="0" w:color="auto"/>
              <w:right w:val="single" w:sz="4" w:space="0" w:color="auto"/>
            </w:tcBorders>
            <w:shd w:val="clear" w:color="auto" w:fill="FFFFFF"/>
            <w:noWrap/>
            <w:vAlign w:val="center"/>
            <w:hideMark/>
          </w:tcPr>
          <w:p w:rsidR="005727C2" w:rsidRDefault="005727C2">
            <w:pPr>
              <w:jc w:val="center"/>
              <w:rPr>
                <w:rFonts w:eastAsia="Times New Roman"/>
                <w:sz w:val="16"/>
                <w:szCs w:val="16"/>
                <w:lang w:eastAsia="en-US"/>
              </w:rPr>
            </w:pPr>
            <w:r>
              <w:rPr>
                <w:rFonts w:eastAsia="Times New Roman"/>
                <w:sz w:val="16"/>
                <w:szCs w:val="16"/>
                <w:lang w:eastAsia="en-US"/>
              </w:rPr>
              <w:t>707</w:t>
            </w:r>
          </w:p>
        </w:tc>
        <w:tc>
          <w:tcPr>
            <w:tcW w:w="684" w:type="dxa"/>
            <w:tcBorders>
              <w:top w:val="nil"/>
              <w:left w:val="nil"/>
              <w:bottom w:val="single" w:sz="4" w:space="0" w:color="auto"/>
              <w:right w:val="single" w:sz="4" w:space="0" w:color="auto"/>
            </w:tcBorders>
            <w:noWrap/>
            <w:vAlign w:val="center"/>
            <w:hideMark/>
          </w:tcPr>
          <w:p w:rsidR="005727C2" w:rsidRDefault="005727C2">
            <w:pPr>
              <w:jc w:val="center"/>
              <w:rPr>
                <w:rFonts w:eastAsia="Times New Roman"/>
                <w:sz w:val="16"/>
                <w:szCs w:val="16"/>
                <w:lang w:eastAsia="en-US"/>
              </w:rPr>
            </w:pPr>
            <w:r>
              <w:rPr>
                <w:rFonts w:eastAsia="Times New Roman"/>
                <w:sz w:val="16"/>
                <w:szCs w:val="16"/>
                <w:lang w:eastAsia="en-US"/>
              </w:rPr>
              <w:t xml:space="preserve"> - </w:t>
            </w:r>
          </w:p>
        </w:tc>
        <w:tc>
          <w:tcPr>
            <w:tcW w:w="957" w:type="dxa"/>
            <w:tcBorders>
              <w:top w:val="nil"/>
              <w:left w:val="nil"/>
              <w:bottom w:val="single" w:sz="4" w:space="0" w:color="auto"/>
              <w:right w:val="single" w:sz="4" w:space="0" w:color="auto"/>
            </w:tcBorders>
            <w:vAlign w:val="center"/>
            <w:hideMark/>
          </w:tcPr>
          <w:p w:rsidR="005727C2" w:rsidRDefault="005727C2">
            <w:pPr>
              <w:rPr>
                <w:rFonts w:eastAsia="Times New Roman"/>
                <w:sz w:val="16"/>
                <w:szCs w:val="16"/>
                <w:lang w:eastAsia="en-US"/>
              </w:rPr>
            </w:pPr>
            <w:r>
              <w:rPr>
                <w:rFonts w:eastAsia="Times New Roman"/>
                <w:sz w:val="16"/>
                <w:szCs w:val="16"/>
                <w:lang w:eastAsia="en-US"/>
              </w:rPr>
              <w:t> </w:t>
            </w:r>
          </w:p>
        </w:tc>
      </w:tr>
      <w:tr w:rsidR="005727C2" w:rsidTr="005727C2">
        <w:trPr>
          <w:trHeight w:val="20"/>
        </w:trPr>
        <w:tc>
          <w:tcPr>
            <w:tcW w:w="865" w:type="dxa"/>
            <w:tcBorders>
              <w:top w:val="nil"/>
              <w:left w:val="single" w:sz="4" w:space="0" w:color="auto"/>
              <w:bottom w:val="single" w:sz="4" w:space="0" w:color="auto"/>
              <w:right w:val="single" w:sz="4" w:space="0" w:color="auto"/>
            </w:tcBorders>
            <w:shd w:val="clear" w:color="auto" w:fill="FFFFFF"/>
            <w:vAlign w:val="center"/>
            <w:hideMark/>
          </w:tcPr>
          <w:p w:rsidR="005727C2" w:rsidRDefault="005727C2">
            <w:pPr>
              <w:jc w:val="center"/>
              <w:rPr>
                <w:rFonts w:eastAsia="Times New Roman"/>
                <w:sz w:val="16"/>
                <w:szCs w:val="16"/>
                <w:lang w:eastAsia="en-US"/>
              </w:rPr>
            </w:pPr>
            <w:r>
              <w:rPr>
                <w:rFonts w:eastAsia="Times New Roman"/>
                <w:sz w:val="16"/>
                <w:szCs w:val="16"/>
                <w:lang w:eastAsia="en-US"/>
              </w:rPr>
              <w:t>В.3.10.3</w:t>
            </w:r>
          </w:p>
        </w:tc>
        <w:tc>
          <w:tcPr>
            <w:tcW w:w="1435" w:type="dxa"/>
            <w:tcBorders>
              <w:top w:val="nil"/>
              <w:left w:val="nil"/>
              <w:bottom w:val="single" w:sz="4" w:space="0" w:color="auto"/>
              <w:right w:val="single" w:sz="4" w:space="0" w:color="auto"/>
            </w:tcBorders>
            <w:vAlign w:val="center"/>
            <w:hideMark/>
          </w:tcPr>
          <w:p w:rsidR="005727C2" w:rsidRDefault="005727C2">
            <w:pPr>
              <w:rPr>
                <w:rFonts w:eastAsia="Times New Roman"/>
                <w:sz w:val="16"/>
                <w:szCs w:val="16"/>
                <w:lang w:eastAsia="en-US"/>
              </w:rPr>
            </w:pPr>
            <w:r>
              <w:rPr>
                <w:rFonts w:eastAsia="Times New Roman"/>
                <w:sz w:val="16"/>
                <w:szCs w:val="16"/>
                <w:lang w:eastAsia="en-US"/>
              </w:rPr>
              <w:t>количество постановлений о назначении административных наказаний  подконтрольных субъектов (объектов), в отношении которых были проведены мероприятия по контролю без взаимодействия с юридическими лицами, индивидуальными предпринимателями</w:t>
            </w:r>
          </w:p>
        </w:tc>
        <w:tc>
          <w:tcPr>
            <w:tcW w:w="1575" w:type="dxa"/>
            <w:tcBorders>
              <w:top w:val="nil"/>
              <w:left w:val="nil"/>
              <w:bottom w:val="single" w:sz="4" w:space="0" w:color="auto"/>
              <w:right w:val="single" w:sz="4" w:space="0" w:color="auto"/>
            </w:tcBorders>
            <w:vAlign w:val="center"/>
            <w:hideMark/>
          </w:tcPr>
          <w:p w:rsidR="005727C2" w:rsidRDefault="005727C2">
            <w:pPr>
              <w:rPr>
                <w:rFonts w:eastAsia="Times New Roman"/>
                <w:sz w:val="16"/>
                <w:szCs w:val="16"/>
                <w:lang w:eastAsia="en-US"/>
              </w:rPr>
            </w:pPr>
            <w:r>
              <w:rPr>
                <w:rFonts w:eastAsia="Times New Roman"/>
                <w:sz w:val="16"/>
                <w:szCs w:val="16"/>
                <w:lang w:eastAsia="en-US"/>
              </w:rPr>
              <w:t>показатели устанавливаются по количеству административных наказаний (всего) по делам, рассмотренным департаментом по тарифам Новосибирской области, и по видам наказаний (предупреждение, административный штраф)</w:t>
            </w:r>
          </w:p>
        </w:tc>
        <w:tc>
          <w:tcPr>
            <w:tcW w:w="939" w:type="dxa"/>
            <w:tcBorders>
              <w:top w:val="nil"/>
              <w:left w:val="nil"/>
              <w:bottom w:val="single" w:sz="4" w:space="0" w:color="auto"/>
              <w:right w:val="single" w:sz="4" w:space="0" w:color="auto"/>
            </w:tcBorders>
            <w:noWrap/>
            <w:vAlign w:val="center"/>
            <w:hideMark/>
          </w:tcPr>
          <w:p w:rsidR="005727C2" w:rsidRDefault="005727C2">
            <w:pPr>
              <w:jc w:val="center"/>
              <w:rPr>
                <w:rFonts w:eastAsia="Times New Roman"/>
                <w:sz w:val="16"/>
                <w:szCs w:val="16"/>
                <w:lang w:eastAsia="en-US"/>
              </w:rPr>
            </w:pPr>
            <w:r>
              <w:rPr>
                <w:rFonts w:eastAsia="Times New Roman"/>
                <w:sz w:val="16"/>
                <w:szCs w:val="16"/>
                <w:lang w:eastAsia="en-US"/>
              </w:rPr>
              <w:t xml:space="preserve"> - </w:t>
            </w:r>
          </w:p>
        </w:tc>
        <w:tc>
          <w:tcPr>
            <w:tcW w:w="972" w:type="dxa"/>
            <w:tcBorders>
              <w:top w:val="nil"/>
              <w:left w:val="nil"/>
              <w:bottom w:val="single" w:sz="4" w:space="0" w:color="auto"/>
              <w:right w:val="single" w:sz="4" w:space="0" w:color="auto"/>
            </w:tcBorders>
            <w:noWrap/>
            <w:vAlign w:val="bottom"/>
            <w:hideMark/>
          </w:tcPr>
          <w:p w:rsidR="005727C2" w:rsidRDefault="005727C2">
            <w:pPr>
              <w:rPr>
                <w:rFonts w:eastAsia="Times New Roman"/>
                <w:sz w:val="16"/>
                <w:szCs w:val="16"/>
                <w:lang w:eastAsia="en-US"/>
              </w:rPr>
            </w:pPr>
            <w:r>
              <w:rPr>
                <w:rFonts w:eastAsia="Times New Roman"/>
                <w:sz w:val="16"/>
                <w:szCs w:val="16"/>
                <w:lang w:eastAsia="en-US"/>
              </w:rPr>
              <w:t> </w:t>
            </w:r>
          </w:p>
        </w:tc>
        <w:tc>
          <w:tcPr>
            <w:tcW w:w="1186" w:type="dxa"/>
            <w:tcBorders>
              <w:top w:val="nil"/>
              <w:left w:val="nil"/>
              <w:bottom w:val="single" w:sz="4" w:space="0" w:color="auto"/>
              <w:right w:val="single" w:sz="4" w:space="0" w:color="auto"/>
            </w:tcBorders>
            <w:noWrap/>
            <w:vAlign w:val="center"/>
            <w:hideMark/>
          </w:tcPr>
          <w:p w:rsidR="005727C2" w:rsidRDefault="005727C2">
            <w:pPr>
              <w:jc w:val="center"/>
              <w:rPr>
                <w:rFonts w:eastAsia="Times New Roman"/>
                <w:sz w:val="16"/>
                <w:szCs w:val="16"/>
                <w:lang w:eastAsia="en-US"/>
              </w:rPr>
            </w:pPr>
            <w:r>
              <w:rPr>
                <w:rFonts w:eastAsia="Times New Roman"/>
                <w:sz w:val="16"/>
                <w:szCs w:val="16"/>
                <w:lang w:eastAsia="en-US"/>
              </w:rPr>
              <w:t xml:space="preserve"> - </w:t>
            </w:r>
          </w:p>
        </w:tc>
        <w:tc>
          <w:tcPr>
            <w:tcW w:w="865" w:type="dxa"/>
            <w:tcBorders>
              <w:top w:val="nil"/>
              <w:left w:val="nil"/>
              <w:bottom w:val="single" w:sz="4" w:space="0" w:color="auto"/>
              <w:right w:val="single" w:sz="4" w:space="0" w:color="auto"/>
            </w:tcBorders>
            <w:shd w:val="clear" w:color="auto" w:fill="FFFFFF"/>
            <w:noWrap/>
            <w:vAlign w:val="center"/>
            <w:hideMark/>
          </w:tcPr>
          <w:p w:rsidR="005727C2" w:rsidRDefault="005727C2">
            <w:pPr>
              <w:jc w:val="center"/>
              <w:rPr>
                <w:rFonts w:eastAsia="Times New Roman"/>
                <w:sz w:val="16"/>
                <w:szCs w:val="16"/>
                <w:lang w:eastAsia="en-US"/>
              </w:rPr>
            </w:pPr>
            <w:r>
              <w:rPr>
                <w:rFonts w:eastAsia="Times New Roman"/>
                <w:sz w:val="16"/>
                <w:szCs w:val="16"/>
                <w:lang w:eastAsia="en-US"/>
              </w:rPr>
              <w:t>132</w:t>
            </w:r>
          </w:p>
        </w:tc>
        <w:tc>
          <w:tcPr>
            <w:tcW w:w="684" w:type="dxa"/>
            <w:tcBorders>
              <w:top w:val="nil"/>
              <w:left w:val="nil"/>
              <w:bottom w:val="single" w:sz="4" w:space="0" w:color="auto"/>
              <w:right w:val="single" w:sz="4" w:space="0" w:color="auto"/>
            </w:tcBorders>
            <w:noWrap/>
            <w:vAlign w:val="center"/>
            <w:hideMark/>
          </w:tcPr>
          <w:p w:rsidR="005727C2" w:rsidRDefault="005727C2">
            <w:pPr>
              <w:jc w:val="center"/>
              <w:rPr>
                <w:rFonts w:eastAsia="Times New Roman"/>
                <w:sz w:val="16"/>
                <w:szCs w:val="16"/>
                <w:lang w:eastAsia="en-US"/>
              </w:rPr>
            </w:pPr>
            <w:r>
              <w:rPr>
                <w:rFonts w:eastAsia="Times New Roman"/>
                <w:sz w:val="16"/>
                <w:szCs w:val="16"/>
                <w:lang w:eastAsia="en-US"/>
              </w:rPr>
              <w:t xml:space="preserve"> - </w:t>
            </w:r>
          </w:p>
        </w:tc>
        <w:tc>
          <w:tcPr>
            <w:tcW w:w="957" w:type="dxa"/>
            <w:tcBorders>
              <w:top w:val="nil"/>
              <w:left w:val="nil"/>
              <w:bottom w:val="single" w:sz="4" w:space="0" w:color="auto"/>
              <w:right w:val="single" w:sz="4" w:space="0" w:color="auto"/>
            </w:tcBorders>
            <w:noWrap/>
            <w:vAlign w:val="bottom"/>
            <w:hideMark/>
          </w:tcPr>
          <w:p w:rsidR="005727C2" w:rsidRDefault="005727C2">
            <w:pPr>
              <w:rPr>
                <w:rFonts w:eastAsia="Times New Roman"/>
                <w:color w:val="000000"/>
                <w:sz w:val="16"/>
                <w:szCs w:val="16"/>
                <w:lang w:eastAsia="en-US"/>
              </w:rPr>
            </w:pPr>
            <w:r>
              <w:rPr>
                <w:rFonts w:eastAsia="Times New Roman"/>
                <w:color w:val="000000"/>
                <w:sz w:val="16"/>
                <w:szCs w:val="16"/>
                <w:lang w:eastAsia="en-US"/>
              </w:rPr>
              <w:t> </w:t>
            </w:r>
          </w:p>
        </w:tc>
      </w:tr>
      <w:tr w:rsidR="005727C2" w:rsidTr="005727C2">
        <w:trPr>
          <w:trHeight w:val="20"/>
        </w:trPr>
        <w:tc>
          <w:tcPr>
            <w:tcW w:w="865" w:type="dxa"/>
            <w:tcBorders>
              <w:top w:val="nil"/>
              <w:left w:val="single" w:sz="4" w:space="0" w:color="auto"/>
              <w:bottom w:val="single" w:sz="4" w:space="0" w:color="auto"/>
              <w:right w:val="single" w:sz="4" w:space="0" w:color="auto"/>
            </w:tcBorders>
            <w:shd w:val="clear" w:color="auto" w:fill="FFFFFF"/>
            <w:vAlign w:val="center"/>
            <w:hideMark/>
          </w:tcPr>
          <w:p w:rsidR="005727C2" w:rsidRDefault="005727C2">
            <w:pPr>
              <w:jc w:val="center"/>
              <w:rPr>
                <w:rFonts w:eastAsia="Times New Roman"/>
                <w:sz w:val="16"/>
                <w:szCs w:val="16"/>
                <w:lang w:eastAsia="en-US"/>
              </w:rPr>
            </w:pPr>
            <w:r>
              <w:rPr>
                <w:rFonts w:eastAsia="Times New Roman"/>
                <w:sz w:val="16"/>
                <w:szCs w:val="16"/>
                <w:lang w:eastAsia="en-US"/>
              </w:rPr>
              <w:t>В.3.10.3.1</w:t>
            </w:r>
          </w:p>
        </w:tc>
        <w:tc>
          <w:tcPr>
            <w:tcW w:w="1435" w:type="dxa"/>
            <w:tcBorders>
              <w:top w:val="nil"/>
              <w:left w:val="nil"/>
              <w:bottom w:val="single" w:sz="4" w:space="0" w:color="auto"/>
              <w:right w:val="single" w:sz="4" w:space="0" w:color="auto"/>
            </w:tcBorders>
            <w:vAlign w:val="center"/>
            <w:hideMark/>
          </w:tcPr>
          <w:p w:rsidR="005727C2" w:rsidRDefault="005727C2">
            <w:pPr>
              <w:rPr>
                <w:rFonts w:eastAsia="Times New Roman"/>
                <w:sz w:val="16"/>
                <w:szCs w:val="16"/>
                <w:lang w:eastAsia="en-US"/>
              </w:rPr>
            </w:pPr>
            <w:r>
              <w:rPr>
                <w:rFonts w:eastAsia="Times New Roman"/>
                <w:sz w:val="16"/>
                <w:szCs w:val="16"/>
                <w:lang w:eastAsia="en-US"/>
              </w:rPr>
              <w:t>в том числе - по делам, возбужденным департаментом по тарифам Новосибирской области</w:t>
            </w:r>
          </w:p>
        </w:tc>
        <w:tc>
          <w:tcPr>
            <w:tcW w:w="1575" w:type="dxa"/>
            <w:tcBorders>
              <w:top w:val="nil"/>
              <w:left w:val="nil"/>
              <w:bottom w:val="single" w:sz="4" w:space="0" w:color="auto"/>
              <w:right w:val="single" w:sz="4" w:space="0" w:color="auto"/>
            </w:tcBorders>
            <w:vAlign w:val="center"/>
            <w:hideMark/>
          </w:tcPr>
          <w:p w:rsidR="005727C2" w:rsidRDefault="005727C2">
            <w:pPr>
              <w:rPr>
                <w:rFonts w:eastAsia="Times New Roman"/>
                <w:sz w:val="16"/>
                <w:szCs w:val="16"/>
                <w:lang w:eastAsia="en-US"/>
              </w:rPr>
            </w:pPr>
            <w:r>
              <w:rPr>
                <w:rFonts w:eastAsia="Times New Roman"/>
                <w:sz w:val="16"/>
                <w:szCs w:val="16"/>
                <w:lang w:eastAsia="en-US"/>
              </w:rPr>
              <w:t> </w:t>
            </w:r>
          </w:p>
        </w:tc>
        <w:tc>
          <w:tcPr>
            <w:tcW w:w="939" w:type="dxa"/>
            <w:tcBorders>
              <w:top w:val="nil"/>
              <w:left w:val="nil"/>
              <w:bottom w:val="single" w:sz="4" w:space="0" w:color="auto"/>
              <w:right w:val="single" w:sz="4" w:space="0" w:color="auto"/>
            </w:tcBorders>
            <w:noWrap/>
            <w:vAlign w:val="center"/>
            <w:hideMark/>
          </w:tcPr>
          <w:p w:rsidR="005727C2" w:rsidRDefault="005727C2">
            <w:pPr>
              <w:jc w:val="center"/>
              <w:rPr>
                <w:rFonts w:eastAsia="Times New Roman"/>
                <w:sz w:val="16"/>
                <w:szCs w:val="16"/>
                <w:lang w:eastAsia="en-US"/>
              </w:rPr>
            </w:pPr>
            <w:r>
              <w:rPr>
                <w:rFonts w:eastAsia="Times New Roman"/>
                <w:sz w:val="16"/>
                <w:szCs w:val="16"/>
                <w:lang w:eastAsia="en-US"/>
              </w:rPr>
              <w:t> </w:t>
            </w:r>
          </w:p>
        </w:tc>
        <w:tc>
          <w:tcPr>
            <w:tcW w:w="972" w:type="dxa"/>
            <w:tcBorders>
              <w:top w:val="nil"/>
              <w:left w:val="nil"/>
              <w:bottom w:val="single" w:sz="4" w:space="0" w:color="auto"/>
              <w:right w:val="single" w:sz="4" w:space="0" w:color="auto"/>
            </w:tcBorders>
            <w:noWrap/>
            <w:vAlign w:val="bottom"/>
            <w:hideMark/>
          </w:tcPr>
          <w:p w:rsidR="005727C2" w:rsidRDefault="005727C2">
            <w:pPr>
              <w:rPr>
                <w:rFonts w:eastAsia="Times New Roman"/>
                <w:sz w:val="16"/>
                <w:szCs w:val="16"/>
                <w:lang w:eastAsia="en-US"/>
              </w:rPr>
            </w:pPr>
            <w:r>
              <w:rPr>
                <w:rFonts w:eastAsia="Times New Roman"/>
                <w:sz w:val="16"/>
                <w:szCs w:val="16"/>
                <w:lang w:eastAsia="en-US"/>
              </w:rPr>
              <w:t> </w:t>
            </w:r>
          </w:p>
        </w:tc>
        <w:tc>
          <w:tcPr>
            <w:tcW w:w="1186" w:type="dxa"/>
            <w:tcBorders>
              <w:top w:val="nil"/>
              <w:left w:val="nil"/>
              <w:bottom w:val="single" w:sz="4" w:space="0" w:color="auto"/>
              <w:right w:val="single" w:sz="4" w:space="0" w:color="auto"/>
            </w:tcBorders>
            <w:noWrap/>
            <w:vAlign w:val="center"/>
            <w:hideMark/>
          </w:tcPr>
          <w:p w:rsidR="005727C2" w:rsidRDefault="005727C2">
            <w:pPr>
              <w:jc w:val="center"/>
              <w:rPr>
                <w:rFonts w:eastAsia="Times New Roman"/>
                <w:sz w:val="16"/>
                <w:szCs w:val="16"/>
                <w:lang w:eastAsia="en-US"/>
              </w:rPr>
            </w:pPr>
            <w:r>
              <w:rPr>
                <w:rFonts w:eastAsia="Times New Roman"/>
                <w:sz w:val="16"/>
                <w:szCs w:val="16"/>
                <w:lang w:eastAsia="en-US"/>
              </w:rPr>
              <w:t xml:space="preserve"> - </w:t>
            </w:r>
          </w:p>
        </w:tc>
        <w:tc>
          <w:tcPr>
            <w:tcW w:w="865" w:type="dxa"/>
            <w:tcBorders>
              <w:top w:val="nil"/>
              <w:left w:val="nil"/>
              <w:bottom w:val="single" w:sz="4" w:space="0" w:color="auto"/>
              <w:right w:val="single" w:sz="4" w:space="0" w:color="auto"/>
            </w:tcBorders>
            <w:shd w:val="clear" w:color="auto" w:fill="FFFFFF"/>
            <w:noWrap/>
            <w:vAlign w:val="center"/>
            <w:hideMark/>
          </w:tcPr>
          <w:p w:rsidR="005727C2" w:rsidRDefault="005727C2">
            <w:pPr>
              <w:jc w:val="center"/>
              <w:rPr>
                <w:rFonts w:eastAsia="Times New Roman"/>
                <w:sz w:val="16"/>
                <w:szCs w:val="16"/>
                <w:lang w:eastAsia="en-US"/>
              </w:rPr>
            </w:pPr>
            <w:r>
              <w:rPr>
                <w:rFonts w:eastAsia="Times New Roman"/>
                <w:sz w:val="16"/>
                <w:szCs w:val="16"/>
                <w:lang w:eastAsia="en-US"/>
              </w:rPr>
              <w:t>102</w:t>
            </w:r>
          </w:p>
        </w:tc>
        <w:tc>
          <w:tcPr>
            <w:tcW w:w="684" w:type="dxa"/>
            <w:tcBorders>
              <w:top w:val="nil"/>
              <w:left w:val="nil"/>
              <w:bottom w:val="single" w:sz="4" w:space="0" w:color="auto"/>
              <w:right w:val="single" w:sz="4" w:space="0" w:color="auto"/>
            </w:tcBorders>
            <w:noWrap/>
            <w:vAlign w:val="center"/>
            <w:hideMark/>
          </w:tcPr>
          <w:p w:rsidR="005727C2" w:rsidRDefault="005727C2">
            <w:pPr>
              <w:jc w:val="center"/>
              <w:rPr>
                <w:rFonts w:eastAsia="Times New Roman"/>
                <w:sz w:val="16"/>
                <w:szCs w:val="16"/>
                <w:lang w:eastAsia="en-US"/>
              </w:rPr>
            </w:pPr>
            <w:r>
              <w:rPr>
                <w:rFonts w:eastAsia="Times New Roman"/>
                <w:sz w:val="16"/>
                <w:szCs w:val="16"/>
                <w:lang w:eastAsia="en-US"/>
              </w:rPr>
              <w:t xml:space="preserve"> - </w:t>
            </w:r>
          </w:p>
        </w:tc>
        <w:tc>
          <w:tcPr>
            <w:tcW w:w="957" w:type="dxa"/>
            <w:tcBorders>
              <w:top w:val="nil"/>
              <w:left w:val="nil"/>
              <w:bottom w:val="single" w:sz="4" w:space="0" w:color="auto"/>
              <w:right w:val="single" w:sz="4" w:space="0" w:color="auto"/>
            </w:tcBorders>
            <w:noWrap/>
            <w:vAlign w:val="bottom"/>
            <w:hideMark/>
          </w:tcPr>
          <w:p w:rsidR="005727C2" w:rsidRDefault="005727C2">
            <w:pPr>
              <w:rPr>
                <w:rFonts w:eastAsia="Times New Roman"/>
                <w:color w:val="000000"/>
                <w:sz w:val="16"/>
                <w:szCs w:val="16"/>
                <w:lang w:eastAsia="en-US"/>
              </w:rPr>
            </w:pPr>
            <w:r>
              <w:rPr>
                <w:rFonts w:eastAsia="Times New Roman"/>
                <w:color w:val="000000"/>
                <w:sz w:val="16"/>
                <w:szCs w:val="16"/>
                <w:lang w:eastAsia="en-US"/>
              </w:rPr>
              <w:t> </w:t>
            </w:r>
          </w:p>
        </w:tc>
      </w:tr>
      <w:tr w:rsidR="005727C2" w:rsidTr="005727C2">
        <w:trPr>
          <w:trHeight w:val="20"/>
        </w:trPr>
        <w:tc>
          <w:tcPr>
            <w:tcW w:w="865" w:type="dxa"/>
            <w:tcBorders>
              <w:top w:val="nil"/>
              <w:left w:val="single" w:sz="4" w:space="0" w:color="auto"/>
              <w:bottom w:val="single" w:sz="4" w:space="0" w:color="auto"/>
              <w:right w:val="single" w:sz="4" w:space="0" w:color="auto"/>
            </w:tcBorders>
            <w:shd w:val="clear" w:color="auto" w:fill="FFFFFF"/>
            <w:vAlign w:val="center"/>
            <w:hideMark/>
          </w:tcPr>
          <w:p w:rsidR="005727C2" w:rsidRDefault="005727C2">
            <w:pPr>
              <w:jc w:val="center"/>
              <w:rPr>
                <w:rFonts w:eastAsia="Times New Roman"/>
                <w:sz w:val="16"/>
                <w:szCs w:val="16"/>
                <w:lang w:eastAsia="en-US"/>
              </w:rPr>
            </w:pPr>
            <w:r>
              <w:rPr>
                <w:rFonts w:eastAsia="Times New Roman"/>
                <w:sz w:val="16"/>
                <w:szCs w:val="16"/>
                <w:lang w:eastAsia="en-US"/>
              </w:rPr>
              <w:t>В.3.10.3.2</w:t>
            </w:r>
          </w:p>
        </w:tc>
        <w:tc>
          <w:tcPr>
            <w:tcW w:w="1435" w:type="dxa"/>
            <w:tcBorders>
              <w:top w:val="nil"/>
              <w:left w:val="nil"/>
              <w:bottom w:val="single" w:sz="4" w:space="0" w:color="auto"/>
              <w:right w:val="single" w:sz="4" w:space="0" w:color="auto"/>
            </w:tcBorders>
            <w:vAlign w:val="center"/>
            <w:hideMark/>
          </w:tcPr>
          <w:p w:rsidR="005727C2" w:rsidRDefault="005727C2">
            <w:pPr>
              <w:rPr>
                <w:rFonts w:eastAsia="Times New Roman"/>
                <w:sz w:val="16"/>
                <w:szCs w:val="16"/>
                <w:lang w:eastAsia="en-US"/>
              </w:rPr>
            </w:pPr>
            <w:r>
              <w:rPr>
                <w:rFonts w:eastAsia="Times New Roman"/>
                <w:sz w:val="16"/>
                <w:szCs w:val="16"/>
                <w:lang w:eastAsia="en-US"/>
              </w:rPr>
              <w:t>в том числе  - по делам, возбужденным органами прокуратуры Новосибирской области</w:t>
            </w:r>
          </w:p>
        </w:tc>
        <w:tc>
          <w:tcPr>
            <w:tcW w:w="1575" w:type="dxa"/>
            <w:tcBorders>
              <w:top w:val="nil"/>
              <w:left w:val="nil"/>
              <w:bottom w:val="single" w:sz="4" w:space="0" w:color="auto"/>
              <w:right w:val="single" w:sz="4" w:space="0" w:color="auto"/>
            </w:tcBorders>
            <w:vAlign w:val="center"/>
            <w:hideMark/>
          </w:tcPr>
          <w:p w:rsidR="005727C2" w:rsidRDefault="005727C2">
            <w:pPr>
              <w:rPr>
                <w:rFonts w:eastAsia="Times New Roman"/>
                <w:sz w:val="16"/>
                <w:szCs w:val="16"/>
                <w:lang w:eastAsia="en-US"/>
              </w:rPr>
            </w:pPr>
            <w:r>
              <w:rPr>
                <w:rFonts w:eastAsia="Times New Roman"/>
                <w:sz w:val="16"/>
                <w:szCs w:val="16"/>
                <w:lang w:eastAsia="en-US"/>
              </w:rPr>
              <w:t> </w:t>
            </w:r>
          </w:p>
        </w:tc>
        <w:tc>
          <w:tcPr>
            <w:tcW w:w="939" w:type="dxa"/>
            <w:tcBorders>
              <w:top w:val="nil"/>
              <w:left w:val="nil"/>
              <w:bottom w:val="single" w:sz="4" w:space="0" w:color="auto"/>
              <w:right w:val="single" w:sz="4" w:space="0" w:color="auto"/>
            </w:tcBorders>
            <w:noWrap/>
            <w:vAlign w:val="center"/>
            <w:hideMark/>
          </w:tcPr>
          <w:p w:rsidR="005727C2" w:rsidRDefault="005727C2">
            <w:pPr>
              <w:jc w:val="center"/>
              <w:rPr>
                <w:rFonts w:eastAsia="Times New Roman"/>
                <w:sz w:val="16"/>
                <w:szCs w:val="16"/>
                <w:lang w:eastAsia="en-US"/>
              </w:rPr>
            </w:pPr>
            <w:r>
              <w:rPr>
                <w:rFonts w:eastAsia="Times New Roman"/>
                <w:sz w:val="16"/>
                <w:szCs w:val="16"/>
                <w:lang w:eastAsia="en-US"/>
              </w:rPr>
              <w:t> </w:t>
            </w:r>
          </w:p>
        </w:tc>
        <w:tc>
          <w:tcPr>
            <w:tcW w:w="972" w:type="dxa"/>
            <w:tcBorders>
              <w:top w:val="nil"/>
              <w:left w:val="nil"/>
              <w:bottom w:val="single" w:sz="4" w:space="0" w:color="auto"/>
              <w:right w:val="single" w:sz="4" w:space="0" w:color="auto"/>
            </w:tcBorders>
            <w:noWrap/>
            <w:vAlign w:val="bottom"/>
            <w:hideMark/>
          </w:tcPr>
          <w:p w:rsidR="005727C2" w:rsidRDefault="005727C2">
            <w:pPr>
              <w:rPr>
                <w:rFonts w:eastAsia="Times New Roman"/>
                <w:sz w:val="16"/>
                <w:szCs w:val="16"/>
                <w:lang w:eastAsia="en-US"/>
              </w:rPr>
            </w:pPr>
            <w:r>
              <w:rPr>
                <w:rFonts w:eastAsia="Times New Roman"/>
                <w:sz w:val="16"/>
                <w:szCs w:val="16"/>
                <w:lang w:eastAsia="en-US"/>
              </w:rPr>
              <w:t> </w:t>
            </w:r>
          </w:p>
        </w:tc>
        <w:tc>
          <w:tcPr>
            <w:tcW w:w="1186" w:type="dxa"/>
            <w:tcBorders>
              <w:top w:val="nil"/>
              <w:left w:val="nil"/>
              <w:bottom w:val="single" w:sz="4" w:space="0" w:color="auto"/>
              <w:right w:val="single" w:sz="4" w:space="0" w:color="auto"/>
            </w:tcBorders>
            <w:noWrap/>
            <w:vAlign w:val="center"/>
            <w:hideMark/>
          </w:tcPr>
          <w:p w:rsidR="005727C2" w:rsidRDefault="005727C2">
            <w:pPr>
              <w:jc w:val="center"/>
              <w:rPr>
                <w:rFonts w:eastAsia="Times New Roman"/>
                <w:sz w:val="16"/>
                <w:szCs w:val="16"/>
                <w:lang w:eastAsia="en-US"/>
              </w:rPr>
            </w:pPr>
            <w:r>
              <w:rPr>
                <w:rFonts w:eastAsia="Times New Roman"/>
                <w:sz w:val="16"/>
                <w:szCs w:val="16"/>
                <w:lang w:eastAsia="en-US"/>
              </w:rPr>
              <w:t xml:space="preserve"> - </w:t>
            </w:r>
          </w:p>
        </w:tc>
        <w:tc>
          <w:tcPr>
            <w:tcW w:w="865" w:type="dxa"/>
            <w:tcBorders>
              <w:top w:val="nil"/>
              <w:left w:val="nil"/>
              <w:bottom w:val="single" w:sz="4" w:space="0" w:color="auto"/>
              <w:right w:val="single" w:sz="4" w:space="0" w:color="auto"/>
            </w:tcBorders>
            <w:shd w:val="clear" w:color="auto" w:fill="FFFFFF"/>
            <w:noWrap/>
            <w:vAlign w:val="center"/>
            <w:hideMark/>
          </w:tcPr>
          <w:p w:rsidR="005727C2" w:rsidRDefault="005727C2">
            <w:pPr>
              <w:jc w:val="center"/>
              <w:rPr>
                <w:rFonts w:eastAsia="Times New Roman"/>
                <w:sz w:val="16"/>
                <w:szCs w:val="16"/>
                <w:lang w:eastAsia="en-US"/>
              </w:rPr>
            </w:pPr>
            <w:r>
              <w:rPr>
                <w:rFonts w:eastAsia="Times New Roman"/>
                <w:sz w:val="16"/>
                <w:szCs w:val="16"/>
                <w:lang w:eastAsia="en-US"/>
              </w:rPr>
              <w:t>30</w:t>
            </w:r>
          </w:p>
        </w:tc>
        <w:tc>
          <w:tcPr>
            <w:tcW w:w="684" w:type="dxa"/>
            <w:tcBorders>
              <w:top w:val="nil"/>
              <w:left w:val="nil"/>
              <w:bottom w:val="single" w:sz="4" w:space="0" w:color="auto"/>
              <w:right w:val="single" w:sz="4" w:space="0" w:color="auto"/>
            </w:tcBorders>
            <w:noWrap/>
            <w:vAlign w:val="center"/>
            <w:hideMark/>
          </w:tcPr>
          <w:p w:rsidR="005727C2" w:rsidRDefault="005727C2">
            <w:pPr>
              <w:jc w:val="center"/>
              <w:rPr>
                <w:rFonts w:eastAsia="Times New Roman"/>
                <w:sz w:val="16"/>
                <w:szCs w:val="16"/>
                <w:lang w:eastAsia="en-US"/>
              </w:rPr>
            </w:pPr>
            <w:r>
              <w:rPr>
                <w:rFonts w:eastAsia="Times New Roman"/>
                <w:sz w:val="16"/>
                <w:szCs w:val="16"/>
                <w:lang w:eastAsia="en-US"/>
              </w:rPr>
              <w:t xml:space="preserve"> - </w:t>
            </w:r>
          </w:p>
        </w:tc>
        <w:tc>
          <w:tcPr>
            <w:tcW w:w="957" w:type="dxa"/>
            <w:tcBorders>
              <w:top w:val="nil"/>
              <w:left w:val="nil"/>
              <w:bottom w:val="single" w:sz="4" w:space="0" w:color="auto"/>
              <w:right w:val="single" w:sz="4" w:space="0" w:color="auto"/>
            </w:tcBorders>
            <w:noWrap/>
            <w:vAlign w:val="bottom"/>
            <w:hideMark/>
          </w:tcPr>
          <w:p w:rsidR="005727C2" w:rsidRDefault="005727C2">
            <w:pPr>
              <w:rPr>
                <w:rFonts w:eastAsia="Times New Roman"/>
                <w:color w:val="000000"/>
                <w:sz w:val="16"/>
                <w:szCs w:val="16"/>
                <w:lang w:eastAsia="en-US"/>
              </w:rPr>
            </w:pPr>
            <w:r>
              <w:rPr>
                <w:rFonts w:eastAsia="Times New Roman"/>
                <w:color w:val="000000"/>
                <w:sz w:val="16"/>
                <w:szCs w:val="16"/>
                <w:lang w:eastAsia="en-US"/>
              </w:rPr>
              <w:t> </w:t>
            </w:r>
          </w:p>
        </w:tc>
      </w:tr>
      <w:tr w:rsidR="005727C2" w:rsidTr="005727C2">
        <w:trPr>
          <w:trHeight w:val="20"/>
        </w:trPr>
        <w:tc>
          <w:tcPr>
            <w:tcW w:w="865" w:type="dxa"/>
            <w:tcBorders>
              <w:top w:val="nil"/>
              <w:left w:val="single" w:sz="4" w:space="0" w:color="auto"/>
              <w:bottom w:val="single" w:sz="4" w:space="0" w:color="auto"/>
              <w:right w:val="single" w:sz="4" w:space="0" w:color="auto"/>
            </w:tcBorders>
            <w:shd w:val="clear" w:color="auto" w:fill="FFFFFF"/>
            <w:vAlign w:val="center"/>
            <w:hideMark/>
          </w:tcPr>
          <w:p w:rsidR="005727C2" w:rsidRDefault="005727C2">
            <w:pPr>
              <w:jc w:val="center"/>
              <w:rPr>
                <w:rFonts w:eastAsia="Times New Roman"/>
                <w:sz w:val="16"/>
                <w:szCs w:val="16"/>
                <w:lang w:eastAsia="en-US"/>
              </w:rPr>
            </w:pPr>
            <w:r>
              <w:rPr>
                <w:rFonts w:eastAsia="Times New Roman"/>
                <w:sz w:val="16"/>
                <w:szCs w:val="16"/>
                <w:lang w:eastAsia="en-US"/>
              </w:rPr>
              <w:t>В.3.10.3.3</w:t>
            </w:r>
          </w:p>
        </w:tc>
        <w:tc>
          <w:tcPr>
            <w:tcW w:w="1435" w:type="dxa"/>
            <w:tcBorders>
              <w:top w:val="nil"/>
              <w:left w:val="nil"/>
              <w:bottom w:val="single" w:sz="4" w:space="0" w:color="auto"/>
              <w:right w:val="single" w:sz="4" w:space="0" w:color="auto"/>
            </w:tcBorders>
            <w:vAlign w:val="center"/>
            <w:hideMark/>
          </w:tcPr>
          <w:p w:rsidR="005727C2" w:rsidRDefault="005727C2">
            <w:pPr>
              <w:rPr>
                <w:rFonts w:eastAsia="Times New Roman"/>
                <w:sz w:val="16"/>
                <w:szCs w:val="16"/>
                <w:lang w:eastAsia="en-US"/>
              </w:rPr>
            </w:pPr>
            <w:r>
              <w:rPr>
                <w:rFonts w:eastAsia="Times New Roman"/>
                <w:sz w:val="16"/>
                <w:szCs w:val="16"/>
                <w:lang w:eastAsia="en-US"/>
              </w:rPr>
              <w:t>из них - наложенных предупреждений</w:t>
            </w:r>
          </w:p>
        </w:tc>
        <w:tc>
          <w:tcPr>
            <w:tcW w:w="1575" w:type="dxa"/>
            <w:tcBorders>
              <w:top w:val="nil"/>
              <w:left w:val="nil"/>
              <w:bottom w:val="single" w:sz="4" w:space="0" w:color="auto"/>
              <w:right w:val="single" w:sz="4" w:space="0" w:color="auto"/>
            </w:tcBorders>
            <w:vAlign w:val="center"/>
            <w:hideMark/>
          </w:tcPr>
          <w:p w:rsidR="005727C2" w:rsidRDefault="005727C2">
            <w:pPr>
              <w:rPr>
                <w:rFonts w:eastAsia="Times New Roman"/>
                <w:sz w:val="16"/>
                <w:szCs w:val="16"/>
                <w:lang w:eastAsia="en-US"/>
              </w:rPr>
            </w:pPr>
            <w:r>
              <w:rPr>
                <w:rFonts w:eastAsia="Times New Roman"/>
                <w:sz w:val="16"/>
                <w:szCs w:val="16"/>
                <w:lang w:eastAsia="en-US"/>
              </w:rPr>
              <w:t> </w:t>
            </w:r>
          </w:p>
        </w:tc>
        <w:tc>
          <w:tcPr>
            <w:tcW w:w="939" w:type="dxa"/>
            <w:tcBorders>
              <w:top w:val="nil"/>
              <w:left w:val="nil"/>
              <w:bottom w:val="single" w:sz="4" w:space="0" w:color="auto"/>
              <w:right w:val="single" w:sz="4" w:space="0" w:color="auto"/>
            </w:tcBorders>
            <w:noWrap/>
            <w:vAlign w:val="center"/>
            <w:hideMark/>
          </w:tcPr>
          <w:p w:rsidR="005727C2" w:rsidRDefault="005727C2">
            <w:pPr>
              <w:jc w:val="center"/>
              <w:rPr>
                <w:rFonts w:eastAsia="Times New Roman"/>
                <w:sz w:val="16"/>
                <w:szCs w:val="16"/>
                <w:lang w:eastAsia="en-US"/>
              </w:rPr>
            </w:pPr>
            <w:r>
              <w:rPr>
                <w:rFonts w:eastAsia="Times New Roman"/>
                <w:sz w:val="16"/>
                <w:szCs w:val="16"/>
                <w:lang w:eastAsia="en-US"/>
              </w:rPr>
              <w:t> </w:t>
            </w:r>
          </w:p>
        </w:tc>
        <w:tc>
          <w:tcPr>
            <w:tcW w:w="972" w:type="dxa"/>
            <w:tcBorders>
              <w:top w:val="nil"/>
              <w:left w:val="nil"/>
              <w:bottom w:val="single" w:sz="4" w:space="0" w:color="auto"/>
              <w:right w:val="single" w:sz="4" w:space="0" w:color="auto"/>
            </w:tcBorders>
            <w:noWrap/>
            <w:vAlign w:val="bottom"/>
            <w:hideMark/>
          </w:tcPr>
          <w:p w:rsidR="005727C2" w:rsidRDefault="005727C2">
            <w:pPr>
              <w:rPr>
                <w:rFonts w:eastAsia="Times New Roman"/>
                <w:sz w:val="16"/>
                <w:szCs w:val="16"/>
                <w:lang w:eastAsia="en-US"/>
              </w:rPr>
            </w:pPr>
            <w:r>
              <w:rPr>
                <w:rFonts w:eastAsia="Times New Roman"/>
                <w:sz w:val="16"/>
                <w:szCs w:val="16"/>
                <w:lang w:eastAsia="en-US"/>
              </w:rPr>
              <w:t> </w:t>
            </w:r>
          </w:p>
        </w:tc>
        <w:tc>
          <w:tcPr>
            <w:tcW w:w="1186" w:type="dxa"/>
            <w:tcBorders>
              <w:top w:val="nil"/>
              <w:left w:val="nil"/>
              <w:bottom w:val="single" w:sz="4" w:space="0" w:color="auto"/>
              <w:right w:val="single" w:sz="4" w:space="0" w:color="auto"/>
            </w:tcBorders>
            <w:noWrap/>
            <w:vAlign w:val="center"/>
            <w:hideMark/>
          </w:tcPr>
          <w:p w:rsidR="005727C2" w:rsidRDefault="005727C2">
            <w:pPr>
              <w:jc w:val="center"/>
              <w:rPr>
                <w:rFonts w:eastAsia="Times New Roman"/>
                <w:sz w:val="16"/>
                <w:szCs w:val="16"/>
                <w:lang w:eastAsia="en-US"/>
              </w:rPr>
            </w:pPr>
            <w:r>
              <w:rPr>
                <w:rFonts w:eastAsia="Times New Roman"/>
                <w:sz w:val="16"/>
                <w:szCs w:val="16"/>
                <w:lang w:eastAsia="en-US"/>
              </w:rPr>
              <w:t xml:space="preserve"> - </w:t>
            </w:r>
          </w:p>
        </w:tc>
        <w:tc>
          <w:tcPr>
            <w:tcW w:w="865" w:type="dxa"/>
            <w:tcBorders>
              <w:top w:val="nil"/>
              <w:left w:val="nil"/>
              <w:bottom w:val="single" w:sz="4" w:space="0" w:color="auto"/>
              <w:right w:val="single" w:sz="4" w:space="0" w:color="auto"/>
            </w:tcBorders>
            <w:shd w:val="clear" w:color="auto" w:fill="FFFFFF"/>
            <w:noWrap/>
            <w:vAlign w:val="center"/>
            <w:hideMark/>
          </w:tcPr>
          <w:p w:rsidR="005727C2" w:rsidRDefault="005727C2">
            <w:pPr>
              <w:jc w:val="center"/>
              <w:rPr>
                <w:rFonts w:eastAsia="Times New Roman"/>
                <w:sz w:val="16"/>
                <w:szCs w:val="16"/>
                <w:lang w:eastAsia="en-US"/>
              </w:rPr>
            </w:pPr>
            <w:r>
              <w:rPr>
                <w:rFonts w:eastAsia="Times New Roman"/>
                <w:sz w:val="16"/>
                <w:szCs w:val="16"/>
                <w:lang w:eastAsia="en-US"/>
              </w:rPr>
              <w:t>3</w:t>
            </w:r>
          </w:p>
        </w:tc>
        <w:tc>
          <w:tcPr>
            <w:tcW w:w="684" w:type="dxa"/>
            <w:tcBorders>
              <w:top w:val="nil"/>
              <w:left w:val="nil"/>
              <w:bottom w:val="single" w:sz="4" w:space="0" w:color="auto"/>
              <w:right w:val="single" w:sz="4" w:space="0" w:color="auto"/>
            </w:tcBorders>
            <w:noWrap/>
            <w:vAlign w:val="center"/>
            <w:hideMark/>
          </w:tcPr>
          <w:p w:rsidR="005727C2" w:rsidRDefault="005727C2">
            <w:pPr>
              <w:jc w:val="center"/>
              <w:rPr>
                <w:rFonts w:eastAsia="Times New Roman"/>
                <w:sz w:val="16"/>
                <w:szCs w:val="16"/>
                <w:lang w:eastAsia="en-US"/>
              </w:rPr>
            </w:pPr>
            <w:r>
              <w:rPr>
                <w:rFonts w:eastAsia="Times New Roman"/>
                <w:sz w:val="16"/>
                <w:szCs w:val="16"/>
                <w:lang w:eastAsia="en-US"/>
              </w:rPr>
              <w:t xml:space="preserve"> - </w:t>
            </w:r>
          </w:p>
        </w:tc>
        <w:tc>
          <w:tcPr>
            <w:tcW w:w="957" w:type="dxa"/>
            <w:tcBorders>
              <w:top w:val="nil"/>
              <w:left w:val="nil"/>
              <w:bottom w:val="single" w:sz="4" w:space="0" w:color="auto"/>
              <w:right w:val="single" w:sz="4" w:space="0" w:color="auto"/>
            </w:tcBorders>
            <w:noWrap/>
            <w:vAlign w:val="bottom"/>
            <w:hideMark/>
          </w:tcPr>
          <w:p w:rsidR="005727C2" w:rsidRDefault="005727C2">
            <w:pPr>
              <w:rPr>
                <w:rFonts w:eastAsia="Times New Roman"/>
                <w:color w:val="000000"/>
                <w:sz w:val="16"/>
                <w:szCs w:val="16"/>
                <w:lang w:eastAsia="en-US"/>
              </w:rPr>
            </w:pPr>
            <w:r>
              <w:rPr>
                <w:rFonts w:eastAsia="Times New Roman"/>
                <w:color w:val="000000"/>
                <w:sz w:val="16"/>
                <w:szCs w:val="16"/>
                <w:lang w:eastAsia="en-US"/>
              </w:rPr>
              <w:t> </w:t>
            </w:r>
          </w:p>
        </w:tc>
      </w:tr>
      <w:tr w:rsidR="005727C2" w:rsidTr="005727C2">
        <w:trPr>
          <w:trHeight w:val="20"/>
        </w:trPr>
        <w:tc>
          <w:tcPr>
            <w:tcW w:w="865" w:type="dxa"/>
            <w:tcBorders>
              <w:top w:val="nil"/>
              <w:left w:val="single" w:sz="4" w:space="0" w:color="auto"/>
              <w:bottom w:val="single" w:sz="4" w:space="0" w:color="auto"/>
              <w:right w:val="single" w:sz="4" w:space="0" w:color="auto"/>
            </w:tcBorders>
            <w:shd w:val="clear" w:color="auto" w:fill="FFFFFF"/>
            <w:vAlign w:val="center"/>
            <w:hideMark/>
          </w:tcPr>
          <w:p w:rsidR="005727C2" w:rsidRDefault="005727C2">
            <w:pPr>
              <w:jc w:val="center"/>
              <w:rPr>
                <w:rFonts w:eastAsia="Times New Roman"/>
                <w:sz w:val="16"/>
                <w:szCs w:val="16"/>
                <w:lang w:eastAsia="en-US"/>
              </w:rPr>
            </w:pPr>
            <w:r>
              <w:rPr>
                <w:rFonts w:eastAsia="Times New Roman"/>
                <w:sz w:val="16"/>
                <w:szCs w:val="16"/>
                <w:lang w:eastAsia="en-US"/>
              </w:rPr>
              <w:t>В.3.10.4</w:t>
            </w:r>
          </w:p>
        </w:tc>
        <w:tc>
          <w:tcPr>
            <w:tcW w:w="1435" w:type="dxa"/>
            <w:tcBorders>
              <w:top w:val="nil"/>
              <w:left w:val="nil"/>
              <w:bottom w:val="single" w:sz="4" w:space="0" w:color="auto"/>
              <w:right w:val="single" w:sz="4" w:space="0" w:color="auto"/>
            </w:tcBorders>
            <w:vAlign w:val="center"/>
            <w:hideMark/>
          </w:tcPr>
          <w:p w:rsidR="005727C2" w:rsidRDefault="005727C2">
            <w:pPr>
              <w:rPr>
                <w:rFonts w:eastAsia="Times New Roman"/>
                <w:sz w:val="16"/>
                <w:szCs w:val="16"/>
                <w:lang w:eastAsia="en-US"/>
              </w:rPr>
            </w:pPr>
            <w:r>
              <w:rPr>
                <w:rFonts w:eastAsia="Times New Roman"/>
                <w:sz w:val="16"/>
                <w:szCs w:val="16"/>
                <w:lang w:eastAsia="en-US"/>
              </w:rPr>
              <w:t xml:space="preserve">общая сумма административных штрафов, наложенных по итогам проведения мероприятий по </w:t>
            </w:r>
            <w:r>
              <w:rPr>
                <w:rFonts w:eastAsia="Times New Roman"/>
                <w:sz w:val="16"/>
                <w:szCs w:val="16"/>
                <w:lang w:eastAsia="en-US"/>
              </w:rPr>
              <w:lastRenderedPageBreak/>
              <w:t>контролю без взаимодействия с юридическими лицами, индивидуальными предпринимателями</w:t>
            </w:r>
          </w:p>
        </w:tc>
        <w:tc>
          <w:tcPr>
            <w:tcW w:w="1575" w:type="dxa"/>
            <w:tcBorders>
              <w:top w:val="nil"/>
              <w:left w:val="nil"/>
              <w:bottom w:val="single" w:sz="4" w:space="0" w:color="auto"/>
              <w:right w:val="single" w:sz="4" w:space="0" w:color="auto"/>
            </w:tcBorders>
            <w:vAlign w:val="center"/>
            <w:hideMark/>
          </w:tcPr>
          <w:p w:rsidR="005727C2" w:rsidRDefault="005727C2">
            <w:pPr>
              <w:rPr>
                <w:rFonts w:eastAsia="Times New Roman"/>
                <w:sz w:val="16"/>
                <w:szCs w:val="16"/>
                <w:lang w:eastAsia="en-US"/>
              </w:rPr>
            </w:pPr>
            <w:r>
              <w:rPr>
                <w:rFonts w:eastAsia="Times New Roman"/>
                <w:sz w:val="16"/>
                <w:szCs w:val="16"/>
                <w:lang w:eastAsia="en-US"/>
              </w:rPr>
              <w:lastRenderedPageBreak/>
              <w:t xml:space="preserve">показатель устанавливается в соответствии с общей суммой наложенных штрафов, с учетом в том числе </w:t>
            </w:r>
            <w:r>
              <w:rPr>
                <w:rFonts w:eastAsia="Times New Roman"/>
                <w:sz w:val="16"/>
                <w:szCs w:val="16"/>
                <w:lang w:eastAsia="en-US"/>
              </w:rPr>
              <w:lastRenderedPageBreak/>
              <w:t>штрафов, наложенных на должностных лиц, индивидуальных предпринимателей и юридических лиц. Показатель устанавливается в млн. руб.</w:t>
            </w:r>
          </w:p>
        </w:tc>
        <w:tc>
          <w:tcPr>
            <w:tcW w:w="939" w:type="dxa"/>
            <w:tcBorders>
              <w:top w:val="nil"/>
              <w:left w:val="nil"/>
              <w:bottom w:val="single" w:sz="4" w:space="0" w:color="auto"/>
              <w:right w:val="single" w:sz="4" w:space="0" w:color="auto"/>
            </w:tcBorders>
            <w:noWrap/>
            <w:vAlign w:val="center"/>
            <w:hideMark/>
          </w:tcPr>
          <w:p w:rsidR="005727C2" w:rsidRDefault="005727C2">
            <w:pPr>
              <w:jc w:val="center"/>
              <w:rPr>
                <w:rFonts w:eastAsia="Times New Roman"/>
                <w:sz w:val="16"/>
                <w:szCs w:val="16"/>
                <w:lang w:eastAsia="en-US"/>
              </w:rPr>
            </w:pPr>
            <w:r>
              <w:rPr>
                <w:rFonts w:eastAsia="Times New Roman"/>
                <w:sz w:val="16"/>
                <w:szCs w:val="16"/>
                <w:lang w:eastAsia="en-US"/>
              </w:rPr>
              <w:lastRenderedPageBreak/>
              <w:t xml:space="preserve"> - </w:t>
            </w:r>
          </w:p>
        </w:tc>
        <w:tc>
          <w:tcPr>
            <w:tcW w:w="972" w:type="dxa"/>
            <w:tcBorders>
              <w:top w:val="nil"/>
              <w:left w:val="nil"/>
              <w:bottom w:val="single" w:sz="4" w:space="0" w:color="auto"/>
              <w:right w:val="single" w:sz="4" w:space="0" w:color="auto"/>
            </w:tcBorders>
            <w:noWrap/>
            <w:vAlign w:val="bottom"/>
            <w:hideMark/>
          </w:tcPr>
          <w:p w:rsidR="005727C2" w:rsidRDefault="005727C2">
            <w:pPr>
              <w:rPr>
                <w:rFonts w:eastAsia="Times New Roman"/>
                <w:sz w:val="16"/>
                <w:szCs w:val="16"/>
                <w:lang w:eastAsia="en-US"/>
              </w:rPr>
            </w:pPr>
            <w:r>
              <w:rPr>
                <w:rFonts w:eastAsia="Times New Roman"/>
                <w:sz w:val="16"/>
                <w:szCs w:val="16"/>
                <w:lang w:eastAsia="en-US"/>
              </w:rPr>
              <w:t> </w:t>
            </w:r>
          </w:p>
        </w:tc>
        <w:tc>
          <w:tcPr>
            <w:tcW w:w="1186" w:type="dxa"/>
            <w:tcBorders>
              <w:top w:val="nil"/>
              <w:left w:val="nil"/>
              <w:bottom w:val="single" w:sz="4" w:space="0" w:color="auto"/>
              <w:right w:val="single" w:sz="4" w:space="0" w:color="auto"/>
            </w:tcBorders>
            <w:noWrap/>
            <w:vAlign w:val="center"/>
            <w:hideMark/>
          </w:tcPr>
          <w:p w:rsidR="005727C2" w:rsidRDefault="005727C2">
            <w:pPr>
              <w:jc w:val="center"/>
              <w:rPr>
                <w:rFonts w:eastAsia="Times New Roman"/>
                <w:sz w:val="16"/>
                <w:szCs w:val="16"/>
                <w:lang w:eastAsia="en-US"/>
              </w:rPr>
            </w:pPr>
            <w:r>
              <w:rPr>
                <w:rFonts w:eastAsia="Times New Roman"/>
                <w:sz w:val="16"/>
                <w:szCs w:val="16"/>
                <w:lang w:eastAsia="en-US"/>
              </w:rPr>
              <w:t xml:space="preserve"> - </w:t>
            </w:r>
          </w:p>
        </w:tc>
        <w:tc>
          <w:tcPr>
            <w:tcW w:w="865" w:type="dxa"/>
            <w:tcBorders>
              <w:top w:val="nil"/>
              <w:left w:val="nil"/>
              <w:bottom w:val="single" w:sz="4" w:space="0" w:color="auto"/>
              <w:right w:val="single" w:sz="4" w:space="0" w:color="auto"/>
            </w:tcBorders>
            <w:shd w:val="clear" w:color="auto" w:fill="FFFFFF"/>
            <w:noWrap/>
            <w:vAlign w:val="center"/>
            <w:hideMark/>
          </w:tcPr>
          <w:p w:rsidR="005727C2" w:rsidRDefault="005727C2">
            <w:pPr>
              <w:jc w:val="center"/>
              <w:rPr>
                <w:rFonts w:eastAsia="Times New Roman"/>
                <w:sz w:val="16"/>
                <w:szCs w:val="16"/>
                <w:lang w:eastAsia="en-US"/>
              </w:rPr>
            </w:pPr>
            <w:r>
              <w:rPr>
                <w:rFonts w:eastAsia="Times New Roman"/>
                <w:sz w:val="16"/>
                <w:szCs w:val="16"/>
                <w:lang w:eastAsia="en-US"/>
              </w:rPr>
              <w:t>1,92</w:t>
            </w:r>
          </w:p>
        </w:tc>
        <w:tc>
          <w:tcPr>
            <w:tcW w:w="684" w:type="dxa"/>
            <w:tcBorders>
              <w:top w:val="nil"/>
              <w:left w:val="nil"/>
              <w:bottom w:val="single" w:sz="4" w:space="0" w:color="auto"/>
              <w:right w:val="single" w:sz="4" w:space="0" w:color="auto"/>
            </w:tcBorders>
            <w:noWrap/>
            <w:vAlign w:val="center"/>
            <w:hideMark/>
          </w:tcPr>
          <w:p w:rsidR="005727C2" w:rsidRDefault="005727C2">
            <w:pPr>
              <w:jc w:val="center"/>
              <w:rPr>
                <w:rFonts w:eastAsia="Times New Roman"/>
                <w:sz w:val="16"/>
                <w:szCs w:val="16"/>
                <w:lang w:eastAsia="en-US"/>
              </w:rPr>
            </w:pPr>
            <w:r>
              <w:rPr>
                <w:rFonts w:eastAsia="Times New Roman"/>
                <w:sz w:val="16"/>
                <w:szCs w:val="16"/>
                <w:lang w:eastAsia="en-US"/>
              </w:rPr>
              <w:t xml:space="preserve"> - </w:t>
            </w:r>
          </w:p>
        </w:tc>
        <w:tc>
          <w:tcPr>
            <w:tcW w:w="957" w:type="dxa"/>
            <w:tcBorders>
              <w:top w:val="nil"/>
              <w:left w:val="nil"/>
              <w:bottom w:val="single" w:sz="4" w:space="0" w:color="auto"/>
              <w:right w:val="single" w:sz="4" w:space="0" w:color="auto"/>
            </w:tcBorders>
            <w:noWrap/>
            <w:vAlign w:val="bottom"/>
            <w:hideMark/>
          </w:tcPr>
          <w:p w:rsidR="005727C2" w:rsidRDefault="005727C2">
            <w:pPr>
              <w:rPr>
                <w:rFonts w:eastAsia="Times New Roman"/>
                <w:color w:val="000000"/>
                <w:sz w:val="16"/>
                <w:szCs w:val="16"/>
                <w:lang w:eastAsia="en-US"/>
              </w:rPr>
            </w:pPr>
            <w:r>
              <w:rPr>
                <w:rFonts w:eastAsia="Times New Roman"/>
                <w:color w:val="000000"/>
                <w:sz w:val="16"/>
                <w:szCs w:val="16"/>
                <w:lang w:eastAsia="en-US"/>
              </w:rPr>
              <w:t> </w:t>
            </w:r>
          </w:p>
        </w:tc>
      </w:tr>
      <w:tr w:rsidR="005727C2" w:rsidTr="005727C2">
        <w:trPr>
          <w:trHeight w:val="20"/>
        </w:trPr>
        <w:tc>
          <w:tcPr>
            <w:tcW w:w="865" w:type="dxa"/>
            <w:tcBorders>
              <w:top w:val="nil"/>
              <w:left w:val="single" w:sz="4" w:space="0" w:color="auto"/>
              <w:bottom w:val="single" w:sz="4" w:space="0" w:color="auto"/>
              <w:right w:val="single" w:sz="4" w:space="0" w:color="auto"/>
            </w:tcBorders>
            <w:shd w:val="clear" w:color="auto" w:fill="FFFFFF"/>
            <w:vAlign w:val="center"/>
            <w:hideMark/>
          </w:tcPr>
          <w:p w:rsidR="005727C2" w:rsidRDefault="005727C2">
            <w:pPr>
              <w:jc w:val="center"/>
              <w:rPr>
                <w:rFonts w:eastAsia="Times New Roman"/>
                <w:sz w:val="16"/>
                <w:szCs w:val="16"/>
                <w:lang w:eastAsia="en-US"/>
              </w:rPr>
            </w:pPr>
            <w:r>
              <w:rPr>
                <w:rFonts w:eastAsia="Times New Roman"/>
                <w:sz w:val="16"/>
                <w:szCs w:val="16"/>
                <w:lang w:eastAsia="en-US"/>
              </w:rPr>
              <w:lastRenderedPageBreak/>
              <w:t>В.3.10.4.1</w:t>
            </w:r>
          </w:p>
        </w:tc>
        <w:tc>
          <w:tcPr>
            <w:tcW w:w="1435" w:type="dxa"/>
            <w:tcBorders>
              <w:top w:val="nil"/>
              <w:left w:val="nil"/>
              <w:bottom w:val="single" w:sz="4" w:space="0" w:color="auto"/>
              <w:right w:val="single" w:sz="4" w:space="0" w:color="auto"/>
            </w:tcBorders>
            <w:vAlign w:val="center"/>
            <w:hideMark/>
          </w:tcPr>
          <w:p w:rsidR="005727C2" w:rsidRDefault="005727C2">
            <w:pPr>
              <w:rPr>
                <w:rFonts w:eastAsia="Times New Roman"/>
                <w:sz w:val="16"/>
                <w:szCs w:val="16"/>
                <w:lang w:eastAsia="en-US"/>
              </w:rPr>
            </w:pPr>
            <w:r>
              <w:rPr>
                <w:rFonts w:eastAsia="Times New Roman"/>
                <w:sz w:val="16"/>
                <w:szCs w:val="16"/>
                <w:lang w:eastAsia="en-US"/>
              </w:rPr>
              <w:t>в том числе - наложенных на юридических лиц</w:t>
            </w:r>
          </w:p>
        </w:tc>
        <w:tc>
          <w:tcPr>
            <w:tcW w:w="1575" w:type="dxa"/>
            <w:tcBorders>
              <w:top w:val="nil"/>
              <w:left w:val="nil"/>
              <w:bottom w:val="single" w:sz="4" w:space="0" w:color="auto"/>
              <w:right w:val="single" w:sz="4" w:space="0" w:color="auto"/>
            </w:tcBorders>
            <w:vAlign w:val="center"/>
            <w:hideMark/>
          </w:tcPr>
          <w:p w:rsidR="005727C2" w:rsidRDefault="005727C2">
            <w:pPr>
              <w:rPr>
                <w:rFonts w:eastAsia="Times New Roman"/>
                <w:sz w:val="16"/>
                <w:szCs w:val="16"/>
                <w:lang w:eastAsia="en-US"/>
              </w:rPr>
            </w:pPr>
            <w:r>
              <w:rPr>
                <w:rFonts w:eastAsia="Times New Roman"/>
                <w:sz w:val="16"/>
                <w:szCs w:val="16"/>
                <w:lang w:eastAsia="en-US"/>
              </w:rPr>
              <w:t> </w:t>
            </w:r>
          </w:p>
        </w:tc>
        <w:tc>
          <w:tcPr>
            <w:tcW w:w="939" w:type="dxa"/>
            <w:tcBorders>
              <w:top w:val="nil"/>
              <w:left w:val="nil"/>
              <w:bottom w:val="single" w:sz="4" w:space="0" w:color="auto"/>
              <w:right w:val="single" w:sz="4" w:space="0" w:color="auto"/>
            </w:tcBorders>
            <w:noWrap/>
            <w:vAlign w:val="center"/>
            <w:hideMark/>
          </w:tcPr>
          <w:p w:rsidR="005727C2" w:rsidRDefault="005727C2">
            <w:pPr>
              <w:jc w:val="center"/>
              <w:rPr>
                <w:rFonts w:eastAsia="Times New Roman"/>
                <w:sz w:val="16"/>
                <w:szCs w:val="16"/>
                <w:lang w:eastAsia="en-US"/>
              </w:rPr>
            </w:pPr>
            <w:r>
              <w:rPr>
                <w:rFonts w:eastAsia="Times New Roman"/>
                <w:sz w:val="16"/>
                <w:szCs w:val="16"/>
                <w:lang w:eastAsia="en-US"/>
              </w:rPr>
              <w:t> </w:t>
            </w:r>
          </w:p>
        </w:tc>
        <w:tc>
          <w:tcPr>
            <w:tcW w:w="972" w:type="dxa"/>
            <w:tcBorders>
              <w:top w:val="nil"/>
              <w:left w:val="nil"/>
              <w:bottom w:val="single" w:sz="4" w:space="0" w:color="auto"/>
              <w:right w:val="single" w:sz="4" w:space="0" w:color="auto"/>
            </w:tcBorders>
            <w:noWrap/>
            <w:vAlign w:val="bottom"/>
            <w:hideMark/>
          </w:tcPr>
          <w:p w:rsidR="005727C2" w:rsidRDefault="005727C2">
            <w:pPr>
              <w:rPr>
                <w:rFonts w:eastAsia="Times New Roman"/>
                <w:sz w:val="16"/>
                <w:szCs w:val="16"/>
                <w:lang w:eastAsia="en-US"/>
              </w:rPr>
            </w:pPr>
            <w:r>
              <w:rPr>
                <w:rFonts w:eastAsia="Times New Roman"/>
                <w:sz w:val="16"/>
                <w:szCs w:val="16"/>
                <w:lang w:eastAsia="en-US"/>
              </w:rPr>
              <w:t> </w:t>
            </w:r>
          </w:p>
        </w:tc>
        <w:tc>
          <w:tcPr>
            <w:tcW w:w="1186" w:type="dxa"/>
            <w:tcBorders>
              <w:top w:val="nil"/>
              <w:left w:val="nil"/>
              <w:bottom w:val="single" w:sz="4" w:space="0" w:color="auto"/>
              <w:right w:val="single" w:sz="4" w:space="0" w:color="auto"/>
            </w:tcBorders>
            <w:noWrap/>
            <w:vAlign w:val="center"/>
            <w:hideMark/>
          </w:tcPr>
          <w:p w:rsidR="005727C2" w:rsidRDefault="005727C2">
            <w:pPr>
              <w:jc w:val="center"/>
              <w:rPr>
                <w:rFonts w:eastAsia="Times New Roman"/>
                <w:sz w:val="16"/>
                <w:szCs w:val="16"/>
                <w:lang w:eastAsia="en-US"/>
              </w:rPr>
            </w:pPr>
            <w:r>
              <w:rPr>
                <w:rFonts w:eastAsia="Times New Roman"/>
                <w:sz w:val="16"/>
                <w:szCs w:val="16"/>
                <w:lang w:eastAsia="en-US"/>
              </w:rPr>
              <w:t xml:space="preserve"> - </w:t>
            </w:r>
          </w:p>
        </w:tc>
        <w:tc>
          <w:tcPr>
            <w:tcW w:w="865" w:type="dxa"/>
            <w:tcBorders>
              <w:top w:val="nil"/>
              <w:left w:val="nil"/>
              <w:bottom w:val="single" w:sz="4" w:space="0" w:color="auto"/>
              <w:right w:val="single" w:sz="4" w:space="0" w:color="auto"/>
            </w:tcBorders>
            <w:shd w:val="clear" w:color="auto" w:fill="FFFFFF"/>
            <w:noWrap/>
            <w:vAlign w:val="center"/>
            <w:hideMark/>
          </w:tcPr>
          <w:p w:rsidR="005727C2" w:rsidRDefault="005727C2">
            <w:pPr>
              <w:jc w:val="center"/>
              <w:rPr>
                <w:rFonts w:eastAsia="Times New Roman"/>
                <w:sz w:val="16"/>
                <w:szCs w:val="16"/>
                <w:lang w:eastAsia="en-US"/>
              </w:rPr>
            </w:pPr>
            <w:r>
              <w:rPr>
                <w:rFonts w:eastAsia="Times New Roman"/>
                <w:sz w:val="16"/>
                <w:szCs w:val="16"/>
                <w:lang w:eastAsia="en-US"/>
              </w:rPr>
              <w:t>1,4</w:t>
            </w:r>
          </w:p>
        </w:tc>
        <w:tc>
          <w:tcPr>
            <w:tcW w:w="684" w:type="dxa"/>
            <w:tcBorders>
              <w:top w:val="nil"/>
              <w:left w:val="nil"/>
              <w:bottom w:val="single" w:sz="4" w:space="0" w:color="auto"/>
              <w:right w:val="single" w:sz="4" w:space="0" w:color="auto"/>
            </w:tcBorders>
            <w:noWrap/>
            <w:vAlign w:val="center"/>
            <w:hideMark/>
          </w:tcPr>
          <w:p w:rsidR="005727C2" w:rsidRDefault="005727C2">
            <w:pPr>
              <w:jc w:val="center"/>
              <w:rPr>
                <w:rFonts w:eastAsia="Times New Roman"/>
                <w:sz w:val="16"/>
                <w:szCs w:val="16"/>
                <w:lang w:eastAsia="en-US"/>
              </w:rPr>
            </w:pPr>
            <w:r>
              <w:rPr>
                <w:rFonts w:eastAsia="Times New Roman"/>
                <w:sz w:val="16"/>
                <w:szCs w:val="16"/>
                <w:lang w:eastAsia="en-US"/>
              </w:rPr>
              <w:t xml:space="preserve"> - </w:t>
            </w:r>
          </w:p>
        </w:tc>
        <w:tc>
          <w:tcPr>
            <w:tcW w:w="957" w:type="dxa"/>
            <w:tcBorders>
              <w:top w:val="nil"/>
              <w:left w:val="nil"/>
              <w:bottom w:val="single" w:sz="4" w:space="0" w:color="auto"/>
              <w:right w:val="single" w:sz="4" w:space="0" w:color="auto"/>
            </w:tcBorders>
            <w:vAlign w:val="center"/>
            <w:hideMark/>
          </w:tcPr>
          <w:p w:rsidR="005727C2" w:rsidRDefault="005727C2">
            <w:pPr>
              <w:rPr>
                <w:rFonts w:eastAsia="Times New Roman"/>
                <w:sz w:val="16"/>
                <w:szCs w:val="16"/>
                <w:lang w:eastAsia="en-US"/>
              </w:rPr>
            </w:pPr>
            <w:r>
              <w:rPr>
                <w:rFonts w:eastAsia="Times New Roman"/>
                <w:sz w:val="16"/>
                <w:szCs w:val="16"/>
                <w:lang w:eastAsia="en-US"/>
              </w:rPr>
              <w:t> </w:t>
            </w:r>
          </w:p>
        </w:tc>
      </w:tr>
      <w:tr w:rsidR="005727C2" w:rsidTr="005727C2">
        <w:trPr>
          <w:trHeight w:val="20"/>
        </w:trPr>
        <w:tc>
          <w:tcPr>
            <w:tcW w:w="865" w:type="dxa"/>
            <w:tcBorders>
              <w:top w:val="nil"/>
              <w:left w:val="single" w:sz="4" w:space="0" w:color="auto"/>
              <w:bottom w:val="single" w:sz="4" w:space="0" w:color="auto"/>
              <w:right w:val="single" w:sz="4" w:space="0" w:color="auto"/>
            </w:tcBorders>
            <w:shd w:val="clear" w:color="auto" w:fill="FFFFFF"/>
            <w:vAlign w:val="center"/>
            <w:hideMark/>
          </w:tcPr>
          <w:p w:rsidR="005727C2" w:rsidRDefault="005727C2">
            <w:pPr>
              <w:jc w:val="center"/>
              <w:rPr>
                <w:rFonts w:eastAsia="Times New Roman"/>
                <w:sz w:val="16"/>
                <w:szCs w:val="16"/>
                <w:lang w:eastAsia="en-US"/>
              </w:rPr>
            </w:pPr>
            <w:r>
              <w:rPr>
                <w:rFonts w:eastAsia="Times New Roman"/>
                <w:sz w:val="16"/>
                <w:szCs w:val="16"/>
                <w:lang w:eastAsia="en-US"/>
              </w:rPr>
              <w:t>В.3.10.4.2</w:t>
            </w:r>
          </w:p>
        </w:tc>
        <w:tc>
          <w:tcPr>
            <w:tcW w:w="1435" w:type="dxa"/>
            <w:tcBorders>
              <w:top w:val="nil"/>
              <w:left w:val="nil"/>
              <w:bottom w:val="single" w:sz="4" w:space="0" w:color="auto"/>
              <w:right w:val="single" w:sz="4" w:space="0" w:color="auto"/>
            </w:tcBorders>
            <w:vAlign w:val="center"/>
            <w:hideMark/>
          </w:tcPr>
          <w:p w:rsidR="005727C2" w:rsidRDefault="005727C2">
            <w:pPr>
              <w:rPr>
                <w:rFonts w:eastAsia="Times New Roman"/>
                <w:sz w:val="16"/>
                <w:szCs w:val="16"/>
                <w:lang w:eastAsia="en-US"/>
              </w:rPr>
            </w:pPr>
            <w:r>
              <w:rPr>
                <w:rFonts w:eastAsia="Times New Roman"/>
                <w:sz w:val="16"/>
                <w:szCs w:val="16"/>
                <w:lang w:eastAsia="en-US"/>
              </w:rPr>
              <w:t>в том числе - наложенных на должностных лиц</w:t>
            </w:r>
          </w:p>
        </w:tc>
        <w:tc>
          <w:tcPr>
            <w:tcW w:w="1575" w:type="dxa"/>
            <w:tcBorders>
              <w:top w:val="nil"/>
              <w:left w:val="nil"/>
              <w:bottom w:val="single" w:sz="4" w:space="0" w:color="auto"/>
              <w:right w:val="single" w:sz="4" w:space="0" w:color="auto"/>
            </w:tcBorders>
            <w:vAlign w:val="center"/>
            <w:hideMark/>
          </w:tcPr>
          <w:p w:rsidR="005727C2" w:rsidRDefault="005727C2">
            <w:pPr>
              <w:rPr>
                <w:rFonts w:eastAsia="Times New Roman"/>
                <w:sz w:val="16"/>
                <w:szCs w:val="16"/>
                <w:lang w:eastAsia="en-US"/>
              </w:rPr>
            </w:pPr>
            <w:r>
              <w:rPr>
                <w:rFonts w:eastAsia="Times New Roman"/>
                <w:sz w:val="16"/>
                <w:szCs w:val="16"/>
                <w:lang w:eastAsia="en-US"/>
              </w:rPr>
              <w:t> </w:t>
            </w:r>
          </w:p>
        </w:tc>
        <w:tc>
          <w:tcPr>
            <w:tcW w:w="939" w:type="dxa"/>
            <w:tcBorders>
              <w:top w:val="nil"/>
              <w:left w:val="nil"/>
              <w:bottom w:val="single" w:sz="4" w:space="0" w:color="auto"/>
              <w:right w:val="single" w:sz="4" w:space="0" w:color="auto"/>
            </w:tcBorders>
            <w:noWrap/>
            <w:vAlign w:val="center"/>
            <w:hideMark/>
          </w:tcPr>
          <w:p w:rsidR="005727C2" w:rsidRDefault="005727C2">
            <w:pPr>
              <w:jc w:val="center"/>
              <w:rPr>
                <w:rFonts w:eastAsia="Times New Roman"/>
                <w:sz w:val="16"/>
                <w:szCs w:val="16"/>
                <w:lang w:eastAsia="en-US"/>
              </w:rPr>
            </w:pPr>
            <w:r>
              <w:rPr>
                <w:rFonts w:eastAsia="Times New Roman"/>
                <w:sz w:val="16"/>
                <w:szCs w:val="16"/>
                <w:lang w:eastAsia="en-US"/>
              </w:rPr>
              <w:t> </w:t>
            </w:r>
          </w:p>
        </w:tc>
        <w:tc>
          <w:tcPr>
            <w:tcW w:w="972" w:type="dxa"/>
            <w:tcBorders>
              <w:top w:val="nil"/>
              <w:left w:val="nil"/>
              <w:bottom w:val="single" w:sz="4" w:space="0" w:color="auto"/>
              <w:right w:val="single" w:sz="4" w:space="0" w:color="auto"/>
            </w:tcBorders>
            <w:noWrap/>
            <w:vAlign w:val="bottom"/>
            <w:hideMark/>
          </w:tcPr>
          <w:p w:rsidR="005727C2" w:rsidRDefault="005727C2">
            <w:pPr>
              <w:rPr>
                <w:rFonts w:eastAsia="Times New Roman"/>
                <w:sz w:val="16"/>
                <w:szCs w:val="16"/>
                <w:lang w:eastAsia="en-US"/>
              </w:rPr>
            </w:pPr>
            <w:r>
              <w:rPr>
                <w:rFonts w:eastAsia="Times New Roman"/>
                <w:sz w:val="16"/>
                <w:szCs w:val="16"/>
                <w:lang w:eastAsia="en-US"/>
              </w:rPr>
              <w:t> </w:t>
            </w:r>
          </w:p>
        </w:tc>
        <w:tc>
          <w:tcPr>
            <w:tcW w:w="1186" w:type="dxa"/>
            <w:tcBorders>
              <w:top w:val="nil"/>
              <w:left w:val="nil"/>
              <w:bottom w:val="single" w:sz="4" w:space="0" w:color="auto"/>
              <w:right w:val="single" w:sz="4" w:space="0" w:color="auto"/>
            </w:tcBorders>
            <w:noWrap/>
            <w:vAlign w:val="center"/>
            <w:hideMark/>
          </w:tcPr>
          <w:p w:rsidR="005727C2" w:rsidRDefault="005727C2">
            <w:pPr>
              <w:jc w:val="center"/>
              <w:rPr>
                <w:rFonts w:eastAsia="Times New Roman"/>
                <w:sz w:val="16"/>
                <w:szCs w:val="16"/>
                <w:lang w:eastAsia="en-US"/>
              </w:rPr>
            </w:pPr>
            <w:r>
              <w:rPr>
                <w:rFonts w:eastAsia="Times New Roman"/>
                <w:sz w:val="16"/>
                <w:szCs w:val="16"/>
                <w:lang w:eastAsia="en-US"/>
              </w:rPr>
              <w:t xml:space="preserve"> - </w:t>
            </w:r>
          </w:p>
        </w:tc>
        <w:tc>
          <w:tcPr>
            <w:tcW w:w="865" w:type="dxa"/>
            <w:tcBorders>
              <w:top w:val="nil"/>
              <w:left w:val="nil"/>
              <w:bottom w:val="single" w:sz="4" w:space="0" w:color="auto"/>
              <w:right w:val="single" w:sz="4" w:space="0" w:color="auto"/>
            </w:tcBorders>
            <w:shd w:val="clear" w:color="auto" w:fill="FFFFFF"/>
            <w:noWrap/>
            <w:vAlign w:val="center"/>
            <w:hideMark/>
          </w:tcPr>
          <w:p w:rsidR="005727C2" w:rsidRDefault="005727C2">
            <w:pPr>
              <w:jc w:val="center"/>
              <w:rPr>
                <w:rFonts w:eastAsia="Times New Roman"/>
                <w:sz w:val="16"/>
                <w:szCs w:val="16"/>
                <w:lang w:eastAsia="en-US"/>
              </w:rPr>
            </w:pPr>
            <w:r>
              <w:rPr>
                <w:rFonts w:eastAsia="Times New Roman"/>
                <w:sz w:val="16"/>
                <w:szCs w:val="16"/>
                <w:lang w:eastAsia="en-US"/>
              </w:rPr>
              <w:t>0,52</w:t>
            </w:r>
          </w:p>
        </w:tc>
        <w:tc>
          <w:tcPr>
            <w:tcW w:w="684" w:type="dxa"/>
            <w:tcBorders>
              <w:top w:val="nil"/>
              <w:left w:val="nil"/>
              <w:bottom w:val="single" w:sz="4" w:space="0" w:color="auto"/>
              <w:right w:val="single" w:sz="4" w:space="0" w:color="auto"/>
            </w:tcBorders>
            <w:noWrap/>
            <w:vAlign w:val="center"/>
            <w:hideMark/>
          </w:tcPr>
          <w:p w:rsidR="005727C2" w:rsidRDefault="005727C2">
            <w:pPr>
              <w:jc w:val="center"/>
              <w:rPr>
                <w:rFonts w:eastAsia="Times New Roman"/>
                <w:sz w:val="16"/>
                <w:szCs w:val="16"/>
                <w:lang w:eastAsia="en-US"/>
              </w:rPr>
            </w:pPr>
            <w:r>
              <w:rPr>
                <w:rFonts w:eastAsia="Times New Roman"/>
                <w:sz w:val="16"/>
                <w:szCs w:val="16"/>
                <w:lang w:eastAsia="en-US"/>
              </w:rPr>
              <w:t xml:space="preserve"> - </w:t>
            </w:r>
          </w:p>
        </w:tc>
        <w:tc>
          <w:tcPr>
            <w:tcW w:w="957" w:type="dxa"/>
            <w:tcBorders>
              <w:top w:val="nil"/>
              <w:left w:val="nil"/>
              <w:bottom w:val="single" w:sz="4" w:space="0" w:color="auto"/>
              <w:right w:val="single" w:sz="4" w:space="0" w:color="auto"/>
            </w:tcBorders>
            <w:vAlign w:val="center"/>
            <w:hideMark/>
          </w:tcPr>
          <w:p w:rsidR="005727C2" w:rsidRDefault="005727C2">
            <w:pPr>
              <w:rPr>
                <w:rFonts w:eastAsia="Times New Roman"/>
                <w:sz w:val="16"/>
                <w:szCs w:val="16"/>
                <w:lang w:eastAsia="en-US"/>
              </w:rPr>
            </w:pPr>
            <w:r>
              <w:rPr>
                <w:rFonts w:eastAsia="Times New Roman"/>
                <w:sz w:val="16"/>
                <w:szCs w:val="16"/>
                <w:lang w:eastAsia="en-US"/>
              </w:rPr>
              <w:t> </w:t>
            </w:r>
          </w:p>
        </w:tc>
      </w:tr>
      <w:tr w:rsidR="005727C2" w:rsidTr="005727C2">
        <w:trPr>
          <w:trHeight w:val="20"/>
        </w:trPr>
        <w:tc>
          <w:tcPr>
            <w:tcW w:w="865" w:type="dxa"/>
            <w:tcBorders>
              <w:top w:val="nil"/>
              <w:left w:val="single" w:sz="4" w:space="0" w:color="auto"/>
              <w:bottom w:val="single" w:sz="4" w:space="0" w:color="auto"/>
              <w:right w:val="single" w:sz="4" w:space="0" w:color="auto"/>
            </w:tcBorders>
            <w:shd w:val="clear" w:color="auto" w:fill="FFFFFF"/>
            <w:vAlign w:val="center"/>
            <w:hideMark/>
          </w:tcPr>
          <w:p w:rsidR="005727C2" w:rsidRDefault="005727C2">
            <w:pPr>
              <w:jc w:val="center"/>
              <w:rPr>
                <w:rFonts w:eastAsia="Times New Roman"/>
                <w:sz w:val="16"/>
                <w:szCs w:val="16"/>
                <w:lang w:eastAsia="en-US"/>
              </w:rPr>
            </w:pPr>
            <w:r>
              <w:rPr>
                <w:rFonts w:eastAsia="Times New Roman"/>
                <w:sz w:val="16"/>
                <w:szCs w:val="16"/>
                <w:lang w:eastAsia="en-US"/>
              </w:rPr>
              <w:t>В.3.10.5</w:t>
            </w:r>
          </w:p>
        </w:tc>
        <w:tc>
          <w:tcPr>
            <w:tcW w:w="1435" w:type="dxa"/>
            <w:tcBorders>
              <w:top w:val="nil"/>
              <w:left w:val="nil"/>
              <w:bottom w:val="single" w:sz="4" w:space="0" w:color="auto"/>
              <w:right w:val="single" w:sz="4" w:space="0" w:color="auto"/>
            </w:tcBorders>
            <w:vAlign w:val="center"/>
            <w:hideMark/>
          </w:tcPr>
          <w:p w:rsidR="005727C2" w:rsidRDefault="005727C2">
            <w:pPr>
              <w:rPr>
                <w:rFonts w:eastAsia="Times New Roman"/>
                <w:sz w:val="16"/>
                <w:szCs w:val="16"/>
                <w:lang w:eastAsia="en-US"/>
              </w:rPr>
            </w:pPr>
            <w:r>
              <w:rPr>
                <w:rFonts w:eastAsia="Times New Roman"/>
                <w:sz w:val="16"/>
                <w:szCs w:val="16"/>
                <w:lang w:eastAsia="en-US"/>
              </w:rPr>
              <w:t>общая сумма уплаченных (взысканных) административных штрафов, наложенных по итогам проведенных мероприятий по контролю без взаимодействия с юридическими лицами, индивидуальными предпринимателями</w:t>
            </w:r>
          </w:p>
        </w:tc>
        <w:tc>
          <w:tcPr>
            <w:tcW w:w="1575" w:type="dxa"/>
            <w:tcBorders>
              <w:top w:val="nil"/>
              <w:left w:val="nil"/>
              <w:bottom w:val="single" w:sz="4" w:space="0" w:color="auto"/>
              <w:right w:val="single" w:sz="4" w:space="0" w:color="auto"/>
            </w:tcBorders>
            <w:vAlign w:val="center"/>
            <w:hideMark/>
          </w:tcPr>
          <w:p w:rsidR="005727C2" w:rsidRDefault="005727C2">
            <w:pPr>
              <w:rPr>
                <w:rFonts w:eastAsia="Times New Roman"/>
                <w:sz w:val="16"/>
                <w:szCs w:val="16"/>
                <w:lang w:eastAsia="en-US"/>
              </w:rPr>
            </w:pPr>
            <w:r>
              <w:rPr>
                <w:rFonts w:eastAsia="Times New Roman"/>
                <w:sz w:val="16"/>
                <w:szCs w:val="16"/>
                <w:lang w:eastAsia="en-US"/>
              </w:rPr>
              <w:t>показатель учитывает сумму уплаченных (взысканных) административных штрафов (млн. руб.)</w:t>
            </w:r>
          </w:p>
        </w:tc>
        <w:tc>
          <w:tcPr>
            <w:tcW w:w="939" w:type="dxa"/>
            <w:tcBorders>
              <w:top w:val="nil"/>
              <w:left w:val="nil"/>
              <w:bottom w:val="single" w:sz="4" w:space="0" w:color="auto"/>
              <w:right w:val="single" w:sz="4" w:space="0" w:color="auto"/>
            </w:tcBorders>
            <w:noWrap/>
            <w:vAlign w:val="center"/>
            <w:hideMark/>
          </w:tcPr>
          <w:p w:rsidR="005727C2" w:rsidRDefault="005727C2">
            <w:pPr>
              <w:jc w:val="center"/>
              <w:rPr>
                <w:rFonts w:eastAsia="Times New Roman"/>
                <w:sz w:val="16"/>
                <w:szCs w:val="16"/>
                <w:lang w:eastAsia="en-US"/>
              </w:rPr>
            </w:pPr>
            <w:r>
              <w:rPr>
                <w:rFonts w:eastAsia="Times New Roman"/>
                <w:sz w:val="16"/>
                <w:szCs w:val="16"/>
                <w:lang w:eastAsia="en-US"/>
              </w:rPr>
              <w:t xml:space="preserve"> - </w:t>
            </w:r>
          </w:p>
        </w:tc>
        <w:tc>
          <w:tcPr>
            <w:tcW w:w="972" w:type="dxa"/>
            <w:tcBorders>
              <w:top w:val="nil"/>
              <w:left w:val="nil"/>
              <w:bottom w:val="single" w:sz="4" w:space="0" w:color="auto"/>
              <w:right w:val="single" w:sz="4" w:space="0" w:color="auto"/>
            </w:tcBorders>
            <w:noWrap/>
            <w:vAlign w:val="bottom"/>
            <w:hideMark/>
          </w:tcPr>
          <w:p w:rsidR="005727C2" w:rsidRDefault="005727C2">
            <w:pPr>
              <w:rPr>
                <w:rFonts w:eastAsia="Times New Roman"/>
                <w:sz w:val="16"/>
                <w:szCs w:val="16"/>
                <w:lang w:eastAsia="en-US"/>
              </w:rPr>
            </w:pPr>
            <w:r>
              <w:rPr>
                <w:rFonts w:eastAsia="Times New Roman"/>
                <w:sz w:val="16"/>
                <w:szCs w:val="16"/>
                <w:lang w:eastAsia="en-US"/>
              </w:rPr>
              <w:t> </w:t>
            </w:r>
          </w:p>
        </w:tc>
        <w:tc>
          <w:tcPr>
            <w:tcW w:w="1186" w:type="dxa"/>
            <w:tcBorders>
              <w:top w:val="nil"/>
              <w:left w:val="nil"/>
              <w:bottom w:val="single" w:sz="4" w:space="0" w:color="auto"/>
              <w:right w:val="single" w:sz="4" w:space="0" w:color="auto"/>
            </w:tcBorders>
            <w:noWrap/>
            <w:vAlign w:val="center"/>
            <w:hideMark/>
          </w:tcPr>
          <w:p w:rsidR="005727C2" w:rsidRDefault="005727C2">
            <w:pPr>
              <w:jc w:val="center"/>
              <w:rPr>
                <w:rFonts w:eastAsia="Times New Roman"/>
                <w:sz w:val="16"/>
                <w:szCs w:val="16"/>
                <w:lang w:eastAsia="en-US"/>
              </w:rPr>
            </w:pPr>
            <w:r>
              <w:rPr>
                <w:rFonts w:eastAsia="Times New Roman"/>
                <w:sz w:val="16"/>
                <w:szCs w:val="16"/>
                <w:lang w:eastAsia="en-US"/>
              </w:rPr>
              <w:t xml:space="preserve"> - </w:t>
            </w:r>
          </w:p>
        </w:tc>
        <w:tc>
          <w:tcPr>
            <w:tcW w:w="865" w:type="dxa"/>
            <w:tcBorders>
              <w:top w:val="nil"/>
              <w:left w:val="nil"/>
              <w:bottom w:val="single" w:sz="4" w:space="0" w:color="auto"/>
              <w:right w:val="single" w:sz="4" w:space="0" w:color="auto"/>
            </w:tcBorders>
            <w:shd w:val="clear" w:color="auto" w:fill="FFFFFF"/>
            <w:noWrap/>
            <w:vAlign w:val="center"/>
            <w:hideMark/>
          </w:tcPr>
          <w:p w:rsidR="005727C2" w:rsidRDefault="005727C2">
            <w:pPr>
              <w:jc w:val="center"/>
              <w:rPr>
                <w:rFonts w:eastAsia="Times New Roman"/>
                <w:sz w:val="16"/>
                <w:szCs w:val="16"/>
                <w:lang w:eastAsia="en-US"/>
              </w:rPr>
            </w:pPr>
            <w:r>
              <w:rPr>
                <w:rFonts w:eastAsia="Times New Roman"/>
                <w:sz w:val="16"/>
                <w:szCs w:val="16"/>
                <w:lang w:eastAsia="en-US"/>
              </w:rPr>
              <w:t>1,08</w:t>
            </w:r>
          </w:p>
        </w:tc>
        <w:tc>
          <w:tcPr>
            <w:tcW w:w="684" w:type="dxa"/>
            <w:tcBorders>
              <w:top w:val="nil"/>
              <w:left w:val="nil"/>
              <w:bottom w:val="single" w:sz="4" w:space="0" w:color="auto"/>
              <w:right w:val="single" w:sz="4" w:space="0" w:color="auto"/>
            </w:tcBorders>
            <w:noWrap/>
            <w:vAlign w:val="center"/>
            <w:hideMark/>
          </w:tcPr>
          <w:p w:rsidR="005727C2" w:rsidRDefault="005727C2">
            <w:pPr>
              <w:jc w:val="center"/>
              <w:rPr>
                <w:rFonts w:eastAsia="Times New Roman"/>
                <w:sz w:val="16"/>
                <w:szCs w:val="16"/>
                <w:lang w:eastAsia="en-US"/>
              </w:rPr>
            </w:pPr>
            <w:r>
              <w:rPr>
                <w:rFonts w:eastAsia="Times New Roman"/>
                <w:sz w:val="16"/>
                <w:szCs w:val="16"/>
                <w:lang w:eastAsia="en-US"/>
              </w:rPr>
              <w:t xml:space="preserve"> - </w:t>
            </w:r>
          </w:p>
        </w:tc>
        <w:tc>
          <w:tcPr>
            <w:tcW w:w="957" w:type="dxa"/>
            <w:tcBorders>
              <w:top w:val="nil"/>
              <w:left w:val="nil"/>
              <w:bottom w:val="single" w:sz="4" w:space="0" w:color="auto"/>
              <w:right w:val="single" w:sz="4" w:space="0" w:color="auto"/>
            </w:tcBorders>
            <w:noWrap/>
            <w:vAlign w:val="bottom"/>
            <w:hideMark/>
          </w:tcPr>
          <w:p w:rsidR="005727C2" w:rsidRDefault="005727C2">
            <w:pPr>
              <w:rPr>
                <w:rFonts w:eastAsia="Times New Roman"/>
                <w:color w:val="000000"/>
                <w:sz w:val="16"/>
                <w:szCs w:val="16"/>
                <w:lang w:eastAsia="en-US"/>
              </w:rPr>
            </w:pPr>
            <w:r>
              <w:rPr>
                <w:rFonts w:eastAsia="Times New Roman"/>
                <w:color w:val="000000"/>
                <w:sz w:val="16"/>
                <w:szCs w:val="16"/>
                <w:lang w:eastAsia="en-US"/>
              </w:rPr>
              <w:t> </w:t>
            </w:r>
          </w:p>
        </w:tc>
      </w:tr>
      <w:tr w:rsidR="005727C2" w:rsidTr="005727C2">
        <w:trPr>
          <w:trHeight w:val="20"/>
        </w:trPr>
        <w:tc>
          <w:tcPr>
            <w:tcW w:w="865" w:type="dxa"/>
            <w:tcBorders>
              <w:top w:val="nil"/>
              <w:left w:val="single" w:sz="4" w:space="0" w:color="auto"/>
              <w:bottom w:val="single" w:sz="4" w:space="0" w:color="auto"/>
              <w:right w:val="single" w:sz="4" w:space="0" w:color="auto"/>
            </w:tcBorders>
            <w:shd w:val="clear" w:color="auto" w:fill="FFFFFF"/>
            <w:vAlign w:val="center"/>
            <w:hideMark/>
          </w:tcPr>
          <w:p w:rsidR="005727C2" w:rsidRDefault="005727C2">
            <w:pPr>
              <w:jc w:val="center"/>
              <w:rPr>
                <w:rFonts w:eastAsia="Times New Roman"/>
                <w:sz w:val="16"/>
                <w:szCs w:val="16"/>
                <w:lang w:eastAsia="en-US"/>
              </w:rPr>
            </w:pPr>
            <w:r>
              <w:rPr>
                <w:rFonts w:eastAsia="Times New Roman"/>
                <w:sz w:val="16"/>
                <w:szCs w:val="16"/>
                <w:lang w:eastAsia="en-US"/>
              </w:rPr>
              <w:t>В.3.10.6</w:t>
            </w:r>
          </w:p>
        </w:tc>
        <w:tc>
          <w:tcPr>
            <w:tcW w:w="1435" w:type="dxa"/>
            <w:tcBorders>
              <w:top w:val="nil"/>
              <w:left w:val="nil"/>
              <w:bottom w:val="single" w:sz="4" w:space="0" w:color="auto"/>
              <w:right w:val="single" w:sz="4" w:space="0" w:color="auto"/>
            </w:tcBorders>
            <w:vAlign w:val="center"/>
            <w:hideMark/>
          </w:tcPr>
          <w:p w:rsidR="005727C2" w:rsidRDefault="005727C2">
            <w:pPr>
              <w:rPr>
                <w:rFonts w:eastAsia="Times New Roman"/>
                <w:sz w:val="16"/>
                <w:szCs w:val="16"/>
                <w:lang w:eastAsia="en-US"/>
              </w:rPr>
            </w:pPr>
            <w:r>
              <w:rPr>
                <w:rFonts w:eastAsia="Times New Roman"/>
                <w:sz w:val="16"/>
                <w:szCs w:val="16"/>
                <w:lang w:eastAsia="en-US"/>
              </w:rPr>
              <w:t>отношение суммы взысканных административных штрафов к общей сумме наложенных административных штрафов</w:t>
            </w:r>
          </w:p>
        </w:tc>
        <w:tc>
          <w:tcPr>
            <w:tcW w:w="1575" w:type="dxa"/>
            <w:tcBorders>
              <w:top w:val="nil"/>
              <w:left w:val="nil"/>
              <w:bottom w:val="single" w:sz="4" w:space="0" w:color="auto"/>
              <w:right w:val="single" w:sz="4" w:space="0" w:color="auto"/>
            </w:tcBorders>
            <w:vAlign w:val="center"/>
            <w:hideMark/>
          </w:tcPr>
          <w:p w:rsidR="005727C2" w:rsidRDefault="005727C2">
            <w:pPr>
              <w:rPr>
                <w:rFonts w:eastAsia="Times New Roman"/>
                <w:sz w:val="16"/>
                <w:szCs w:val="16"/>
                <w:lang w:eastAsia="en-US"/>
              </w:rPr>
            </w:pPr>
            <w:r>
              <w:rPr>
                <w:rFonts w:eastAsia="Times New Roman"/>
                <w:sz w:val="16"/>
                <w:szCs w:val="16"/>
                <w:lang w:eastAsia="en-US"/>
              </w:rPr>
              <w:t xml:space="preserve">показатель устанавливается в процентах </w:t>
            </w:r>
          </w:p>
        </w:tc>
        <w:tc>
          <w:tcPr>
            <w:tcW w:w="939" w:type="dxa"/>
            <w:tcBorders>
              <w:top w:val="nil"/>
              <w:left w:val="nil"/>
              <w:bottom w:val="single" w:sz="4" w:space="0" w:color="auto"/>
              <w:right w:val="single" w:sz="4" w:space="0" w:color="auto"/>
            </w:tcBorders>
            <w:noWrap/>
            <w:vAlign w:val="center"/>
            <w:hideMark/>
          </w:tcPr>
          <w:p w:rsidR="005727C2" w:rsidRDefault="005727C2">
            <w:pPr>
              <w:jc w:val="center"/>
              <w:rPr>
                <w:rFonts w:eastAsia="Times New Roman"/>
                <w:sz w:val="16"/>
                <w:szCs w:val="16"/>
                <w:lang w:eastAsia="en-US"/>
              </w:rPr>
            </w:pPr>
            <w:r>
              <w:rPr>
                <w:rFonts w:eastAsia="Times New Roman"/>
                <w:sz w:val="16"/>
                <w:szCs w:val="16"/>
                <w:lang w:eastAsia="en-US"/>
              </w:rPr>
              <w:t xml:space="preserve"> - </w:t>
            </w:r>
          </w:p>
        </w:tc>
        <w:tc>
          <w:tcPr>
            <w:tcW w:w="972" w:type="dxa"/>
            <w:tcBorders>
              <w:top w:val="nil"/>
              <w:left w:val="nil"/>
              <w:bottom w:val="single" w:sz="4" w:space="0" w:color="auto"/>
              <w:right w:val="single" w:sz="4" w:space="0" w:color="auto"/>
            </w:tcBorders>
            <w:noWrap/>
            <w:vAlign w:val="bottom"/>
            <w:hideMark/>
          </w:tcPr>
          <w:p w:rsidR="005727C2" w:rsidRDefault="005727C2">
            <w:pPr>
              <w:rPr>
                <w:rFonts w:eastAsia="Times New Roman"/>
                <w:sz w:val="16"/>
                <w:szCs w:val="16"/>
                <w:lang w:eastAsia="en-US"/>
              </w:rPr>
            </w:pPr>
            <w:r>
              <w:rPr>
                <w:rFonts w:eastAsia="Times New Roman"/>
                <w:sz w:val="16"/>
                <w:szCs w:val="16"/>
                <w:lang w:eastAsia="en-US"/>
              </w:rPr>
              <w:t> </w:t>
            </w:r>
          </w:p>
        </w:tc>
        <w:tc>
          <w:tcPr>
            <w:tcW w:w="1186" w:type="dxa"/>
            <w:tcBorders>
              <w:top w:val="nil"/>
              <w:left w:val="nil"/>
              <w:bottom w:val="single" w:sz="4" w:space="0" w:color="auto"/>
              <w:right w:val="single" w:sz="4" w:space="0" w:color="auto"/>
            </w:tcBorders>
            <w:noWrap/>
            <w:vAlign w:val="center"/>
            <w:hideMark/>
          </w:tcPr>
          <w:p w:rsidR="005727C2" w:rsidRDefault="005727C2">
            <w:pPr>
              <w:jc w:val="center"/>
              <w:rPr>
                <w:rFonts w:eastAsia="Times New Roman"/>
                <w:sz w:val="16"/>
                <w:szCs w:val="16"/>
                <w:lang w:eastAsia="en-US"/>
              </w:rPr>
            </w:pPr>
            <w:r>
              <w:rPr>
                <w:rFonts w:eastAsia="Times New Roman"/>
                <w:sz w:val="16"/>
                <w:szCs w:val="16"/>
                <w:lang w:eastAsia="en-US"/>
              </w:rPr>
              <w:t xml:space="preserve"> - </w:t>
            </w:r>
          </w:p>
        </w:tc>
        <w:tc>
          <w:tcPr>
            <w:tcW w:w="865" w:type="dxa"/>
            <w:tcBorders>
              <w:top w:val="nil"/>
              <w:left w:val="nil"/>
              <w:bottom w:val="single" w:sz="4" w:space="0" w:color="auto"/>
              <w:right w:val="single" w:sz="4" w:space="0" w:color="auto"/>
            </w:tcBorders>
            <w:shd w:val="clear" w:color="auto" w:fill="FFFFFF"/>
            <w:noWrap/>
            <w:vAlign w:val="center"/>
            <w:hideMark/>
          </w:tcPr>
          <w:p w:rsidR="005727C2" w:rsidRDefault="005727C2">
            <w:pPr>
              <w:jc w:val="center"/>
              <w:rPr>
                <w:rFonts w:eastAsia="Times New Roman"/>
                <w:sz w:val="16"/>
                <w:szCs w:val="16"/>
                <w:lang w:eastAsia="en-US"/>
              </w:rPr>
            </w:pPr>
            <w:r>
              <w:rPr>
                <w:rFonts w:eastAsia="Times New Roman"/>
                <w:sz w:val="16"/>
                <w:szCs w:val="16"/>
                <w:lang w:eastAsia="en-US"/>
              </w:rPr>
              <w:t>56,25%</w:t>
            </w:r>
          </w:p>
        </w:tc>
        <w:tc>
          <w:tcPr>
            <w:tcW w:w="684" w:type="dxa"/>
            <w:tcBorders>
              <w:top w:val="nil"/>
              <w:left w:val="nil"/>
              <w:bottom w:val="single" w:sz="4" w:space="0" w:color="auto"/>
              <w:right w:val="single" w:sz="4" w:space="0" w:color="auto"/>
            </w:tcBorders>
            <w:noWrap/>
            <w:vAlign w:val="center"/>
            <w:hideMark/>
          </w:tcPr>
          <w:p w:rsidR="005727C2" w:rsidRDefault="005727C2">
            <w:pPr>
              <w:jc w:val="center"/>
              <w:rPr>
                <w:rFonts w:eastAsia="Times New Roman"/>
                <w:sz w:val="16"/>
                <w:szCs w:val="16"/>
                <w:lang w:eastAsia="en-US"/>
              </w:rPr>
            </w:pPr>
            <w:r>
              <w:rPr>
                <w:rFonts w:eastAsia="Times New Roman"/>
                <w:sz w:val="16"/>
                <w:szCs w:val="16"/>
                <w:lang w:eastAsia="en-US"/>
              </w:rPr>
              <w:t xml:space="preserve"> - </w:t>
            </w:r>
          </w:p>
        </w:tc>
        <w:tc>
          <w:tcPr>
            <w:tcW w:w="957" w:type="dxa"/>
            <w:tcBorders>
              <w:top w:val="nil"/>
              <w:left w:val="nil"/>
              <w:bottom w:val="single" w:sz="4" w:space="0" w:color="auto"/>
              <w:right w:val="single" w:sz="4" w:space="0" w:color="auto"/>
            </w:tcBorders>
            <w:noWrap/>
            <w:vAlign w:val="bottom"/>
            <w:hideMark/>
          </w:tcPr>
          <w:p w:rsidR="005727C2" w:rsidRDefault="005727C2">
            <w:pPr>
              <w:rPr>
                <w:rFonts w:eastAsia="Times New Roman"/>
                <w:color w:val="000000"/>
                <w:sz w:val="16"/>
                <w:szCs w:val="16"/>
                <w:lang w:eastAsia="en-US"/>
              </w:rPr>
            </w:pPr>
            <w:r>
              <w:rPr>
                <w:rFonts w:eastAsia="Times New Roman"/>
                <w:color w:val="000000"/>
                <w:sz w:val="16"/>
                <w:szCs w:val="16"/>
                <w:lang w:eastAsia="en-US"/>
              </w:rPr>
              <w:t> </w:t>
            </w:r>
          </w:p>
        </w:tc>
      </w:tr>
      <w:tr w:rsidR="005727C2" w:rsidTr="005727C2">
        <w:trPr>
          <w:trHeight w:val="20"/>
        </w:trPr>
        <w:tc>
          <w:tcPr>
            <w:tcW w:w="865" w:type="dxa"/>
            <w:tcBorders>
              <w:top w:val="nil"/>
              <w:left w:val="single" w:sz="4" w:space="0" w:color="auto"/>
              <w:bottom w:val="single" w:sz="4" w:space="0" w:color="auto"/>
              <w:right w:val="single" w:sz="4" w:space="0" w:color="auto"/>
            </w:tcBorders>
            <w:shd w:val="clear" w:color="auto" w:fill="FFFFFF"/>
            <w:vAlign w:val="center"/>
            <w:hideMark/>
          </w:tcPr>
          <w:p w:rsidR="005727C2" w:rsidRDefault="005727C2">
            <w:pPr>
              <w:jc w:val="center"/>
              <w:rPr>
                <w:rFonts w:eastAsia="Times New Roman"/>
                <w:sz w:val="16"/>
                <w:szCs w:val="16"/>
                <w:lang w:eastAsia="en-US"/>
              </w:rPr>
            </w:pPr>
            <w:r>
              <w:rPr>
                <w:rFonts w:eastAsia="Times New Roman"/>
                <w:sz w:val="16"/>
                <w:szCs w:val="16"/>
                <w:lang w:eastAsia="en-US"/>
              </w:rPr>
              <w:t>В.3.10.7</w:t>
            </w:r>
          </w:p>
        </w:tc>
        <w:tc>
          <w:tcPr>
            <w:tcW w:w="1435" w:type="dxa"/>
            <w:tcBorders>
              <w:top w:val="nil"/>
              <w:left w:val="nil"/>
              <w:bottom w:val="single" w:sz="4" w:space="0" w:color="auto"/>
              <w:right w:val="single" w:sz="4" w:space="0" w:color="auto"/>
            </w:tcBorders>
            <w:vAlign w:val="center"/>
            <w:hideMark/>
          </w:tcPr>
          <w:p w:rsidR="005727C2" w:rsidRDefault="005727C2">
            <w:pPr>
              <w:rPr>
                <w:rFonts w:eastAsia="Times New Roman"/>
                <w:sz w:val="16"/>
                <w:szCs w:val="16"/>
                <w:lang w:eastAsia="en-US"/>
              </w:rPr>
            </w:pPr>
            <w:r>
              <w:rPr>
                <w:rFonts w:eastAsia="Times New Roman"/>
                <w:sz w:val="16"/>
                <w:szCs w:val="16"/>
                <w:lang w:eastAsia="en-US"/>
              </w:rPr>
              <w:t>среднее число должностных лиц, задействованных в одном мероприятии, осуществляемом без взаимодействия с юридическими лицами, индивидуальными предпринимателями</w:t>
            </w:r>
          </w:p>
        </w:tc>
        <w:tc>
          <w:tcPr>
            <w:tcW w:w="1575" w:type="dxa"/>
            <w:tcBorders>
              <w:top w:val="nil"/>
              <w:left w:val="nil"/>
              <w:bottom w:val="single" w:sz="4" w:space="0" w:color="auto"/>
              <w:right w:val="single" w:sz="4" w:space="0" w:color="auto"/>
            </w:tcBorders>
            <w:vAlign w:val="center"/>
            <w:hideMark/>
          </w:tcPr>
          <w:p w:rsidR="005727C2" w:rsidRDefault="005727C2">
            <w:pPr>
              <w:rPr>
                <w:rFonts w:eastAsia="Times New Roman"/>
                <w:sz w:val="16"/>
                <w:szCs w:val="16"/>
                <w:lang w:eastAsia="en-US"/>
              </w:rPr>
            </w:pPr>
            <w:r>
              <w:rPr>
                <w:rFonts w:eastAsia="Times New Roman"/>
                <w:sz w:val="16"/>
                <w:szCs w:val="16"/>
                <w:lang w:eastAsia="en-US"/>
              </w:rPr>
              <w:t>показатель устанавливается отдельно в отношении каждого вида мероприятия, осуществляемого без взаимодействия с юридическими лицами, индивидуальными предпринимателями</w:t>
            </w:r>
          </w:p>
        </w:tc>
        <w:tc>
          <w:tcPr>
            <w:tcW w:w="939" w:type="dxa"/>
            <w:tcBorders>
              <w:top w:val="nil"/>
              <w:left w:val="nil"/>
              <w:bottom w:val="single" w:sz="4" w:space="0" w:color="auto"/>
              <w:right w:val="single" w:sz="4" w:space="0" w:color="auto"/>
            </w:tcBorders>
            <w:noWrap/>
            <w:vAlign w:val="center"/>
            <w:hideMark/>
          </w:tcPr>
          <w:p w:rsidR="005727C2" w:rsidRDefault="005727C2">
            <w:pPr>
              <w:jc w:val="center"/>
              <w:rPr>
                <w:rFonts w:eastAsia="Times New Roman"/>
                <w:sz w:val="16"/>
                <w:szCs w:val="16"/>
                <w:lang w:eastAsia="en-US"/>
              </w:rPr>
            </w:pPr>
            <w:r>
              <w:rPr>
                <w:rFonts w:eastAsia="Times New Roman"/>
                <w:sz w:val="16"/>
                <w:szCs w:val="16"/>
                <w:lang w:eastAsia="en-US"/>
              </w:rPr>
              <w:t xml:space="preserve"> - </w:t>
            </w:r>
          </w:p>
        </w:tc>
        <w:tc>
          <w:tcPr>
            <w:tcW w:w="972" w:type="dxa"/>
            <w:tcBorders>
              <w:top w:val="nil"/>
              <w:left w:val="nil"/>
              <w:bottom w:val="single" w:sz="4" w:space="0" w:color="auto"/>
              <w:right w:val="single" w:sz="4" w:space="0" w:color="auto"/>
            </w:tcBorders>
            <w:noWrap/>
            <w:vAlign w:val="bottom"/>
            <w:hideMark/>
          </w:tcPr>
          <w:p w:rsidR="005727C2" w:rsidRDefault="005727C2">
            <w:pPr>
              <w:rPr>
                <w:rFonts w:eastAsia="Times New Roman"/>
                <w:sz w:val="16"/>
                <w:szCs w:val="16"/>
                <w:lang w:eastAsia="en-US"/>
              </w:rPr>
            </w:pPr>
            <w:r>
              <w:rPr>
                <w:rFonts w:eastAsia="Times New Roman"/>
                <w:sz w:val="16"/>
                <w:szCs w:val="16"/>
                <w:lang w:eastAsia="en-US"/>
              </w:rPr>
              <w:t> </w:t>
            </w:r>
          </w:p>
        </w:tc>
        <w:tc>
          <w:tcPr>
            <w:tcW w:w="1186" w:type="dxa"/>
            <w:tcBorders>
              <w:top w:val="nil"/>
              <w:left w:val="nil"/>
              <w:bottom w:val="single" w:sz="4" w:space="0" w:color="auto"/>
              <w:right w:val="single" w:sz="4" w:space="0" w:color="auto"/>
            </w:tcBorders>
            <w:noWrap/>
            <w:vAlign w:val="center"/>
            <w:hideMark/>
          </w:tcPr>
          <w:p w:rsidR="005727C2" w:rsidRDefault="005727C2">
            <w:pPr>
              <w:jc w:val="center"/>
              <w:rPr>
                <w:rFonts w:eastAsia="Times New Roman"/>
                <w:sz w:val="16"/>
                <w:szCs w:val="16"/>
                <w:lang w:eastAsia="en-US"/>
              </w:rPr>
            </w:pPr>
            <w:r>
              <w:rPr>
                <w:rFonts w:eastAsia="Times New Roman"/>
                <w:sz w:val="16"/>
                <w:szCs w:val="16"/>
                <w:lang w:eastAsia="en-US"/>
              </w:rPr>
              <w:t xml:space="preserve"> - </w:t>
            </w:r>
          </w:p>
        </w:tc>
        <w:tc>
          <w:tcPr>
            <w:tcW w:w="865" w:type="dxa"/>
            <w:tcBorders>
              <w:top w:val="nil"/>
              <w:left w:val="nil"/>
              <w:bottom w:val="single" w:sz="4" w:space="0" w:color="auto"/>
              <w:right w:val="single" w:sz="4" w:space="0" w:color="auto"/>
            </w:tcBorders>
            <w:shd w:val="clear" w:color="auto" w:fill="FFFFFF"/>
            <w:noWrap/>
            <w:vAlign w:val="center"/>
            <w:hideMark/>
          </w:tcPr>
          <w:p w:rsidR="005727C2" w:rsidRDefault="005727C2">
            <w:pPr>
              <w:jc w:val="center"/>
              <w:rPr>
                <w:rFonts w:eastAsia="Times New Roman"/>
                <w:sz w:val="16"/>
                <w:szCs w:val="16"/>
                <w:lang w:eastAsia="en-US"/>
              </w:rPr>
            </w:pPr>
            <w:r>
              <w:rPr>
                <w:rFonts w:eastAsia="Times New Roman"/>
                <w:sz w:val="16"/>
                <w:szCs w:val="16"/>
                <w:lang w:eastAsia="en-US"/>
              </w:rPr>
              <w:t>2</w:t>
            </w:r>
          </w:p>
        </w:tc>
        <w:tc>
          <w:tcPr>
            <w:tcW w:w="684" w:type="dxa"/>
            <w:tcBorders>
              <w:top w:val="nil"/>
              <w:left w:val="nil"/>
              <w:bottom w:val="single" w:sz="4" w:space="0" w:color="auto"/>
              <w:right w:val="single" w:sz="4" w:space="0" w:color="auto"/>
            </w:tcBorders>
            <w:noWrap/>
            <w:vAlign w:val="center"/>
            <w:hideMark/>
          </w:tcPr>
          <w:p w:rsidR="005727C2" w:rsidRDefault="005727C2">
            <w:pPr>
              <w:jc w:val="center"/>
              <w:rPr>
                <w:rFonts w:eastAsia="Times New Roman"/>
                <w:sz w:val="16"/>
                <w:szCs w:val="16"/>
                <w:lang w:eastAsia="en-US"/>
              </w:rPr>
            </w:pPr>
            <w:r>
              <w:rPr>
                <w:rFonts w:eastAsia="Times New Roman"/>
                <w:sz w:val="16"/>
                <w:szCs w:val="16"/>
                <w:lang w:eastAsia="en-US"/>
              </w:rPr>
              <w:t xml:space="preserve"> - </w:t>
            </w:r>
          </w:p>
        </w:tc>
        <w:tc>
          <w:tcPr>
            <w:tcW w:w="957" w:type="dxa"/>
            <w:tcBorders>
              <w:top w:val="nil"/>
              <w:left w:val="nil"/>
              <w:bottom w:val="single" w:sz="4" w:space="0" w:color="auto"/>
              <w:right w:val="single" w:sz="4" w:space="0" w:color="auto"/>
            </w:tcBorders>
            <w:noWrap/>
            <w:vAlign w:val="bottom"/>
            <w:hideMark/>
          </w:tcPr>
          <w:p w:rsidR="005727C2" w:rsidRDefault="005727C2">
            <w:pPr>
              <w:rPr>
                <w:rFonts w:eastAsia="Times New Roman"/>
                <w:color w:val="000000"/>
                <w:sz w:val="16"/>
                <w:szCs w:val="16"/>
                <w:lang w:eastAsia="en-US"/>
              </w:rPr>
            </w:pPr>
            <w:r>
              <w:rPr>
                <w:rFonts w:eastAsia="Times New Roman"/>
                <w:color w:val="000000"/>
                <w:sz w:val="16"/>
                <w:szCs w:val="16"/>
                <w:lang w:eastAsia="en-US"/>
              </w:rPr>
              <w:t> </w:t>
            </w:r>
          </w:p>
        </w:tc>
      </w:tr>
      <w:tr w:rsidR="005727C2" w:rsidTr="005727C2">
        <w:trPr>
          <w:trHeight w:val="20"/>
        </w:trPr>
        <w:tc>
          <w:tcPr>
            <w:tcW w:w="865" w:type="dxa"/>
            <w:tcBorders>
              <w:top w:val="nil"/>
              <w:left w:val="single" w:sz="4" w:space="0" w:color="auto"/>
              <w:bottom w:val="single" w:sz="4" w:space="0" w:color="auto"/>
              <w:right w:val="single" w:sz="4" w:space="0" w:color="auto"/>
            </w:tcBorders>
            <w:shd w:val="clear" w:color="auto" w:fill="FFFFFF"/>
            <w:vAlign w:val="center"/>
            <w:hideMark/>
          </w:tcPr>
          <w:p w:rsidR="005727C2" w:rsidRDefault="005727C2">
            <w:pPr>
              <w:jc w:val="center"/>
              <w:rPr>
                <w:rFonts w:eastAsia="Times New Roman"/>
                <w:sz w:val="16"/>
                <w:szCs w:val="16"/>
                <w:lang w:eastAsia="en-US"/>
              </w:rPr>
            </w:pPr>
            <w:r>
              <w:rPr>
                <w:rFonts w:eastAsia="Times New Roman"/>
                <w:sz w:val="16"/>
                <w:szCs w:val="16"/>
                <w:lang w:eastAsia="en-US"/>
              </w:rPr>
              <w:t>В.4</w:t>
            </w:r>
          </w:p>
        </w:tc>
        <w:tc>
          <w:tcPr>
            <w:tcW w:w="8613" w:type="dxa"/>
            <w:gridSpan w:val="8"/>
            <w:tcBorders>
              <w:top w:val="single" w:sz="4" w:space="0" w:color="auto"/>
              <w:left w:val="nil"/>
              <w:bottom w:val="single" w:sz="4" w:space="0" w:color="auto"/>
              <w:right w:val="single" w:sz="4" w:space="0" w:color="auto"/>
            </w:tcBorders>
            <w:shd w:val="clear" w:color="auto" w:fill="FFFFFF"/>
            <w:vAlign w:val="center"/>
            <w:hideMark/>
          </w:tcPr>
          <w:p w:rsidR="005727C2" w:rsidRDefault="005727C2">
            <w:pPr>
              <w:rPr>
                <w:rFonts w:eastAsia="Times New Roman"/>
                <w:sz w:val="16"/>
                <w:szCs w:val="16"/>
                <w:lang w:eastAsia="en-US"/>
              </w:rPr>
            </w:pPr>
            <w:r>
              <w:rPr>
                <w:rFonts w:eastAsia="Times New Roman"/>
                <w:sz w:val="16"/>
                <w:szCs w:val="16"/>
                <w:lang w:eastAsia="en-US"/>
              </w:rPr>
              <w:t>индикативные показатели, характеризующие объем задействованных трудовых, материальных и финансовых ресурсов</w:t>
            </w:r>
          </w:p>
        </w:tc>
      </w:tr>
      <w:tr w:rsidR="005727C2" w:rsidTr="005727C2">
        <w:trPr>
          <w:trHeight w:val="20"/>
        </w:trPr>
        <w:tc>
          <w:tcPr>
            <w:tcW w:w="865" w:type="dxa"/>
            <w:tcBorders>
              <w:top w:val="nil"/>
              <w:left w:val="single" w:sz="4" w:space="0" w:color="auto"/>
              <w:bottom w:val="single" w:sz="4" w:space="0" w:color="auto"/>
              <w:right w:val="single" w:sz="4" w:space="0" w:color="auto"/>
            </w:tcBorders>
            <w:shd w:val="clear" w:color="auto" w:fill="FFFFFF"/>
            <w:vAlign w:val="center"/>
            <w:hideMark/>
          </w:tcPr>
          <w:p w:rsidR="005727C2" w:rsidRDefault="005727C2">
            <w:pPr>
              <w:jc w:val="center"/>
              <w:rPr>
                <w:rFonts w:eastAsia="Times New Roman"/>
                <w:sz w:val="16"/>
                <w:szCs w:val="16"/>
                <w:lang w:eastAsia="en-US"/>
              </w:rPr>
            </w:pPr>
            <w:r>
              <w:rPr>
                <w:rFonts w:eastAsia="Times New Roman"/>
                <w:sz w:val="16"/>
                <w:szCs w:val="16"/>
                <w:lang w:eastAsia="en-US"/>
              </w:rPr>
              <w:t>В.4.1</w:t>
            </w:r>
          </w:p>
        </w:tc>
        <w:tc>
          <w:tcPr>
            <w:tcW w:w="1435" w:type="dxa"/>
            <w:tcBorders>
              <w:top w:val="nil"/>
              <w:left w:val="nil"/>
              <w:bottom w:val="single" w:sz="4" w:space="0" w:color="auto"/>
              <w:right w:val="single" w:sz="4" w:space="0" w:color="auto"/>
            </w:tcBorders>
            <w:shd w:val="clear" w:color="auto" w:fill="FFFFFF"/>
            <w:vAlign w:val="center"/>
            <w:hideMark/>
          </w:tcPr>
          <w:p w:rsidR="005727C2" w:rsidRDefault="005727C2">
            <w:pPr>
              <w:rPr>
                <w:rFonts w:eastAsia="Times New Roman"/>
                <w:sz w:val="16"/>
                <w:szCs w:val="16"/>
                <w:lang w:eastAsia="en-US"/>
              </w:rPr>
            </w:pPr>
            <w:r>
              <w:rPr>
                <w:rFonts w:eastAsia="Times New Roman"/>
                <w:sz w:val="16"/>
                <w:szCs w:val="16"/>
                <w:lang w:eastAsia="en-US"/>
              </w:rPr>
              <w:t xml:space="preserve">объем финансовых средств, выделяемых в отчетном периоде из </w:t>
            </w:r>
            <w:r>
              <w:rPr>
                <w:rFonts w:eastAsia="Times New Roman"/>
                <w:sz w:val="16"/>
                <w:szCs w:val="16"/>
                <w:lang w:eastAsia="en-US"/>
              </w:rPr>
              <w:lastRenderedPageBreak/>
              <w:t xml:space="preserve">бюджетов всех уровней на выполнение функций по контролю (надзору) </w:t>
            </w:r>
          </w:p>
        </w:tc>
        <w:tc>
          <w:tcPr>
            <w:tcW w:w="1575" w:type="dxa"/>
            <w:tcBorders>
              <w:top w:val="nil"/>
              <w:left w:val="nil"/>
              <w:bottom w:val="single" w:sz="4" w:space="0" w:color="auto"/>
              <w:right w:val="single" w:sz="4" w:space="0" w:color="auto"/>
            </w:tcBorders>
            <w:shd w:val="clear" w:color="auto" w:fill="FFFFFF"/>
            <w:vAlign w:val="center"/>
            <w:hideMark/>
          </w:tcPr>
          <w:p w:rsidR="005727C2" w:rsidRDefault="005727C2">
            <w:pPr>
              <w:rPr>
                <w:rFonts w:eastAsia="Times New Roman"/>
                <w:sz w:val="16"/>
                <w:szCs w:val="16"/>
                <w:lang w:eastAsia="en-US"/>
              </w:rPr>
            </w:pPr>
            <w:r>
              <w:rPr>
                <w:rFonts w:eastAsia="Times New Roman"/>
                <w:sz w:val="16"/>
                <w:szCs w:val="16"/>
                <w:lang w:eastAsia="en-US"/>
              </w:rPr>
              <w:lastRenderedPageBreak/>
              <w:t>показатель устанавливается в млн. руб.</w:t>
            </w:r>
          </w:p>
        </w:tc>
        <w:tc>
          <w:tcPr>
            <w:tcW w:w="939" w:type="dxa"/>
            <w:tcBorders>
              <w:top w:val="nil"/>
              <w:left w:val="nil"/>
              <w:bottom w:val="single" w:sz="4" w:space="0" w:color="auto"/>
              <w:right w:val="single" w:sz="4" w:space="0" w:color="auto"/>
            </w:tcBorders>
            <w:shd w:val="clear" w:color="auto" w:fill="FFFFFF"/>
            <w:noWrap/>
            <w:vAlign w:val="center"/>
            <w:hideMark/>
          </w:tcPr>
          <w:p w:rsidR="005727C2" w:rsidRDefault="005727C2">
            <w:pPr>
              <w:jc w:val="center"/>
              <w:rPr>
                <w:rFonts w:eastAsia="Times New Roman"/>
                <w:sz w:val="16"/>
                <w:szCs w:val="16"/>
                <w:lang w:eastAsia="en-US"/>
              </w:rPr>
            </w:pPr>
            <w:r>
              <w:rPr>
                <w:rFonts w:eastAsia="Times New Roman"/>
                <w:sz w:val="16"/>
                <w:szCs w:val="16"/>
                <w:lang w:eastAsia="en-US"/>
              </w:rPr>
              <w:t xml:space="preserve"> - </w:t>
            </w:r>
          </w:p>
        </w:tc>
        <w:tc>
          <w:tcPr>
            <w:tcW w:w="972" w:type="dxa"/>
            <w:tcBorders>
              <w:top w:val="nil"/>
              <w:left w:val="nil"/>
              <w:bottom w:val="single" w:sz="4" w:space="0" w:color="auto"/>
              <w:right w:val="single" w:sz="4" w:space="0" w:color="auto"/>
            </w:tcBorders>
            <w:shd w:val="clear" w:color="auto" w:fill="FFFFFF"/>
            <w:noWrap/>
            <w:vAlign w:val="bottom"/>
            <w:hideMark/>
          </w:tcPr>
          <w:p w:rsidR="005727C2" w:rsidRDefault="005727C2">
            <w:pPr>
              <w:rPr>
                <w:rFonts w:eastAsia="Times New Roman"/>
                <w:sz w:val="16"/>
                <w:szCs w:val="16"/>
                <w:lang w:eastAsia="en-US"/>
              </w:rPr>
            </w:pPr>
            <w:r>
              <w:rPr>
                <w:rFonts w:eastAsia="Times New Roman"/>
                <w:sz w:val="16"/>
                <w:szCs w:val="16"/>
                <w:lang w:eastAsia="en-US"/>
              </w:rPr>
              <w:t> </w:t>
            </w:r>
          </w:p>
        </w:tc>
        <w:tc>
          <w:tcPr>
            <w:tcW w:w="1186" w:type="dxa"/>
            <w:tcBorders>
              <w:top w:val="nil"/>
              <w:left w:val="nil"/>
              <w:bottom w:val="single" w:sz="4" w:space="0" w:color="auto"/>
              <w:right w:val="single" w:sz="4" w:space="0" w:color="auto"/>
            </w:tcBorders>
            <w:shd w:val="clear" w:color="auto" w:fill="FFFFFF"/>
            <w:noWrap/>
            <w:vAlign w:val="center"/>
            <w:hideMark/>
          </w:tcPr>
          <w:p w:rsidR="005727C2" w:rsidRDefault="005727C2">
            <w:pPr>
              <w:jc w:val="center"/>
              <w:rPr>
                <w:rFonts w:eastAsia="Times New Roman"/>
                <w:sz w:val="16"/>
                <w:szCs w:val="16"/>
                <w:lang w:eastAsia="en-US"/>
              </w:rPr>
            </w:pPr>
            <w:r>
              <w:rPr>
                <w:rFonts w:eastAsia="Times New Roman"/>
                <w:sz w:val="16"/>
                <w:szCs w:val="16"/>
                <w:lang w:eastAsia="en-US"/>
              </w:rPr>
              <w:t xml:space="preserve"> - </w:t>
            </w:r>
          </w:p>
        </w:tc>
        <w:tc>
          <w:tcPr>
            <w:tcW w:w="865" w:type="dxa"/>
            <w:tcBorders>
              <w:top w:val="nil"/>
              <w:left w:val="nil"/>
              <w:bottom w:val="single" w:sz="4" w:space="0" w:color="auto"/>
              <w:right w:val="single" w:sz="4" w:space="0" w:color="auto"/>
            </w:tcBorders>
            <w:shd w:val="clear" w:color="auto" w:fill="FFFFFF"/>
            <w:noWrap/>
            <w:vAlign w:val="center"/>
            <w:hideMark/>
          </w:tcPr>
          <w:p w:rsidR="005727C2" w:rsidRDefault="005727C2">
            <w:pPr>
              <w:jc w:val="center"/>
              <w:rPr>
                <w:rFonts w:eastAsia="Times New Roman"/>
                <w:sz w:val="16"/>
                <w:szCs w:val="16"/>
                <w:lang w:eastAsia="en-US"/>
              </w:rPr>
            </w:pPr>
            <w:r>
              <w:rPr>
                <w:rFonts w:eastAsia="Times New Roman"/>
                <w:sz w:val="16"/>
                <w:szCs w:val="16"/>
                <w:lang w:eastAsia="en-US"/>
              </w:rPr>
              <w:t>80</w:t>
            </w:r>
          </w:p>
        </w:tc>
        <w:tc>
          <w:tcPr>
            <w:tcW w:w="684" w:type="dxa"/>
            <w:tcBorders>
              <w:top w:val="nil"/>
              <w:left w:val="nil"/>
              <w:bottom w:val="single" w:sz="4" w:space="0" w:color="auto"/>
              <w:right w:val="single" w:sz="4" w:space="0" w:color="auto"/>
            </w:tcBorders>
            <w:shd w:val="clear" w:color="auto" w:fill="FFFFFF"/>
            <w:noWrap/>
            <w:vAlign w:val="center"/>
            <w:hideMark/>
          </w:tcPr>
          <w:p w:rsidR="005727C2" w:rsidRDefault="005727C2">
            <w:pPr>
              <w:jc w:val="center"/>
              <w:rPr>
                <w:rFonts w:eastAsia="Times New Roman"/>
                <w:sz w:val="16"/>
                <w:szCs w:val="16"/>
                <w:lang w:eastAsia="en-US"/>
              </w:rPr>
            </w:pPr>
            <w:r>
              <w:rPr>
                <w:rFonts w:eastAsia="Times New Roman"/>
                <w:sz w:val="16"/>
                <w:szCs w:val="16"/>
                <w:lang w:eastAsia="en-US"/>
              </w:rPr>
              <w:t xml:space="preserve"> - </w:t>
            </w:r>
          </w:p>
        </w:tc>
        <w:tc>
          <w:tcPr>
            <w:tcW w:w="957" w:type="dxa"/>
            <w:tcBorders>
              <w:top w:val="nil"/>
              <w:left w:val="nil"/>
              <w:bottom w:val="single" w:sz="4" w:space="0" w:color="auto"/>
              <w:right w:val="single" w:sz="4" w:space="0" w:color="auto"/>
            </w:tcBorders>
            <w:shd w:val="clear" w:color="auto" w:fill="FFFFFF"/>
            <w:noWrap/>
            <w:vAlign w:val="bottom"/>
            <w:hideMark/>
          </w:tcPr>
          <w:p w:rsidR="005727C2" w:rsidRDefault="005727C2">
            <w:pPr>
              <w:rPr>
                <w:rFonts w:eastAsia="Times New Roman"/>
                <w:color w:val="000000"/>
                <w:sz w:val="16"/>
                <w:szCs w:val="16"/>
                <w:lang w:eastAsia="en-US"/>
              </w:rPr>
            </w:pPr>
            <w:r>
              <w:rPr>
                <w:rFonts w:eastAsia="Times New Roman"/>
                <w:color w:val="000000"/>
                <w:sz w:val="16"/>
                <w:szCs w:val="16"/>
                <w:lang w:eastAsia="en-US"/>
              </w:rPr>
              <w:t> </w:t>
            </w:r>
          </w:p>
        </w:tc>
      </w:tr>
      <w:tr w:rsidR="005727C2" w:rsidTr="005727C2">
        <w:trPr>
          <w:trHeight w:val="20"/>
        </w:trPr>
        <w:tc>
          <w:tcPr>
            <w:tcW w:w="865" w:type="dxa"/>
            <w:tcBorders>
              <w:top w:val="nil"/>
              <w:left w:val="single" w:sz="4" w:space="0" w:color="auto"/>
              <w:bottom w:val="single" w:sz="4" w:space="0" w:color="auto"/>
              <w:right w:val="single" w:sz="4" w:space="0" w:color="auto"/>
            </w:tcBorders>
            <w:shd w:val="clear" w:color="auto" w:fill="FFFFFF"/>
            <w:vAlign w:val="center"/>
            <w:hideMark/>
          </w:tcPr>
          <w:p w:rsidR="005727C2" w:rsidRDefault="005727C2">
            <w:pPr>
              <w:jc w:val="center"/>
              <w:rPr>
                <w:rFonts w:eastAsia="Times New Roman"/>
                <w:sz w:val="16"/>
                <w:szCs w:val="16"/>
                <w:lang w:eastAsia="en-US"/>
              </w:rPr>
            </w:pPr>
            <w:r>
              <w:rPr>
                <w:rFonts w:eastAsia="Times New Roman"/>
                <w:sz w:val="16"/>
                <w:szCs w:val="16"/>
                <w:lang w:eastAsia="en-US"/>
              </w:rPr>
              <w:lastRenderedPageBreak/>
              <w:t>В.4.2</w:t>
            </w:r>
          </w:p>
        </w:tc>
        <w:tc>
          <w:tcPr>
            <w:tcW w:w="1435" w:type="dxa"/>
            <w:tcBorders>
              <w:top w:val="nil"/>
              <w:left w:val="nil"/>
              <w:bottom w:val="single" w:sz="4" w:space="0" w:color="auto"/>
              <w:right w:val="single" w:sz="4" w:space="0" w:color="auto"/>
            </w:tcBorders>
            <w:shd w:val="clear" w:color="auto" w:fill="FFFFFF"/>
            <w:vAlign w:val="center"/>
            <w:hideMark/>
          </w:tcPr>
          <w:p w:rsidR="005727C2" w:rsidRDefault="005727C2">
            <w:pPr>
              <w:rPr>
                <w:rFonts w:eastAsia="Times New Roman"/>
                <w:sz w:val="16"/>
                <w:szCs w:val="16"/>
                <w:lang w:eastAsia="en-US"/>
              </w:rPr>
            </w:pPr>
            <w:r>
              <w:rPr>
                <w:rFonts w:eastAsia="Times New Roman"/>
                <w:sz w:val="16"/>
                <w:szCs w:val="16"/>
                <w:lang w:eastAsia="en-US"/>
              </w:rPr>
              <w:t>количество штатных единиц, всего</w:t>
            </w:r>
          </w:p>
        </w:tc>
        <w:tc>
          <w:tcPr>
            <w:tcW w:w="1575" w:type="dxa"/>
            <w:tcBorders>
              <w:top w:val="nil"/>
              <w:left w:val="nil"/>
              <w:bottom w:val="single" w:sz="4" w:space="0" w:color="auto"/>
              <w:right w:val="single" w:sz="4" w:space="0" w:color="auto"/>
            </w:tcBorders>
            <w:shd w:val="clear" w:color="auto" w:fill="FFFFFF"/>
            <w:noWrap/>
            <w:vAlign w:val="bottom"/>
            <w:hideMark/>
          </w:tcPr>
          <w:p w:rsidR="005727C2" w:rsidRDefault="005727C2">
            <w:pPr>
              <w:rPr>
                <w:rFonts w:eastAsia="Times New Roman"/>
                <w:sz w:val="16"/>
                <w:szCs w:val="16"/>
                <w:lang w:eastAsia="en-US"/>
              </w:rPr>
            </w:pPr>
            <w:r>
              <w:rPr>
                <w:rFonts w:eastAsia="Times New Roman"/>
                <w:sz w:val="16"/>
                <w:szCs w:val="16"/>
                <w:lang w:eastAsia="en-US"/>
              </w:rPr>
              <w:t> </w:t>
            </w:r>
          </w:p>
        </w:tc>
        <w:tc>
          <w:tcPr>
            <w:tcW w:w="939" w:type="dxa"/>
            <w:tcBorders>
              <w:top w:val="nil"/>
              <w:left w:val="nil"/>
              <w:bottom w:val="single" w:sz="4" w:space="0" w:color="auto"/>
              <w:right w:val="single" w:sz="4" w:space="0" w:color="auto"/>
            </w:tcBorders>
            <w:shd w:val="clear" w:color="auto" w:fill="FFFFFF"/>
            <w:noWrap/>
            <w:vAlign w:val="center"/>
            <w:hideMark/>
          </w:tcPr>
          <w:p w:rsidR="005727C2" w:rsidRDefault="005727C2">
            <w:pPr>
              <w:jc w:val="center"/>
              <w:rPr>
                <w:rFonts w:eastAsia="Times New Roman"/>
                <w:sz w:val="16"/>
                <w:szCs w:val="16"/>
                <w:lang w:eastAsia="en-US"/>
              </w:rPr>
            </w:pPr>
            <w:r>
              <w:rPr>
                <w:rFonts w:eastAsia="Times New Roman"/>
                <w:sz w:val="16"/>
                <w:szCs w:val="16"/>
                <w:lang w:eastAsia="en-US"/>
              </w:rPr>
              <w:t xml:space="preserve"> - </w:t>
            </w:r>
          </w:p>
        </w:tc>
        <w:tc>
          <w:tcPr>
            <w:tcW w:w="972" w:type="dxa"/>
            <w:tcBorders>
              <w:top w:val="nil"/>
              <w:left w:val="nil"/>
              <w:bottom w:val="single" w:sz="4" w:space="0" w:color="auto"/>
              <w:right w:val="single" w:sz="4" w:space="0" w:color="auto"/>
            </w:tcBorders>
            <w:shd w:val="clear" w:color="auto" w:fill="FFFFFF"/>
            <w:noWrap/>
            <w:vAlign w:val="bottom"/>
            <w:hideMark/>
          </w:tcPr>
          <w:p w:rsidR="005727C2" w:rsidRDefault="005727C2">
            <w:pPr>
              <w:rPr>
                <w:rFonts w:eastAsia="Times New Roman"/>
                <w:sz w:val="16"/>
                <w:szCs w:val="16"/>
                <w:lang w:eastAsia="en-US"/>
              </w:rPr>
            </w:pPr>
            <w:r>
              <w:rPr>
                <w:rFonts w:eastAsia="Times New Roman"/>
                <w:sz w:val="16"/>
                <w:szCs w:val="16"/>
                <w:lang w:eastAsia="en-US"/>
              </w:rPr>
              <w:t> </w:t>
            </w:r>
          </w:p>
        </w:tc>
        <w:tc>
          <w:tcPr>
            <w:tcW w:w="1186" w:type="dxa"/>
            <w:tcBorders>
              <w:top w:val="nil"/>
              <w:left w:val="nil"/>
              <w:bottom w:val="single" w:sz="4" w:space="0" w:color="auto"/>
              <w:right w:val="single" w:sz="4" w:space="0" w:color="auto"/>
            </w:tcBorders>
            <w:shd w:val="clear" w:color="auto" w:fill="FFFFFF"/>
            <w:noWrap/>
            <w:vAlign w:val="center"/>
            <w:hideMark/>
          </w:tcPr>
          <w:p w:rsidR="005727C2" w:rsidRDefault="005727C2">
            <w:pPr>
              <w:jc w:val="center"/>
              <w:rPr>
                <w:rFonts w:eastAsia="Times New Roman"/>
                <w:sz w:val="16"/>
                <w:szCs w:val="16"/>
                <w:lang w:eastAsia="en-US"/>
              </w:rPr>
            </w:pPr>
            <w:r>
              <w:rPr>
                <w:rFonts w:eastAsia="Times New Roman"/>
                <w:sz w:val="16"/>
                <w:szCs w:val="16"/>
                <w:lang w:eastAsia="en-US"/>
              </w:rPr>
              <w:t xml:space="preserve"> - </w:t>
            </w:r>
          </w:p>
        </w:tc>
        <w:tc>
          <w:tcPr>
            <w:tcW w:w="865" w:type="dxa"/>
            <w:tcBorders>
              <w:top w:val="nil"/>
              <w:left w:val="nil"/>
              <w:bottom w:val="single" w:sz="4" w:space="0" w:color="auto"/>
              <w:right w:val="single" w:sz="4" w:space="0" w:color="auto"/>
            </w:tcBorders>
            <w:shd w:val="clear" w:color="auto" w:fill="FFFFFF"/>
            <w:noWrap/>
            <w:vAlign w:val="center"/>
            <w:hideMark/>
          </w:tcPr>
          <w:p w:rsidR="005727C2" w:rsidRDefault="005727C2">
            <w:pPr>
              <w:jc w:val="center"/>
              <w:rPr>
                <w:rFonts w:eastAsia="Times New Roman"/>
                <w:sz w:val="16"/>
                <w:szCs w:val="16"/>
                <w:lang w:eastAsia="en-US"/>
              </w:rPr>
            </w:pPr>
            <w:r>
              <w:rPr>
                <w:rFonts w:eastAsia="Times New Roman"/>
                <w:sz w:val="16"/>
                <w:szCs w:val="16"/>
                <w:lang w:eastAsia="en-US"/>
              </w:rPr>
              <w:t>79</w:t>
            </w:r>
          </w:p>
        </w:tc>
        <w:tc>
          <w:tcPr>
            <w:tcW w:w="684" w:type="dxa"/>
            <w:tcBorders>
              <w:top w:val="nil"/>
              <w:left w:val="nil"/>
              <w:bottom w:val="single" w:sz="4" w:space="0" w:color="auto"/>
              <w:right w:val="single" w:sz="4" w:space="0" w:color="auto"/>
            </w:tcBorders>
            <w:shd w:val="clear" w:color="auto" w:fill="FFFFFF"/>
            <w:noWrap/>
            <w:vAlign w:val="center"/>
            <w:hideMark/>
          </w:tcPr>
          <w:p w:rsidR="005727C2" w:rsidRDefault="005727C2">
            <w:pPr>
              <w:jc w:val="center"/>
              <w:rPr>
                <w:rFonts w:eastAsia="Times New Roman"/>
                <w:sz w:val="16"/>
                <w:szCs w:val="16"/>
                <w:lang w:eastAsia="en-US"/>
              </w:rPr>
            </w:pPr>
            <w:r>
              <w:rPr>
                <w:rFonts w:eastAsia="Times New Roman"/>
                <w:sz w:val="16"/>
                <w:szCs w:val="16"/>
                <w:lang w:eastAsia="en-US"/>
              </w:rPr>
              <w:t xml:space="preserve"> - </w:t>
            </w:r>
          </w:p>
        </w:tc>
        <w:tc>
          <w:tcPr>
            <w:tcW w:w="957" w:type="dxa"/>
            <w:tcBorders>
              <w:top w:val="nil"/>
              <w:left w:val="nil"/>
              <w:bottom w:val="single" w:sz="4" w:space="0" w:color="auto"/>
              <w:right w:val="single" w:sz="4" w:space="0" w:color="auto"/>
            </w:tcBorders>
            <w:shd w:val="clear" w:color="auto" w:fill="FFFFFF"/>
            <w:noWrap/>
            <w:vAlign w:val="bottom"/>
            <w:hideMark/>
          </w:tcPr>
          <w:p w:rsidR="005727C2" w:rsidRDefault="005727C2">
            <w:pPr>
              <w:rPr>
                <w:rFonts w:eastAsia="Times New Roman"/>
                <w:sz w:val="16"/>
                <w:szCs w:val="16"/>
                <w:lang w:eastAsia="en-US"/>
              </w:rPr>
            </w:pPr>
            <w:r>
              <w:rPr>
                <w:rFonts w:eastAsia="Times New Roman"/>
                <w:sz w:val="16"/>
                <w:szCs w:val="16"/>
                <w:lang w:eastAsia="en-US"/>
              </w:rPr>
              <w:t> </w:t>
            </w:r>
          </w:p>
        </w:tc>
      </w:tr>
      <w:tr w:rsidR="005727C2" w:rsidTr="005727C2">
        <w:trPr>
          <w:trHeight w:val="20"/>
        </w:trPr>
        <w:tc>
          <w:tcPr>
            <w:tcW w:w="865" w:type="dxa"/>
            <w:tcBorders>
              <w:top w:val="nil"/>
              <w:left w:val="single" w:sz="4" w:space="0" w:color="auto"/>
              <w:bottom w:val="single" w:sz="4" w:space="0" w:color="auto"/>
              <w:right w:val="single" w:sz="4" w:space="0" w:color="auto"/>
            </w:tcBorders>
            <w:shd w:val="clear" w:color="auto" w:fill="FFFFFF"/>
            <w:vAlign w:val="center"/>
            <w:hideMark/>
          </w:tcPr>
          <w:p w:rsidR="005727C2" w:rsidRDefault="005727C2">
            <w:pPr>
              <w:jc w:val="center"/>
              <w:rPr>
                <w:rFonts w:eastAsia="Times New Roman"/>
                <w:sz w:val="16"/>
                <w:szCs w:val="16"/>
                <w:lang w:eastAsia="en-US"/>
              </w:rPr>
            </w:pPr>
            <w:r>
              <w:rPr>
                <w:rFonts w:eastAsia="Times New Roman"/>
                <w:sz w:val="16"/>
                <w:szCs w:val="16"/>
                <w:lang w:eastAsia="en-US"/>
              </w:rPr>
              <w:t>В.4.3</w:t>
            </w:r>
          </w:p>
        </w:tc>
        <w:tc>
          <w:tcPr>
            <w:tcW w:w="1435" w:type="dxa"/>
            <w:tcBorders>
              <w:top w:val="nil"/>
              <w:left w:val="nil"/>
              <w:bottom w:val="single" w:sz="4" w:space="0" w:color="auto"/>
              <w:right w:val="single" w:sz="4" w:space="0" w:color="auto"/>
            </w:tcBorders>
            <w:shd w:val="clear" w:color="auto" w:fill="FFFFFF"/>
            <w:vAlign w:val="center"/>
            <w:hideMark/>
          </w:tcPr>
          <w:p w:rsidR="005727C2" w:rsidRDefault="005727C2">
            <w:pPr>
              <w:rPr>
                <w:rFonts w:eastAsia="Times New Roman"/>
                <w:sz w:val="16"/>
                <w:szCs w:val="16"/>
                <w:lang w:eastAsia="en-US"/>
              </w:rPr>
            </w:pPr>
            <w:r>
              <w:rPr>
                <w:rFonts w:eastAsia="Times New Roman"/>
                <w:sz w:val="16"/>
                <w:szCs w:val="16"/>
                <w:lang w:eastAsia="en-US"/>
              </w:rPr>
              <w:t xml:space="preserve">количество штатных единиц, в должностные обязанности которых входит выполнение контрольно-надзорных функций </w:t>
            </w:r>
          </w:p>
        </w:tc>
        <w:tc>
          <w:tcPr>
            <w:tcW w:w="1575" w:type="dxa"/>
            <w:tcBorders>
              <w:top w:val="nil"/>
              <w:left w:val="nil"/>
              <w:bottom w:val="single" w:sz="4" w:space="0" w:color="auto"/>
              <w:right w:val="single" w:sz="4" w:space="0" w:color="auto"/>
            </w:tcBorders>
            <w:shd w:val="clear" w:color="auto" w:fill="FFFFFF"/>
            <w:vAlign w:val="center"/>
            <w:hideMark/>
          </w:tcPr>
          <w:p w:rsidR="005727C2" w:rsidRDefault="005727C2">
            <w:pPr>
              <w:rPr>
                <w:rFonts w:eastAsia="Times New Roman"/>
                <w:sz w:val="16"/>
                <w:szCs w:val="16"/>
                <w:lang w:eastAsia="en-US"/>
              </w:rPr>
            </w:pPr>
            <w:r>
              <w:rPr>
                <w:rFonts w:eastAsia="Times New Roman"/>
                <w:sz w:val="16"/>
                <w:szCs w:val="16"/>
                <w:lang w:eastAsia="en-US"/>
              </w:rPr>
              <w:t> </w:t>
            </w:r>
          </w:p>
        </w:tc>
        <w:tc>
          <w:tcPr>
            <w:tcW w:w="939" w:type="dxa"/>
            <w:tcBorders>
              <w:top w:val="nil"/>
              <w:left w:val="nil"/>
              <w:bottom w:val="single" w:sz="4" w:space="0" w:color="auto"/>
              <w:right w:val="single" w:sz="4" w:space="0" w:color="auto"/>
            </w:tcBorders>
            <w:shd w:val="clear" w:color="auto" w:fill="FFFFFF"/>
            <w:noWrap/>
            <w:vAlign w:val="center"/>
            <w:hideMark/>
          </w:tcPr>
          <w:p w:rsidR="005727C2" w:rsidRDefault="005727C2">
            <w:pPr>
              <w:jc w:val="center"/>
              <w:rPr>
                <w:rFonts w:eastAsia="Times New Roman"/>
                <w:sz w:val="16"/>
                <w:szCs w:val="16"/>
                <w:lang w:eastAsia="en-US"/>
              </w:rPr>
            </w:pPr>
            <w:r>
              <w:rPr>
                <w:rFonts w:eastAsia="Times New Roman"/>
                <w:sz w:val="16"/>
                <w:szCs w:val="16"/>
                <w:lang w:eastAsia="en-US"/>
              </w:rPr>
              <w:t xml:space="preserve"> - </w:t>
            </w:r>
          </w:p>
        </w:tc>
        <w:tc>
          <w:tcPr>
            <w:tcW w:w="972" w:type="dxa"/>
            <w:tcBorders>
              <w:top w:val="nil"/>
              <w:left w:val="nil"/>
              <w:bottom w:val="single" w:sz="4" w:space="0" w:color="auto"/>
              <w:right w:val="single" w:sz="4" w:space="0" w:color="auto"/>
            </w:tcBorders>
            <w:shd w:val="clear" w:color="auto" w:fill="FFFFFF"/>
            <w:noWrap/>
            <w:vAlign w:val="bottom"/>
            <w:hideMark/>
          </w:tcPr>
          <w:p w:rsidR="005727C2" w:rsidRDefault="005727C2">
            <w:pPr>
              <w:rPr>
                <w:rFonts w:eastAsia="Times New Roman"/>
                <w:sz w:val="16"/>
                <w:szCs w:val="16"/>
                <w:lang w:eastAsia="en-US"/>
              </w:rPr>
            </w:pPr>
            <w:r>
              <w:rPr>
                <w:rFonts w:eastAsia="Times New Roman"/>
                <w:sz w:val="16"/>
                <w:szCs w:val="16"/>
                <w:lang w:eastAsia="en-US"/>
              </w:rPr>
              <w:t> </w:t>
            </w:r>
          </w:p>
        </w:tc>
        <w:tc>
          <w:tcPr>
            <w:tcW w:w="1186" w:type="dxa"/>
            <w:tcBorders>
              <w:top w:val="nil"/>
              <w:left w:val="nil"/>
              <w:bottom w:val="single" w:sz="4" w:space="0" w:color="auto"/>
              <w:right w:val="single" w:sz="4" w:space="0" w:color="auto"/>
            </w:tcBorders>
            <w:shd w:val="clear" w:color="auto" w:fill="FFFFFF"/>
            <w:noWrap/>
            <w:vAlign w:val="center"/>
            <w:hideMark/>
          </w:tcPr>
          <w:p w:rsidR="005727C2" w:rsidRDefault="005727C2">
            <w:pPr>
              <w:jc w:val="center"/>
              <w:rPr>
                <w:rFonts w:eastAsia="Times New Roman"/>
                <w:sz w:val="16"/>
                <w:szCs w:val="16"/>
                <w:lang w:eastAsia="en-US"/>
              </w:rPr>
            </w:pPr>
            <w:r>
              <w:rPr>
                <w:rFonts w:eastAsia="Times New Roman"/>
                <w:sz w:val="16"/>
                <w:szCs w:val="16"/>
                <w:lang w:eastAsia="en-US"/>
              </w:rPr>
              <w:t xml:space="preserve"> - </w:t>
            </w:r>
          </w:p>
        </w:tc>
        <w:tc>
          <w:tcPr>
            <w:tcW w:w="865" w:type="dxa"/>
            <w:tcBorders>
              <w:top w:val="nil"/>
              <w:left w:val="nil"/>
              <w:bottom w:val="single" w:sz="4" w:space="0" w:color="auto"/>
              <w:right w:val="single" w:sz="4" w:space="0" w:color="auto"/>
            </w:tcBorders>
            <w:shd w:val="clear" w:color="auto" w:fill="FFFFFF"/>
            <w:noWrap/>
            <w:vAlign w:val="center"/>
            <w:hideMark/>
          </w:tcPr>
          <w:p w:rsidR="005727C2" w:rsidRDefault="005727C2">
            <w:pPr>
              <w:jc w:val="center"/>
              <w:rPr>
                <w:rFonts w:eastAsia="Times New Roman"/>
                <w:sz w:val="16"/>
                <w:szCs w:val="16"/>
                <w:lang w:eastAsia="en-US"/>
              </w:rPr>
            </w:pPr>
            <w:r>
              <w:rPr>
                <w:rFonts w:eastAsia="Times New Roman"/>
                <w:sz w:val="16"/>
                <w:szCs w:val="16"/>
                <w:lang w:eastAsia="en-US"/>
              </w:rPr>
              <w:t>74</w:t>
            </w:r>
          </w:p>
        </w:tc>
        <w:tc>
          <w:tcPr>
            <w:tcW w:w="684" w:type="dxa"/>
            <w:tcBorders>
              <w:top w:val="nil"/>
              <w:left w:val="nil"/>
              <w:bottom w:val="single" w:sz="4" w:space="0" w:color="auto"/>
              <w:right w:val="single" w:sz="4" w:space="0" w:color="auto"/>
            </w:tcBorders>
            <w:shd w:val="clear" w:color="auto" w:fill="FFFFFF"/>
            <w:noWrap/>
            <w:vAlign w:val="center"/>
            <w:hideMark/>
          </w:tcPr>
          <w:p w:rsidR="005727C2" w:rsidRDefault="005727C2">
            <w:pPr>
              <w:jc w:val="center"/>
              <w:rPr>
                <w:rFonts w:eastAsia="Times New Roman"/>
                <w:sz w:val="16"/>
                <w:szCs w:val="16"/>
                <w:lang w:eastAsia="en-US"/>
              </w:rPr>
            </w:pPr>
            <w:r>
              <w:rPr>
                <w:rFonts w:eastAsia="Times New Roman"/>
                <w:sz w:val="16"/>
                <w:szCs w:val="16"/>
                <w:lang w:eastAsia="en-US"/>
              </w:rPr>
              <w:t xml:space="preserve"> - </w:t>
            </w:r>
          </w:p>
        </w:tc>
        <w:tc>
          <w:tcPr>
            <w:tcW w:w="957" w:type="dxa"/>
            <w:tcBorders>
              <w:top w:val="nil"/>
              <w:left w:val="nil"/>
              <w:bottom w:val="single" w:sz="4" w:space="0" w:color="auto"/>
              <w:right w:val="single" w:sz="4" w:space="0" w:color="auto"/>
            </w:tcBorders>
            <w:shd w:val="clear" w:color="auto" w:fill="FFFFFF"/>
            <w:vAlign w:val="center"/>
            <w:hideMark/>
          </w:tcPr>
          <w:p w:rsidR="005727C2" w:rsidRDefault="005727C2">
            <w:pPr>
              <w:rPr>
                <w:rFonts w:eastAsia="Times New Roman"/>
                <w:sz w:val="16"/>
                <w:szCs w:val="16"/>
                <w:lang w:eastAsia="en-US"/>
              </w:rPr>
            </w:pPr>
            <w:r>
              <w:rPr>
                <w:rFonts w:eastAsia="Times New Roman"/>
                <w:sz w:val="16"/>
                <w:szCs w:val="16"/>
                <w:lang w:eastAsia="en-US"/>
              </w:rPr>
              <w:t> </w:t>
            </w:r>
          </w:p>
        </w:tc>
      </w:tr>
      <w:tr w:rsidR="005727C2" w:rsidTr="005727C2">
        <w:trPr>
          <w:trHeight w:val="300"/>
        </w:trPr>
        <w:tc>
          <w:tcPr>
            <w:tcW w:w="865" w:type="dxa"/>
            <w:noWrap/>
            <w:vAlign w:val="bottom"/>
            <w:hideMark/>
          </w:tcPr>
          <w:p w:rsidR="005727C2" w:rsidRDefault="005727C2">
            <w:pPr>
              <w:spacing w:after="0"/>
              <w:rPr>
                <w:rFonts w:asciiTheme="minorHAnsi" w:eastAsiaTheme="minorHAnsi" w:hAnsiTheme="minorHAnsi" w:cstheme="minorBidi"/>
                <w:lang w:eastAsia="en-US"/>
              </w:rPr>
            </w:pPr>
          </w:p>
        </w:tc>
        <w:tc>
          <w:tcPr>
            <w:tcW w:w="1435" w:type="dxa"/>
            <w:noWrap/>
            <w:vAlign w:val="bottom"/>
            <w:hideMark/>
          </w:tcPr>
          <w:p w:rsidR="005727C2" w:rsidRDefault="005727C2">
            <w:pPr>
              <w:spacing w:after="0"/>
              <w:rPr>
                <w:rFonts w:asciiTheme="minorHAnsi" w:eastAsiaTheme="minorHAnsi" w:hAnsiTheme="minorHAnsi" w:cstheme="minorBidi"/>
                <w:lang w:eastAsia="en-US"/>
              </w:rPr>
            </w:pPr>
          </w:p>
        </w:tc>
        <w:tc>
          <w:tcPr>
            <w:tcW w:w="1575" w:type="dxa"/>
            <w:noWrap/>
            <w:vAlign w:val="bottom"/>
            <w:hideMark/>
          </w:tcPr>
          <w:p w:rsidR="005727C2" w:rsidRDefault="005727C2">
            <w:pPr>
              <w:spacing w:after="0"/>
              <w:rPr>
                <w:rFonts w:asciiTheme="minorHAnsi" w:eastAsiaTheme="minorHAnsi" w:hAnsiTheme="minorHAnsi" w:cstheme="minorBidi"/>
                <w:lang w:eastAsia="en-US"/>
              </w:rPr>
            </w:pPr>
          </w:p>
        </w:tc>
        <w:tc>
          <w:tcPr>
            <w:tcW w:w="939" w:type="dxa"/>
            <w:noWrap/>
            <w:vAlign w:val="bottom"/>
            <w:hideMark/>
          </w:tcPr>
          <w:p w:rsidR="005727C2" w:rsidRDefault="005727C2">
            <w:pPr>
              <w:spacing w:after="0"/>
              <w:rPr>
                <w:rFonts w:asciiTheme="minorHAnsi" w:eastAsiaTheme="minorHAnsi" w:hAnsiTheme="minorHAnsi" w:cstheme="minorBidi"/>
                <w:lang w:eastAsia="en-US"/>
              </w:rPr>
            </w:pPr>
          </w:p>
        </w:tc>
        <w:tc>
          <w:tcPr>
            <w:tcW w:w="972" w:type="dxa"/>
            <w:noWrap/>
            <w:vAlign w:val="bottom"/>
            <w:hideMark/>
          </w:tcPr>
          <w:p w:rsidR="005727C2" w:rsidRDefault="005727C2">
            <w:pPr>
              <w:spacing w:after="0"/>
              <w:rPr>
                <w:rFonts w:asciiTheme="minorHAnsi" w:eastAsiaTheme="minorHAnsi" w:hAnsiTheme="minorHAnsi" w:cstheme="minorBidi"/>
                <w:lang w:eastAsia="en-US"/>
              </w:rPr>
            </w:pPr>
          </w:p>
        </w:tc>
        <w:tc>
          <w:tcPr>
            <w:tcW w:w="1186" w:type="dxa"/>
            <w:noWrap/>
            <w:vAlign w:val="bottom"/>
            <w:hideMark/>
          </w:tcPr>
          <w:p w:rsidR="005727C2" w:rsidRDefault="005727C2">
            <w:pPr>
              <w:spacing w:after="0"/>
              <w:rPr>
                <w:rFonts w:asciiTheme="minorHAnsi" w:eastAsiaTheme="minorHAnsi" w:hAnsiTheme="minorHAnsi" w:cstheme="minorBidi"/>
                <w:lang w:eastAsia="en-US"/>
              </w:rPr>
            </w:pPr>
          </w:p>
        </w:tc>
        <w:tc>
          <w:tcPr>
            <w:tcW w:w="865" w:type="dxa"/>
            <w:noWrap/>
            <w:vAlign w:val="bottom"/>
            <w:hideMark/>
          </w:tcPr>
          <w:p w:rsidR="005727C2" w:rsidRDefault="005727C2">
            <w:pPr>
              <w:spacing w:after="0"/>
              <w:rPr>
                <w:rFonts w:asciiTheme="minorHAnsi" w:eastAsiaTheme="minorHAnsi" w:hAnsiTheme="minorHAnsi" w:cstheme="minorBidi"/>
                <w:lang w:eastAsia="en-US"/>
              </w:rPr>
            </w:pPr>
          </w:p>
        </w:tc>
        <w:tc>
          <w:tcPr>
            <w:tcW w:w="684" w:type="dxa"/>
            <w:noWrap/>
            <w:vAlign w:val="bottom"/>
            <w:hideMark/>
          </w:tcPr>
          <w:p w:rsidR="005727C2" w:rsidRDefault="005727C2">
            <w:pPr>
              <w:spacing w:after="0"/>
              <w:rPr>
                <w:rFonts w:asciiTheme="minorHAnsi" w:eastAsiaTheme="minorHAnsi" w:hAnsiTheme="minorHAnsi" w:cstheme="minorBidi"/>
                <w:lang w:eastAsia="en-US"/>
              </w:rPr>
            </w:pPr>
          </w:p>
        </w:tc>
        <w:tc>
          <w:tcPr>
            <w:tcW w:w="957" w:type="dxa"/>
            <w:noWrap/>
            <w:vAlign w:val="bottom"/>
            <w:hideMark/>
          </w:tcPr>
          <w:p w:rsidR="005727C2" w:rsidRDefault="005727C2">
            <w:pPr>
              <w:spacing w:after="0"/>
              <w:rPr>
                <w:rFonts w:asciiTheme="minorHAnsi" w:eastAsiaTheme="minorHAnsi" w:hAnsiTheme="minorHAnsi" w:cstheme="minorBidi"/>
                <w:lang w:eastAsia="en-US"/>
              </w:rPr>
            </w:pPr>
          </w:p>
        </w:tc>
      </w:tr>
    </w:tbl>
    <w:p w:rsidR="005727C2" w:rsidRDefault="005727C2" w:rsidP="005727C2">
      <w:pPr>
        <w:autoSpaceDE w:val="0"/>
        <w:autoSpaceDN w:val="0"/>
        <w:adjustRightInd w:val="0"/>
        <w:spacing w:after="0" w:line="240" w:lineRule="auto"/>
        <w:ind w:firstLine="708"/>
        <w:jc w:val="both"/>
        <w:rPr>
          <w:rFonts w:eastAsia="Times New Roman"/>
          <w:color w:val="000000"/>
          <w:sz w:val="28"/>
          <w:szCs w:val="28"/>
        </w:rPr>
      </w:pPr>
      <w:r>
        <w:rPr>
          <w:rFonts w:eastAsia="Times New Roman"/>
          <w:color w:val="000000"/>
          <w:sz w:val="28"/>
          <w:szCs w:val="28"/>
        </w:rPr>
        <w:t xml:space="preserve">Отклонение фактических значений показателей (за 2019 год) от базовых значений показателей (за 2017 год) обусловлено следующими обстоятельствами.  </w:t>
      </w:r>
    </w:p>
    <w:p w:rsidR="005727C2" w:rsidRDefault="005727C2" w:rsidP="005727C2">
      <w:pPr>
        <w:autoSpaceDE w:val="0"/>
        <w:autoSpaceDN w:val="0"/>
        <w:adjustRightInd w:val="0"/>
        <w:spacing w:after="0" w:line="240" w:lineRule="auto"/>
        <w:ind w:firstLine="709"/>
        <w:jc w:val="both"/>
        <w:rPr>
          <w:rFonts w:eastAsia="Times New Roman"/>
          <w:color w:val="000000"/>
          <w:sz w:val="28"/>
          <w:szCs w:val="28"/>
        </w:rPr>
      </w:pPr>
      <w:r>
        <w:rPr>
          <w:rFonts w:eastAsia="Times New Roman"/>
          <w:color w:val="000000"/>
          <w:sz w:val="28"/>
          <w:szCs w:val="28"/>
        </w:rPr>
        <w:t xml:space="preserve">В сравнении с базовыми значениями на 53% уменьшилось количество проводимых департаментом плановых проверок (показатель В.3.1.2), что связано с реализацией департаментом мероприятий по снижению административного давления на подконтрольных субъектов, в т.ч. посредством осуществления контрольно-надзорной деятельности преимущественно в форме проведения </w:t>
      </w:r>
      <w:r>
        <w:rPr>
          <w:sz w:val="28"/>
          <w:szCs w:val="28"/>
        </w:rPr>
        <w:t xml:space="preserve">мероприятий по профилактике нарушений </w:t>
      </w:r>
      <w:r>
        <w:rPr>
          <w:rFonts w:eastAsia="Times New Roman"/>
          <w:color w:val="000000"/>
          <w:sz w:val="28"/>
          <w:szCs w:val="28"/>
        </w:rPr>
        <w:t>подконтрольными субъектами</w:t>
      </w:r>
      <w:r>
        <w:rPr>
          <w:sz w:val="28"/>
          <w:szCs w:val="28"/>
        </w:rPr>
        <w:t xml:space="preserve"> обязательных требований </w:t>
      </w:r>
      <w:r>
        <w:rPr>
          <w:rFonts w:eastAsia="Times New Roman"/>
          <w:color w:val="000000"/>
          <w:sz w:val="28"/>
          <w:szCs w:val="28"/>
        </w:rPr>
        <w:t>и мероприятий по контролю без взаимодействия с подконтрольными субъектами. Такое уменьшение количества проводимых департаментом плановых проверок безусловно отразилось на общем количестве проверок, проведенных департаментом за 2019 год (показатель В.3.1.1).</w:t>
      </w:r>
    </w:p>
    <w:p w:rsidR="005727C2" w:rsidRDefault="005727C2" w:rsidP="005727C2">
      <w:pPr>
        <w:autoSpaceDE w:val="0"/>
        <w:autoSpaceDN w:val="0"/>
        <w:adjustRightInd w:val="0"/>
        <w:spacing w:after="0" w:line="240" w:lineRule="auto"/>
        <w:ind w:firstLine="709"/>
        <w:jc w:val="both"/>
        <w:rPr>
          <w:rFonts w:eastAsia="Times New Roman"/>
          <w:color w:val="000000"/>
          <w:sz w:val="28"/>
          <w:szCs w:val="28"/>
        </w:rPr>
      </w:pPr>
      <w:r>
        <w:rPr>
          <w:rFonts w:eastAsia="Times New Roman"/>
          <w:color w:val="000000"/>
          <w:sz w:val="28"/>
          <w:szCs w:val="28"/>
        </w:rPr>
        <w:t xml:space="preserve">В значительной мере возросло количество проведенных </w:t>
      </w:r>
      <w:r w:rsidR="00781939">
        <w:rPr>
          <w:rFonts w:eastAsia="Times New Roman"/>
          <w:color w:val="000000"/>
          <w:sz w:val="28"/>
          <w:szCs w:val="28"/>
        </w:rPr>
        <w:t>Д</w:t>
      </w:r>
      <w:r>
        <w:rPr>
          <w:rFonts w:eastAsia="Times New Roman"/>
          <w:color w:val="000000"/>
          <w:sz w:val="28"/>
          <w:szCs w:val="28"/>
        </w:rPr>
        <w:t xml:space="preserve">епартаментом </w:t>
      </w:r>
      <w:r>
        <w:rPr>
          <w:rFonts w:eastAsia="Calibri"/>
          <w:kern w:val="28"/>
          <w:sz w:val="28"/>
          <w:szCs w:val="28"/>
        </w:rPr>
        <w:t xml:space="preserve">мероприятий </w:t>
      </w:r>
      <w:r>
        <w:rPr>
          <w:rFonts w:eastAsia="Times New Roman"/>
          <w:color w:val="000000"/>
          <w:sz w:val="28"/>
          <w:szCs w:val="28"/>
        </w:rPr>
        <w:t xml:space="preserve">по контролю </w:t>
      </w:r>
      <w:r>
        <w:rPr>
          <w:rFonts w:eastAsia="Calibri"/>
          <w:kern w:val="28"/>
          <w:sz w:val="28"/>
          <w:szCs w:val="28"/>
        </w:rPr>
        <w:t xml:space="preserve">без взаимодействия с подконтрольными субъектами </w:t>
      </w:r>
      <w:r>
        <w:rPr>
          <w:rFonts w:eastAsia="Times New Roman"/>
          <w:color w:val="000000"/>
          <w:sz w:val="28"/>
          <w:szCs w:val="28"/>
        </w:rPr>
        <w:t>(показатель В.3.10.1)</w:t>
      </w:r>
      <w:r>
        <w:rPr>
          <w:rFonts w:eastAsia="Calibri"/>
          <w:kern w:val="28"/>
          <w:sz w:val="28"/>
          <w:szCs w:val="28"/>
        </w:rPr>
        <w:t xml:space="preserve">: в 2017 году - 1789 мероприятий, в 2019 году - 7140 мероприятий. Существенное увеличение данного показателя связано с необходимостью переориентирования контрольно-надзорной деятельности </w:t>
      </w:r>
      <w:r>
        <w:rPr>
          <w:sz w:val="28"/>
          <w:szCs w:val="28"/>
        </w:rPr>
        <w:t>органов исполнительной власти (</w:t>
      </w:r>
      <w:r>
        <w:rPr>
          <w:rFonts w:eastAsia="Calibri"/>
          <w:kern w:val="28"/>
          <w:sz w:val="28"/>
          <w:szCs w:val="28"/>
        </w:rPr>
        <w:t xml:space="preserve">в рамках её реформирования) на так называемый «бесконтактный» с подконтрольным субъектом контроль (надзор) и стало возможным в связи с увеличением штатной численности департамента в </w:t>
      </w:r>
      <w:r>
        <w:rPr>
          <w:rFonts w:eastAsia="Times New Roman"/>
          <w:color w:val="000000"/>
          <w:sz w:val="28"/>
          <w:szCs w:val="28"/>
        </w:rPr>
        <w:t>сравнении с «базовым» 2017 годом (показатель В.4.2).</w:t>
      </w:r>
    </w:p>
    <w:p w:rsidR="005727C2" w:rsidRDefault="005727C2" w:rsidP="005727C2">
      <w:pPr>
        <w:autoSpaceDE w:val="0"/>
        <w:autoSpaceDN w:val="0"/>
        <w:adjustRightInd w:val="0"/>
        <w:spacing w:after="0" w:line="240" w:lineRule="auto"/>
        <w:ind w:firstLine="708"/>
        <w:jc w:val="both"/>
        <w:rPr>
          <w:rFonts w:eastAsia="Calibri"/>
          <w:kern w:val="28"/>
          <w:sz w:val="28"/>
          <w:szCs w:val="28"/>
        </w:rPr>
      </w:pPr>
      <w:r>
        <w:rPr>
          <w:rFonts w:eastAsia="Times New Roman"/>
          <w:color w:val="000000"/>
          <w:sz w:val="28"/>
          <w:szCs w:val="28"/>
        </w:rPr>
        <w:t xml:space="preserve">Указанный рост количества </w:t>
      </w:r>
      <w:r>
        <w:rPr>
          <w:rFonts w:eastAsia="Calibri"/>
          <w:kern w:val="28"/>
          <w:sz w:val="28"/>
          <w:szCs w:val="28"/>
        </w:rPr>
        <w:t xml:space="preserve">мероприятий </w:t>
      </w:r>
      <w:r>
        <w:rPr>
          <w:rFonts w:eastAsia="Times New Roman"/>
          <w:color w:val="000000"/>
          <w:sz w:val="28"/>
          <w:szCs w:val="28"/>
        </w:rPr>
        <w:t xml:space="preserve">по контролю </w:t>
      </w:r>
      <w:r>
        <w:rPr>
          <w:rFonts w:eastAsia="Calibri"/>
          <w:kern w:val="28"/>
          <w:sz w:val="28"/>
          <w:szCs w:val="28"/>
        </w:rPr>
        <w:t xml:space="preserve">без взаимодействия с подконтрольными субъектами и, соответственно, увеличение общего количества </w:t>
      </w:r>
      <w:r>
        <w:rPr>
          <w:rFonts w:eastAsia="Times New Roman"/>
          <w:color w:val="000000"/>
          <w:sz w:val="28"/>
          <w:szCs w:val="28"/>
        </w:rPr>
        <w:t>проведенных</w:t>
      </w:r>
      <w:r>
        <w:rPr>
          <w:rFonts w:eastAsia="Calibri"/>
          <w:kern w:val="28"/>
          <w:sz w:val="28"/>
          <w:szCs w:val="28"/>
        </w:rPr>
        <w:t xml:space="preserve"> департаментом контрольных мероприятий </w:t>
      </w:r>
      <w:r>
        <w:rPr>
          <w:rFonts w:eastAsia="Times New Roman"/>
          <w:color w:val="000000"/>
          <w:sz w:val="28"/>
          <w:szCs w:val="28"/>
        </w:rPr>
        <w:t>(показатель В.2.1)</w:t>
      </w:r>
      <w:r>
        <w:rPr>
          <w:rFonts w:eastAsia="Calibri"/>
          <w:kern w:val="28"/>
          <w:sz w:val="28"/>
          <w:szCs w:val="28"/>
        </w:rPr>
        <w:t xml:space="preserve">, повлекли выявление большего количества нарушений обязательных требований подконтрольными субъектами, в связи с чем департаментом в 2019 году в сравнении с 2017 годом составлено существенно большее количество протоколов об административных </w:t>
      </w:r>
      <w:r>
        <w:rPr>
          <w:rFonts w:eastAsia="Calibri"/>
          <w:kern w:val="28"/>
          <w:sz w:val="28"/>
          <w:szCs w:val="28"/>
        </w:rPr>
        <w:lastRenderedPageBreak/>
        <w:t xml:space="preserve">нарушениях </w:t>
      </w:r>
      <w:r>
        <w:rPr>
          <w:rFonts w:eastAsia="Times New Roman"/>
          <w:color w:val="000000"/>
          <w:sz w:val="28"/>
          <w:szCs w:val="28"/>
        </w:rPr>
        <w:t>(показатель В.3.6.1)</w:t>
      </w:r>
      <w:r>
        <w:rPr>
          <w:rFonts w:eastAsia="Calibri"/>
          <w:kern w:val="28"/>
          <w:sz w:val="28"/>
          <w:szCs w:val="28"/>
        </w:rPr>
        <w:t xml:space="preserve">, а также вынесено большее количество постановлений по делу об административном правонарушении </w:t>
      </w:r>
      <w:r>
        <w:rPr>
          <w:rFonts w:eastAsia="Times New Roman"/>
          <w:color w:val="000000"/>
          <w:sz w:val="28"/>
          <w:szCs w:val="28"/>
        </w:rPr>
        <w:t>(показатели В.3.6.3, В.3.6.3.1, В.3.6.3.2)</w:t>
      </w:r>
      <w:r>
        <w:rPr>
          <w:rFonts w:eastAsia="Calibri"/>
          <w:kern w:val="28"/>
          <w:sz w:val="28"/>
          <w:szCs w:val="28"/>
        </w:rPr>
        <w:t>. По этой же причине произошло увеличение общей суммы наложенных административных штрафов (</w:t>
      </w:r>
      <w:r>
        <w:rPr>
          <w:rFonts w:eastAsia="Times New Roman"/>
          <w:color w:val="000000"/>
          <w:sz w:val="28"/>
          <w:szCs w:val="28"/>
        </w:rPr>
        <w:t>В.3.6.5</w:t>
      </w:r>
      <w:r>
        <w:rPr>
          <w:rFonts w:eastAsia="Calibri"/>
          <w:kern w:val="28"/>
          <w:sz w:val="28"/>
          <w:szCs w:val="28"/>
        </w:rPr>
        <w:t>).</w:t>
      </w:r>
    </w:p>
    <w:p w:rsidR="005727C2" w:rsidRDefault="005727C2" w:rsidP="005727C2">
      <w:pPr>
        <w:autoSpaceDE w:val="0"/>
        <w:autoSpaceDN w:val="0"/>
        <w:adjustRightInd w:val="0"/>
        <w:spacing w:after="0" w:line="240" w:lineRule="auto"/>
        <w:ind w:firstLine="708"/>
        <w:jc w:val="both"/>
        <w:rPr>
          <w:sz w:val="28"/>
          <w:szCs w:val="28"/>
        </w:rPr>
      </w:pPr>
      <w:r>
        <w:rPr>
          <w:rFonts w:eastAsia="Calibri"/>
          <w:kern w:val="28"/>
          <w:sz w:val="28"/>
          <w:szCs w:val="28"/>
        </w:rPr>
        <w:t>Развитие системы профилактики нарушений подконтрольными субъектами обязательных требований, в т.ч. утверждение и выполнение департаментом в соответствии с требованиями статьи 8.2 Закона № 294-ФЗ Программы профилактики нарушений юридическими лицами и индивидуальными предпринимателями обязательных требований, оценка соблюдения которых является предметом осуществляемых департаментом по тарифам Новосибирской области видов регионального государственного контроля (надзора) на 2019 год (приказ департамента от 24.12.2018 № 24)</w:t>
      </w:r>
      <w:r>
        <w:rPr>
          <w:sz w:val="28"/>
          <w:szCs w:val="28"/>
        </w:rPr>
        <w:t>, повлияло на увеличение количества проведенных департаментом в 2019 году мероприятий, направленных на профилактику нарушений обязательных требований, включая выдачу предостережений о недопустимости нарушения обязательных требований</w:t>
      </w:r>
      <w:r>
        <w:rPr>
          <w:rFonts w:eastAsia="Times New Roman"/>
          <w:color w:val="000000"/>
          <w:sz w:val="28"/>
          <w:szCs w:val="28"/>
        </w:rPr>
        <w:t xml:space="preserve"> (показатель В.3.8)</w:t>
      </w:r>
      <w:r>
        <w:rPr>
          <w:sz w:val="28"/>
          <w:szCs w:val="28"/>
        </w:rPr>
        <w:t xml:space="preserve">: в 2017 году - 2 мероприятия, в 2019 году - 64 мероприятия. </w:t>
      </w:r>
    </w:p>
    <w:p w:rsidR="005727C2" w:rsidRDefault="005727C2" w:rsidP="005727C2">
      <w:pPr>
        <w:autoSpaceDE w:val="0"/>
        <w:autoSpaceDN w:val="0"/>
        <w:adjustRightInd w:val="0"/>
        <w:spacing w:after="0" w:line="240" w:lineRule="auto"/>
        <w:ind w:firstLine="708"/>
        <w:jc w:val="both"/>
        <w:rPr>
          <w:sz w:val="28"/>
          <w:szCs w:val="28"/>
        </w:rPr>
      </w:pPr>
      <w:r>
        <w:rPr>
          <w:sz w:val="28"/>
          <w:szCs w:val="28"/>
        </w:rPr>
        <w:t>При этом необходимо отметить, что при расчете показателя В.3.8 не учтены такие профилактические мероприятия, как консультирование организаций, индивидуальных предпринимателей и граждан в устной и письменной формах, поскольку данные мероприятия осуществляются сотрудниками департамента ежедневно на постоянной основе, и в силу большого количества (исчисляемого в тысячах единиц) их регистрация и дальнейший учет не производятся (за исключением регистрации поступающих в департамент письменных обращений).</w:t>
      </w:r>
    </w:p>
    <w:p w:rsidR="005727C2" w:rsidRDefault="005727C2" w:rsidP="005727C2">
      <w:pPr>
        <w:autoSpaceDE w:val="0"/>
        <w:autoSpaceDN w:val="0"/>
        <w:adjustRightInd w:val="0"/>
        <w:spacing w:after="0" w:line="240" w:lineRule="auto"/>
        <w:ind w:firstLine="708"/>
        <w:jc w:val="both"/>
        <w:rPr>
          <w:sz w:val="28"/>
          <w:szCs w:val="28"/>
        </w:rPr>
      </w:pPr>
      <w:r>
        <w:rPr>
          <w:sz w:val="28"/>
          <w:szCs w:val="28"/>
        </w:rPr>
        <w:t>Департаментом также не производился расчет показателя В.3.8.4 «Средняя продолжительность одного профилактического мероприятия» за 2019 год, поскольку продолжительность проводимых профилактических мероприятий в силу их видовых различий является несопоставимой: так, мероприятие по размещению на официальном сайте департамента Перечней нормативных правовых актов, их отдельных частей, содержащих обязательные требования, оценка соблюдения которых является предметом осуществляемых департаментом видов регионального государственного контроля (надзора), и их актуализации осуществляется в течение всего года; мероприятие по проведению «Дня открытых дверей» - 1 день; мероприятия по устному консультированию имеют продолжительность, исчисляемую минутами, а мероприятия по письменному консультированию – исчисляемую днями, часами и т.д. По аналогичной причине департаментом не производился расчет показателя В.3.8.5 «Среднее число должностных лиц, задействованных в проведении одного профилактического мероприятия». В связи с вышеизложенным в перспективе департаментом будет рассмотрен вопрос об исключении данных показателей.</w:t>
      </w:r>
    </w:p>
    <w:p w:rsidR="005727C2" w:rsidRDefault="005727C2" w:rsidP="005727C2">
      <w:pPr>
        <w:pStyle w:val="ConsPlusNormal"/>
        <w:ind w:firstLine="708"/>
        <w:jc w:val="both"/>
        <w:rPr>
          <w:rFonts w:ascii="Times New Roman" w:hAnsi="Times New Roman" w:cs="Times New Roman"/>
          <w:sz w:val="28"/>
          <w:szCs w:val="28"/>
        </w:rPr>
      </w:pPr>
      <w:r>
        <w:rPr>
          <w:rFonts w:ascii="Times New Roman" w:hAnsi="Times New Roman" w:cs="Times New Roman"/>
          <w:sz w:val="28"/>
          <w:szCs w:val="28"/>
        </w:rPr>
        <w:t xml:space="preserve">Величина показателей «Отношение суммы взысканных административных штрафов к общей сумме наложенных административных штрафов» (В.3.5.6, В.3.6.8) обусловлена в первую очередь тем, что срок </w:t>
      </w:r>
      <w:r>
        <w:rPr>
          <w:rFonts w:ascii="Times New Roman" w:hAnsi="Times New Roman" w:cs="Times New Roman"/>
          <w:sz w:val="28"/>
          <w:szCs w:val="28"/>
        </w:rPr>
        <w:lastRenderedPageBreak/>
        <w:t>уплаты отдельных административных штрафов на отчетную дату не наступил.</w:t>
      </w:r>
    </w:p>
    <w:p w:rsidR="005727C2" w:rsidRDefault="005727C2" w:rsidP="005727C2">
      <w:pPr>
        <w:spacing w:after="0" w:line="240" w:lineRule="auto"/>
        <w:ind w:firstLine="757"/>
        <w:jc w:val="center"/>
        <w:rPr>
          <w:rFonts w:eastAsiaTheme="minorHAnsi"/>
          <w:b/>
          <w:lang w:eastAsia="en-US"/>
        </w:rPr>
      </w:pPr>
    </w:p>
    <w:p w:rsidR="005727C2" w:rsidRPr="00781939" w:rsidRDefault="00781939" w:rsidP="00D053C8">
      <w:pPr>
        <w:spacing w:after="0" w:line="240" w:lineRule="auto"/>
        <w:ind w:firstLine="284"/>
        <w:rPr>
          <w:rFonts w:eastAsiaTheme="minorHAnsi"/>
          <w:b/>
          <w:sz w:val="28"/>
          <w:szCs w:val="28"/>
          <w:lang w:eastAsia="en-US"/>
        </w:rPr>
      </w:pPr>
      <w:r>
        <w:rPr>
          <w:rFonts w:eastAsiaTheme="minorHAnsi"/>
          <w:b/>
          <w:sz w:val="28"/>
          <w:szCs w:val="28"/>
          <w:lang w:eastAsia="en-US"/>
        </w:rPr>
        <w:t>4.</w:t>
      </w:r>
      <w:r w:rsidR="00D053C8">
        <w:rPr>
          <w:rFonts w:eastAsiaTheme="minorHAnsi"/>
          <w:b/>
          <w:sz w:val="28"/>
          <w:szCs w:val="28"/>
          <w:lang w:eastAsia="en-US"/>
        </w:rPr>
        <w:t xml:space="preserve">6. </w:t>
      </w:r>
      <w:r w:rsidR="005727C2" w:rsidRPr="00781939">
        <w:rPr>
          <w:rFonts w:eastAsiaTheme="minorHAnsi"/>
          <w:b/>
          <w:sz w:val="28"/>
          <w:szCs w:val="28"/>
          <w:lang w:eastAsia="en-US"/>
        </w:rPr>
        <w:t xml:space="preserve">Анализ ключевых показателей результативности контрольно-надзорной деятельности департамента </w:t>
      </w:r>
    </w:p>
    <w:p w:rsidR="005727C2" w:rsidRDefault="005727C2" w:rsidP="00D053C8">
      <w:pPr>
        <w:spacing w:after="0" w:line="240" w:lineRule="auto"/>
        <w:ind w:firstLine="757"/>
        <w:rPr>
          <w:rFonts w:eastAsiaTheme="minorHAnsi"/>
          <w:b/>
          <w:lang w:eastAsia="en-US"/>
        </w:rPr>
      </w:pPr>
    </w:p>
    <w:p w:rsidR="005727C2" w:rsidRDefault="005727C2" w:rsidP="005727C2">
      <w:pPr>
        <w:autoSpaceDE w:val="0"/>
        <w:autoSpaceDN w:val="0"/>
        <w:adjustRightInd w:val="0"/>
        <w:spacing w:after="0" w:line="240" w:lineRule="auto"/>
        <w:ind w:firstLine="709"/>
        <w:jc w:val="both"/>
        <w:rPr>
          <w:sz w:val="28"/>
          <w:szCs w:val="28"/>
        </w:rPr>
      </w:pPr>
      <w:r>
        <w:rPr>
          <w:sz w:val="28"/>
          <w:szCs w:val="28"/>
        </w:rPr>
        <w:t>На 2019 год в целях оценки результативности контрольно-надзорной деятельности департамента были установлены следующие ключевые показатели:</w:t>
      </w:r>
    </w:p>
    <w:p w:rsidR="005727C2" w:rsidRDefault="005727C2" w:rsidP="005727C2">
      <w:pPr>
        <w:autoSpaceDE w:val="0"/>
        <w:autoSpaceDN w:val="0"/>
        <w:adjustRightInd w:val="0"/>
        <w:spacing w:after="0" w:line="240" w:lineRule="auto"/>
        <w:ind w:firstLine="709"/>
        <w:jc w:val="both"/>
        <w:rPr>
          <w:rFonts w:eastAsiaTheme="minorHAnsi"/>
          <w:sz w:val="28"/>
          <w:szCs w:val="28"/>
        </w:rPr>
      </w:pPr>
      <w:r>
        <w:rPr>
          <w:sz w:val="28"/>
          <w:szCs w:val="28"/>
        </w:rPr>
        <w:t>1)</w:t>
      </w:r>
      <w:r>
        <w:t> </w:t>
      </w:r>
      <w:r>
        <w:rPr>
          <w:sz w:val="28"/>
          <w:szCs w:val="28"/>
        </w:rPr>
        <w:t>ключевой показатель А.3.1 «Доля проведенных плановых проверок от общего количества запланированных проверок (за исключением проверок, не проведенных по независящим от департамента причинам)», который имеет следующие значения:</w:t>
      </w:r>
    </w:p>
    <w:tbl>
      <w:tblPr>
        <w:tblStyle w:val="aff"/>
        <w:tblW w:w="0" w:type="auto"/>
        <w:tblLook w:val="04A0" w:firstRow="1" w:lastRow="0" w:firstColumn="1" w:lastColumn="0" w:noHBand="0" w:noVBand="1"/>
      </w:tblPr>
      <w:tblGrid>
        <w:gridCol w:w="3189"/>
        <w:gridCol w:w="3190"/>
        <w:gridCol w:w="3191"/>
      </w:tblGrid>
      <w:tr w:rsidR="005727C2" w:rsidTr="005727C2">
        <w:tc>
          <w:tcPr>
            <w:tcW w:w="3189" w:type="dxa"/>
            <w:tcBorders>
              <w:top w:val="single" w:sz="4" w:space="0" w:color="auto"/>
              <w:left w:val="single" w:sz="4" w:space="0" w:color="auto"/>
              <w:bottom w:val="single" w:sz="4" w:space="0" w:color="auto"/>
              <w:right w:val="single" w:sz="4" w:space="0" w:color="auto"/>
            </w:tcBorders>
            <w:vAlign w:val="center"/>
            <w:hideMark/>
          </w:tcPr>
          <w:p w:rsidR="005727C2" w:rsidRDefault="005727C2">
            <w:pPr>
              <w:spacing w:after="0"/>
              <w:jc w:val="center"/>
              <w:rPr>
                <w:color w:val="000000"/>
                <w:sz w:val="28"/>
                <w:szCs w:val="28"/>
                <w:lang w:eastAsia="en-US"/>
              </w:rPr>
            </w:pPr>
            <w:r>
              <w:rPr>
                <w:color w:val="000000"/>
                <w:sz w:val="28"/>
                <w:szCs w:val="28"/>
                <w:lang w:eastAsia="en-US"/>
              </w:rPr>
              <w:t xml:space="preserve">Базовое значение показателя </w:t>
            </w:r>
            <w:r>
              <w:rPr>
                <w:color w:val="000000"/>
                <w:sz w:val="28"/>
                <w:szCs w:val="28"/>
                <w:lang w:eastAsia="en-US"/>
              </w:rPr>
              <w:br/>
              <w:t xml:space="preserve">(2017 год) </w:t>
            </w:r>
          </w:p>
        </w:tc>
        <w:tc>
          <w:tcPr>
            <w:tcW w:w="3190" w:type="dxa"/>
            <w:tcBorders>
              <w:top w:val="single" w:sz="4" w:space="0" w:color="auto"/>
              <w:left w:val="single" w:sz="4" w:space="0" w:color="auto"/>
              <w:bottom w:val="single" w:sz="4" w:space="0" w:color="auto"/>
              <w:right w:val="single" w:sz="4" w:space="0" w:color="auto"/>
            </w:tcBorders>
            <w:vAlign w:val="center"/>
            <w:hideMark/>
          </w:tcPr>
          <w:p w:rsidR="005727C2" w:rsidRDefault="005727C2">
            <w:pPr>
              <w:spacing w:after="0"/>
              <w:jc w:val="center"/>
              <w:rPr>
                <w:color w:val="000000"/>
                <w:sz w:val="28"/>
                <w:szCs w:val="28"/>
                <w:lang w:eastAsia="en-US"/>
              </w:rPr>
            </w:pPr>
            <w:r>
              <w:rPr>
                <w:color w:val="000000"/>
                <w:sz w:val="28"/>
                <w:szCs w:val="28"/>
                <w:lang w:eastAsia="en-US"/>
              </w:rPr>
              <w:t>Целевое значение показателя на 2019 год</w:t>
            </w:r>
            <w:r>
              <w:rPr>
                <w:color w:val="000000"/>
                <w:sz w:val="28"/>
                <w:szCs w:val="28"/>
                <w:lang w:eastAsia="en-US"/>
              </w:rPr>
              <w:br/>
            </w:r>
          </w:p>
        </w:tc>
        <w:tc>
          <w:tcPr>
            <w:tcW w:w="3191" w:type="dxa"/>
            <w:tcBorders>
              <w:top w:val="single" w:sz="4" w:space="0" w:color="auto"/>
              <w:left w:val="single" w:sz="4" w:space="0" w:color="auto"/>
              <w:bottom w:val="single" w:sz="4" w:space="0" w:color="auto"/>
              <w:right w:val="single" w:sz="4" w:space="0" w:color="auto"/>
            </w:tcBorders>
            <w:vAlign w:val="center"/>
            <w:hideMark/>
          </w:tcPr>
          <w:p w:rsidR="005727C2" w:rsidRDefault="005727C2">
            <w:pPr>
              <w:spacing w:after="0"/>
              <w:jc w:val="center"/>
              <w:rPr>
                <w:color w:val="000000"/>
                <w:sz w:val="28"/>
                <w:szCs w:val="28"/>
                <w:lang w:eastAsia="en-US"/>
              </w:rPr>
            </w:pPr>
            <w:r>
              <w:rPr>
                <w:color w:val="000000"/>
                <w:sz w:val="28"/>
                <w:szCs w:val="28"/>
                <w:lang w:eastAsia="en-US"/>
              </w:rPr>
              <w:t xml:space="preserve">Фактическое значение показателя в 2019 году </w:t>
            </w:r>
          </w:p>
        </w:tc>
      </w:tr>
      <w:tr w:rsidR="005727C2" w:rsidTr="005727C2">
        <w:tc>
          <w:tcPr>
            <w:tcW w:w="3189" w:type="dxa"/>
            <w:tcBorders>
              <w:top w:val="single" w:sz="4" w:space="0" w:color="auto"/>
              <w:left w:val="single" w:sz="4" w:space="0" w:color="auto"/>
              <w:bottom w:val="single" w:sz="4" w:space="0" w:color="auto"/>
              <w:right w:val="single" w:sz="4" w:space="0" w:color="auto"/>
            </w:tcBorders>
            <w:vAlign w:val="center"/>
            <w:hideMark/>
          </w:tcPr>
          <w:p w:rsidR="005727C2" w:rsidRDefault="005727C2">
            <w:pPr>
              <w:spacing w:after="0"/>
              <w:jc w:val="center"/>
              <w:rPr>
                <w:sz w:val="28"/>
                <w:szCs w:val="28"/>
                <w:lang w:eastAsia="en-US"/>
              </w:rPr>
            </w:pPr>
            <w:r>
              <w:rPr>
                <w:sz w:val="28"/>
                <w:szCs w:val="28"/>
                <w:lang w:eastAsia="en-US"/>
              </w:rPr>
              <w:t>100%</w:t>
            </w:r>
          </w:p>
        </w:tc>
        <w:tc>
          <w:tcPr>
            <w:tcW w:w="3190" w:type="dxa"/>
            <w:tcBorders>
              <w:top w:val="single" w:sz="4" w:space="0" w:color="auto"/>
              <w:left w:val="single" w:sz="4" w:space="0" w:color="auto"/>
              <w:bottom w:val="single" w:sz="4" w:space="0" w:color="auto"/>
              <w:right w:val="single" w:sz="4" w:space="0" w:color="auto"/>
            </w:tcBorders>
            <w:vAlign w:val="center"/>
            <w:hideMark/>
          </w:tcPr>
          <w:p w:rsidR="005727C2" w:rsidRDefault="005727C2">
            <w:pPr>
              <w:spacing w:after="0"/>
              <w:jc w:val="center"/>
              <w:rPr>
                <w:sz w:val="28"/>
                <w:szCs w:val="28"/>
                <w:lang w:eastAsia="en-US"/>
              </w:rPr>
            </w:pPr>
            <w:r>
              <w:rPr>
                <w:sz w:val="28"/>
                <w:szCs w:val="28"/>
                <w:lang w:eastAsia="en-US"/>
              </w:rPr>
              <w:t>не менее 85%</w:t>
            </w:r>
          </w:p>
        </w:tc>
        <w:tc>
          <w:tcPr>
            <w:tcW w:w="3191" w:type="dxa"/>
            <w:tcBorders>
              <w:top w:val="single" w:sz="4" w:space="0" w:color="auto"/>
              <w:left w:val="single" w:sz="4" w:space="0" w:color="auto"/>
              <w:bottom w:val="single" w:sz="4" w:space="0" w:color="auto"/>
              <w:right w:val="single" w:sz="4" w:space="0" w:color="auto"/>
            </w:tcBorders>
            <w:vAlign w:val="center"/>
            <w:hideMark/>
          </w:tcPr>
          <w:p w:rsidR="005727C2" w:rsidRDefault="005727C2">
            <w:pPr>
              <w:spacing w:after="0"/>
              <w:jc w:val="center"/>
              <w:rPr>
                <w:sz w:val="28"/>
                <w:szCs w:val="28"/>
                <w:lang w:eastAsia="en-US"/>
              </w:rPr>
            </w:pPr>
            <w:r>
              <w:rPr>
                <w:sz w:val="28"/>
                <w:szCs w:val="28"/>
                <w:lang w:eastAsia="en-US"/>
              </w:rPr>
              <w:t>100%</w:t>
            </w:r>
          </w:p>
        </w:tc>
      </w:tr>
    </w:tbl>
    <w:p w:rsidR="005727C2" w:rsidRDefault="005727C2" w:rsidP="005727C2">
      <w:pPr>
        <w:autoSpaceDE w:val="0"/>
        <w:autoSpaceDN w:val="0"/>
        <w:adjustRightInd w:val="0"/>
        <w:spacing w:after="0" w:line="240" w:lineRule="auto"/>
        <w:ind w:firstLine="709"/>
        <w:jc w:val="both"/>
        <w:rPr>
          <w:rFonts w:eastAsiaTheme="minorHAnsi"/>
          <w:sz w:val="16"/>
          <w:szCs w:val="16"/>
        </w:rPr>
      </w:pPr>
    </w:p>
    <w:p w:rsidR="005727C2" w:rsidRDefault="005727C2" w:rsidP="005727C2">
      <w:pPr>
        <w:autoSpaceDE w:val="0"/>
        <w:autoSpaceDN w:val="0"/>
        <w:adjustRightInd w:val="0"/>
        <w:spacing w:after="0" w:line="240" w:lineRule="auto"/>
        <w:ind w:firstLine="709"/>
        <w:jc w:val="both"/>
        <w:rPr>
          <w:rFonts w:eastAsiaTheme="minorHAnsi"/>
          <w:sz w:val="28"/>
          <w:szCs w:val="28"/>
        </w:rPr>
      </w:pPr>
      <w:r>
        <w:rPr>
          <w:rFonts w:eastAsiaTheme="minorHAnsi"/>
          <w:sz w:val="28"/>
          <w:szCs w:val="28"/>
        </w:rPr>
        <w:t>2) к</w:t>
      </w:r>
      <w:r>
        <w:rPr>
          <w:sz w:val="28"/>
          <w:szCs w:val="28"/>
        </w:rPr>
        <w:t>лючевой показатель А.3.2 «Доля проверок, результаты которых были отменены или признаны недействительными (в процентах от общего числа проведенных проверок)», который имеет следующие значения:</w:t>
      </w:r>
    </w:p>
    <w:tbl>
      <w:tblPr>
        <w:tblStyle w:val="aff"/>
        <w:tblW w:w="0" w:type="auto"/>
        <w:tblLook w:val="04A0" w:firstRow="1" w:lastRow="0" w:firstColumn="1" w:lastColumn="0" w:noHBand="0" w:noVBand="1"/>
      </w:tblPr>
      <w:tblGrid>
        <w:gridCol w:w="3189"/>
        <w:gridCol w:w="3190"/>
        <w:gridCol w:w="3191"/>
      </w:tblGrid>
      <w:tr w:rsidR="005727C2" w:rsidTr="005727C2">
        <w:tc>
          <w:tcPr>
            <w:tcW w:w="3189" w:type="dxa"/>
            <w:tcBorders>
              <w:top w:val="single" w:sz="4" w:space="0" w:color="auto"/>
              <w:left w:val="single" w:sz="4" w:space="0" w:color="auto"/>
              <w:bottom w:val="single" w:sz="4" w:space="0" w:color="auto"/>
              <w:right w:val="single" w:sz="4" w:space="0" w:color="auto"/>
            </w:tcBorders>
            <w:vAlign w:val="center"/>
            <w:hideMark/>
          </w:tcPr>
          <w:p w:rsidR="005727C2" w:rsidRDefault="005727C2">
            <w:pPr>
              <w:spacing w:after="0"/>
              <w:jc w:val="center"/>
              <w:rPr>
                <w:color w:val="000000"/>
                <w:sz w:val="28"/>
                <w:szCs w:val="28"/>
                <w:lang w:eastAsia="en-US"/>
              </w:rPr>
            </w:pPr>
            <w:r>
              <w:rPr>
                <w:color w:val="000000"/>
                <w:sz w:val="28"/>
                <w:szCs w:val="28"/>
                <w:lang w:eastAsia="en-US"/>
              </w:rPr>
              <w:t xml:space="preserve">Базовое значение показателя </w:t>
            </w:r>
            <w:r>
              <w:rPr>
                <w:color w:val="000000"/>
                <w:sz w:val="28"/>
                <w:szCs w:val="28"/>
                <w:lang w:eastAsia="en-US"/>
              </w:rPr>
              <w:br/>
              <w:t xml:space="preserve">(2017 год) </w:t>
            </w:r>
          </w:p>
        </w:tc>
        <w:tc>
          <w:tcPr>
            <w:tcW w:w="3190" w:type="dxa"/>
            <w:tcBorders>
              <w:top w:val="single" w:sz="4" w:space="0" w:color="auto"/>
              <w:left w:val="single" w:sz="4" w:space="0" w:color="auto"/>
              <w:bottom w:val="single" w:sz="4" w:space="0" w:color="auto"/>
              <w:right w:val="single" w:sz="4" w:space="0" w:color="auto"/>
            </w:tcBorders>
            <w:vAlign w:val="center"/>
            <w:hideMark/>
          </w:tcPr>
          <w:p w:rsidR="005727C2" w:rsidRDefault="005727C2">
            <w:pPr>
              <w:spacing w:after="0"/>
              <w:jc w:val="center"/>
              <w:rPr>
                <w:color w:val="000000"/>
                <w:sz w:val="28"/>
                <w:szCs w:val="28"/>
                <w:lang w:eastAsia="en-US"/>
              </w:rPr>
            </w:pPr>
            <w:r>
              <w:rPr>
                <w:color w:val="000000"/>
                <w:sz w:val="28"/>
                <w:szCs w:val="28"/>
                <w:lang w:eastAsia="en-US"/>
              </w:rPr>
              <w:t>Целевое значение показателя на 2019 год</w:t>
            </w:r>
            <w:r>
              <w:rPr>
                <w:color w:val="000000"/>
                <w:sz w:val="28"/>
                <w:szCs w:val="28"/>
                <w:lang w:eastAsia="en-US"/>
              </w:rPr>
              <w:br/>
            </w:r>
          </w:p>
        </w:tc>
        <w:tc>
          <w:tcPr>
            <w:tcW w:w="3191" w:type="dxa"/>
            <w:tcBorders>
              <w:top w:val="single" w:sz="4" w:space="0" w:color="auto"/>
              <w:left w:val="single" w:sz="4" w:space="0" w:color="auto"/>
              <w:bottom w:val="single" w:sz="4" w:space="0" w:color="auto"/>
              <w:right w:val="single" w:sz="4" w:space="0" w:color="auto"/>
            </w:tcBorders>
            <w:vAlign w:val="center"/>
            <w:hideMark/>
          </w:tcPr>
          <w:p w:rsidR="005727C2" w:rsidRDefault="005727C2">
            <w:pPr>
              <w:spacing w:after="0"/>
              <w:jc w:val="center"/>
              <w:rPr>
                <w:color w:val="000000"/>
                <w:sz w:val="28"/>
                <w:szCs w:val="28"/>
                <w:lang w:eastAsia="en-US"/>
              </w:rPr>
            </w:pPr>
            <w:r>
              <w:rPr>
                <w:color w:val="000000"/>
                <w:sz w:val="28"/>
                <w:szCs w:val="28"/>
                <w:lang w:eastAsia="en-US"/>
              </w:rPr>
              <w:t xml:space="preserve">Фактическое значение показателя в 2019 году </w:t>
            </w:r>
          </w:p>
        </w:tc>
      </w:tr>
      <w:tr w:rsidR="005727C2" w:rsidTr="005727C2">
        <w:tc>
          <w:tcPr>
            <w:tcW w:w="3189" w:type="dxa"/>
            <w:tcBorders>
              <w:top w:val="single" w:sz="4" w:space="0" w:color="auto"/>
              <w:left w:val="single" w:sz="4" w:space="0" w:color="auto"/>
              <w:bottom w:val="single" w:sz="4" w:space="0" w:color="auto"/>
              <w:right w:val="single" w:sz="4" w:space="0" w:color="auto"/>
            </w:tcBorders>
            <w:vAlign w:val="center"/>
            <w:hideMark/>
          </w:tcPr>
          <w:p w:rsidR="005727C2" w:rsidRDefault="005727C2">
            <w:pPr>
              <w:spacing w:after="0"/>
              <w:jc w:val="center"/>
              <w:rPr>
                <w:sz w:val="28"/>
                <w:szCs w:val="28"/>
                <w:lang w:eastAsia="en-US"/>
              </w:rPr>
            </w:pPr>
            <w:r>
              <w:rPr>
                <w:sz w:val="28"/>
                <w:szCs w:val="28"/>
                <w:lang w:eastAsia="en-US"/>
              </w:rPr>
              <w:t>0%</w:t>
            </w:r>
          </w:p>
        </w:tc>
        <w:tc>
          <w:tcPr>
            <w:tcW w:w="3190" w:type="dxa"/>
            <w:tcBorders>
              <w:top w:val="single" w:sz="4" w:space="0" w:color="auto"/>
              <w:left w:val="single" w:sz="4" w:space="0" w:color="auto"/>
              <w:bottom w:val="single" w:sz="4" w:space="0" w:color="auto"/>
              <w:right w:val="single" w:sz="4" w:space="0" w:color="auto"/>
            </w:tcBorders>
            <w:vAlign w:val="center"/>
            <w:hideMark/>
          </w:tcPr>
          <w:p w:rsidR="005727C2" w:rsidRDefault="005727C2">
            <w:pPr>
              <w:spacing w:after="0"/>
              <w:jc w:val="center"/>
              <w:rPr>
                <w:sz w:val="28"/>
                <w:szCs w:val="28"/>
                <w:lang w:eastAsia="en-US"/>
              </w:rPr>
            </w:pPr>
            <w:r>
              <w:rPr>
                <w:sz w:val="28"/>
                <w:szCs w:val="28"/>
                <w:lang w:eastAsia="en-US"/>
              </w:rPr>
              <w:t>не более 5%</w:t>
            </w:r>
          </w:p>
        </w:tc>
        <w:tc>
          <w:tcPr>
            <w:tcW w:w="3191" w:type="dxa"/>
            <w:tcBorders>
              <w:top w:val="single" w:sz="4" w:space="0" w:color="auto"/>
              <w:left w:val="single" w:sz="4" w:space="0" w:color="auto"/>
              <w:bottom w:val="single" w:sz="4" w:space="0" w:color="auto"/>
              <w:right w:val="single" w:sz="4" w:space="0" w:color="auto"/>
            </w:tcBorders>
            <w:vAlign w:val="center"/>
            <w:hideMark/>
          </w:tcPr>
          <w:p w:rsidR="005727C2" w:rsidRDefault="005727C2">
            <w:pPr>
              <w:spacing w:after="0"/>
              <w:jc w:val="center"/>
              <w:rPr>
                <w:sz w:val="28"/>
                <w:szCs w:val="28"/>
                <w:lang w:eastAsia="en-US"/>
              </w:rPr>
            </w:pPr>
            <w:r>
              <w:rPr>
                <w:sz w:val="28"/>
                <w:szCs w:val="28"/>
                <w:lang w:eastAsia="en-US"/>
              </w:rPr>
              <w:t>0%</w:t>
            </w:r>
          </w:p>
        </w:tc>
      </w:tr>
    </w:tbl>
    <w:p w:rsidR="005727C2" w:rsidRDefault="005727C2" w:rsidP="005727C2">
      <w:pPr>
        <w:spacing w:after="0" w:line="240" w:lineRule="auto"/>
        <w:ind w:firstLine="708"/>
        <w:rPr>
          <w:color w:val="000000"/>
          <w:sz w:val="16"/>
          <w:szCs w:val="16"/>
        </w:rPr>
      </w:pPr>
    </w:p>
    <w:p w:rsidR="005727C2" w:rsidRDefault="005727C2" w:rsidP="005727C2">
      <w:pPr>
        <w:autoSpaceDE w:val="0"/>
        <w:autoSpaceDN w:val="0"/>
        <w:adjustRightInd w:val="0"/>
        <w:spacing w:after="0" w:line="240" w:lineRule="auto"/>
        <w:ind w:firstLine="709"/>
        <w:jc w:val="both"/>
        <w:rPr>
          <w:rFonts w:eastAsiaTheme="minorHAnsi"/>
          <w:sz w:val="28"/>
          <w:szCs w:val="28"/>
        </w:rPr>
      </w:pPr>
      <w:r>
        <w:rPr>
          <w:rFonts w:eastAsiaTheme="minorHAnsi"/>
          <w:sz w:val="28"/>
          <w:szCs w:val="28"/>
        </w:rPr>
        <w:t>В 2019 году были разработаны и опубликованы на официальном сайте департамента в сети Интернет паспорта на ключевые показатели результативности контрольно-надзорной деятельности департамента.</w:t>
      </w:r>
    </w:p>
    <w:p w:rsidR="005727C2" w:rsidRDefault="005727C2" w:rsidP="005727C2">
      <w:pPr>
        <w:autoSpaceDE w:val="0"/>
        <w:autoSpaceDN w:val="0"/>
        <w:adjustRightInd w:val="0"/>
        <w:spacing w:after="0" w:line="240" w:lineRule="auto"/>
        <w:ind w:firstLine="709"/>
        <w:jc w:val="both"/>
        <w:rPr>
          <w:sz w:val="28"/>
          <w:szCs w:val="28"/>
        </w:rPr>
      </w:pPr>
      <w:r>
        <w:rPr>
          <w:bCs/>
          <w:sz w:val="28"/>
          <w:szCs w:val="28"/>
        </w:rPr>
        <w:t>В качестве базовых значений показателей приняты показатели</w:t>
      </w:r>
      <w:r>
        <w:rPr>
          <w:color w:val="000000"/>
          <w:sz w:val="28"/>
          <w:szCs w:val="28"/>
        </w:rPr>
        <w:t xml:space="preserve"> по осуществлению департаментом регионального государственного контроля (надзора) за 2017 год - ближайший к 2015 году, за который имеются соответствующие отчетные данные, поскольку </w:t>
      </w:r>
      <w:r>
        <w:rPr>
          <w:sz w:val="28"/>
          <w:szCs w:val="28"/>
        </w:rPr>
        <w:t>установить базовое значение</w:t>
      </w:r>
      <w:r>
        <w:rPr>
          <w:bCs/>
          <w:sz w:val="28"/>
          <w:szCs w:val="28"/>
        </w:rPr>
        <w:t xml:space="preserve"> показателей</w:t>
      </w:r>
      <w:r>
        <w:rPr>
          <w:sz w:val="28"/>
          <w:szCs w:val="28"/>
        </w:rPr>
        <w:t xml:space="preserve"> на уровне показателей 2015 года (как того требуют </w:t>
      </w:r>
      <w:r>
        <w:rPr>
          <w:color w:val="000000"/>
          <w:sz w:val="28"/>
          <w:szCs w:val="28"/>
        </w:rPr>
        <w:t>р</w:t>
      </w:r>
      <w:r>
        <w:rPr>
          <w:bCs/>
          <w:sz w:val="28"/>
          <w:szCs w:val="28"/>
        </w:rPr>
        <w:t>аспоряжение Правительства РФ от 17.05.2016 № 934-р «Об утверждении основных направлений разработки и внедрения системы оценки результативности и эффективности контрольно-надзорной деятельности»</w:t>
      </w:r>
      <w:r>
        <w:rPr>
          <w:sz w:val="28"/>
          <w:szCs w:val="28"/>
        </w:rPr>
        <w:t xml:space="preserve"> и </w:t>
      </w:r>
      <w:r>
        <w:rPr>
          <w:bCs/>
          <w:sz w:val="28"/>
          <w:szCs w:val="28"/>
        </w:rPr>
        <w:t>постановление Правительства Новосибирской области от 28.09.2017 № 370-п «</w:t>
      </w:r>
      <w:r>
        <w:rPr>
          <w:sz w:val="28"/>
          <w:szCs w:val="28"/>
        </w:rPr>
        <w:t>Об утверждении методики оценки результативности и эффективности деятельности областных исполнительных органов государственной власти Новосибирской области по осуществлению регионального государственного контроля (надзора)») невозможно по причине отсутствия у департамента необходимых данных.</w:t>
      </w:r>
    </w:p>
    <w:p w:rsidR="005727C2" w:rsidRDefault="005727C2" w:rsidP="005727C2">
      <w:pPr>
        <w:autoSpaceDE w:val="0"/>
        <w:autoSpaceDN w:val="0"/>
        <w:adjustRightInd w:val="0"/>
        <w:spacing w:after="0" w:line="240" w:lineRule="auto"/>
        <w:ind w:firstLine="709"/>
        <w:jc w:val="both"/>
        <w:rPr>
          <w:color w:val="000000"/>
          <w:sz w:val="28"/>
          <w:szCs w:val="28"/>
        </w:rPr>
      </w:pPr>
      <w:r>
        <w:rPr>
          <w:color w:val="000000"/>
          <w:sz w:val="28"/>
          <w:szCs w:val="28"/>
        </w:rPr>
        <w:t xml:space="preserve">Проблемы по достижению целевых значений ключевых показателей у департамента не возникли, что обусловлено, в первую очередь, соблюдением </w:t>
      </w:r>
      <w:r>
        <w:rPr>
          <w:color w:val="000000"/>
          <w:sz w:val="28"/>
          <w:szCs w:val="28"/>
        </w:rPr>
        <w:lastRenderedPageBreak/>
        <w:t>департаментом порядка и сроков проведения проверок, предусмотренных Федеральным законом № 294-ФЗ.</w:t>
      </w:r>
    </w:p>
    <w:p w:rsidR="005727C2" w:rsidRDefault="005727C2" w:rsidP="0061749D">
      <w:pPr>
        <w:pStyle w:val="a3"/>
      </w:pPr>
    </w:p>
    <w:p w:rsidR="005727C2" w:rsidRDefault="00533808" w:rsidP="0061749D">
      <w:pPr>
        <w:pStyle w:val="a3"/>
      </w:pPr>
      <w:r>
        <w:t>4</w:t>
      </w:r>
      <w:r w:rsidR="005727C2">
        <w:t>.</w:t>
      </w:r>
      <w:r w:rsidR="00D053C8">
        <w:t>7</w:t>
      </w:r>
      <w:r w:rsidR="005727C2">
        <w:t>. Административно-надзорное производство.</w:t>
      </w:r>
    </w:p>
    <w:p w:rsidR="005727C2" w:rsidRDefault="005727C2" w:rsidP="005727C2">
      <w:pPr>
        <w:autoSpaceDE w:val="0"/>
        <w:autoSpaceDN w:val="0"/>
        <w:adjustRightInd w:val="0"/>
        <w:spacing w:after="0" w:line="240" w:lineRule="auto"/>
        <w:ind w:firstLine="709"/>
        <w:jc w:val="both"/>
        <w:rPr>
          <w:rFonts w:eastAsiaTheme="minorHAnsi"/>
          <w:sz w:val="28"/>
          <w:szCs w:val="28"/>
          <w:lang w:eastAsia="en-US"/>
        </w:rPr>
      </w:pPr>
      <w:r>
        <w:rPr>
          <w:rFonts w:eastAsiaTheme="minorHAnsi"/>
          <w:sz w:val="28"/>
          <w:szCs w:val="28"/>
          <w:lang w:eastAsia="en-US"/>
        </w:rPr>
        <w:t>Согласно пункту 21 Положения о департаменте, утвержденного постановлением Правительства Новосибирской области от 25.02.2013 № 74-п, департамент осуществляет производство по делам об административных правонарушениях в соответствии с действующим законодательством и привлекает к ответственности юридические и физические лица за нарушение законодательства в пределах полномочий департамента.</w:t>
      </w:r>
    </w:p>
    <w:p w:rsidR="005727C2" w:rsidRDefault="005727C2" w:rsidP="005727C2">
      <w:pPr>
        <w:pStyle w:val="ConsPlusNormal"/>
        <w:ind w:firstLine="709"/>
        <w:jc w:val="both"/>
        <w:outlineLvl w:val="0"/>
        <w:rPr>
          <w:rFonts w:ascii="Times New Roman" w:hAnsi="Times New Roman" w:cs="Times New Roman"/>
          <w:bCs/>
          <w:iCs/>
          <w:sz w:val="28"/>
          <w:szCs w:val="28"/>
        </w:rPr>
      </w:pPr>
      <w:r>
        <w:rPr>
          <w:rFonts w:ascii="Times New Roman" w:hAnsi="Times New Roman" w:cs="Times New Roman"/>
          <w:bCs/>
          <w:iCs/>
          <w:sz w:val="28"/>
          <w:szCs w:val="28"/>
        </w:rPr>
        <w:t xml:space="preserve">В 2019 году в производстве уполномоченных лиц департамента находилось 314 дел  об административных правонарушениях (в том числе производство по которым прекращено) (в 2018 году – 283). Из них: 141 дел  - в отношении юридических лиц (в 2018 году – 128),  173 – в отношении должностных лиц (в 2018 году – 155); из них: </w:t>
      </w:r>
      <w:bookmarkStart w:id="10" w:name="_Toc478663827"/>
      <w:r>
        <w:rPr>
          <w:rFonts w:ascii="Times New Roman" w:hAnsi="Times New Roman" w:cs="Times New Roman"/>
          <w:bCs/>
          <w:iCs/>
          <w:sz w:val="28"/>
          <w:szCs w:val="28"/>
        </w:rPr>
        <w:t xml:space="preserve">285 дел возбуждено департаментом и 29 дел возбуждено органами прокуратуры Новосибирской области (в 2018 году - 232 дела и 51, соответственно).  </w:t>
      </w:r>
      <w:bookmarkStart w:id="11" w:name="_Toc478663819"/>
      <w:bookmarkStart w:id="12" w:name="_Toc478663828"/>
      <w:bookmarkEnd w:id="10"/>
    </w:p>
    <w:p w:rsidR="005727C2" w:rsidRDefault="005727C2" w:rsidP="005727C2">
      <w:pPr>
        <w:pStyle w:val="ConsPlusNormal"/>
        <w:ind w:firstLine="709"/>
        <w:jc w:val="both"/>
        <w:outlineLvl w:val="0"/>
        <w:rPr>
          <w:rFonts w:ascii="Times New Roman" w:hAnsi="Times New Roman" w:cs="Times New Roman"/>
          <w:bCs/>
          <w:iCs/>
          <w:sz w:val="28"/>
          <w:szCs w:val="28"/>
        </w:rPr>
      </w:pPr>
      <w:bookmarkStart w:id="13" w:name="_Toc478663835"/>
      <w:bookmarkEnd w:id="11"/>
      <w:bookmarkEnd w:id="12"/>
      <w:r>
        <w:rPr>
          <w:rFonts w:ascii="Times New Roman" w:hAnsi="Times New Roman" w:cs="Times New Roman"/>
          <w:bCs/>
          <w:iCs/>
          <w:sz w:val="28"/>
          <w:szCs w:val="28"/>
        </w:rPr>
        <w:t>По результатам рассмотрения вышеуказанных дел об административных правонарушениях было вынесено 298 постановлений о привлечении к административной ответственности, из них:</w:t>
      </w:r>
    </w:p>
    <w:p w:rsidR="005727C2" w:rsidRDefault="005727C2" w:rsidP="005727C2">
      <w:pPr>
        <w:pStyle w:val="ConsPlusNormal"/>
        <w:ind w:firstLine="709"/>
        <w:jc w:val="both"/>
        <w:outlineLvl w:val="0"/>
        <w:rPr>
          <w:rFonts w:ascii="Times New Roman" w:hAnsi="Times New Roman" w:cs="Times New Roman"/>
          <w:bCs/>
          <w:iCs/>
          <w:sz w:val="28"/>
          <w:szCs w:val="28"/>
        </w:rPr>
      </w:pPr>
      <w:r>
        <w:rPr>
          <w:rFonts w:ascii="Times New Roman" w:hAnsi="Times New Roman" w:cs="Times New Roman"/>
          <w:bCs/>
          <w:iCs/>
          <w:sz w:val="28"/>
          <w:szCs w:val="28"/>
        </w:rPr>
        <w:t>- количество постановлений о назначении наказаний в виде штрафа – 231;</w:t>
      </w:r>
    </w:p>
    <w:p w:rsidR="005727C2" w:rsidRDefault="005727C2" w:rsidP="005727C2">
      <w:pPr>
        <w:pStyle w:val="ConsPlusNormal"/>
        <w:ind w:firstLine="709"/>
        <w:jc w:val="both"/>
        <w:outlineLvl w:val="0"/>
        <w:rPr>
          <w:rFonts w:ascii="Times New Roman" w:hAnsi="Times New Roman" w:cs="Times New Roman"/>
          <w:bCs/>
          <w:iCs/>
          <w:sz w:val="28"/>
          <w:szCs w:val="28"/>
        </w:rPr>
      </w:pPr>
      <w:r>
        <w:rPr>
          <w:rFonts w:ascii="Times New Roman" w:hAnsi="Times New Roman" w:cs="Times New Roman"/>
          <w:bCs/>
          <w:iCs/>
          <w:sz w:val="28"/>
          <w:szCs w:val="28"/>
        </w:rPr>
        <w:t>- количество постановлений о назначении наказаний в виде предупреждения – 67;</w:t>
      </w:r>
    </w:p>
    <w:p w:rsidR="005727C2" w:rsidRDefault="005727C2" w:rsidP="005727C2">
      <w:pPr>
        <w:pStyle w:val="ConsPlusNormal"/>
        <w:ind w:firstLine="709"/>
        <w:jc w:val="both"/>
        <w:outlineLvl w:val="0"/>
        <w:rPr>
          <w:rFonts w:ascii="Times New Roman" w:hAnsi="Times New Roman" w:cs="Times New Roman"/>
          <w:bCs/>
          <w:iCs/>
          <w:sz w:val="28"/>
          <w:szCs w:val="28"/>
        </w:rPr>
      </w:pPr>
      <w:r>
        <w:rPr>
          <w:rFonts w:ascii="Times New Roman" w:hAnsi="Times New Roman" w:cs="Times New Roman"/>
          <w:bCs/>
          <w:iCs/>
          <w:sz w:val="28"/>
          <w:szCs w:val="28"/>
        </w:rPr>
        <w:t>- количество прекращенных дел – 16;</w:t>
      </w:r>
    </w:p>
    <w:p w:rsidR="005727C2" w:rsidRDefault="005727C2" w:rsidP="005727C2">
      <w:pPr>
        <w:pStyle w:val="ConsPlusNormal"/>
        <w:ind w:firstLine="709"/>
        <w:jc w:val="both"/>
        <w:outlineLvl w:val="0"/>
        <w:rPr>
          <w:rFonts w:ascii="Times New Roman" w:hAnsi="Times New Roman" w:cs="Times New Roman"/>
          <w:bCs/>
          <w:iCs/>
          <w:sz w:val="28"/>
          <w:szCs w:val="28"/>
        </w:rPr>
      </w:pPr>
      <w:r>
        <w:rPr>
          <w:rFonts w:ascii="Times New Roman" w:hAnsi="Times New Roman" w:cs="Times New Roman"/>
          <w:bCs/>
          <w:iCs/>
          <w:sz w:val="28"/>
          <w:szCs w:val="28"/>
        </w:rPr>
        <w:t xml:space="preserve"> - общая сумма наложенных штрафов – 4,96 млн. рублей (в 2018 году – 4,56 млн. рублей);</w:t>
      </w:r>
    </w:p>
    <w:p w:rsidR="005727C2" w:rsidRDefault="005727C2" w:rsidP="005727C2">
      <w:pPr>
        <w:pStyle w:val="ConsPlusNormal"/>
        <w:ind w:firstLine="709"/>
        <w:jc w:val="both"/>
        <w:outlineLvl w:val="0"/>
        <w:rPr>
          <w:rFonts w:ascii="Times New Roman" w:hAnsi="Times New Roman" w:cs="Times New Roman"/>
          <w:bCs/>
          <w:iCs/>
          <w:sz w:val="28"/>
          <w:szCs w:val="28"/>
        </w:rPr>
      </w:pPr>
      <w:r>
        <w:rPr>
          <w:rFonts w:ascii="Times New Roman" w:hAnsi="Times New Roman" w:cs="Times New Roman"/>
          <w:bCs/>
          <w:iCs/>
          <w:sz w:val="28"/>
          <w:szCs w:val="28"/>
        </w:rPr>
        <w:t>- общая сумма уплаченных (взысканных) штрафов – 2,66 млн. рублей (в 2018 году – 2,27 млн. рублей).</w:t>
      </w:r>
    </w:p>
    <w:p w:rsidR="005727C2" w:rsidRDefault="005727C2" w:rsidP="005727C2">
      <w:pPr>
        <w:pStyle w:val="ConsPlusNormal"/>
        <w:ind w:firstLine="709"/>
        <w:jc w:val="both"/>
        <w:outlineLvl w:val="0"/>
        <w:rPr>
          <w:rFonts w:ascii="Times New Roman" w:hAnsi="Times New Roman" w:cs="Times New Roman"/>
          <w:bCs/>
          <w:iCs/>
          <w:sz w:val="28"/>
          <w:szCs w:val="28"/>
        </w:rPr>
      </w:pPr>
    </w:p>
    <w:bookmarkEnd w:id="13"/>
    <w:p w:rsidR="005727C2" w:rsidRDefault="00533808" w:rsidP="0061749D">
      <w:pPr>
        <w:pStyle w:val="a3"/>
      </w:pPr>
      <w:r>
        <w:t>4</w:t>
      </w:r>
      <w:r w:rsidR="005727C2">
        <w:t>.</w:t>
      </w:r>
      <w:r w:rsidR="00D053C8">
        <w:t>8</w:t>
      </w:r>
      <w:r w:rsidR="005727C2">
        <w:t>. Участие в судопроизводстве (судебная практика).</w:t>
      </w:r>
    </w:p>
    <w:p w:rsidR="005727C2" w:rsidRDefault="005727C2" w:rsidP="005727C2">
      <w:pPr>
        <w:autoSpaceDE w:val="0"/>
        <w:autoSpaceDN w:val="0"/>
        <w:adjustRightInd w:val="0"/>
        <w:spacing w:after="0" w:line="240" w:lineRule="auto"/>
        <w:ind w:firstLine="709"/>
        <w:jc w:val="both"/>
        <w:rPr>
          <w:sz w:val="28"/>
          <w:szCs w:val="28"/>
        </w:rPr>
      </w:pPr>
      <w:r>
        <w:rPr>
          <w:sz w:val="28"/>
          <w:szCs w:val="28"/>
        </w:rPr>
        <w:t>В 2019 году в судебном порядке оспаривалось 55 решений департамента (в 2018 году – 55, в 2017 году – 18):</w:t>
      </w:r>
    </w:p>
    <w:p w:rsidR="005727C2" w:rsidRDefault="005727C2" w:rsidP="005727C2">
      <w:pPr>
        <w:autoSpaceDE w:val="0"/>
        <w:autoSpaceDN w:val="0"/>
        <w:adjustRightInd w:val="0"/>
        <w:spacing w:after="0" w:line="240" w:lineRule="auto"/>
        <w:ind w:firstLine="709"/>
        <w:jc w:val="both"/>
        <w:rPr>
          <w:sz w:val="28"/>
          <w:szCs w:val="28"/>
        </w:rPr>
      </w:pPr>
      <w:r>
        <w:rPr>
          <w:sz w:val="28"/>
          <w:szCs w:val="28"/>
        </w:rPr>
        <w:t>- 20 дел об оспаривании постановлений департамента по делам административных правонарушениях (в 2018 году – 38, в 2017 году – 8);</w:t>
      </w:r>
    </w:p>
    <w:p w:rsidR="005727C2" w:rsidRDefault="005727C2" w:rsidP="005727C2">
      <w:pPr>
        <w:autoSpaceDE w:val="0"/>
        <w:autoSpaceDN w:val="0"/>
        <w:adjustRightInd w:val="0"/>
        <w:spacing w:after="0" w:line="240" w:lineRule="auto"/>
        <w:ind w:firstLine="709"/>
        <w:jc w:val="both"/>
        <w:rPr>
          <w:sz w:val="28"/>
          <w:szCs w:val="28"/>
        </w:rPr>
      </w:pPr>
      <w:r>
        <w:rPr>
          <w:sz w:val="28"/>
          <w:szCs w:val="28"/>
        </w:rPr>
        <w:t>- 7 нормативных правовых актов департамента (1 дело в арбитражном суде и 6 дел в судах общей юрисдикции) (в 2018 году – 11, в 2017 году – 7);</w:t>
      </w:r>
    </w:p>
    <w:p w:rsidR="005727C2" w:rsidRDefault="005727C2" w:rsidP="005727C2">
      <w:pPr>
        <w:autoSpaceDE w:val="0"/>
        <w:autoSpaceDN w:val="0"/>
        <w:adjustRightInd w:val="0"/>
        <w:spacing w:after="0" w:line="240" w:lineRule="auto"/>
        <w:ind w:firstLine="709"/>
        <w:jc w:val="both"/>
        <w:rPr>
          <w:sz w:val="28"/>
          <w:szCs w:val="28"/>
        </w:rPr>
      </w:pPr>
      <w:r>
        <w:rPr>
          <w:sz w:val="28"/>
          <w:szCs w:val="28"/>
        </w:rPr>
        <w:t xml:space="preserve">- 6 дел  об оспаривании ненормативных правовых актов (действий, бездействий) департамента (в 2018 году – 6, в 2017 году – 2). </w:t>
      </w:r>
    </w:p>
    <w:p w:rsidR="005727C2" w:rsidRDefault="005727C2" w:rsidP="005727C2">
      <w:pPr>
        <w:autoSpaceDE w:val="0"/>
        <w:autoSpaceDN w:val="0"/>
        <w:adjustRightInd w:val="0"/>
        <w:spacing w:after="0" w:line="240" w:lineRule="auto"/>
        <w:ind w:firstLine="709"/>
        <w:jc w:val="both"/>
        <w:outlineLvl w:val="2"/>
        <w:rPr>
          <w:sz w:val="28"/>
          <w:szCs w:val="28"/>
        </w:rPr>
      </w:pPr>
      <w:r>
        <w:rPr>
          <w:sz w:val="28"/>
          <w:szCs w:val="28"/>
        </w:rPr>
        <w:t>Почти все постановления департамента о привлечении к административной ответственности, а также ненормативные правовые акты (действия, бездействия) департамента  признаны законными (отмены только 3 постановления по делам об административных правонарушениях).</w:t>
      </w:r>
    </w:p>
    <w:p w:rsidR="005727C2" w:rsidRDefault="005727C2" w:rsidP="005727C2">
      <w:pPr>
        <w:autoSpaceDE w:val="0"/>
        <w:autoSpaceDN w:val="0"/>
        <w:adjustRightInd w:val="0"/>
        <w:spacing w:after="0" w:line="240" w:lineRule="auto"/>
        <w:ind w:firstLine="709"/>
        <w:jc w:val="both"/>
        <w:outlineLvl w:val="2"/>
        <w:rPr>
          <w:b/>
          <w:bCs/>
          <w:iCs/>
          <w:sz w:val="28"/>
          <w:szCs w:val="28"/>
        </w:rPr>
      </w:pPr>
      <w:r>
        <w:rPr>
          <w:sz w:val="28"/>
          <w:szCs w:val="28"/>
        </w:rPr>
        <w:lastRenderedPageBreak/>
        <w:t xml:space="preserve">Отменено в судебном порядке 1 тарифное решение департамента, а также признаны частично недействующими 2 приказа департамента об установлении нормативов потребления коммунальных услуг. </w:t>
      </w:r>
    </w:p>
    <w:p w:rsidR="00533808" w:rsidRDefault="00533808" w:rsidP="000E53E2">
      <w:pPr>
        <w:pStyle w:val="26"/>
        <w:jc w:val="both"/>
        <w:rPr>
          <w:sz w:val="28"/>
        </w:rPr>
      </w:pPr>
      <w:bookmarkStart w:id="14" w:name="_Toc415563591"/>
    </w:p>
    <w:p w:rsidR="000E53E2" w:rsidRPr="0061749D" w:rsidRDefault="00533808" w:rsidP="000E53E2">
      <w:pPr>
        <w:pStyle w:val="26"/>
        <w:jc w:val="both"/>
        <w:rPr>
          <w:i w:val="0"/>
          <w:szCs w:val="32"/>
        </w:rPr>
      </w:pPr>
      <w:r w:rsidRPr="0061749D">
        <w:rPr>
          <w:i w:val="0"/>
          <w:szCs w:val="32"/>
        </w:rPr>
        <w:t>5</w:t>
      </w:r>
      <w:r w:rsidR="000E53E2" w:rsidRPr="0061749D">
        <w:rPr>
          <w:i w:val="0"/>
          <w:szCs w:val="32"/>
        </w:rPr>
        <w:t>. Государственная гражданская служба в департаменте</w:t>
      </w:r>
      <w:bookmarkEnd w:id="14"/>
    </w:p>
    <w:p w:rsidR="000E53E2" w:rsidRDefault="000E53E2" w:rsidP="000E53E2">
      <w:pPr>
        <w:pStyle w:val="26"/>
        <w:jc w:val="both"/>
        <w:rPr>
          <w:b w:val="0"/>
          <w:i w:val="0"/>
          <w:sz w:val="28"/>
        </w:rPr>
      </w:pPr>
    </w:p>
    <w:p w:rsidR="000E53E2" w:rsidRDefault="000E53E2" w:rsidP="00533808">
      <w:pPr>
        <w:pStyle w:val="13"/>
        <w:ind w:firstLine="708"/>
        <w:jc w:val="both"/>
        <w:rPr>
          <w:rFonts w:ascii="Times New Roman" w:hAnsi="Times New Roman"/>
          <w:sz w:val="28"/>
          <w:szCs w:val="28"/>
          <w:lang w:val="ru-RU"/>
        </w:rPr>
      </w:pPr>
      <w:r>
        <w:rPr>
          <w:rFonts w:ascii="Times New Roman" w:hAnsi="Times New Roman"/>
          <w:sz w:val="28"/>
          <w:szCs w:val="28"/>
          <w:lang w:val="ru-RU"/>
        </w:rPr>
        <w:t xml:space="preserve">На текущий момент организационно-штатная структура  Департамента, </w:t>
      </w:r>
    </w:p>
    <w:p w:rsidR="000E53E2" w:rsidRDefault="000E53E2" w:rsidP="00533808">
      <w:pPr>
        <w:pStyle w:val="13"/>
        <w:jc w:val="both"/>
        <w:rPr>
          <w:rFonts w:ascii="Times New Roman" w:hAnsi="Times New Roman"/>
          <w:sz w:val="28"/>
          <w:szCs w:val="28"/>
          <w:lang w:val="ru-RU"/>
        </w:rPr>
      </w:pPr>
      <w:r>
        <w:rPr>
          <w:rFonts w:ascii="Times New Roman" w:hAnsi="Times New Roman"/>
          <w:sz w:val="28"/>
          <w:szCs w:val="28"/>
          <w:lang w:val="ru-RU"/>
        </w:rPr>
        <w:t>сформированная в рамках установленной Губернатором Новосибирской области предельной штатной численности - 79 штатных единиц, представлена 8 отделами и построена по единому функциональному принципу на базе Реестра должностей государственной гражданской службы Новосибирской области в соответствии с Законом Новосибирской области от 06.04.2005 № 287-ОЗ «О Реестре должностей государственной гражданской службы Новосибирской области».</w:t>
      </w:r>
    </w:p>
    <w:p w:rsidR="000E53E2" w:rsidRDefault="000E53E2" w:rsidP="00533808">
      <w:pPr>
        <w:pStyle w:val="13"/>
        <w:ind w:firstLine="708"/>
        <w:jc w:val="both"/>
        <w:rPr>
          <w:rFonts w:ascii="Times New Roman" w:hAnsi="Times New Roman"/>
          <w:sz w:val="28"/>
          <w:szCs w:val="28"/>
          <w:lang w:val="ru-RU"/>
        </w:rPr>
      </w:pPr>
      <w:r>
        <w:rPr>
          <w:rFonts w:ascii="Times New Roman" w:hAnsi="Times New Roman"/>
          <w:sz w:val="28"/>
          <w:szCs w:val="28"/>
          <w:lang w:val="ru-RU"/>
        </w:rPr>
        <w:t>Образовательный уровень специалистов Департамента представлен следующим образом:</w:t>
      </w:r>
    </w:p>
    <w:p w:rsidR="000E53E2" w:rsidRDefault="000E53E2" w:rsidP="00533808">
      <w:pPr>
        <w:pStyle w:val="13"/>
        <w:jc w:val="both"/>
        <w:rPr>
          <w:rFonts w:ascii="Times New Roman" w:hAnsi="Times New Roman"/>
          <w:sz w:val="28"/>
          <w:szCs w:val="28"/>
          <w:lang w:val="ru-RU"/>
        </w:rPr>
      </w:pPr>
      <w:r>
        <w:rPr>
          <w:rFonts w:ascii="Times New Roman" w:hAnsi="Times New Roman"/>
          <w:sz w:val="28"/>
          <w:szCs w:val="28"/>
          <w:lang w:val="ru-RU"/>
        </w:rPr>
        <w:t>- высшее образование имеют 73 человек (98,6 %);</w:t>
      </w:r>
    </w:p>
    <w:p w:rsidR="000E53E2" w:rsidRDefault="000E53E2" w:rsidP="00533808">
      <w:pPr>
        <w:pStyle w:val="13"/>
        <w:jc w:val="both"/>
        <w:rPr>
          <w:rFonts w:ascii="Times New Roman" w:hAnsi="Times New Roman"/>
          <w:sz w:val="28"/>
          <w:szCs w:val="28"/>
          <w:lang w:val="ru-RU"/>
        </w:rPr>
      </w:pPr>
      <w:r>
        <w:rPr>
          <w:rFonts w:ascii="Times New Roman" w:hAnsi="Times New Roman"/>
          <w:sz w:val="28"/>
          <w:szCs w:val="28"/>
          <w:lang w:val="ru-RU"/>
        </w:rPr>
        <w:t>- среднее профессиональное образование имеет 1 человек (1,4 %).</w:t>
      </w:r>
    </w:p>
    <w:p w:rsidR="000E53E2" w:rsidRDefault="000E53E2" w:rsidP="00533808">
      <w:pPr>
        <w:pStyle w:val="13"/>
        <w:ind w:firstLine="708"/>
        <w:jc w:val="both"/>
        <w:rPr>
          <w:rFonts w:ascii="Times New Roman" w:hAnsi="Times New Roman"/>
          <w:sz w:val="28"/>
          <w:szCs w:val="28"/>
          <w:lang w:val="ru-RU"/>
        </w:rPr>
      </w:pPr>
      <w:r>
        <w:rPr>
          <w:rFonts w:ascii="Times New Roman" w:hAnsi="Times New Roman"/>
          <w:sz w:val="28"/>
          <w:szCs w:val="28"/>
          <w:lang w:val="ru-RU"/>
        </w:rPr>
        <w:t>Из общей численности сотрудников Департамента имеют:</w:t>
      </w:r>
    </w:p>
    <w:p w:rsidR="000E53E2" w:rsidRDefault="000E53E2" w:rsidP="00533808">
      <w:pPr>
        <w:pStyle w:val="13"/>
        <w:jc w:val="both"/>
        <w:rPr>
          <w:rFonts w:ascii="Times New Roman" w:hAnsi="Times New Roman"/>
          <w:i/>
          <w:sz w:val="28"/>
          <w:szCs w:val="28"/>
          <w:lang w:val="ru-RU"/>
        </w:rPr>
      </w:pPr>
      <w:r>
        <w:rPr>
          <w:rFonts w:ascii="Times New Roman" w:hAnsi="Times New Roman"/>
          <w:i/>
          <w:sz w:val="28"/>
          <w:szCs w:val="28"/>
          <w:lang w:val="ru-RU"/>
        </w:rPr>
        <w:t xml:space="preserve">- </w:t>
      </w:r>
      <w:r>
        <w:rPr>
          <w:rFonts w:ascii="Times New Roman" w:hAnsi="Times New Roman"/>
          <w:sz w:val="28"/>
          <w:szCs w:val="28"/>
          <w:lang w:val="ru-RU"/>
        </w:rPr>
        <w:t>два и более высших образования – 13 человек (18 %);</w:t>
      </w:r>
    </w:p>
    <w:p w:rsidR="000E53E2" w:rsidRDefault="000E53E2" w:rsidP="00533808">
      <w:pPr>
        <w:pStyle w:val="13"/>
        <w:ind w:firstLine="360"/>
        <w:jc w:val="both"/>
        <w:rPr>
          <w:rFonts w:ascii="Times New Roman" w:hAnsi="Times New Roman"/>
          <w:sz w:val="28"/>
          <w:szCs w:val="28"/>
          <w:lang w:val="ru-RU"/>
        </w:rPr>
      </w:pPr>
      <w:r>
        <w:rPr>
          <w:rFonts w:ascii="Times New Roman" w:hAnsi="Times New Roman"/>
          <w:sz w:val="28"/>
          <w:szCs w:val="28"/>
          <w:lang w:val="ru-RU"/>
        </w:rPr>
        <w:t>В соответствии с Федеральным законом от 27.07.2004 № 79-ФЗ «О государственной гражданской службе Российской Федерации» в Департаменте в течение 2019 года государственным гражданским служащим:</w:t>
      </w:r>
    </w:p>
    <w:p w:rsidR="000E53E2" w:rsidRDefault="000E53E2" w:rsidP="00763A8B">
      <w:pPr>
        <w:pStyle w:val="13"/>
        <w:numPr>
          <w:ilvl w:val="0"/>
          <w:numId w:val="9"/>
        </w:numPr>
        <w:jc w:val="both"/>
        <w:rPr>
          <w:rFonts w:ascii="Times New Roman" w:hAnsi="Times New Roman"/>
          <w:sz w:val="28"/>
          <w:szCs w:val="28"/>
          <w:lang w:val="ru-RU"/>
        </w:rPr>
      </w:pPr>
      <w:r>
        <w:rPr>
          <w:rFonts w:ascii="Times New Roman" w:hAnsi="Times New Roman"/>
          <w:sz w:val="28"/>
          <w:szCs w:val="28"/>
          <w:lang w:val="ru-RU"/>
        </w:rPr>
        <w:t>присвоены очередные классные чины – 21 человекам;</w:t>
      </w:r>
    </w:p>
    <w:p w:rsidR="000E53E2" w:rsidRDefault="000E53E2" w:rsidP="00763A8B">
      <w:pPr>
        <w:pStyle w:val="13"/>
        <w:numPr>
          <w:ilvl w:val="0"/>
          <w:numId w:val="9"/>
        </w:numPr>
        <w:jc w:val="both"/>
        <w:rPr>
          <w:rFonts w:ascii="Times New Roman" w:hAnsi="Times New Roman"/>
          <w:sz w:val="28"/>
          <w:szCs w:val="28"/>
          <w:lang w:val="ru-RU"/>
        </w:rPr>
      </w:pPr>
      <w:r>
        <w:rPr>
          <w:rFonts w:ascii="Times New Roman" w:hAnsi="Times New Roman"/>
          <w:sz w:val="28"/>
          <w:szCs w:val="28"/>
          <w:lang w:val="ru-RU"/>
        </w:rPr>
        <w:t>прошли аттестацию – 16 человек, из них 11 - соответствуют замещаемой должности, 5 - соответствуют замещаемой должности и включены в кадровый  резерв.</w:t>
      </w:r>
    </w:p>
    <w:p w:rsidR="000E53E2" w:rsidRDefault="000E53E2" w:rsidP="00533808">
      <w:pPr>
        <w:pStyle w:val="13"/>
        <w:ind w:firstLine="708"/>
        <w:jc w:val="both"/>
        <w:rPr>
          <w:rFonts w:ascii="Times New Roman" w:hAnsi="Times New Roman"/>
          <w:sz w:val="28"/>
          <w:szCs w:val="28"/>
          <w:lang w:val="ru-RU"/>
        </w:rPr>
      </w:pPr>
      <w:r>
        <w:rPr>
          <w:rFonts w:ascii="Times New Roman" w:hAnsi="Times New Roman"/>
          <w:sz w:val="28"/>
          <w:szCs w:val="28"/>
          <w:lang w:val="ru-RU"/>
        </w:rPr>
        <w:t>За прошедший 2019 год в Департаменте прошли обучение по программам повышения квалификации – 13  государственных служащих (19% ).</w:t>
      </w:r>
    </w:p>
    <w:p w:rsidR="000E53E2" w:rsidRDefault="000E53E2" w:rsidP="00533808">
      <w:pPr>
        <w:pStyle w:val="13"/>
        <w:ind w:firstLine="180"/>
        <w:jc w:val="both"/>
        <w:rPr>
          <w:rFonts w:ascii="Times New Roman" w:hAnsi="Times New Roman"/>
          <w:sz w:val="28"/>
          <w:szCs w:val="28"/>
          <w:lang w:val="ru-RU"/>
        </w:rPr>
      </w:pPr>
      <w:r>
        <w:rPr>
          <w:rFonts w:ascii="Times New Roman" w:hAnsi="Times New Roman"/>
          <w:sz w:val="28"/>
          <w:szCs w:val="28"/>
          <w:lang w:val="ru-RU"/>
        </w:rPr>
        <w:t xml:space="preserve">       Приоритетным направлением обучения специалистов в 2019 году явилось планово-финансовое в сферах полномочий департамента.</w:t>
      </w:r>
    </w:p>
    <w:p w:rsidR="000E53E2" w:rsidRDefault="000E53E2" w:rsidP="00533808">
      <w:pPr>
        <w:pStyle w:val="13"/>
        <w:ind w:left="180" w:firstLine="528"/>
        <w:jc w:val="both"/>
        <w:rPr>
          <w:rFonts w:ascii="Times New Roman" w:hAnsi="Times New Roman"/>
          <w:sz w:val="28"/>
          <w:szCs w:val="28"/>
          <w:lang w:val="ru-RU"/>
        </w:rPr>
      </w:pPr>
      <w:r>
        <w:rPr>
          <w:rFonts w:ascii="Times New Roman" w:hAnsi="Times New Roman"/>
          <w:sz w:val="28"/>
          <w:szCs w:val="28"/>
          <w:lang w:val="ru-RU"/>
        </w:rPr>
        <w:t>По итогам обучения все сотрудники Департамента получили документы государственного образца  о прохождении повышения квалификации.</w:t>
      </w:r>
    </w:p>
    <w:p w:rsidR="000E53E2" w:rsidRDefault="000E53E2" w:rsidP="00533808">
      <w:pPr>
        <w:pStyle w:val="13"/>
        <w:ind w:left="180" w:firstLine="528"/>
        <w:jc w:val="both"/>
        <w:rPr>
          <w:rFonts w:ascii="Times New Roman" w:hAnsi="Times New Roman"/>
          <w:sz w:val="28"/>
          <w:szCs w:val="28"/>
          <w:lang w:val="ru-RU"/>
        </w:rPr>
      </w:pPr>
      <w:r>
        <w:rPr>
          <w:rFonts w:ascii="Times New Roman" w:hAnsi="Times New Roman"/>
          <w:sz w:val="28"/>
          <w:szCs w:val="28"/>
          <w:lang w:val="ru-RU"/>
        </w:rPr>
        <w:t>Приняли участие в семинарах-совещаниях, тренингах без выдачи документа установленного образца – 26 государственных служащих (39 %).</w:t>
      </w:r>
    </w:p>
    <w:p w:rsidR="000E53E2" w:rsidRDefault="000E53E2" w:rsidP="00533808">
      <w:pPr>
        <w:pStyle w:val="13"/>
        <w:ind w:firstLine="708"/>
        <w:jc w:val="both"/>
        <w:rPr>
          <w:rFonts w:ascii="Times New Roman" w:hAnsi="Times New Roman"/>
          <w:sz w:val="28"/>
          <w:szCs w:val="28"/>
          <w:lang w:val="ru-RU"/>
        </w:rPr>
      </w:pPr>
      <w:r>
        <w:rPr>
          <w:rFonts w:ascii="Times New Roman" w:hAnsi="Times New Roman"/>
          <w:sz w:val="28"/>
          <w:szCs w:val="28"/>
          <w:lang w:val="ru-RU"/>
        </w:rPr>
        <w:t>В 2019 году за многолетнюю безупречную государственную службу  и  особые заслуги в осуществлении государственного регулирования цен (тарифов) в Новосибирской области награждены:</w:t>
      </w:r>
    </w:p>
    <w:p w:rsidR="000E53E2" w:rsidRDefault="000E53E2" w:rsidP="00533808">
      <w:pPr>
        <w:pStyle w:val="13"/>
        <w:ind w:left="360"/>
        <w:jc w:val="both"/>
        <w:rPr>
          <w:rFonts w:ascii="Times New Roman" w:hAnsi="Times New Roman"/>
          <w:sz w:val="28"/>
          <w:szCs w:val="28"/>
          <w:lang w:val="ru-RU"/>
        </w:rPr>
      </w:pPr>
      <w:r>
        <w:rPr>
          <w:rFonts w:ascii="Times New Roman" w:hAnsi="Times New Roman"/>
          <w:sz w:val="28"/>
          <w:szCs w:val="28"/>
          <w:lang w:val="ru-RU"/>
        </w:rPr>
        <w:t xml:space="preserve">- </w:t>
      </w:r>
      <w:r>
        <w:rPr>
          <w:rFonts w:ascii="Times New Roman" w:hAnsi="Times New Roman"/>
          <w:sz w:val="28"/>
          <w:szCs w:val="28"/>
          <w:lang w:val="ru-RU"/>
        </w:rPr>
        <w:tab/>
        <w:t>Почетной грамотой Губернатора Новосибирской области – 1человек;</w:t>
      </w:r>
    </w:p>
    <w:p w:rsidR="000E53E2" w:rsidRDefault="000E53E2" w:rsidP="00533808">
      <w:pPr>
        <w:pStyle w:val="13"/>
        <w:ind w:left="360"/>
        <w:jc w:val="both"/>
        <w:rPr>
          <w:rFonts w:ascii="Times New Roman" w:hAnsi="Times New Roman"/>
          <w:sz w:val="28"/>
          <w:szCs w:val="28"/>
          <w:lang w:val="ru-RU"/>
        </w:rPr>
      </w:pPr>
      <w:r>
        <w:rPr>
          <w:rFonts w:ascii="Times New Roman" w:hAnsi="Times New Roman"/>
          <w:sz w:val="28"/>
          <w:szCs w:val="28"/>
          <w:lang w:val="ru-RU"/>
        </w:rPr>
        <w:t xml:space="preserve">- объявлена благодарность Губернатора Новосибирской области – 1 человеку; </w:t>
      </w:r>
    </w:p>
    <w:p w:rsidR="000E53E2" w:rsidRDefault="000E53E2" w:rsidP="00533808">
      <w:pPr>
        <w:pStyle w:val="13"/>
        <w:ind w:left="360"/>
        <w:jc w:val="both"/>
        <w:rPr>
          <w:rFonts w:ascii="Times New Roman" w:hAnsi="Times New Roman"/>
          <w:sz w:val="28"/>
          <w:szCs w:val="28"/>
          <w:lang w:val="ru-RU"/>
        </w:rPr>
      </w:pPr>
      <w:r>
        <w:rPr>
          <w:rFonts w:ascii="Times New Roman" w:hAnsi="Times New Roman"/>
          <w:sz w:val="28"/>
          <w:szCs w:val="28"/>
          <w:lang w:val="ru-RU"/>
        </w:rPr>
        <w:t xml:space="preserve">- </w:t>
      </w:r>
      <w:r>
        <w:rPr>
          <w:rFonts w:ascii="Times New Roman" w:hAnsi="Times New Roman"/>
          <w:sz w:val="28"/>
          <w:szCs w:val="28"/>
          <w:lang w:val="ru-RU"/>
        </w:rPr>
        <w:tab/>
        <w:t>Почетной грамотой департамента по тарифам Новосибирской области – 3 человек</w:t>
      </w:r>
    </w:p>
    <w:p w:rsidR="000E53E2" w:rsidRDefault="000E53E2" w:rsidP="00533808">
      <w:pPr>
        <w:pStyle w:val="13"/>
        <w:ind w:left="360"/>
        <w:jc w:val="both"/>
        <w:rPr>
          <w:rFonts w:ascii="Times New Roman" w:hAnsi="Times New Roman"/>
          <w:sz w:val="28"/>
          <w:szCs w:val="28"/>
          <w:lang w:val="ru-RU"/>
        </w:rPr>
      </w:pPr>
      <w:r>
        <w:rPr>
          <w:rFonts w:ascii="Times New Roman" w:hAnsi="Times New Roman"/>
          <w:sz w:val="28"/>
          <w:szCs w:val="28"/>
          <w:lang w:val="ru-RU"/>
        </w:rPr>
        <w:lastRenderedPageBreak/>
        <w:t>-   объявлена благодарность руководителя департамента по тарифам Новосибирской области – 7 человекам.</w:t>
      </w:r>
    </w:p>
    <w:p w:rsidR="000E53E2" w:rsidRDefault="000E53E2" w:rsidP="00533808">
      <w:pPr>
        <w:pStyle w:val="13"/>
        <w:ind w:firstLine="720"/>
        <w:jc w:val="both"/>
        <w:rPr>
          <w:rFonts w:ascii="Times New Roman" w:hAnsi="Times New Roman"/>
          <w:sz w:val="28"/>
          <w:szCs w:val="28"/>
          <w:lang w:val="ru-RU"/>
        </w:rPr>
      </w:pPr>
      <w:r>
        <w:rPr>
          <w:rFonts w:ascii="Times New Roman" w:hAnsi="Times New Roman"/>
          <w:sz w:val="28"/>
          <w:szCs w:val="28"/>
          <w:lang w:val="ru-RU"/>
        </w:rPr>
        <w:t xml:space="preserve">В 2019 году в Департаменте  проводилась работа по реализации положений Федерального закона от 27.07.2004 № 79-ФЗ «О государственной гражданской службе Российской Федерации», закона Новосибирской области от 01.02.2005 № 265-ОЗ «О государственной гражданской службе Новосибирской области»: </w:t>
      </w:r>
    </w:p>
    <w:p w:rsidR="000E53E2" w:rsidRDefault="000E53E2" w:rsidP="001B72FD">
      <w:pPr>
        <w:pStyle w:val="13"/>
        <w:numPr>
          <w:ilvl w:val="0"/>
          <w:numId w:val="10"/>
        </w:numPr>
        <w:tabs>
          <w:tab w:val="clear" w:pos="900"/>
          <w:tab w:val="num" w:pos="0"/>
        </w:tabs>
        <w:ind w:left="0" w:firstLine="540"/>
        <w:jc w:val="both"/>
        <w:rPr>
          <w:rFonts w:ascii="Times New Roman" w:hAnsi="Times New Roman"/>
          <w:sz w:val="28"/>
          <w:szCs w:val="28"/>
          <w:lang w:val="ru-RU"/>
        </w:rPr>
      </w:pPr>
      <w:r>
        <w:rPr>
          <w:rFonts w:ascii="Times New Roman" w:hAnsi="Times New Roman"/>
          <w:sz w:val="28"/>
          <w:szCs w:val="28"/>
          <w:lang w:val="ru-RU"/>
        </w:rPr>
        <w:t>отбор наиболее квалифицированных, опытных специалистов на основе объективной и комплексной оценки их профессиональных и личностных качеств при приеме на  вакантные должности государственной гражданской службы Новосибирской области в Департаменте;</w:t>
      </w:r>
    </w:p>
    <w:p w:rsidR="000E53E2" w:rsidRDefault="000E53E2" w:rsidP="001B72FD">
      <w:pPr>
        <w:pStyle w:val="13"/>
        <w:numPr>
          <w:ilvl w:val="0"/>
          <w:numId w:val="10"/>
        </w:numPr>
        <w:tabs>
          <w:tab w:val="clear" w:pos="900"/>
          <w:tab w:val="num" w:pos="0"/>
        </w:tabs>
        <w:ind w:left="0" w:firstLine="540"/>
        <w:jc w:val="both"/>
        <w:rPr>
          <w:rFonts w:ascii="Times New Roman" w:hAnsi="Times New Roman"/>
          <w:sz w:val="28"/>
          <w:szCs w:val="28"/>
          <w:lang w:val="ru-RU"/>
        </w:rPr>
      </w:pPr>
      <w:r>
        <w:rPr>
          <w:rFonts w:ascii="Times New Roman" w:hAnsi="Times New Roman"/>
          <w:sz w:val="28"/>
          <w:szCs w:val="28"/>
          <w:lang w:val="ru-RU"/>
        </w:rPr>
        <w:t>формировался кадровый резерв за счет внутренних (по результатам аттестации) и внешних (по результатам конкурсов) источников, а также закрепление опытных, профессиональных кадров;</w:t>
      </w:r>
    </w:p>
    <w:p w:rsidR="000E53E2" w:rsidRDefault="000E53E2" w:rsidP="001B72FD">
      <w:pPr>
        <w:numPr>
          <w:ilvl w:val="0"/>
          <w:numId w:val="10"/>
        </w:numPr>
        <w:tabs>
          <w:tab w:val="clear" w:pos="900"/>
          <w:tab w:val="num" w:pos="0"/>
        </w:tabs>
        <w:spacing w:after="0" w:line="240" w:lineRule="auto"/>
        <w:ind w:left="0" w:firstLine="540"/>
        <w:jc w:val="both"/>
        <w:rPr>
          <w:sz w:val="28"/>
          <w:szCs w:val="28"/>
        </w:rPr>
      </w:pPr>
      <w:r>
        <w:rPr>
          <w:sz w:val="28"/>
          <w:szCs w:val="28"/>
        </w:rPr>
        <w:t>для оценки деловых и профессиональных качеств  установлен испытательный срок вновь принятым сотрудникам: шесть месяцев  - одному  человеку, три месяца  - трём  человекам, все сотрудники успешно завершили испытательный срок;</w:t>
      </w:r>
    </w:p>
    <w:p w:rsidR="000E53E2" w:rsidRPr="001B72FD" w:rsidRDefault="000E53E2" w:rsidP="001B72FD">
      <w:pPr>
        <w:pStyle w:val="13"/>
        <w:numPr>
          <w:ilvl w:val="0"/>
          <w:numId w:val="10"/>
        </w:numPr>
        <w:tabs>
          <w:tab w:val="clear" w:pos="900"/>
          <w:tab w:val="num" w:pos="0"/>
        </w:tabs>
        <w:ind w:left="142" w:firstLine="398"/>
        <w:jc w:val="both"/>
        <w:rPr>
          <w:rFonts w:ascii="Times New Roman" w:hAnsi="Times New Roman"/>
          <w:sz w:val="28"/>
          <w:szCs w:val="28"/>
          <w:lang w:val="ru-RU"/>
        </w:rPr>
      </w:pPr>
      <w:r w:rsidRPr="001B72FD">
        <w:rPr>
          <w:rFonts w:ascii="Times New Roman" w:hAnsi="Times New Roman"/>
          <w:sz w:val="28"/>
          <w:szCs w:val="28"/>
          <w:lang w:val="ru-RU"/>
        </w:rPr>
        <w:t>для оказания содействия в профессиональном становлении назначены наставники и разработана программа адаптации 4 вновь принятым на службу сотрудникам, успешно завершили программу адаптации 12 сотрудников;</w:t>
      </w:r>
    </w:p>
    <w:p w:rsidR="001B72FD" w:rsidRDefault="000E53E2" w:rsidP="001B72FD">
      <w:pPr>
        <w:pStyle w:val="13"/>
        <w:numPr>
          <w:ilvl w:val="0"/>
          <w:numId w:val="10"/>
        </w:numPr>
        <w:tabs>
          <w:tab w:val="clear" w:pos="900"/>
          <w:tab w:val="num" w:pos="0"/>
        </w:tabs>
        <w:ind w:left="142" w:firstLine="398"/>
        <w:jc w:val="both"/>
        <w:rPr>
          <w:rFonts w:ascii="Times New Roman" w:hAnsi="Times New Roman"/>
          <w:sz w:val="28"/>
          <w:szCs w:val="28"/>
          <w:lang w:val="ru-RU"/>
        </w:rPr>
      </w:pPr>
      <w:r w:rsidRPr="001B72FD">
        <w:rPr>
          <w:rFonts w:ascii="Times New Roman" w:hAnsi="Times New Roman"/>
          <w:sz w:val="28"/>
          <w:szCs w:val="28"/>
          <w:lang w:val="ru-RU"/>
        </w:rPr>
        <w:t>с вновь принятыми гражданскими служащими департамента проводятся вводные разъяснительные беседы по  соблюдению гражданскими служащими требований, ограничений и запретов, связанных с прохождением гражданской службы.</w:t>
      </w:r>
    </w:p>
    <w:p w:rsidR="000E53E2" w:rsidRDefault="000E53E2" w:rsidP="001B72FD">
      <w:pPr>
        <w:pStyle w:val="13"/>
        <w:numPr>
          <w:ilvl w:val="0"/>
          <w:numId w:val="10"/>
        </w:numPr>
        <w:tabs>
          <w:tab w:val="clear" w:pos="900"/>
          <w:tab w:val="num" w:pos="0"/>
        </w:tabs>
        <w:ind w:left="142" w:firstLine="398"/>
        <w:jc w:val="both"/>
        <w:rPr>
          <w:rFonts w:ascii="Times New Roman" w:hAnsi="Times New Roman"/>
          <w:sz w:val="28"/>
          <w:szCs w:val="28"/>
          <w:lang w:val="ru-RU"/>
        </w:rPr>
      </w:pPr>
      <w:r>
        <w:rPr>
          <w:rFonts w:ascii="Times New Roman" w:hAnsi="Times New Roman"/>
          <w:sz w:val="28"/>
          <w:szCs w:val="28"/>
          <w:lang w:val="ru-RU"/>
        </w:rPr>
        <w:t xml:space="preserve">в целях организационной и консультативной помощи было подготовлено информационное письмо руководителя Департамента с требованиями и рекомендациями представления государственными гражданскими служащими Департамента сведений о доходах-расходах за 2019 год, также </w:t>
      </w:r>
      <w:r w:rsidRPr="001B72FD">
        <w:rPr>
          <w:rFonts w:ascii="Times New Roman" w:hAnsi="Times New Roman"/>
          <w:sz w:val="28"/>
          <w:szCs w:val="28"/>
          <w:lang w:val="ru-RU"/>
        </w:rPr>
        <w:t>приказом руководителя департамента от 09.09.19 № 22-пк</w:t>
      </w:r>
      <w:r>
        <w:rPr>
          <w:rFonts w:ascii="Times New Roman" w:hAnsi="Times New Roman"/>
          <w:sz w:val="28"/>
          <w:szCs w:val="28"/>
          <w:lang w:val="ru-RU"/>
        </w:rPr>
        <w:t xml:space="preserve"> был утвержден Порядок представления сведений о доходах, расходах, об имуществе и обязательствах имущественного характера в департаменте по тарифам Новосибирской области;    </w:t>
      </w:r>
    </w:p>
    <w:p w:rsidR="000E53E2" w:rsidRPr="001B72FD" w:rsidRDefault="000E53E2" w:rsidP="001B72FD">
      <w:pPr>
        <w:pStyle w:val="13"/>
        <w:numPr>
          <w:ilvl w:val="0"/>
          <w:numId w:val="10"/>
        </w:numPr>
        <w:tabs>
          <w:tab w:val="clear" w:pos="900"/>
          <w:tab w:val="num" w:pos="0"/>
        </w:tabs>
        <w:ind w:left="142" w:firstLine="398"/>
        <w:jc w:val="both"/>
        <w:rPr>
          <w:rFonts w:ascii="Times New Roman" w:hAnsi="Times New Roman"/>
          <w:sz w:val="28"/>
          <w:szCs w:val="28"/>
          <w:lang w:val="ru-RU"/>
        </w:rPr>
      </w:pPr>
      <w:r w:rsidRPr="001B72FD">
        <w:rPr>
          <w:rFonts w:ascii="Times New Roman" w:hAnsi="Times New Roman"/>
          <w:sz w:val="28"/>
          <w:szCs w:val="28"/>
          <w:lang w:val="ru-RU"/>
        </w:rPr>
        <w:t xml:space="preserve"> </w:t>
      </w:r>
      <w:r w:rsidR="00533808" w:rsidRPr="001B72FD">
        <w:rPr>
          <w:rFonts w:ascii="Times New Roman" w:hAnsi="Times New Roman"/>
          <w:sz w:val="28"/>
          <w:szCs w:val="28"/>
          <w:lang w:val="ru-RU"/>
        </w:rPr>
        <w:t xml:space="preserve"> в</w:t>
      </w:r>
      <w:r w:rsidRPr="001B72FD">
        <w:rPr>
          <w:rFonts w:ascii="Times New Roman" w:hAnsi="Times New Roman"/>
          <w:sz w:val="28"/>
          <w:szCs w:val="28"/>
          <w:lang w:val="ru-RU"/>
        </w:rPr>
        <w:t xml:space="preserve"> целях реализации Федерального закона от 27.07.2006 № 152-ФЗ «О персональных данных» и принятых в соответствии с ним нормативных правовых актов утверждена приказом руководителя департамента от 29.03.19 № 9-пк Политика в отношении обработки персональных данных в департаменте по тарифам Новосибирской области и новые документы с внесенными изменениями в соответствии с действующим законодательством. Государственные гражданские служащие Департамента персонально ознакомлены с вышеуказанным документами.</w:t>
      </w:r>
    </w:p>
    <w:p w:rsidR="000E53E2" w:rsidRDefault="000E53E2" w:rsidP="00533808">
      <w:pPr>
        <w:autoSpaceDE w:val="0"/>
        <w:autoSpaceDN w:val="0"/>
        <w:adjustRightInd w:val="0"/>
        <w:spacing w:after="0" w:line="240" w:lineRule="auto"/>
        <w:ind w:firstLine="708"/>
        <w:jc w:val="both"/>
        <w:rPr>
          <w:rFonts w:eastAsia="Times New Roman"/>
          <w:sz w:val="28"/>
          <w:szCs w:val="28"/>
        </w:rPr>
      </w:pPr>
      <w:r>
        <w:rPr>
          <w:sz w:val="28"/>
          <w:szCs w:val="28"/>
        </w:rPr>
        <w:t xml:space="preserve"> </w:t>
      </w:r>
      <w:r>
        <w:rPr>
          <w:rFonts w:eastAsia="Times New Roman"/>
          <w:sz w:val="28"/>
          <w:szCs w:val="28"/>
        </w:rPr>
        <w:t xml:space="preserve">В целях сохранения в государственных органах высокопрофессиональных кадров, стимулирования государственных </w:t>
      </w:r>
      <w:r>
        <w:rPr>
          <w:rFonts w:eastAsia="Times New Roman"/>
          <w:sz w:val="28"/>
          <w:szCs w:val="28"/>
        </w:rPr>
        <w:lastRenderedPageBreak/>
        <w:t xml:space="preserve">гражданских служащих к долгосрочной деятельности, ориентированной на достижение конкретных результатов, на основании Методики нематериальной мотивации государственных гражданских служащих Российской Федерации, подготовленной Министерством Труда и социальной защиты Российской Федерации, утверждены </w:t>
      </w:r>
      <w:r>
        <w:rPr>
          <w:sz w:val="28"/>
          <w:szCs w:val="28"/>
        </w:rPr>
        <w:t xml:space="preserve">приказом руководителя </w:t>
      </w:r>
      <w:r w:rsidR="001B72FD">
        <w:rPr>
          <w:sz w:val="28"/>
          <w:szCs w:val="28"/>
        </w:rPr>
        <w:t>Д</w:t>
      </w:r>
      <w:r>
        <w:rPr>
          <w:sz w:val="28"/>
          <w:szCs w:val="28"/>
        </w:rPr>
        <w:t>епартамента от 02.07.19 № 20-пк</w:t>
      </w:r>
      <w:r>
        <w:rPr>
          <w:rFonts w:eastAsia="Times New Roman"/>
          <w:sz w:val="28"/>
          <w:szCs w:val="28"/>
        </w:rPr>
        <w:t xml:space="preserve"> План мероприятий по нематериальной мотивации государственных гражданских служащих в департаменте по тарифам Новосибирской области и рекомендации начальнику отдела департамента по тарифам Новосибирской области по формированию комфортных организационно-технических и психофизиологических условий профессиональной деятельности</w:t>
      </w:r>
      <w:r>
        <w:rPr>
          <w:sz w:val="28"/>
          <w:szCs w:val="28"/>
        </w:rPr>
        <w:t>. Проводилось общее обсуждение вышеуказанных документов. Утвержденные мероприятия выполняются в соответствии с Планом.</w:t>
      </w:r>
    </w:p>
    <w:p w:rsidR="000E53E2" w:rsidRDefault="000E53E2" w:rsidP="00533808">
      <w:pPr>
        <w:pStyle w:val="13"/>
        <w:ind w:left="900"/>
        <w:jc w:val="both"/>
        <w:rPr>
          <w:rFonts w:ascii="Times New Roman" w:hAnsi="Times New Roman"/>
          <w:sz w:val="28"/>
          <w:szCs w:val="28"/>
          <w:lang w:val="ru-RU"/>
        </w:rPr>
      </w:pPr>
      <w:r>
        <w:rPr>
          <w:rFonts w:ascii="Times New Roman" w:hAnsi="Times New Roman"/>
          <w:sz w:val="28"/>
          <w:szCs w:val="28"/>
          <w:lang w:val="ru-RU"/>
        </w:rPr>
        <w:tab/>
      </w:r>
    </w:p>
    <w:p w:rsidR="000E53E2" w:rsidRPr="0061749D" w:rsidRDefault="00D053C8" w:rsidP="0061749D">
      <w:pPr>
        <w:pStyle w:val="26"/>
        <w:jc w:val="center"/>
        <w:rPr>
          <w:i w:val="0"/>
          <w:szCs w:val="32"/>
        </w:rPr>
      </w:pPr>
      <w:bookmarkStart w:id="15" w:name="_Toc415563592"/>
      <w:r w:rsidRPr="0061749D">
        <w:rPr>
          <w:i w:val="0"/>
          <w:szCs w:val="32"/>
        </w:rPr>
        <w:t>6</w:t>
      </w:r>
      <w:r w:rsidR="000E53E2" w:rsidRPr="0061749D">
        <w:rPr>
          <w:i w:val="0"/>
          <w:szCs w:val="32"/>
        </w:rPr>
        <w:t>. Реализация мероприятий по противодействию коррупции в департаменте</w:t>
      </w:r>
      <w:bookmarkEnd w:id="15"/>
    </w:p>
    <w:p w:rsidR="000E53E2" w:rsidRDefault="000E53E2" w:rsidP="000E53E2">
      <w:pPr>
        <w:pStyle w:val="13"/>
        <w:ind w:firstLine="708"/>
        <w:jc w:val="both"/>
        <w:rPr>
          <w:rFonts w:ascii="Times New Roman" w:hAnsi="Times New Roman"/>
          <w:sz w:val="28"/>
          <w:szCs w:val="28"/>
          <w:lang w:val="ru-RU"/>
        </w:rPr>
      </w:pPr>
      <w:r>
        <w:rPr>
          <w:rFonts w:ascii="Times New Roman" w:hAnsi="Times New Roman"/>
          <w:sz w:val="28"/>
          <w:szCs w:val="28"/>
          <w:lang w:val="ru-RU"/>
        </w:rPr>
        <w:t xml:space="preserve">В целях устранения причин и условий, порождающих коррупцию, в соответствии с Федеральным законом от 25.12.2008 № 273-ФЗ «О противодействии коррупции», </w:t>
      </w:r>
      <w:r>
        <w:rPr>
          <w:rFonts w:ascii="Times New Roman" w:eastAsia="Times New Roman" w:hAnsi="Times New Roman"/>
          <w:sz w:val="28"/>
          <w:szCs w:val="28"/>
          <w:lang w:val="ru-RU"/>
        </w:rPr>
        <w:t>Указом Президента Российской Федерации 29.06.2018 №</w:t>
      </w:r>
      <w:r>
        <w:rPr>
          <w:rFonts w:ascii="Times New Roman" w:eastAsia="Times New Roman" w:hAnsi="Times New Roman"/>
          <w:sz w:val="28"/>
          <w:szCs w:val="28"/>
        </w:rPr>
        <w:t> </w:t>
      </w:r>
      <w:r>
        <w:rPr>
          <w:rFonts w:ascii="Times New Roman" w:eastAsia="Times New Roman" w:hAnsi="Times New Roman"/>
          <w:sz w:val="28"/>
          <w:szCs w:val="28"/>
          <w:lang w:val="ru-RU"/>
        </w:rPr>
        <w:t>378 «О национальном плане противодействия коррупции на</w:t>
      </w:r>
      <w:r>
        <w:rPr>
          <w:rFonts w:ascii="Times New Roman" w:eastAsia="Times New Roman" w:hAnsi="Times New Roman"/>
          <w:sz w:val="28"/>
          <w:szCs w:val="28"/>
        </w:rPr>
        <w:t> </w:t>
      </w:r>
      <w:r>
        <w:rPr>
          <w:rFonts w:ascii="Times New Roman" w:eastAsia="Times New Roman" w:hAnsi="Times New Roman"/>
          <w:sz w:val="28"/>
          <w:szCs w:val="28"/>
          <w:lang w:val="ru-RU"/>
        </w:rPr>
        <w:t>2018</w:t>
      </w:r>
      <w:r>
        <w:rPr>
          <w:rFonts w:ascii="Times New Roman" w:eastAsia="Times New Roman" w:hAnsi="Times New Roman"/>
          <w:sz w:val="28"/>
          <w:szCs w:val="28"/>
          <w:lang w:val="ru-RU"/>
        </w:rPr>
        <w:noBreakHyphen/>
        <w:t xml:space="preserve">2020 годы», </w:t>
      </w:r>
      <w:hyperlink r:id="rId108" w:history="1">
        <w:r w:rsidR="00D053C8">
          <w:rPr>
            <w:rFonts w:ascii="Times New Roman" w:hAnsi="Times New Roman"/>
            <w:sz w:val="28"/>
            <w:szCs w:val="28"/>
            <w:lang w:val="ru-RU"/>
          </w:rPr>
          <w:t>законом</w:t>
        </w:r>
      </w:hyperlink>
      <w:r>
        <w:rPr>
          <w:rFonts w:ascii="Times New Roman" w:hAnsi="Times New Roman"/>
          <w:sz w:val="28"/>
          <w:szCs w:val="28"/>
          <w:lang w:val="ru-RU"/>
        </w:rPr>
        <w:t xml:space="preserve"> Новосибирской области от 27.04.2010 № 486-ОЗ «О мерах по профилактике коррупции в Новосибирской области», программой «Противодействие коррупции в департаменте по тарифам Новосибирской области на 2018 – 2020 годы»</w:t>
      </w:r>
      <w:r>
        <w:rPr>
          <w:rFonts w:ascii="Times New Roman" w:hAnsi="Times New Roman"/>
          <w:szCs w:val="28"/>
          <w:lang w:val="ru-RU"/>
        </w:rPr>
        <w:t xml:space="preserve"> </w:t>
      </w:r>
      <w:r>
        <w:rPr>
          <w:rFonts w:ascii="Times New Roman" w:hAnsi="Times New Roman"/>
          <w:sz w:val="28"/>
          <w:szCs w:val="28"/>
          <w:lang w:val="ru-RU"/>
        </w:rPr>
        <w:t>(далее – Программа),</w:t>
      </w:r>
      <w:r>
        <w:rPr>
          <w:rFonts w:ascii="Times New Roman" w:hAnsi="Times New Roman"/>
          <w:szCs w:val="28"/>
          <w:lang w:val="ru-RU"/>
        </w:rPr>
        <w:t xml:space="preserve"> </w:t>
      </w:r>
      <w:r>
        <w:rPr>
          <w:rFonts w:ascii="Times New Roman" w:eastAsia="Times New Roman" w:hAnsi="Times New Roman"/>
          <w:sz w:val="28"/>
          <w:szCs w:val="28"/>
          <w:lang w:val="ru-RU"/>
        </w:rPr>
        <w:t>у</w:t>
      </w:r>
      <w:r>
        <w:rPr>
          <w:rFonts w:ascii="Times New Roman" w:hAnsi="Times New Roman"/>
          <w:sz w:val="28"/>
          <w:szCs w:val="28"/>
          <w:lang w:val="ru-RU"/>
        </w:rPr>
        <w:t>твержденной приказом руководителя департамента от 31.08.18 № 29-пк, мероприятия программы выполняются в полной мере в установленные сроки.</w:t>
      </w:r>
    </w:p>
    <w:p w:rsidR="000E53E2" w:rsidRDefault="000E53E2" w:rsidP="000E53E2">
      <w:pPr>
        <w:pStyle w:val="13"/>
        <w:ind w:firstLine="720"/>
        <w:jc w:val="both"/>
        <w:rPr>
          <w:rFonts w:ascii="Times New Roman" w:hAnsi="Times New Roman"/>
          <w:sz w:val="28"/>
          <w:szCs w:val="28"/>
          <w:lang w:val="ru-RU"/>
        </w:rPr>
      </w:pPr>
      <w:r>
        <w:rPr>
          <w:rFonts w:ascii="Times New Roman" w:hAnsi="Times New Roman"/>
          <w:sz w:val="28"/>
          <w:szCs w:val="28"/>
          <w:lang w:val="ru-RU"/>
        </w:rPr>
        <w:t>В ходе реализации в 2019 году требований законодательства о противодействии коррупции и в соответствии с Программой в Департаменте были проведены нижеперечисленные мероприятия:</w:t>
      </w:r>
    </w:p>
    <w:p w:rsidR="000E53E2" w:rsidRDefault="000E53E2" w:rsidP="000E53E2">
      <w:pPr>
        <w:pStyle w:val="13"/>
        <w:ind w:firstLine="708"/>
        <w:jc w:val="both"/>
        <w:rPr>
          <w:rFonts w:ascii="Times New Roman" w:hAnsi="Times New Roman"/>
          <w:sz w:val="28"/>
          <w:szCs w:val="28"/>
          <w:lang w:val="ru-RU"/>
        </w:rPr>
      </w:pPr>
      <w:r>
        <w:rPr>
          <w:rFonts w:ascii="Times New Roman" w:hAnsi="Times New Roman"/>
          <w:sz w:val="28"/>
          <w:szCs w:val="28"/>
          <w:lang w:val="ru-RU"/>
        </w:rPr>
        <w:t>1</w:t>
      </w:r>
      <w:r w:rsidR="00434256">
        <w:rPr>
          <w:rFonts w:ascii="Times New Roman" w:hAnsi="Times New Roman"/>
          <w:sz w:val="28"/>
          <w:szCs w:val="28"/>
          <w:lang w:val="ru-RU"/>
        </w:rPr>
        <w:t>)</w:t>
      </w:r>
      <w:r>
        <w:rPr>
          <w:rFonts w:ascii="Times New Roman" w:hAnsi="Times New Roman"/>
          <w:sz w:val="28"/>
          <w:szCs w:val="28"/>
          <w:lang w:val="ru-RU"/>
        </w:rPr>
        <w:t xml:space="preserve">. Приказами руководителя Департамента утверждены следующие нормативные правовые акты, направленные на реализацию антикоррупционной политики: </w:t>
      </w:r>
    </w:p>
    <w:p w:rsidR="000E53E2" w:rsidRDefault="000E53E2" w:rsidP="000E53E2">
      <w:pPr>
        <w:pStyle w:val="afa"/>
        <w:ind w:firstLine="708"/>
        <w:jc w:val="both"/>
        <w:rPr>
          <w:rFonts w:ascii="Times New Roman" w:hAnsi="Times New Roman"/>
          <w:sz w:val="28"/>
          <w:szCs w:val="28"/>
        </w:rPr>
      </w:pPr>
      <w:r>
        <w:rPr>
          <w:rFonts w:ascii="Times New Roman" w:hAnsi="Times New Roman"/>
          <w:sz w:val="28"/>
          <w:szCs w:val="28"/>
        </w:rPr>
        <w:t>от 31.01.2019 № 1 «О создании и организации системы внутреннего обеспечения соответствия  требованиям антимонопольного законодательства департамента по тарифам Новосибирской области»;</w:t>
      </w:r>
    </w:p>
    <w:p w:rsidR="000E53E2" w:rsidRDefault="000E53E2" w:rsidP="000E53E2">
      <w:pPr>
        <w:pStyle w:val="afa"/>
        <w:ind w:firstLine="708"/>
        <w:jc w:val="both"/>
        <w:rPr>
          <w:rFonts w:ascii="Times New Roman" w:hAnsi="Times New Roman"/>
          <w:sz w:val="28"/>
          <w:szCs w:val="28"/>
        </w:rPr>
      </w:pPr>
      <w:r>
        <w:rPr>
          <w:rFonts w:ascii="Times New Roman" w:hAnsi="Times New Roman"/>
          <w:sz w:val="28"/>
          <w:szCs w:val="28"/>
        </w:rPr>
        <w:t>от 07.02.2019 № 1 «О внесении изменений в приказ департамента по тарифам Новосибирской области от 21.04.2016 № 16 «Об утверждении требований к закупаемым департаментом по тарифам Новосибирской области отдельным видам товаров, работ, услуг»;</w:t>
      </w:r>
    </w:p>
    <w:p w:rsidR="000E53E2" w:rsidRDefault="000E53E2" w:rsidP="000E53E2">
      <w:pPr>
        <w:pStyle w:val="afa"/>
        <w:ind w:firstLine="708"/>
        <w:jc w:val="both"/>
        <w:rPr>
          <w:rFonts w:ascii="Times New Roman" w:hAnsi="Times New Roman"/>
          <w:sz w:val="28"/>
          <w:szCs w:val="28"/>
        </w:rPr>
      </w:pPr>
      <w:r>
        <w:rPr>
          <w:rFonts w:ascii="Times New Roman" w:hAnsi="Times New Roman"/>
          <w:sz w:val="28"/>
          <w:szCs w:val="28"/>
        </w:rPr>
        <w:t>от 11.03.2019  № 2 «О совершенствовании работы с обращениями граждан, объединений граждан, в том числе юридических лиц, в департаменте по тарифам Новосибирской области в 2019 году»;</w:t>
      </w:r>
    </w:p>
    <w:p w:rsidR="000E53E2" w:rsidRDefault="000E53E2" w:rsidP="000E53E2">
      <w:pPr>
        <w:pStyle w:val="afa"/>
        <w:ind w:firstLine="708"/>
        <w:jc w:val="both"/>
        <w:rPr>
          <w:rFonts w:ascii="Times New Roman" w:hAnsi="Times New Roman"/>
          <w:sz w:val="28"/>
          <w:szCs w:val="28"/>
        </w:rPr>
      </w:pPr>
      <w:r>
        <w:rPr>
          <w:rFonts w:ascii="Times New Roman" w:hAnsi="Times New Roman"/>
          <w:sz w:val="28"/>
          <w:szCs w:val="28"/>
        </w:rPr>
        <w:t xml:space="preserve">от 04.04.2019 № 11-пк «О Порядке получения государственными гражданскими служащими, замещающими должности государственной </w:t>
      </w:r>
      <w:r>
        <w:rPr>
          <w:rFonts w:ascii="Times New Roman" w:hAnsi="Times New Roman"/>
          <w:sz w:val="28"/>
          <w:szCs w:val="28"/>
        </w:rPr>
        <w:lastRenderedPageBreak/>
        <w:t xml:space="preserve">гражданской  службы Новосибирской области </w:t>
      </w:r>
      <w:r>
        <w:rPr>
          <w:rFonts w:ascii="Times New Roman" w:hAnsi="Times New Roman"/>
          <w:b/>
          <w:bCs/>
          <w:sz w:val="28"/>
          <w:szCs w:val="28"/>
        </w:rPr>
        <w:t xml:space="preserve"> </w:t>
      </w:r>
      <w:r>
        <w:rPr>
          <w:rFonts w:ascii="Times New Roman" w:hAnsi="Times New Roman"/>
          <w:bCs/>
          <w:sz w:val="28"/>
          <w:szCs w:val="28"/>
        </w:rPr>
        <w:t>в департаменте по тарифам</w:t>
      </w:r>
      <w:r>
        <w:rPr>
          <w:rFonts w:ascii="Times New Roman" w:hAnsi="Times New Roman"/>
          <w:b/>
          <w:bCs/>
          <w:sz w:val="28"/>
          <w:szCs w:val="28"/>
        </w:rPr>
        <w:t xml:space="preserve"> </w:t>
      </w:r>
      <w:r>
        <w:rPr>
          <w:rFonts w:ascii="Times New Roman" w:hAnsi="Times New Roman"/>
          <w:sz w:val="28"/>
          <w:szCs w:val="28"/>
        </w:rPr>
        <w:t>Новосибирской области,</w:t>
      </w:r>
      <w:r>
        <w:rPr>
          <w:rFonts w:ascii="Times New Roman" w:hAnsi="Times New Roman"/>
          <w:b/>
          <w:sz w:val="28"/>
          <w:szCs w:val="28"/>
        </w:rPr>
        <w:t xml:space="preserve"> </w:t>
      </w:r>
      <w:r>
        <w:rPr>
          <w:rFonts w:ascii="Times New Roman" w:hAnsi="Times New Roman"/>
          <w:sz w:val="28"/>
          <w:szCs w:val="28"/>
        </w:rPr>
        <w:t xml:space="preserve"> разрешения руководителя </w:t>
      </w:r>
      <w:r>
        <w:rPr>
          <w:rFonts w:ascii="Times New Roman" w:hAnsi="Times New Roman"/>
          <w:bCs/>
          <w:sz w:val="28"/>
          <w:szCs w:val="28"/>
        </w:rPr>
        <w:t>департамента по тарифам</w:t>
      </w:r>
      <w:r>
        <w:rPr>
          <w:rFonts w:ascii="Times New Roman" w:hAnsi="Times New Roman"/>
          <w:b/>
          <w:bCs/>
          <w:sz w:val="28"/>
          <w:szCs w:val="28"/>
        </w:rPr>
        <w:t xml:space="preserve"> </w:t>
      </w:r>
      <w:r>
        <w:rPr>
          <w:rFonts w:ascii="Times New Roman" w:hAnsi="Times New Roman"/>
          <w:sz w:val="28"/>
          <w:szCs w:val="28"/>
        </w:rPr>
        <w:t>Новосибирской области</w:t>
      </w:r>
      <w:r>
        <w:rPr>
          <w:rFonts w:ascii="Times New Roman" w:hAnsi="Times New Roman"/>
          <w:bCs/>
          <w:sz w:val="28"/>
          <w:szCs w:val="28"/>
        </w:rPr>
        <w:t xml:space="preserve"> на участие на безвозмездной основе в управлении</w:t>
      </w:r>
      <w:r>
        <w:rPr>
          <w:rFonts w:ascii="Times New Roman" w:hAnsi="Times New Roman"/>
          <w:sz w:val="28"/>
          <w:szCs w:val="28"/>
        </w:rPr>
        <w:t xml:space="preserve"> некоторыми некоммерческими организациями»;</w:t>
      </w:r>
    </w:p>
    <w:p w:rsidR="000E53E2" w:rsidRDefault="000E53E2" w:rsidP="000E53E2">
      <w:pPr>
        <w:pStyle w:val="afa"/>
        <w:ind w:firstLine="708"/>
        <w:jc w:val="both"/>
        <w:rPr>
          <w:rFonts w:ascii="Times New Roman" w:hAnsi="Times New Roman"/>
          <w:sz w:val="28"/>
          <w:szCs w:val="28"/>
        </w:rPr>
      </w:pPr>
      <w:r>
        <w:rPr>
          <w:rFonts w:ascii="Times New Roman" w:hAnsi="Times New Roman"/>
          <w:sz w:val="28"/>
          <w:szCs w:val="28"/>
        </w:rPr>
        <w:t>от 04.07.2019 № 21-пк «Об утверждении Положения о порядке сообщения лицами, замещающими должности государственной гражданской службы в департаменте по тарифам Новосибирской области, о получении подарка в связи с протокольными мероприятиями, служебными командировками и другими официальными мероприятиями, участие в которых связано с исполнением ими служебных (должностных) обязанностей, сдачи и оценки подарка, его реализации (выкупа)»;</w:t>
      </w:r>
    </w:p>
    <w:p w:rsidR="000E53E2" w:rsidRDefault="000E53E2" w:rsidP="000E53E2">
      <w:pPr>
        <w:pStyle w:val="afa"/>
        <w:ind w:firstLine="708"/>
        <w:jc w:val="both"/>
        <w:rPr>
          <w:rFonts w:ascii="Times New Roman" w:hAnsi="Times New Roman"/>
          <w:sz w:val="28"/>
          <w:szCs w:val="28"/>
        </w:rPr>
      </w:pPr>
      <w:r>
        <w:rPr>
          <w:rFonts w:ascii="Times New Roman" w:hAnsi="Times New Roman"/>
          <w:sz w:val="28"/>
          <w:szCs w:val="28"/>
        </w:rPr>
        <w:t>от 18.07.2019  № 5 «Об утверждении обзора правоприменительной практики контрольно-надзорной деятельности департамента по тарифам Новосибирской области»;</w:t>
      </w:r>
    </w:p>
    <w:p w:rsidR="000E53E2" w:rsidRDefault="000E53E2" w:rsidP="000E53E2">
      <w:pPr>
        <w:pStyle w:val="afa"/>
        <w:ind w:firstLine="708"/>
        <w:jc w:val="both"/>
        <w:rPr>
          <w:rFonts w:ascii="Times New Roman" w:hAnsi="Times New Roman"/>
          <w:sz w:val="28"/>
          <w:szCs w:val="28"/>
        </w:rPr>
      </w:pPr>
      <w:r>
        <w:rPr>
          <w:rFonts w:ascii="Times New Roman" w:hAnsi="Times New Roman"/>
          <w:sz w:val="28"/>
          <w:szCs w:val="28"/>
        </w:rPr>
        <w:t>от 09.09.2019 № 22-пк «О Порядке представления сведений о доходах, расходах, об имуществе и обязательствах имущественного характера в департаменте по тарифам Новосибирской области»;</w:t>
      </w:r>
    </w:p>
    <w:p w:rsidR="000E53E2" w:rsidRDefault="000E53E2" w:rsidP="000E53E2">
      <w:pPr>
        <w:pStyle w:val="afa"/>
        <w:ind w:firstLine="708"/>
        <w:jc w:val="both"/>
        <w:rPr>
          <w:rFonts w:ascii="Times New Roman" w:hAnsi="Times New Roman"/>
          <w:sz w:val="28"/>
          <w:szCs w:val="28"/>
        </w:rPr>
      </w:pPr>
      <w:r>
        <w:rPr>
          <w:rFonts w:ascii="Times New Roman" w:hAnsi="Times New Roman"/>
          <w:sz w:val="28"/>
          <w:szCs w:val="28"/>
        </w:rPr>
        <w:t>от 31.10.2019 № 10 «О назначении должностного лица, ответственного за обеспечение содействия развитию конкуренции в подведомственной департаменту по тарифам Новосибирской области сфере деятельности»;</w:t>
      </w:r>
    </w:p>
    <w:p w:rsidR="000E53E2" w:rsidRDefault="000E53E2" w:rsidP="000E53E2">
      <w:pPr>
        <w:pStyle w:val="afa"/>
        <w:ind w:firstLine="708"/>
        <w:jc w:val="both"/>
        <w:rPr>
          <w:rFonts w:ascii="Times New Roman" w:hAnsi="Times New Roman"/>
          <w:sz w:val="28"/>
          <w:szCs w:val="28"/>
        </w:rPr>
      </w:pPr>
      <w:r>
        <w:rPr>
          <w:rFonts w:ascii="Times New Roman" w:hAnsi="Times New Roman"/>
          <w:sz w:val="28"/>
          <w:szCs w:val="28"/>
        </w:rPr>
        <w:t>от 03.12.2019 № 28-пк «Об утверждении  списка государственных гражданских служащих  Новосибирской области</w:t>
      </w:r>
      <w:r>
        <w:rPr>
          <w:rFonts w:ascii="Times New Roman" w:hAnsi="Times New Roman"/>
          <w:b/>
          <w:sz w:val="28"/>
          <w:szCs w:val="28"/>
        </w:rPr>
        <w:t xml:space="preserve"> </w:t>
      </w:r>
      <w:r>
        <w:rPr>
          <w:rFonts w:ascii="Times New Roman" w:hAnsi="Times New Roman"/>
          <w:sz w:val="28"/>
          <w:szCs w:val="28"/>
        </w:rPr>
        <w:t>в департаменте по тарифам Новосибирской области, обязанных предоставить сведения о своих доходах, расходах, имуществе и обязательствах имущественного характера</w:t>
      </w:r>
      <w:r>
        <w:rPr>
          <w:rFonts w:ascii="Times New Roman" w:hAnsi="Times New Roman"/>
          <w:b/>
          <w:sz w:val="28"/>
          <w:szCs w:val="28"/>
        </w:rPr>
        <w:t xml:space="preserve">, </w:t>
      </w:r>
      <w:r>
        <w:rPr>
          <w:rFonts w:ascii="Times New Roman" w:hAnsi="Times New Roman"/>
          <w:sz w:val="28"/>
          <w:szCs w:val="28"/>
        </w:rPr>
        <w:t>а также сведения о доходах, расходах, об имуществе и обязательствах имущественного характера своих супруги (супруга) и несовершеннолетних детей за 2019 год».</w:t>
      </w:r>
    </w:p>
    <w:p w:rsidR="000E53E2" w:rsidRPr="00434256" w:rsidRDefault="00434256" w:rsidP="00434256">
      <w:pPr>
        <w:pStyle w:val="afa"/>
        <w:ind w:firstLine="708"/>
        <w:jc w:val="both"/>
        <w:rPr>
          <w:rFonts w:ascii="Times New Roman" w:hAnsi="Times New Roman"/>
          <w:sz w:val="28"/>
          <w:szCs w:val="28"/>
        </w:rPr>
      </w:pPr>
      <w:r>
        <w:rPr>
          <w:rFonts w:ascii="Times New Roman" w:hAnsi="Times New Roman"/>
          <w:sz w:val="28"/>
          <w:szCs w:val="28"/>
        </w:rPr>
        <w:t>2)</w:t>
      </w:r>
      <w:r w:rsidR="000E53E2" w:rsidRPr="00434256">
        <w:rPr>
          <w:rFonts w:ascii="Times New Roman" w:hAnsi="Times New Roman"/>
          <w:sz w:val="28"/>
          <w:szCs w:val="28"/>
        </w:rPr>
        <w:t>.</w:t>
      </w:r>
      <w:r w:rsidR="000E53E2">
        <w:rPr>
          <w:rFonts w:ascii="Times New Roman" w:hAnsi="Times New Roman"/>
          <w:sz w:val="28"/>
          <w:szCs w:val="28"/>
        </w:rPr>
        <w:t xml:space="preserve"> На официальном сайте Департамента  размещ</w:t>
      </w:r>
      <w:r w:rsidR="001B72FD">
        <w:rPr>
          <w:rFonts w:ascii="Times New Roman" w:hAnsi="Times New Roman"/>
          <w:sz w:val="28"/>
          <w:szCs w:val="28"/>
        </w:rPr>
        <w:t>ены</w:t>
      </w:r>
      <w:r w:rsidR="000E53E2">
        <w:rPr>
          <w:rFonts w:ascii="Times New Roman" w:hAnsi="Times New Roman"/>
          <w:sz w:val="28"/>
          <w:szCs w:val="28"/>
        </w:rPr>
        <w:t xml:space="preserve"> протоколы всех проводимых  в департаменте заседаний комиссии по соблюдению требований к служебному поведению гражданских служащих и урегулированию конфликтов интересов </w:t>
      </w:r>
      <w:r w:rsidR="000E53E2" w:rsidRPr="00434256">
        <w:rPr>
          <w:rFonts w:ascii="Times New Roman" w:hAnsi="Times New Roman"/>
          <w:sz w:val="28"/>
          <w:szCs w:val="28"/>
        </w:rPr>
        <w:t>в департаменте по тарифам Новосибирской области (далее – комиссия).</w:t>
      </w:r>
      <w:r w:rsidR="000E53E2">
        <w:rPr>
          <w:rFonts w:ascii="Times New Roman" w:hAnsi="Times New Roman"/>
          <w:sz w:val="28"/>
          <w:szCs w:val="28"/>
        </w:rPr>
        <w:t xml:space="preserve">  В 2019 году не было поводов для проведения заседаний комиссии.</w:t>
      </w:r>
    </w:p>
    <w:p w:rsidR="000E53E2" w:rsidRPr="00434256" w:rsidRDefault="000E53E2" w:rsidP="00434256">
      <w:pPr>
        <w:pStyle w:val="afa"/>
        <w:ind w:firstLine="708"/>
        <w:jc w:val="both"/>
        <w:rPr>
          <w:rFonts w:ascii="Times New Roman" w:hAnsi="Times New Roman"/>
          <w:sz w:val="28"/>
          <w:szCs w:val="28"/>
        </w:rPr>
      </w:pPr>
      <w:r w:rsidRPr="00434256">
        <w:rPr>
          <w:rFonts w:ascii="Times New Roman" w:hAnsi="Times New Roman"/>
          <w:sz w:val="28"/>
          <w:szCs w:val="28"/>
        </w:rPr>
        <w:t>3</w:t>
      </w:r>
      <w:r w:rsidR="00434256">
        <w:rPr>
          <w:rFonts w:ascii="Times New Roman" w:hAnsi="Times New Roman"/>
          <w:sz w:val="28"/>
          <w:szCs w:val="28"/>
        </w:rPr>
        <w:t>)</w:t>
      </w:r>
      <w:r w:rsidRPr="00434256">
        <w:rPr>
          <w:rFonts w:ascii="Times New Roman" w:hAnsi="Times New Roman"/>
          <w:sz w:val="28"/>
          <w:szCs w:val="28"/>
        </w:rPr>
        <w:t>. В Департаменте ежеквартально проводи</w:t>
      </w:r>
      <w:r w:rsidR="001B72FD">
        <w:rPr>
          <w:rFonts w:ascii="Times New Roman" w:hAnsi="Times New Roman"/>
          <w:sz w:val="28"/>
          <w:szCs w:val="28"/>
        </w:rPr>
        <w:t xml:space="preserve">лись </w:t>
      </w:r>
      <w:r w:rsidRPr="00434256">
        <w:rPr>
          <w:rFonts w:ascii="Times New Roman" w:hAnsi="Times New Roman"/>
          <w:sz w:val="28"/>
          <w:szCs w:val="28"/>
        </w:rPr>
        <w:t xml:space="preserve"> антикоррупционный мониторинг,  информационные материалы антикоррупционного мониторинга размеща</w:t>
      </w:r>
      <w:r w:rsidR="001B72FD">
        <w:rPr>
          <w:rFonts w:ascii="Times New Roman" w:hAnsi="Times New Roman"/>
          <w:sz w:val="28"/>
          <w:szCs w:val="28"/>
        </w:rPr>
        <w:t>лись</w:t>
      </w:r>
      <w:r w:rsidRPr="00434256">
        <w:rPr>
          <w:rFonts w:ascii="Times New Roman" w:hAnsi="Times New Roman"/>
          <w:sz w:val="28"/>
          <w:szCs w:val="28"/>
        </w:rPr>
        <w:t xml:space="preserve"> и обновля</w:t>
      </w:r>
      <w:r w:rsidR="001B72FD">
        <w:rPr>
          <w:rFonts w:ascii="Times New Roman" w:hAnsi="Times New Roman"/>
          <w:sz w:val="28"/>
          <w:szCs w:val="28"/>
        </w:rPr>
        <w:t>лись в течение года</w:t>
      </w:r>
      <w:r w:rsidRPr="00434256">
        <w:rPr>
          <w:rFonts w:ascii="Times New Roman" w:hAnsi="Times New Roman"/>
          <w:sz w:val="28"/>
          <w:szCs w:val="28"/>
        </w:rPr>
        <w:t xml:space="preserve"> </w:t>
      </w:r>
      <w:r w:rsidR="001B72FD">
        <w:rPr>
          <w:rFonts w:ascii="Times New Roman" w:hAnsi="Times New Roman"/>
          <w:sz w:val="28"/>
          <w:szCs w:val="28"/>
        </w:rPr>
        <w:t>(</w:t>
      </w:r>
      <w:r w:rsidRPr="00434256">
        <w:rPr>
          <w:rFonts w:ascii="Times New Roman" w:hAnsi="Times New Roman"/>
          <w:sz w:val="28"/>
          <w:szCs w:val="28"/>
        </w:rPr>
        <w:t>в установленные сроки</w:t>
      </w:r>
      <w:r w:rsidR="001B72FD">
        <w:rPr>
          <w:rFonts w:ascii="Times New Roman" w:hAnsi="Times New Roman"/>
          <w:sz w:val="28"/>
          <w:szCs w:val="28"/>
        </w:rPr>
        <w:t>)</w:t>
      </w:r>
      <w:r w:rsidRPr="00434256">
        <w:rPr>
          <w:rFonts w:ascii="Times New Roman" w:hAnsi="Times New Roman"/>
          <w:sz w:val="28"/>
          <w:szCs w:val="28"/>
        </w:rPr>
        <w:t xml:space="preserve"> на сайте департамента.</w:t>
      </w:r>
    </w:p>
    <w:p w:rsidR="000E53E2" w:rsidRDefault="000E53E2" w:rsidP="00434256">
      <w:pPr>
        <w:pStyle w:val="afa"/>
        <w:ind w:firstLine="708"/>
        <w:jc w:val="both"/>
        <w:rPr>
          <w:rFonts w:ascii="Times New Roman" w:hAnsi="Times New Roman" w:cs="Times New Roman"/>
          <w:sz w:val="28"/>
          <w:szCs w:val="28"/>
        </w:rPr>
      </w:pPr>
      <w:r w:rsidRPr="00434256">
        <w:rPr>
          <w:rFonts w:ascii="Times New Roman" w:hAnsi="Times New Roman"/>
          <w:sz w:val="28"/>
          <w:szCs w:val="28"/>
        </w:rPr>
        <w:t>4</w:t>
      </w:r>
      <w:r w:rsidR="00434256">
        <w:rPr>
          <w:rFonts w:ascii="Times New Roman" w:hAnsi="Times New Roman"/>
          <w:sz w:val="28"/>
          <w:szCs w:val="28"/>
        </w:rPr>
        <w:t>)</w:t>
      </w:r>
      <w:r w:rsidRPr="00434256">
        <w:rPr>
          <w:rFonts w:ascii="Times New Roman" w:hAnsi="Times New Roman"/>
          <w:sz w:val="28"/>
          <w:szCs w:val="28"/>
        </w:rPr>
        <w:t>. </w:t>
      </w:r>
      <w:r w:rsidR="001B72FD">
        <w:rPr>
          <w:rFonts w:ascii="Times New Roman" w:hAnsi="Times New Roman"/>
          <w:sz w:val="28"/>
          <w:szCs w:val="28"/>
        </w:rPr>
        <w:t xml:space="preserve"> П</w:t>
      </w:r>
      <w:r w:rsidRPr="00434256">
        <w:rPr>
          <w:rFonts w:ascii="Times New Roman" w:hAnsi="Times New Roman"/>
          <w:sz w:val="28"/>
          <w:szCs w:val="28"/>
        </w:rPr>
        <w:t>роводи</w:t>
      </w:r>
      <w:r w:rsidR="001B72FD">
        <w:rPr>
          <w:rFonts w:ascii="Times New Roman" w:hAnsi="Times New Roman"/>
          <w:sz w:val="28"/>
          <w:szCs w:val="28"/>
        </w:rPr>
        <w:t>лась</w:t>
      </w:r>
      <w:r w:rsidRPr="00434256">
        <w:rPr>
          <w:rFonts w:ascii="Times New Roman" w:hAnsi="Times New Roman"/>
          <w:sz w:val="28"/>
          <w:szCs w:val="28"/>
        </w:rPr>
        <w:t xml:space="preserve"> работа по своевременному представлению государственными гражданскими служащими, замещающими должности  государственной гражданско</w:t>
      </w:r>
      <w:r>
        <w:rPr>
          <w:rFonts w:ascii="Times New Roman" w:hAnsi="Times New Roman" w:cs="Times New Roman"/>
          <w:sz w:val="28"/>
          <w:szCs w:val="28"/>
        </w:rPr>
        <w:t xml:space="preserve">й службы Новосибирской области в Департаменте, сведений (справок) о доходах,  расходах, об имуществе и обязательствах имущественного характера на себя и членов своей семьи (далее - справки о доходах), </w:t>
      </w:r>
    </w:p>
    <w:p w:rsidR="000E53E2" w:rsidRDefault="000E53E2" w:rsidP="000E53E2">
      <w:pPr>
        <w:pStyle w:val="afa"/>
        <w:jc w:val="both"/>
        <w:rPr>
          <w:rFonts w:ascii="Times New Roman" w:eastAsia="Calibri" w:hAnsi="Times New Roman" w:cs="Times New Roman"/>
          <w:sz w:val="28"/>
          <w:szCs w:val="28"/>
          <w:lang w:eastAsia="en-US"/>
        </w:rPr>
      </w:pPr>
      <w:r>
        <w:rPr>
          <w:rFonts w:ascii="Times New Roman" w:hAnsi="Times New Roman"/>
          <w:sz w:val="28"/>
          <w:szCs w:val="28"/>
        </w:rPr>
        <w:t xml:space="preserve">       В 2019 году представили справки о доходах, собственные и на членов семьи, 68 гражданских служащих Департамента и 3 претендента на </w:t>
      </w:r>
      <w:r>
        <w:rPr>
          <w:rFonts w:ascii="Times New Roman" w:hAnsi="Times New Roman"/>
          <w:sz w:val="28"/>
          <w:szCs w:val="28"/>
        </w:rPr>
        <w:lastRenderedPageBreak/>
        <w:t xml:space="preserve">замещение должности. Ежегодно в первом квартале  проводятся индивидуальные беседы–разъяснения по заполнению справок о доходах. Даются рекомендации  по правильному заполнению справок о доходах. Осуществляется индивидуальная проверка представленных справок о доходах, проводится сравнительный анализ каждой справки о доходах со справками, представленными за предыдущие годы.   </w:t>
      </w:r>
      <w:r>
        <w:rPr>
          <w:rFonts w:ascii="Times New Roman" w:eastAsia="Calibri" w:hAnsi="Times New Roman"/>
          <w:sz w:val="28"/>
          <w:szCs w:val="28"/>
          <w:lang w:eastAsia="en-US"/>
        </w:rPr>
        <w:t xml:space="preserve">В установленные законом сроки </w:t>
      </w:r>
      <w:r>
        <w:rPr>
          <w:rFonts w:ascii="Times New Roman" w:hAnsi="Times New Roman"/>
          <w:sz w:val="28"/>
          <w:szCs w:val="28"/>
        </w:rPr>
        <w:t xml:space="preserve">справки о доходах </w:t>
      </w:r>
      <w:r>
        <w:rPr>
          <w:rFonts w:ascii="Times New Roman" w:eastAsia="Calibri" w:hAnsi="Times New Roman"/>
          <w:sz w:val="28"/>
          <w:szCs w:val="28"/>
          <w:lang w:eastAsia="en-US"/>
        </w:rPr>
        <w:t xml:space="preserve">размещаются на Интернет - сайте Департамента. </w:t>
      </w:r>
    </w:p>
    <w:p w:rsidR="000E53E2" w:rsidRDefault="000E53E2" w:rsidP="000E53E2">
      <w:pPr>
        <w:ind w:firstLine="709"/>
        <w:jc w:val="both"/>
        <w:rPr>
          <w:sz w:val="28"/>
          <w:szCs w:val="28"/>
        </w:rPr>
      </w:pPr>
      <w:r>
        <w:rPr>
          <w:sz w:val="28"/>
          <w:szCs w:val="28"/>
        </w:rPr>
        <w:t>5</w:t>
      </w:r>
      <w:r w:rsidR="00434256">
        <w:rPr>
          <w:sz w:val="28"/>
          <w:szCs w:val="28"/>
        </w:rPr>
        <w:t>)</w:t>
      </w:r>
      <w:r>
        <w:rPr>
          <w:sz w:val="28"/>
          <w:szCs w:val="28"/>
        </w:rPr>
        <w:t>. Усилена антикоррупционная составляющая в кадровой работе:</w:t>
      </w:r>
    </w:p>
    <w:p w:rsidR="000E53E2" w:rsidRDefault="00434256" w:rsidP="001B72FD">
      <w:pPr>
        <w:pStyle w:val="13"/>
        <w:ind w:firstLine="709"/>
        <w:jc w:val="both"/>
        <w:rPr>
          <w:rFonts w:ascii="Times New Roman" w:hAnsi="Times New Roman"/>
          <w:sz w:val="28"/>
          <w:szCs w:val="28"/>
          <w:lang w:val="ru-RU"/>
        </w:rPr>
      </w:pPr>
      <w:r>
        <w:rPr>
          <w:rFonts w:ascii="Times New Roman" w:hAnsi="Times New Roman"/>
          <w:sz w:val="28"/>
          <w:szCs w:val="28"/>
          <w:lang w:val="ru-RU"/>
        </w:rPr>
        <w:t>а</w:t>
      </w:r>
      <w:r w:rsidR="000E53E2">
        <w:rPr>
          <w:rFonts w:ascii="Times New Roman" w:hAnsi="Times New Roman"/>
          <w:sz w:val="28"/>
          <w:szCs w:val="28"/>
          <w:lang w:val="ru-RU"/>
        </w:rPr>
        <w:t xml:space="preserve">) Начальники отделов </w:t>
      </w:r>
      <w:r w:rsidR="001B72FD">
        <w:rPr>
          <w:rFonts w:ascii="Times New Roman" w:hAnsi="Times New Roman"/>
          <w:sz w:val="28"/>
          <w:szCs w:val="28"/>
          <w:lang w:val="ru-RU"/>
        </w:rPr>
        <w:t>ответственны</w:t>
      </w:r>
      <w:r w:rsidR="000E53E2">
        <w:rPr>
          <w:rFonts w:ascii="Times New Roman" w:hAnsi="Times New Roman"/>
          <w:sz w:val="28"/>
          <w:szCs w:val="28"/>
          <w:lang w:val="ru-RU"/>
        </w:rPr>
        <w:t xml:space="preserve"> за осуществление в отделах работы по профилактике коррупционных и иных правонарушений,  за проведение антикоррупционной политики. </w:t>
      </w:r>
    </w:p>
    <w:p w:rsidR="000E53E2" w:rsidRDefault="00434256" w:rsidP="001B72FD">
      <w:pPr>
        <w:autoSpaceDE w:val="0"/>
        <w:autoSpaceDN w:val="0"/>
        <w:adjustRightInd w:val="0"/>
        <w:spacing w:line="240" w:lineRule="auto"/>
        <w:ind w:firstLine="709"/>
        <w:jc w:val="both"/>
        <w:outlineLvl w:val="1"/>
        <w:rPr>
          <w:sz w:val="28"/>
          <w:szCs w:val="28"/>
        </w:rPr>
      </w:pPr>
      <w:r>
        <w:rPr>
          <w:sz w:val="28"/>
          <w:szCs w:val="28"/>
        </w:rPr>
        <w:t>б</w:t>
      </w:r>
      <w:r w:rsidR="000E53E2">
        <w:rPr>
          <w:sz w:val="28"/>
          <w:szCs w:val="28"/>
        </w:rPr>
        <w:t>) Каждый вновь принятый</w:t>
      </w:r>
      <w:r w:rsidR="000E53E2">
        <w:rPr>
          <w:rFonts w:eastAsia="Times New Roman"/>
          <w:sz w:val="28"/>
          <w:szCs w:val="28"/>
        </w:rPr>
        <w:t xml:space="preserve"> гражданский служащий департамента</w:t>
      </w:r>
      <w:r w:rsidR="000E53E2">
        <w:rPr>
          <w:sz w:val="28"/>
          <w:szCs w:val="28"/>
        </w:rPr>
        <w:t xml:space="preserve"> ознакомлен под роспись с порядками уведомления представителя нанимателя:</w:t>
      </w:r>
    </w:p>
    <w:p w:rsidR="000E53E2" w:rsidRDefault="000E53E2" w:rsidP="001B72FD">
      <w:pPr>
        <w:autoSpaceDE w:val="0"/>
        <w:autoSpaceDN w:val="0"/>
        <w:adjustRightInd w:val="0"/>
        <w:spacing w:after="0" w:line="240" w:lineRule="auto"/>
        <w:ind w:firstLine="709"/>
        <w:jc w:val="both"/>
        <w:outlineLvl w:val="1"/>
        <w:rPr>
          <w:sz w:val="28"/>
          <w:szCs w:val="28"/>
        </w:rPr>
      </w:pPr>
      <w:r>
        <w:rPr>
          <w:sz w:val="28"/>
          <w:szCs w:val="28"/>
        </w:rPr>
        <w:t>- о выполнении иной оплачиваемой работы в соответствии с частью 2 статьи 14 Федерального  закона от 27.07.2004 № 79-ФЗ «О государственной  гражданской  службе Российской Федерации»;</w:t>
      </w:r>
    </w:p>
    <w:p w:rsidR="000E53E2" w:rsidRDefault="000E53E2" w:rsidP="001B72FD">
      <w:pPr>
        <w:autoSpaceDE w:val="0"/>
        <w:autoSpaceDN w:val="0"/>
        <w:adjustRightInd w:val="0"/>
        <w:spacing w:after="0" w:line="240" w:lineRule="auto"/>
        <w:ind w:firstLine="709"/>
        <w:jc w:val="both"/>
        <w:outlineLvl w:val="1"/>
        <w:rPr>
          <w:sz w:val="28"/>
          <w:szCs w:val="28"/>
        </w:rPr>
      </w:pPr>
      <w:r>
        <w:rPr>
          <w:sz w:val="28"/>
          <w:szCs w:val="28"/>
        </w:rPr>
        <w:t>- о фактах обращения в целях склонения государственного гражданского служащего Новосибирской области к совершению коррупционных правонарушений;</w:t>
      </w:r>
    </w:p>
    <w:p w:rsidR="000E53E2" w:rsidRDefault="000E53E2" w:rsidP="001B72FD">
      <w:pPr>
        <w:autoSpaceDE w:val="0"/>
        <w:autoSpaceDN w:val="0"/>
        <w:adjustRightInd w:val="0"/>
        <w:spacing w:after="0" w:line="240" w:lineRule="auto"/>
        <w:ind w:firstLine="709"/>
        <w:jc w:val="both"/>
        <w:outlineLvl w:val="1"/>
        <w:rPr>
          <w:sz w:val="28"/>
          <w:szCs w:val="28"/>
        </w:rPr>
      </w:pPr>
      <w:r>
        <w:rPr>
          <w:sz w:val="28"/>
          <w:szCs w:val="28"/>
        </w:rPr>
        <w:t>- о возникновении личной заинтересованности при исполнении должностных обязанностей, которая приводит или может привести к конфликту интересов;</w:t>
      </w:r>
    </w:p>
    <w:p w:rsidR="000E53E2" w:rsidRDefault="000E53E2" w:rsidP="001B72FD">
      <w:pPr>
        <w:autoSpaceDE w:val="0"/>
        <w:autoSpaceDN w:val="0"/>
        <w:adjustRightInd w:val="0"/>
        <w:spacing w:after="0" w:line="240" w:lineRule="auto"/>
        <w:ind w:firstLine="709"/>
        <w:jc w:val="both"/>
        <w:outlineLvl w:val="1"/>
        <w:rPr>
          <w:sz w:val="28"/>
          <w:szCs w:val="28"/>
        </w:rPr>
      </w:pPr>
      <w:r>
        <w:rPr>
          <w:sz w:val="28"/>
          <w:szCs w:val="28"/>
        </w:rPr>
        <w:t>- о получении подарка</w:t>
      </w:r>
      <w:r>
        <w:rPr>
          <w:rFonts w:eastAsia="Calibri"/>
          <w:sz w:val="28"/>
          <w:szCs w:val="28"/>
          <w:lang w:eastAsia="en-US"/>
        </w:rPr>
        <w:t xml:space="preserve"> </w:t>
      </w:r>
      <w:r>
        <w:rPr>
          <w:sz w:val="28"/>
          <w:szCs w:val="28"/>
        </w:rPr>
        <w:t>в связи с протокольными мероприятиями, служебными командировками и другими официальными мероприятиями, участие в которых связано с исполнением ими служебных (должностных) обязанностей, сдачи и оценки подарка, его реализации (выкупа).</w:t>
      </w:r>
    </w:p>
    <w:p w:rsidR="000E53E2" w:rsidRDefault="000E53E2" w:rsidP="001B72FD">
      <w:pPr>
        <w:autoSpaceDE w:val="0"/>
        <w:autoSpaceDN w:val="0"/>
        <w:adjustRightInd w:val="0"/>
        <w:spacing w:after="0" w:line="240" w:lineRule="auto"/>
        <w:ind w:firstLine="709"/>
        <w:jc w:val="both"/>
        <w:outlineLvl w:val="1"/>
        <w:rPr>
          <w:sz w:val="28"/>
          <w:szCs w:val="28"/>
        </w:rPr>
      </w:pPr>
      <w:r>
        <w:rPr>
          <w:rFonts w:eastAsia="Calibri"/>
          <w:sz w:val="28"/>
          <w:szCs w:val="28"/>
          <w:lang w:eastAsia="en-US"/>
        </w:rPr>
        <w:t xml:space="preserve">А также порядком получения разрешения руководителя </w:t>
      </w:r>
      <w:r w:rsidR="001B72FD">
        <w:rPr>
          <w:rFonts w:eastAsia="Calibri"/>
          <w:sz w:val="28"/>
          <w:szCs w:val="28"/>
          <w:lang w:eastAsia="en-US"/>
        </w:rPr>
        <w:t>Д</w:t>
      </w:r>
      <w:r>
        <w:rPr>
          <w:rFonts w:eastAsia="Calibri"/>
          <w:bCs/>
          <w:color w:val="000000"/>
          <w:sz w:val="28"/>
          <w:szCs w:val="28"/>
          <w:lang w:eastAsia="en-US"/>
        </w:rPr>
        <w:t xml:space="preserve">епартамента </w:t>
      </w:r>
      <w:r>
        <w:rPr>
          <w:rFonts w:eastAsia="Calibri"/>
          <w:bCs/>
          <w:sz w:val="28"/>
          <w:szCs w:val="28"/>
        </w:rPr>
        <w:t>на участие на безвозмездной основе в управлении</w:t>
      </w:r>
      <w:r>
        <w:rPr>
          <w:rFonts w:ascii="Calibri" w:eastAsia="Calibri" w:hAnsi="Calibri"/>
          <w:sz w:val="22"/>
          <w:szCs w:val="28"/>
          <w:lang w:eastAsia="en-US"/>
        </w:rPr>
        <w:t xml:space="preserve"> </w:t>
      </w:r>
      <w:r>
        <w:rPr>
          <w:rFonts w:eastAsia="Calibri"/>
          <w:sz w:val="28"/>
          <w:szCs w:val="28"/>
          <w:lang w:eastAsia="en-US"/>
        </w:rPr>
        <w:t>некоторыми некоммерческими организациями.</w:t>
      </w:r>
    </w:p>
    <w:p w:rsidR="000E53E2" w:rsidRDefault="000E53E2" w:rsidP="001B72FD">
      <w:pPr>
        <w:pStyle w:val="13"/>
        <w:ind w:firstLine="709"/>
        <w:jc w:val="both"/>
        <w:rPr>
          <w:rFonts w:ascii="Times New Roman" w:hAnsi="Times New Roman"/>
          <w:sz w:val="28"/>
          <w:szCs w:val="28"/>
          <w:lang w:val="ru-RU"/>
        </w:rPr>
      </w:pPr>
      <w:r>
        <w:rPr>
          <w:rFonts w:ascii="Times New Roman" w:hAnsi="Times New Roman"/>
          <w:sz w:val="28"/>
          <w:szCs w:val="28"/>
          <w:lang w:val="ru-RU"/>
        </w:rPr>
        <w:t>6</w:t>
      </w:r>
      <w:r w:rsidR="00434256">
        <w:rPr>
          <w:rFonts w:ascii="Times New Roman" w:hAnsi="Times New Roman"/>
          <w:sz w:val="28"/>
          <w:szCs w:val="28"/>
          <w:lang w:val="ru-RU"/>
        </w:rPr>
        <w:t>)</w:t>
      </w:r>
      <w:r>
        <w:rPr>
          <w:rFonts w:ascii="Times New Roman" w:hAnsi="Times New Roman"/>
          <w:sz w:val="28"/>
          <w:szCs w:val="28"/>
          <w:lang w:val="ru-RU"/>
        </w:rPr>
        <w:t>. Руководителями отделов Департамента рассматривались вопросы правоприменительной практики по результатам вступивших в законную силу в 2019 году решений судов, арбитражных судов о признании недействительными ненормативных правовых актов, незаконными решений и действий (бездействия) органов государственной власти, органов местного самоуправления,</w:t>
      </w:r>
      <w:r>
        <w:rPr>
          <w:rFonts w:ascii="Times New Roman" w:hAnsi="Times New Roman"/>
          <w:sz w:val="28"/>
          <w:szCs w:val="28"/>
        </w:rPr>
        <w:t> </w:t>
      </w:r>
      <w:r>
        <w:rPr>
          <w:rFonts w:ascii="Times New Roman" w:hAnsi="Times New Roman"/>
          <w:sz w:val="28"/>
          <w:szCs w:val="28"/>
          <w:lang w:val="ru-RU"/>
        </w:rPr>
        <w:t>организаций, наделенных отдельными государственными или иными публичными полномочиями, и их должностных лиц.</w:t>
      </w:r>
    </w:p>
    <w:p w:rsidR="000E53E2" w:rsidRDefault="000E53E2" w:rsidP="001B72FD">
      <w:pPr>
        <w:pStyle w:val="13"/>
        <w:ind w:firstLine="709"/>
        <w:jc w:val="both"/>
        <w:rPr>
          <w:rFonts w:ascii="Times New Roman" w:hAnsi="Times New Roman"/>
          <w:sz w:val="28"/>
          <w:szCs w:val="28"/>
          <w:lang w:val="ru-RU"/>
        </w:rPr>
      </w:pPr>
      <w:r>
        <w:rPr>
          <w:rFonts w:ascii="Times New Roman" w:hAnsi="Times New Roman"/>
          <w:sz w:val="28"/>
          <w:szCs w:val="28"/>
          <w:lang w:val="ru-RU"/>
        </w:rPr>
        <w:t>7</w:t>
      </w:r>
      <w:r w:rsidR="00434256">
        <w:rPr>
          <w:rFonts w:ascii="Times New Roman" w:hAnsi="Times New Roman"/>
          <w:sz w:val="28"/>
          <w:szCs w:val="28"/>
          <w:lang w:val="ru-RU"/>
        </w:rPr>
        <w:t>)</w:t>
      </w:r>
      <w:r>
        <w:rPr>
          <w:rFonts w:ascii="Times New Roman" w:hAnsi="Times New Roman"/>
          <w:sz w:val="28"/>
          <w:szCs w:val="28"/>
          <w:lang w:val="ru-RU"/>
        </w:rPr>
        <w:t>. Осуществлялось взаимодействие Департамента с гражданами и институтами гражданского общества по вопросам противодействия коррупции:</w:t>
      </w:r>
    </w:p>
    <w:p w:rsidR="000E53E2" w:rsidRDefault="00434256" w:rsidP="001B72FD">
      <w:pPr>
        <w:pStyle w:val="13"/>
        <w:ind w:firstLine="709"/>
        <w:jc w:val="both"/>
        <w:rPr>
          <w:rFonts w:ascii="Times New Roman" w:hAnsi="Times New Roman"/>
          <w:sz w:val="28"/>
          <w:szCs w:val="28"/>
          <w:lang w:val="ru-RU"/>
        </w:rPr>
      </w:pPr>
      <w:r>
        <w:rPr>
          <w:rFonts w:ascii="Times New Roman" w:hAnsi="Times New Roman"/>
          <w:sz w:val="28"/>
          <w:szCs w:val="28"/>
          <w:lang w:val="ru-RU"/>
        </w:rPr>
        <w:t>а</w:t>
      </w:r>
      <w:r w:rsidR="000E53E2">
        <w:rPr>
          <w:rFonts w:ascii="Times New Roman" w:hAnsi="Times New Roman"/>
          <w:sz w:val="28"/>
          <w:szCs w:val="28"/>
          <w:lang w:val="ru-RU"/>
        </w:rPr>
        <w:t>) на Интернет-сайте Департамента:</w:t>
      </w:r>
    </w:p>
    <w:p w:rsidR="000E53E2" w:rsidRDefault="000E53E2" w:rsidP="001B72FD">
      <w:pPr>
        <w:pStyle w:val="13"/>
        <w:ind w:firstLine="709"/>
        <w:jc w:val="both"/>
        <w:rPr>
          <w:rFonts w:ascii="Times New Roman" w:hAnsi="Times New Roman"/>
          <w:sz w:val="28"/>
          <w:szCs w:val="28"/>
          <w:lang w:val="ru-RU"/>
        </w:rPr>
      </w:pPr>
      <w:r>
        <w:rPr>
          <w:rFonts w:ascii="Times New Roman" w:hAnsi="Times New Roman"/>
          <w:sz w:val="28"/>
          <w:szCs w:val="28"/>
          <w:lang w:val="ru-RU"/>
        </w:rPr>
        <w:lastRenderedPageBreak/>
        <w:t>- в соответствующих тематических разделах размещ</w:t>
      </w:r>
      <w:r w:rsidR="001B72FD">
        <w:rPr>
          <w:rFonts w:ascii="Times New Roman" w:hAnsi="Times New Roman"/>
          <w:sz w:val="28"/>
          <w:szCs w:val="28"/>
          <w:lang w:val="ru-RU"/>
        </w:rPr>
        <w:t>ена</w:t>
      </w:r>
      <w:r>
        <w:rPr>
          <w:rFonts w:ascii="Times New Roman" w:hAnsi="Times New Roman"/>
          <w:sz w:val="28"/>
          <w:szCs w:val="28"/>
          <w:lang w:val="ru-RU"/>
        </w:rPr>
        <w:t xml:space="preserve"> информация о деятельности департамента в соответствии с требованиями нормативных правовых актов Российской Федерации и Новосибирской области;   </w:t>
      </w:r>
    </w:p>
    <w:p w:rsidR="000E53E2" w:rsidRDefault="000E53E2" w:rsidP="001B72FD">
      <w:pPr>
        <w:pStyle w:val="13"/>
        <w:ind w:firstLine="709"/>
        <w:jc w:val="both"/>
        <w:rPr>
          <w:rFonts w:ascii="Times New Roman" w:hAnsi="Times New Roman"/>
          <w:sz w:val="28"/>
          <w:szCs w:val="28"/>
          <w:lang w:val="ru-RU"/>
        </w:rPr>
      </w:pPr>
      <w:r>
        <w:rPr>
          <w:rFonts w:ascii="Times New Roman" w:hAnsi="Times New Roman"/>
          <w:sz w:val="28"/>
          <w:szCs w:val="28"/>
          <w:lang w:val="ru-RU"/>
        </w:rPr>
        <w:t>- в разделе «Противодействие коррупции» размещены:</w:t>
      </w:r>
    </w:p>
    <w:p w:rsidR="000E53E2" w:rsidRDefault="000E53E2" w:rsidP="001B72FD">
      <w:pPr>
        <w:pStyle w:val="13"/>
        <w:ind w:firstLine="709"/>
        <w:jc w:val="both"/>
        <w:rPr>
          <w:rFonts w:ascii="Times New Roman" w:hAnsi="Times New Roman"/>
          <w:sz w:val="28"/>
          <w:szCs w:val="28"/>
          <w:lang w:val="ru-RU"/>
        </w:rPr>
      </w:pPr>
      <w:r>
        <w:rPr>
          <w:rFonts w:ascii="Times New Roman" w:hAnsi="Times New Roman"/>
          <w:sz w:val="28"/>
          <w:szCs w:val="28"/>
          <w:lang w:val="ru-RU"/>
        </w:rPr>
        <w:t>результаты антикоррупционного мониторинга в департаменте за 2019 год;</w:t>
      </w:r>
    </w:p>
    <w:p w:rsidR="000E53E2" w:rsidRDefault="000E53E2" w:rsidP="001B72FD">
      <w:pPr>
        <w:pStyle w:val="13"/>
        <w:ind w:firstLine="709"/>
        <w:jc w:val="both"/>
        <w:rPr>
          <w:rFonts w:ascii="Times New Roman" w:hAnsi="Times New Roman"/>
          <w:sz w:val="28"/>
          <w:szCs w:val="28"/>
          <w:lang w:val="ru-RU"/>
        </w:rPr>
      </w:pPr>
      <w:r>
        <w:rPr>
          <w:rFonts w:ascii="Times New Roman" w:hAnsi="Times New Roman"/>
          <w:sz w:val="28"/>
          <w:szCs w:val="28"/>
          <w:lang w:val="ru-RU"/>
        </w:rPr>
        <w:t>нормативные правовые акты и методические материалы в сфере противодействия коррупции;</w:t>
      </w:r>
    </w:p>
    <w:p w:rsidR="000E53E2" w:rsidRDefault="000E53E2" w:rsidP="001B72FD">
      <w:pPr>
        <w:pStyle w:val="13"/>
        <w:ind w:firstLine="709"/>
        <w:jc w:val="both"/>
        <w:rPr>
          <w:rFonts w:ascii="Times New Roman" w:hAnsi="Times New Roman"/>
          <w:sz w:val="28"/>
          <w:szCs w:val="28"/>
          <w:lang w:val="ru-RU"/>
        </w:rPr>
      </w:pPr>
      <w:r>
        <w:rPr>
          <w:rFonts w:ascii="Times New Roman" w:hAnsi="Times New Roman"/>
          <w:sz w:val="28"/>
          <w:szCs w:val="28"/>
          <w:lang w:val="ru-RU"/>
        </w:rPr>
        <w:t>формы и бланки документов по вопросам в сфере противодействия коррупции;</w:t>
      </w:r>
    </w:p>
    <w:p w:rsidR="000E53E2" w:rsidRDefault="000E53E2" w:rsidP="008E2860">
      <w:pPr>
        <w:spacing w:after="0" w:line="240" w:lineRule="auto"/>
        <w:ind w:firstLine="708"/>
        <w:jc w:val="both"/>
        <w:rPr>
          <w:sz w:val="28"/>
          <w:szCs w:val="28"/>
        </w:rPr>
      </w:pPr>
      <w:r>
        <w:rPr>
          <w:sz w:val="28"/>
          <w:szCs w:val="28"/>
        </w:rPr>
        <w:t>в подразделе «Деятельность комиссии по соблюдению требований к служебному поведению и урегулированию конфликта интересов» (далее - комиссия) представлено Положение о комиссии Департамента, размещ</w:t>
      </w:r>
      <w:r w:rsidR="008E2860">
        <w:rPr>
          <w:sz w:val="28"/>
          <w:szCs w:val="28"/>
        </w:rPr>
        <w:t>ены</w:t>
      </w:r>
      <w:r>
        <w:rPr>
          <w:sz w:val="28"/>
          <w:szCs w:val="28"/>
        </w:rPr>
        <w:t xml:space="preserve"> планы работы комиссии, протоколы заседаний комиссии;</w:t>
      </w:r>
      <w:r w:rsidR="008E2860">
        <w:rPr>
          <w:sz w:val="28"/>
          <w:szCs w:val="28"/>
        </w:rPr>
        <w:t xml:space="preserve"> </w:t>
      </w:r>
      <w:r>
        <w:rPr>
          <w:sz w:val="28"/>
          <w:szCs w:val="28"/>
        </w:rPr>
        <w:t>отчет</w:t>
      </w:r>
      <w:r w:rsidR="008E2860">
        <w:rPr>
          <w:sz w:val="28"/>
          <w:szCs w:val="28"/>
        </w:rPr>
        <w:t xml:space="preserve"> департамента </w:t>
      </w:r>
      <w:r>
        <w:rPr>
          <w:sz w:val="28"/>
          <w:szCs w:val="28"/>
        </w:rPr>
        <w:t xml:space="preserve"> о реализации мероприятий Программы «Противодействие коррупции в Новосибирской области на 2018-2020 годы» за 2019 год;</w:t>
      </w:r>
    </w:p>
    <w:p w:rsidR="000E53E2" w:rsidRDefault="000E53E2" w:rsidP="00434256">
      <w:pPr>
        <w:spacing w:after="0" w:line="240" w:lineRule="auto"/>
        <w:ind w:firstLine="708"/>
        <w:jc w:val="both"/>
        <w:rPr>
          <w:sz w:val="28"/>
          <w:szCs w:val="28"/>
        </w:rPr>
      </w:pPr>
      <w:r>
        <w:rPr>
          <w:sz w:val="28"/>
          <w:szCs w:val="28"/>
        </w:rPr>
        <w:t>- в подразделе «Сведения о доходах, расходах и обязательствах имущественного характера» представлены в табличном виде  сведения о доходах, расходах и обязательствах имущественного характера государственных гражданских служащих департамента, их супругов и несовершеннолетних детей.</w:t>
      </w:r>
    </w:p>
    <w:p w:rsidR="000E53E2" w:rsidRDefault="000E53E2" w:rsidP="00434256">
      <w:pPr>
        <w:spacing w:after="0" w:line="240" w:lineRule="auto"/>
        <w:jc w:val="both"/>
        <w:rPr>
          <w:sz w:val="28"/>
          <w:szCs w:val="28"/>
        </w:rPr>
      </w:pPr>
      <w:r>
        <w:rPr>
          <w:sz w:val="28"/>
          <w:szCs w:val="28"/>
        </w:rPr>
        <w:t xml:space="preserve"> </w:t>
      </w:r>
      <w:r>
        <w:rPr>
          <w:sz w:val="28"/>
          <w:szCs w:val="28"/>
        </w:rPr>
        <w:tab/>
        <w:t>- в разделе «Конкурсы»  информация о конкурсах на замещение вакантной должности и в кадровый резерв и о результатах конкурса.</w:t>
      </w:r>
    </w:p>
    <w:p w:rsidR="000E53E2" w:rsidRDefault="00434256" w:rsidP="00434256">
      <w:pPr>
        <w:pStyle w:val="13"/>
        <w:ind w:firstLine="709"/>
        <w:jc w:val="both"/>
        <w:rPr>
          <w:rFonts w:ascii="Times New Roman" w:hAnsi="Times New Roman"/>
          <w:sz w:val="28"/>
          <w:szCs w:val="28"/>
          <w:lang w:val="ru-RU"/>
        </w:rPr>
      </w:pPr>
      <w:r>
        <w:rPr>
          <w:rFonts w:ascii="Times New Roman" w:hAnsi="Times New Roman"/>
          <w:sz w:val="28"/>
          <w:szCs w:val="28"/>
          <w:lang w:val="ru-RU"/>
        </w:rPr>
        <w:t>б</w:t>
      </w:r>
      <w:r w:rsidR="000E53E2">
        <w:rPr>
          <w:rFonts w:ascii="Times New Roman" w:hAnsi="Times New Roman"/>
          <w:sz w:val="28"/>
          <w:szCs w:val="28"/>
          <w:lang w:val="ru-RU"/>
        </w:rPr>
        <w:t xml:space="preserve">) внедрены основные элементы системы обратной связи с гражданами, организациями и институтами гражданского общества по вопросам противодействия коррупции (соответствующая информация размещена на Интернет-сайте </w:t>
      </w:r>
      <w:r w:rsidR="008E2860">
        <w:rPr>
          <w:rFonts w:ascii="Times New Roman" w:hAnsi="Times New Roman"/>
          <w:sz w:val="28"/>
          <w:szCs w:val="28"/>
          <w:lang w:val="ru-RU"/>
        </w:rPr>
        <w:t>Д</w:t>
      </w:r>
      <w:r w:rsidR="000E53E2">
        <w:rPr>
          <w:rFonts w:ascii="Times New Roman" w:hAnsi="Times New Roman"/>
          <w:sz w:val="28"/>
          <w:szCs w:val="28"/>
          <w:lang w:val="ru-RU"/>
        </w:rPr>
        <w:t>епартамента в разделе «Противодействие коррупции»),</w:t>
      </w:r>
    </w:p>
    <w:p w:rsidR="000E53E2" w:rsidRDefault="000E53E2" w:rsidP="000E53E2">
      <w:pPr>
        <w:pStyle w:val="13"/>
        <w:ind w:firstLine="709"/>
        <w:jc w:val="both"/>
        <w:rPr>
          <w:rFonts w:ascii="Times New Roman" w:hAnsi="Times New Roman"/>
          <w:sz w:val="28"/>
          <w:szCs w:val="28"/>
          <w:lang w:val="ru-RU"/>
        </w:rPr>
      </w:pPr>
      <w:r>
        <w:rPr>
          <w:rFonts w:ascii="Times New Roman" w:hAnsi="Times New Roman"/>
          <w:sz w:val="28"/>
          <w:szCs w:val="28"/>
          <w:lang w:val="ru-RU"/>
        </w:rPr>
        <w:t xml:space="preserve">на постоянной основе функционирует прямая линия по вопросам в сфере антикоррупционного просвещения граждан, </w:t>
      </w:r>
    </w:p>
    <w:p w:rsidR="000E53E2" w:rsidRDefault="000E53E2" w:rsidP="000E53E2">
      <w:pPr>
        <w:pStyle w:val="13"/>
        <w:ind w:firstLine="709"/>
        <w:jc w:val="both"/>
        <w:rPr>
          <w:rFonts w:ascii="Times New Roman" w:hAnsi="Times New Roman"/>
          <w:sz w:val="28"/>
          <w:szCs w:val="28"/>
          <w:lang w:val="ru-RU"/>
        </w:rPr>
      </w:pPr>
      <w:r>
        <w:rPr>
          <w:rFonts w:ascii="Times New Roman" w:hAnsi="Times New Roman"/>
          <w:sz w:val="28"/>
          <w:szCs w:val="28"/>
          <w:lang w:val="ru-RU"/>
        </w:rPr>
        <w:t xml:space="preserve">предоставлена возможность гражданам направить письменное обращение о фактах коррупционных правонарушений в департаменте. </w:t>
      </w:r>
    </w:p>
    <w:p w:rsidR="000E53E2" w:rsidRDefault="000E53E2" w:rsidP="000E53E2">
      <w:pPr>
        <w:pStyle w:val="13"/>
        <w:ind w:firstLine="709"/>
        <w:jc w:val="both"/>
        <w:rPr>
          <w:rFonts w:ascii="Times New Roman" w:hAnsi="Times New Roman"/>
          <w:sz w:val="28"/>
          <w:szCs w:val="28"/>
          <w:lang w:val="ru-RU"/>
        </w:rPr>
      </w:pPr>
      <w:r>
        <w:rPr>
          <w:rFonts w:ascii="Times New Roman" w:hAnsi="Times New Roman"/>
          <w:sz w:val="28"/>
          <w:szCs w:val="28"/>
          <w:lang w:val="ru-RU"/>
        </w:rPr>
        <w:t>За 2019 год по всем видам обратной связи от граждан, организаций и институтов гражданского общества не поступило информации о фактах нарушений коррупционного характера со стороны государственных гражданских служащих в Департаменте.</w:t>
      </w:r>
    </w:p>
    <w:p w:rsidR="000E53E2" w:rsidRDefault="000E53E2" w:rsidP="00434256">
      <w:pPr>
        <w:spacing w:after="0" w:line="240" w:lineRule="auto"/>
        <w:ind w:firstLine="709"/>
        <w:jc w:val="both"/>
        <w:rPr>
          <w:sz w:val="28"/>
          <w:szCs w:val="28"/>
        </w:rPr>
      </w:pPr>
      <w:r>
        <w:rPr>
          <w:sz w:val="28"/>
          <w:szCs w:val="28"/>
        </w:rPr>
        <w:t>8</w:t>
      </w:r>
      <w:r w:rsidR="00434256">
        <w:rPr>
          <w:sz w:val="28"/>
          <w:szCs w:val="28"/>
        </w:rPr>
        <w:t>)</w:t>
      </w:r>
      <w:r>
        <w:rPr>
          <w:sz w:val="28"/>
          <w:szCs w:val="28"/>
        </w:rPr>
        <w:t>. Осуществлялись организационные меры по созданию условий, затрудняющих возможность коррупционного поведения и обеспечивающих снижение уровня коррупции в Департаменте:</w:t>
      </w:r>
    </w:p>
    <w:p w:rsidR="000E53E2" w:rsidRDefault="000E53E2" w:rsidP="00434256">
      <w:pPr>
        <w:spacing w:after="0" w:line="240" w:lineRule="auto"/>
        <w:ind w:firstLine="720"/>
        <w:jc w:val="both"/>
        <w:rPr>
          <w:sz w:val="28"/>
          <w:szCs w:val="28"/>
        </w:rPr>
      </w:pPr>
      <w:r>
        <w:rPr>
          <w:sz w:val="28"/>
          <w:szCs w:val="28"/>
        </w:rPr>
        <w:t xml:space="preserve">с государственными гражданскими служащими, замещающими должности государственной гражданской службы Новосибирской области в Департаменте, проводилась разъяснительная работа по законодательству в сфере противодействия коррупции, в том числе при увольнении с гражданской службы в обязательном порядке проводилось ознакомление с ограничениями, налагаемыми на гражданина, замещавшего должность </w:t>
      </w:r>
      <w:r>
        <w:rPr>
          <w:sz w:val="28"/>
          <w:szCs w:val="28"/>
        </w:rPr>
        <w:lastRenderedPageBreak/>
        <w:t>государственной службы, при дальнейшем заключении им трудового или гражданско-правового договора;</w:t>
      </w:r>
    </w:p>
    <w:p w:rsidR="000E53E2" w:rsidRDefault="000E53E2" w:rsidP="00434256">
      <w:pPr>
        <w:spacing w:after="0" w:line="240" w:lineRule="auto"/>
        <w:ind w:firstLine="720"/>
        <w:jc w:val="both"/>
        <w:rPr>
          <w:sz w:val="28"/>
          <w:szCs w:val="28"/>
        </w:rPr>
      </w:pPr>
      <w:r>
        <w:rPr>
          <w:sz w:val="28"/>
          <w:szCs w:val="28"/>
        </w:rPr>
        <w:t>на постоянной основе проводилась работа по ознакомлению под роспись государственных гражданских служащих, замещающих должности государственной гражданской службы Новосибирской области в Департаменте, с нормативными правовыми актами, регламентирующими порядок прохождения государственной гражданской службы, в том числе по вопросам в сфере противодействия коррупции;</w:t>
      </w:r>
    </w:p>
    <w:p w:rsidR="000E53E2" w:rsidRDefault="000E53E2" w:rsidP="00434256">
      <w:pPr>
        <w:spacing w:after="0" w:line="240" w:lineRule="auto"/>
        <w:ind w:firstLine="628"/>
        <w:jc w:val="both"/>
        <w:rPr>
          <w:sz w:val="28"/>
          <w:szCs w:val="28"/>
        </w:rPr>
      </w:pPr>
      <w:r>
        <w:rPr>
          <w:sz w:val="28"/>
          <w:szCs w:val="28"/>
        </w:rPr>
        <w:t xml:space="preserve">с сотрудниками  Департамента </w:t>
      </w:r>
      <w:r w:rsidR="008E2860">
        <w:rPr>
          <w:sz w:val="28"/>
          <w:szCs w:val="28"/>
        </w:rPr>
        <w:t xml:space="preserve">в течение 2019 года </w:t>
      </w:r>
      <w:r>
        <w:rPr>
          <w:sz w:val="28"/>
          <w:szCs w:val="28"/>
        </w:rPr>
        <w:t>провод</w:t>
      </w:r>
      <w:r w:rsidR="008E2860">
        <w:rPr>
          <w:sz w:val="28"/>
          <w:szCs w:val="28"/>
        </w:rPr>
        <w:t>ились</w:t>
      </w:r>
      <w:r>
        <w:rPr>
          <w:sz w:val="28"/>
          <w:szCs w:val="28"/>
        </w:rPr>
        <w:t xml:space="preserve"> разъяснительные беседы, семинары, практические занятия  антикоррупционной направленности.</w:t>
      </w:r>
    </w:p>
    <w:p w:rsidR="000E53E2" w:rsidRDefault="000E53E2" w:rsidP="00434256">
      <w:pPr>
        <w:pStyle w:val="afa"/>
        <w:jc w:val="both"/>
        <w:rPr>
          <w:rFonts w:ascii="Times New Roman" w:hAnsi="Times New Roman"/>
          <w:sz w:val="28"/>
          <w:szCs w:val="28"/>
        </w:rPr>
      </w:pPr>
      <w:r>
        <w:rPr>
          <w:rFonts w:ascii="Times New Roman" w:hAnsi="Times New Roman"/>
          <w:sz w:val="28"/>
          <w:szCs w:val="28"/>
        </w:rPr>
        <w:tab/>
        <w:t xml:space="preserve">Материалы занятий по </w:t>
      </w:r>
      <w:r w:rsidR="008E2860">
        <w:rPr>
          <w:rFonts w:ascii="Times New Roman" w:hAnsi="Times New Roman"/>
          <w:sz w:val="28"/>
          <w:szCs w:val="28"/>
        </w:rPr>
        <w:t>антикоррупционному</w:t>
      </w:r>
      <w:r>
        <w:rPr>
          <w:rFonts w:ascii="Times New Roman" w:hAnsi="Times New Roman"/>
          <w:sz w:val="28"/>
          <w:szCs w:val="28"/>
        </w:rPr>
        <w:t xml:space="preserve"> направлению размещены во внутренней </w:t>
      </w:r>
      <w:r w:rsidR="008E2860">
        <w:rPr>
          <w:rFonts w:ascii="Times New Roman" w:hAnsi="Times New Roman"/>
          <w:sz w:val="28"/>
          <w:szCs w:val="28"/>
        </w:rPr>
        <w:t xml:space="preserve">(локальной) </w:t>
      </w:r>
      <w:r>
        <w:rPr>
          <w:rFonts w:ascii="Times New Roman" w:hAnsi="Times New Roman"/>
          <w:sz w:val="28"/>
          <w:szCs w:val="28"/>
        </w:rPr>
        <w:t xml:space="preserve">компьютерной сети Департамента и доступны для дополнительного изучения в удобное время для каждого сотрудника департамента.  </w:t>
      </w:r>
    </w:p>
    <w:p w:rsidR="000E53E2" w:rsidRDefault="000E53E2" w:rsidP="00434256">
      <w:pPr>
        <w:pStyle w:val="ConsPlusNormal"/>
        <w:jc w:val="both"/>
        <w:rPr>
          <w:rFonts w:ascii="Times New Roman" w:hAnsi="Times New Roman" w:cs="Times New Roman"/>
          <w:sz w:val="28"/>
          <w:szCs w:val="28"/>
        </w:rPr>
      </w:pPr>
      <w:r>
        <w:rPr>
          <w:rFonts w:ascii="Times New Roman" w:hAnsi="Times New Roman" w:cs="Times New Roman"/>
          <w:sz w:val="28"/>
          <w:szCs w:val="28"/>
        </w:rPr>
        <w:t xml:space="preserve">На официальном сайте </w:t>
      </w:r>
      <w:r w:rsidR="008E2860">
        <w:rPr>
          <w:rFonts w:ascii="Times New Roman" w:hAnsi="Times New Roman" w:cs="Times New Roman"/>
          <w:sz w:val="28"/>
          <w:szCs w:val="28"/>
        </w:rPr>
        <w:t>Д</w:t>
      </w:r>
      <w:r>
        <w:rPr>
          <w:rFonts w:ascii="Times New Roman" w:hAnsi="Times New Roman" w:cs="Times New Roman"/>
          <w:sz w:val="28"/>
          <w:szCs w:val="28"/>
        </w:rPr>
        <w:t xml:space="preserve">епартамента и в </w:t>
      </w:r>
      <w:r w:rsidR="008E2860">
        <w:rPr>
          <w:rFonts w:ascii="Times New Roman" w:hAnsi="Times New Roman" w:cs="Times New Roman"/>
          <w:sz w:val="28"/>
          <w:szCs w:val="28"/>
        </w:rPr>
        <w:t xml:space="preserve">локальной </w:t>
      </w:r>
      <w:r>
        <w:rPr>
          <w:rFonts w:ascii="Times New Roman" w:hAnsi="Times New Roman" w:cs="Times New Roman"/>
          <w:sz w:val="28"/>
          <w:szCs w:val="28"/>
        </w:rPr>
        <w:t>сети департамента в 2019 года были размещены и доступны для ознакомления  следующие методические материалы:</w:t>
      </w:r>
    </w:p>
    <w:p w:rsidR="000E53E2" w:rsidRDefault="000E53E2" w:rsidP="00763A8B">
      <w:pPr>
        <w:pStyle w:val="ConsPlusNormal"/>
        <w:numPr>
          <w:ilvl w:val="0"/>
          <w:numId w:val="14"/>
        </w:numPr>
        <w:jc w:val="both"/>
        <w:rPr>
          <w:rFonts w:ascii="Times New Roman" w:hAnsi="Times New Roman" w:cs="Times New Roman"/>
          <w:sz w:val="28"/>
          <w:szCs w:val="28"/>
        </w:rPr>
      </w:pPr>
      <w:r>
        <w:rPr>
          <w:rFonts w:ascii="Times New Roman" w:hAnsi="Times New Roman" w:cs="Times New Roman"/>
          <w:sz w:val="28"/>
          <w:szCs w:val="28"/>
        </w:rPr>
        <w:t>Памятка «Что нужно знать о коррупции»,</w:t>
      </w:r>
    </w:p>
    <w:p w:rsidR="000E53E2" w:rsidRDefault="000E53E2" w:rsidP="00763A8B">
      <w:pPr>
        <w:pStyle w:val="ConsPlusNormal"/>
        <w:numPr>
          <w:ilvl w:val="0"/>
          <w:numId w:val="14"/>
        </w:numPr>
        <w:jc w:val="both"/>
        <w:rPr>
          <w:rFonts w:ascii="Times New Roman" w:hAnsi="Times New Roman" w:cs="Times New Roman"/>
          <w:sz w:val="28"/>
          <w:szCs w:val="28"/>
        </w:rPr>
      </w:pPr>
      <w:r>
        <w:rPr>
          <w:rFonts w:ascii="Times New Roman" w:hAnsi="Times New Roman" w:cs="Times New Roman"/>
          <w:sz w:val="28"/>
          <w:szCs w:val="28"/>
        </w:rPr>
        <w:t>Видео-презентация «Противодействие коррупции в России»,</w:t>
      </w:r>
    </w:p>
    <w:p w:rsidR="000E53E2" w:rsidRDefault="000E53E2" w:rsidP="00763A8B">
      <w:pPr>
        <w:pStyle w:val="ConsPlusNormal"/>
        <w:numPr>
          <w:ilvl w:val="0"/>
          <w:numId w:val="14"/>
        </w:numPr>
        <w:jc w:val="both"/>
        <w:rPr>
          <w:rFonts w:ascii="Times New Roman" w:hAnsi="Times New Roman" w:cs="Times New Roman"/>
          <w:sz w:val="28"/>
          <w:szCs w:val="28"/>
        </w:rPr>
      </w:pPr>
      <w:r>
        <w:rPr>
          <w:rFonts w:ascii="Times New Roman" w:hAnsi="Times New Roman" w:cs="Times New Roman"/>
          <w:sz w:val="28"/>
          <w:szCs w:val="28"/>
        </w:rPr>
        <w:t>Памятка «Административная ответственность юридических лиц за совершение правонарушений коррупционной направленности»,</w:t>
      </w:r>
    </w:p>
    <w:p w:rsidR="000E53E2" w:rsidRDefault="000E53E2" w:rsidP="00763A8B">
      <w:pPr>
        <w:pStyle w:val="ConsPlusNormal"/>
        <w:numPr>
          <w:ilvl w:val="0"/>
          <w:numId w:val="14"/>
        </w:numPr>
        <w:jc w:val="both"/>
        <w:rPr>
          <w:rFonts w:ascii="Times New Roman" w:hAnsi="Times New Roman" w:cs="Times New Roman"/>
          <w:sz w:val="28"/>
          <w:szCs w:val="28"/>
        </w:rPr>
      </w:pPr>
      <w:r>
        <w:rPr>
          <w:rFonts w:ascii="Times New Roman" w:hAnsi="Times New Roman" w:cs="Times New Roman"/>
          <w:sz w:val="28"/>
          <w:szCs w:val="28"/>
        </w:rPr>
        <w:t>Буклет «Коррупция вчера, сегодня, завтра»,</w:t>
      </w:r>
    </w:p>
    <w:p w:rsidR="000E53E2" w:rsidRDefault="000E53E2" w:rsidP="00763A8B">
      <w:pPr>
        <w:pStyle w:val="ConsPlusNormal"/>
        <w:numPr>
          <w:ilvl w:val="0"/>
          <w:numId w:val="14"/>
        </w:numPr>
        <w:jc w:val="both"/>
        <w:rPr>
          <w:rFonts w:ascii="Times New Roman" w:hAnsi="Times New Roman" w:cs="Times New Roman"/>
          <w:sz w:val="28"/>
          <w:szCs w:val="28"/>
        </w:rPr>
      </w:pPr>
      <w:r>
        <w:rPr>
          <w:rFonts w:ascii="Times New Roman" w:hAnsi="Times New Roman" w:cs="Times New Roman"/>
          <w:sz w:val="28"/>
          <w:szCs w:val="28"/>
        </w:rPr>
        <w:t>Буклет «История одного чиновника».</w:t>
      </w:r>
    </w:p>
    <w:p w:rsidR="000E53E2" w:rsidRDefault="00434256" w:rsidP="00434256">
      <w:pPr>
        <w:pStyle w:val="ConsPlusNormal"/>
        <w:jc w:val="both"/>
        <w:rPr>
          <w:rFonts w:ascii="Times New Roman" w:hAnsi="Times New Roman" w:cs="Times New Roman"/>
          <w:sz w:val="28"/>
          <w:szCs w:val="28"/>
        </w:rPr>
      </w:pPr>
      <w:r>
        <w:rPr>
          <w:rFonts w:ascii="Times New Roman" w:hAnsi="Times New Roman" w:cs="Times New Roman"/>
          <w:sz w:val="28"/>
          <w:szCs w:val="28"/>
        </w:rPr>
        <w:t xml:space="preserve">      </w:t>
      </w:r>
      <w:r w:rsidR="000E53E2">
        <w:rPr>
          <w:rFonts w:ascii="Times New Roman" w:hAnsi="Times New Roman" w:cs="Times New Roman"/>
          <w:sz w:val="28"/>
          <w:szCs w:val="28"/>
        </w:rPr>
        <w:t xml:space="preserve">Все гражданские служащие </w:t>
      </w:r>
      <w:r w:rsidR="008E2860">
        <w:rPr>
          <w:rFonts w:ascii="Times New Roman" w:hAnsi="Times New Roman" w:cs="Times New Roman"/>
          <w:sz w:val="28"/>
          <w:szCs w:val="28"/>
        </w:rPr>
        <w:t>Д</w:t>
      </w:r>
      <w:r w:rsidR="000E53E2">
        <w:rPr>
          <w:rFonts w:ascii="Times New Roman" w:hAnsi="Times New Roman" w:cs="Times New Roman"/>
          <w:sz w:val="28"/>
          <w:szCs w:val="28"/>
        </w:rPr>
        <w:t xml:space="preserve">епартамента ознакомлены с вышеперечисленными документами. </w:t>
      </w:r>
    </w:p>
    <w:p w:rsidR="000E53E2" w:rsidRDefault="000E53E2" w:rsidP="000E53E2">
      <w:pPr>
        <w:ind w:firstLine="720"/>
        <w:jc w:val="both"/>
        <w:rPr>
          <w:sz w:val="28"/>
          <w:szCs w:val="28"/>
        </w:rPr>
      </w:pPr>
      <w:r>
        <w:rPr>
          <w:sz w:val="28"/>
          <w:szCs w:val="28"/>
        </w:rPr>
        <w:t>9</w:t>
      </w:r>
      <w:r w:rsidR="00434256">
        <w:rPr>
          <w:sz w:val="28"/>
          <w:szCs w:val="28"/>
        </w:rPr>
        <w:t>)</w:t>
      </w:r>
      <w:r>
        <w:rPr>
          <w:sz w:val="28"/>
          <w:szCs w:val="28"/>
        </w:rPr>
        <w:t xml:space="preserve">. На информационном стенде Департамента при входе в помещения, занимаемые </w:t>
      </w:r>
      <w:r w:rsidR="008E2860">
        <w:rPr>
          <w:sz w:val="28"/>
          <w:szCs w:val="28"/>
        </w:rPr>
        <w:t>Д</w:t>
      </w:r>
      <w:r>
        <w:rPr>
          <w:sz w:val="28"/>
          <w:szCs w:val="28"/>
        </w:rPr>
        <w:t>епартаментом, размещены и постоянно актуализируются методические рекомендации, материалы антикоррупционной направленности, наглядные агитационные материалы, выполняющие как ознакомительную, так и воспитательную функции в целях формирования у государственных гражданских служащих в департаменте негативного отношения к коррупционным проявлениям.</w:t>
      </w:r>
    </w:p>
    <w:p w:rsidR="000E53E2" w:rsidRDefault="000E53E2" w:rsidP="000E53E2">
      <w:pPr>
        <w:ind w:firstLine="720"/>
        <w:jc w:val="both"/>
        <w:rPr>
          <w:sz w:val="28"/>
          <w:szCs w:val="28"/>
        </w:rPr>
      </w:pPr>
      <w:r>
        <w:rPr>
          <w:sz w:val="28"/>
          <w:szCs w:val="28"/>
        </w:rPr>
        <w:t>10</w:t>
      </w:r>
      <w:r w:rsidR="00434256">
        <w:rPr>
          <w:sz w:val="28"/>
          <w:szCs w:val="28"/>
        </w:rPr>
        <w:t>)</w:t>
      </w:r>
      <w:r>
        <w:rPr>
          <w:sz w:val="28"/>
          <w:szCs w:val="28"/>
        </w:rPr>
        <w:t>. Вопросы на знание законодательства о противодействии коррупции включены в тестовые задания при проведении оценки участников конкурсов на замещение вакантных должностей государственной гражданской службы в департаменте и включение в кадровый резерв, а также при проведении аттестации государственных гражданских служащих в Департаменте.</w:t>
      </w:r>
    </w:p>
    <w:p w:rsidR="000E53E2" w:rsidRDefault="000E53E2" w:rsidP="000E53E2">
      <w:pPr>
        <w:pStyle w:val="13"/>
        <w:ind w:firstLine="709"/>
        <w:jc w:val="both"/>
        <w:rPr>
          <w:rFonts w:ascii="Times New Roman" w:hAnsi="Times New Roman"/>
          <w:sz w:val="28"/>
          <w:szCs w:val="28"/>
          <w:lang w:val="ru-RU"/>
        </w:rPr>
      </w:pPr>
      <w:r>
        <w:rPr>
          <w:rFonts w:ascii="Times New Roman" w:hAnsi="Times New Roman"/>
          <w:sz w:val="28"/>
          <w:szCs w:val="28"/>
          <w:lang w:val="ru-RU"/>
        </w:rPr>
        <w:t>11</w:t>
      </w:r>
      <w:r w:rsidR="00434256">
        <w:rPr>
          <w:rFonts w:ascii="Times New Roman" w:hAnsi="Times New Roman"/>
          <w:sz w:val="28"/>
          <w:szCs w:val="28"/>
          <w:lang w:val="ru-RU"/>
        </w:rPr>
        <w:t>)</w:t>
      </w:r>
      <w:r>
        <w:rPr>
          <w:rFonts w:ascii="Times New Roman" w:hAnsi="Times New Roman"/>
          <w:sz w:val="28"/>
          <w:szCs w:val="28"/>
          <w:lang w:val="ru-RU"/>
        </w:rPr>
        <w:t xml:space="preserve">. Повышение квалификации специалистов, в должностные обязанности которых входит осуществление работы по профилактике </w:t>
      </w:r>
      <w:r>
        <w:rPr>
          <w:rFonts w:ascii="Times New Roman" w:hAnsi="Times New Roman"/>
          <w:sz w:val="28"/>
          <w:szCs w:val="28"/>
          <w:lang w:val="ru-RU"/>
        </w:rPr>
        <w:lastRenderedPageBreak/>
        <w:t>коррупционных и иных правонарушений,  проведение антикоррупционной политики, проводи</w:t>
      </w:r>
      <w:r w:rsidR="008E2860">
        <w:rPr>
          <w:rFonts w:ascii="Times New Roman" w:hAnsi="Times New Roman"/>
          <w:sz w:val="28"/>
          <w:szCs w:val="28"/>
          <w:lang w:val="ru-RU"/>
        </w:rPr>
        <w:t>лись в течение 2019 года</w:t>
      </w:r>
      <w:r>
        <w:rPr>
          <w:rFonts w:ascii="Times New Roman" w:hAnsi="Times New Roman"/>
          <w:sz w:val="28"/>
          <w:szCs w:val="28"/>
          <w:lang w:val="ru-RU"/>
        </w:rPr>
        <w:t xml:space="preserve"> на регулярной основе. </w:t>
      </w:r>
    </w:p>
    <w:p w:rsidR="000E53E2" w:rsidRDefault="000E53E2" w:rsidP="000E53E2">
      <w:pPr>
        <w:pStyle w:val="afa"/>
        <w:ind w:firstLine="708"/>
        <w:jc w:val="both"/>
        <w:rPr>
          <w:rFonts w:ascii="Times New Roman" w:hAnsi="Times New Roman"/>
          <w:sz w:val="28"/>
          <w:szCs w:val="28"/>
          <w:u w:val="single"/>
        </w:rPr>
      </w:pPr>
      <w:r>
        <w:rPr>
          <w:rFonts w:ascii="Times New Roman" w:hAnsi="Times New Roman"/>
          <w:sz w:val="28"/>
          <w:szCs w:val="28"/>
        </w:rPr>
        <w:t>12</w:t>
      </w:r>
      <w:r w:rsidR="00434256">
        <w:rPr>
          <w:rFonts w:ascii="Times New Roman" w:hAnsi="Times New Roman"/>
          <w:sz w:val="28"/>
          <w:szCs w:val="28"/>
        </w:rPr>
        <w:t>)</w:t>
      </w:r>
      <w:r>
        <w:rPr>
          <w:rFonts w:ascii="Times New Roman" w:hAnsi="Times New Roman"/>
          <w:sz w:val="28"/>
          <w:szCs w:val="28"/>
        </w:rPr>
        <w:t>. Мероприятия по  противодействию коррупции проводятся в Департаменте  в установленные сроки в соответствии с Программой «Противодействие коррупции в Новосибирской области на 2018-2020 годы», отчет о ходе выполнения мероприятий Программы за 2019 год в установленные сроки направлен в</w:t>
      </w:r>
      <w:r>
        <w:t xml:space="preserve"> </w:t>
      </w:r>
      <w:r>
        <w:rPr>
          <w:rFonts w:ascii="Times New Roman" w:hAnsi="Times New Roman"/>
          <w:sz w:val="28"/>
          <w:szCs w:val="28"/>
        </w:rPr>
        <w:t>департамент организации управления и государственной гражданской службы администрации Губернатора Новосибирской области и Правительства Новосибирской области.</w:t>
      </w:r>
    </w:p>
    <w:sectPr w:rsidR="000E53E2" w:rsidSect="00115789">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B03E4" w:rsidRDefault="00AB03E4" w:rsidP="002D099C">
      <w:pPr>
        <w:spacing w:after="0" w:line="240" w:lineRule="auto"/>
      </w:pPr>
      <w:r>
        <w:separator/>
      </w:r>
    </w:p>
  </w:endnote>
  <w:endnote w:type="continuationSeparator" w:id="0">
    <w:p w:rsidR="00AB03E4" w:rsidRDefault="00AB03E4" w:rsidP="002D099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Calibri">
    <w:panose1 w:val="020F0502020204030204"/>
    <w:charset w:val="CC"/>
    <w:family w:val="swiss"/>
    <w:pitch w:val="variable"/>
    <w:sig w:usb0="E4002EFF" w:usb1="C000247B" w:usb2="00000009" w:usb3="00000000" w:csb0="000001FF" w:csb1="00000000"/>
  </w:font>
  <w:font w:name="MS Mincho">
    <w:altName w:val="MS Gothic"/>
    <w:panose1 w:val="02020609040205080304"/>
    <w:charset w:val="80"/>
    <w:family w:val="roman"/>
    <w:notTrueType/>
    <w:pitch w:val="fixed"/>
    <w:sig w:usb0="00000000" w:usb1="08070000" w:usb2="00000010" w:usb3="00000000" w:csb0="00020000" w:csb1="00000000"/>
  </w:font>
  <w:font w:name="Cambria">
    <w:panose1 w:val="02040503050406030204"/>
    <w:charset w:val="CC"/>
    <w:family w:val="roman"/>
    <w:pitch w:val="variable"/>
    <w:sig w:usb0="E00006FF" w:usb1="420024FF" w:usb2="02000000" w:usb3="00000000" w:csb0="0000019F" w:csb1="00000000"/>
  </w:font>
  <w:font w:name="Tahoma">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00006FF" w:usb1="4000205B" w:usb2="00000010" w:usb3="00000000" w:csb0="0000019F" w:csb1="00000000"/>
  </w:font>
  <w:font w:name="Arial">
    <w:panose1 w:val="020B0604020202020204"/>
    <w:charset w:val="CC"/>
    <w:family w:val="swiss"/>
    <w:pitch w:val="variable"/>
    <w:sig w:usb0="E0002EFF" w:usb1="C000785B" w:usb2="00000009" w:usb3="00000000" w:csb0="000001FF" w:csb1="00000000"/>
  </w:font>
  <w:font w:name="Times New Roman CYR">
    <w:panose1 w:val="02020603050405020304"/>
    <w:charset w:val="CC"/>
    <w:family w:val="roman"/>
    <w:pitch w:val="variable"/>
    <w:sig w:usb0="E0002EFF" w:usb1="C000785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Mangal">
    <w:panose1 w:val="00000400000000000000"/>
    <w:charset w:val="01"/>
    <w:family w:val="roman"/>
    <w:notTrueType/>
    <w:pitch w:val="variable"/>
    <w:sig w:usb0="00002000" w:usb1="00000000" w:usb2="00000000" w:usb3="00000000" w:csb0="00000000" w:csb1="00000000"/>
  </w:font>
  <w:font w:name="Cambria Math">
    <w:panose1 w:val="02040503050406030204"/>
    <w:charset w:val="CC"/>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B03E4" w:rsidRDefault="00AB03E4" w:rsidP="002D099C">
      <w:pPr>
        <w:spacing w:after="0" w:line="240" w:lineRule="auto"/>
      </w:pPr>
      <w:r>
        <w:separator/>
      </w:r>
    </w:p>
  </w:footnote>
  <w:footnote w:type="continuationSeparator" w:id="0">
    <w:p w:rsidR="00AB03E4" w:rsidRDefault="00AB03E4" w:rsidP="002D099C">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380D45"/>
    <w:multiLevelType w:val="hybridMultilevel"/>
    <w:tmpl w:val="6244366A"/>
    <w:lvl w:ilvl="0" w:tplc="04190001">
      <w:start w:val="1"/>
      <w:numFmt w:val="bullet"/>
      <w:lvlText w:val=""/>
      <w:lvlJc w:val="left"/>
      <w:pPr>
        <w:tabs>
          <w:tab w:val="num" w:pos="1429"/>
        </w:tabs>
        <w:ind w:left="1429" w:hanging="360"/>
      </w:pPr>
      <w:rPr>
        <w:rFonts w:ascii="Symbol" w:hAnsi="Symbol" w:hint="default"/>
      </w:rPr>
    </w:lvl>
    <w:lvl w:ilvl="1" w:tplc="0419000F">
      <w:start w:val="1"/>
      <w:numFmt w:val="decimal"/>
      <w:lvlText w:val="%2."/>
      <w:lvlJc w:val="left"/>
      <w:pPr>
        <w:tabs>
          <w:tab w:val="num" w:pos="2149"/>
        </w:tabs>
        <w:ind w:left="2149" w:hanging="360"/>
      </w:pPr>
      <w:rPr>
        <w:rFonts w:cs="Times New Roman" w:hint="default"/>
      </w:rPr>
    </w:lvl>
    <w:lvl w:ilvl="2" w:tplc="04190005" w:tentative="1">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abstractNum w:abstractNumId="1">
    <w:nsid w:val="0746368D"/>
    <w:multiLevelType w:val="hybridMultilevel"/>
    <w:tmpl w:val="D98A37C8"/>
    <w:lvl w:ilvl="0" w:tplc="6378805C">
      <w:start w:val="1"/>
      <w:numFmt w:val="bullet"/>
      <w:lvlText w:val=""/>
      <w:lvlJc w:val="left"/>
      <w:pPr>
        <w:ind w:left="1070" w:hanging="360"/>
      </w:pPr>
      <w:rPr>
        <w:rFonts w:ascii="Symbol" w:hAnsi="Symbol" w:hint="default"/>
        <w:color w:val="auto"/>
      </w:rPr>
    </w:lvl>
    <w:lvl w:ilvl="1" w:tplc="04190003">
      <w:start w:val="1"/>
      <w:numFmt w:val="bullet"/>
      <w:lvlText w:val="o"/>
      <w:lvlJc w:val="left"/>
      <w:pPr>
        <w:ind w:left="2149" w:hanging="360"/>
      </w:pPr>
      <w:rPr>
        <w:rFonts w:ascii="Courier New" w:hAnsi="Courier New" w:cs="Courier New" w:hint="default"/>
      </w:rPr>
    </w:lvl>
    <w:lvl w:ilvl="2" w:tplc="04190005">
      <w:start w:val="1"/>
      <w:numFmt w:val="bullet"/>
      <w:lvlText w:val=""/>
      <w:lvlJc w:val="left"/>
      <w:pPr>
        <w:ind w:left="2869" w:hanging="360"/>
      </w:pPr>
      <w:rPr>
        <w:rFonts w:ascii="Wingdings" w:hAnsi="Wingdings" w:hint="default"/>
      </w:rPr>
    </w:lvl>
    <w:lvl w:ilvl="3" w:tplc="04190001">
      <w:start w:val="1"/>
      <w:numFmt w:val="bullet"/>
      <w:lvlText w:val=""/>
      <w:lvlJc w:val="left"/>
      <w:pPr>
        <w:ind w:left="3589" w:hanging="360"/>
      </w:pPr>
      <w:rPr>
        <w:rFonts w:ascii="Symbol" w:hAnsi="Symbol" w:hint="default"/>
      </w:rPr>
    </w:lvl>
    <w:lvl w:ilvl="4" w:tplc="04190003">
      <w:start w:val="1"/>
      <w:numFmt w:val="bullet"/>
      <w:lvlText w:val="o"/>
      <w:lvlJc w:val="left"/>
      <w:pPr>
        <w:ind w:left="4309" w:hanging="360"/>
      </w:pPr>
      <w:rPr>
        <w:rFonts w:ascii="Courier New" w:hAnsi="Courier New" w:cs="Courier New" w:hint="default"/>
      </w:rPr>
    </w:lvl>
    <w:lvl w:ilvl="5" w:tplc="04190005">
      <w:start w:val="1"/>
      <w:numFmt w:val="bullet"/>
      <w:lvlText w:val=""/>
      <w:lvlJc w:val="left"/>
      <w:pPr>
        <w:ind w:left="5029" w:hanging="360"/>
      </w:pPr>
      <w:rPr>
        <w:rFonts w:ascii="Wingdings" w:hAnsi="Wingdings" w:hint="default"/>
      </w:rPr>
    </w:lvl>
    <w:lvl w:ilvl="6" w:tplc="04190001">
      <w:start w:val="1"/>
      <w:numFmt w:val="bullet"/>
      <w:lvlText w:val=""/>
      <w:lvlJc w:val="left"/>
      <w:pPr>
        <w:ind w:left="5749" w:hanging="360"/>
      </w:pPr>
      <w:rPr>
        <w:rFonts w:ascii="Symbol" w:hAnsi="Symbol" w:hint="default"/>
      </w:rPr>
    </w:lvl>
    <w:lvl w:ilvl="7" w:tplc="04190003">
      <w:start w:val="1"/>
      <w:numFmt w:val="bullet"/>
      <w:lvlText w:val="o"/>
      <w:lvlJc w:val="left"/>
      <w:pPr>
        <w:ind w:left="6469" w:hanging="360"/>
      </w:pPr>
      <w:rPr>
        <w:rFonts w:ascii="Courier New" w:hAnsi="Courier New" w:cs="Courier New" w:hint="default"/>
      </w:rPr>
    </w:lvl>
    <w:lvl w:ilvl="8" w:tplc="04190005">
      <w:start w:val="1"/>
      <w:numFmt w:val="bullet"/>
      <w:lvlText w:val=""/>
      <w:lvlJc w:val="left"/>
      <w:pPr>
        <w:ind w:left="7189" w:hanging="360"/>
      </w:pPr>
      <w:rPr>
        <w:rFonts w:ascii="Wingdings" w:hAnsi="Wingdings" w:hint="default"/>
      </w:rPr>
    </w:lvl>
  </w:abstractNum>
  <w:abstractNum w:abstractNumId="2">
    <w:nsid w:val="0839203E"/>
    <w:multiLevelType w:val="hybridMultilevel"/>
    <w:tmpl w:val="CF046636"/>
    <w:lvl w:ilvl="0" w:tplc="E1062E90">
      <w:start w:val="1"/>
      <w:numFmt w:val="bullet"/>
      <w:lvlText w:val=""/>
      <w:lvlJc w:val="left"/>
      <w:pPr>
        <w:tabs>
          <w:tab w:val="num" w:pos="900"/>
        </w:tabs>
        <w:ind w:left="900" w:hanging="360"/>
      </w:pPr>
      <w:rPr>
        <w:rFonts w:ascii="Symbol" w:hAnsi="Symbol" w:hint="default"/>
        <w:color w:val="auto"/>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3">
    <w:nsid w:val="088C2112"/>
    <w:multiLevelType w:val="multilevel"/>
    <w:tmpl w:val="C2DAC082"/>
    <w:lvl w:ilvl="0">
      <w:start w:val="2"/>
      <w:numFmt w:val="decimal"/>
      <w:lvlText w:val="%1."/>
      <w:lvlJc w:val="left"/>
      <w:pPr>
        <w:ind w:left="720" w:hanging="720"/>
      </w:pPr>
      <w:rPr>
        <w:rFonts w:hint="default"/>
      </w:rPr>
    </w:lvl>
    <w:lvl w:ilvl="1">
      <w:start w:val="5"/>
      <w:numFmt w:val="decimal"/>
      <w:lvlText w:val="%1.%2."/>
      <w:lvlJc w:val="left"/>
      <w:pPr>
        <w:ind w:left="1288" w:hanging="720"/>
      </w:pPr>
      <w:rPr>
        <w:rFonts w:hint="default"/>
      </w:rPr>
    </w:lvl>
    <w:lvl w:ilvl="2">
      <w:start w:val="2"/>
      <w:numFmt w:val="decimal"/>
      <w:lvlText w:val="%1.%2.%3."/>
      <w:lvlJc w:val="left"/>
      <w:pPr>
        <w:ind w:left="1146" w:hanging="720"/>
      </w:pPr>
      <w:rPr>
        <w:rFonts w:hint="default"/>
      </w:rPr>
    </w:lvl>
    <w:lvl w:ilvl="3">
      <w:start w:val="1"/>
      <w:numFmt w:val="decimal"/>
      <w:lvlText w:val="%1.%2.%3.%4."/>
      <w:lvlJc w:val="left"/>
      <w:pPr>
        <w:ind w:left="1719" w:hanging="1080"/>
      </w:pPr>
      <w:rPr>
        <w:rFonts w:hint="default"/>
      </w:rPr>
    </w:lvl>
    <w:lvl w:ilvl="4">
      <w:start w:val="1"/>
      <w:numFmt w:val="decimal"/>
      <w:lvlText w:val="%1.%2.%3.%4.%5."/>
      <w:lvlJc w:val="left"/>
      <w:pPr>
        <w:ind w:left="2292" w:hanging="1440"/>
      </w:pPr>
      <w:rPr>
        <w:rFonts w:hint="default"/>
      </w:rPr>
    </w:lvl>
    <w:lvl w:ilvl="5">
      <w:start w:val="1"/>
      <w:numFmt w:val="decimal"/>
      <w:lvlText w:val="%1.%2.%3.%4.%5.%6."/>
      <w:lvlJc w:val="left"/>
      <w:pPr>
        <w:ind w:left="2505" w:hanging="1440"/>
      </w:pPr>
      <w:rPr>
        <w:rFonts w:hint="default"/>
      </w:rPr>
    </w:lvl>
    <w:lvl w:ilvl="6">
      <w:start w:val="1"/>
      <w:numFmt w:val="decimal"/>
      <w:lvlText w:val="%1.%2.%3.%4.%5.%6.%7."/>
      <w:lvlJc w:val="left"/>
      <w:pPr>
        <w:ind w:left="3078" w:hanging="1800"/>
      </w:pPr>
      <w:rPr>
        <w:rFonts w:hint="default"/>
      </w:rPr>
    </w:lvl>
    <w:lvl w:ilvl="7">
      <w:start w:val="1"/>
      <w:numFmt w:val="decimal"/>
      <w:lvlText w:val="%1.%2.%3.%4.%5.%6.%7.%8."/>
      <w:lvlJc w:val="left"/>
      <w:pPr>
        <w:ind w:left="3651" w:hanging="2160"/>
      </w:pPr>
      <w:rPr>
        <w:rFonts w:hint="default"/>
      </w:rPr>
    </w:lvl>
    <w:lvl w:ilvl="8">
      <w:start w:val="1"/>
      <w:numFmt w:val="decimal"/>
      <w:lvlText w:val="%1.%2.%3.%4.%5.%6.%7.%8.%9."/>
      <w:lvlJc w:val="left"/>
      <w:pPr>
        <w:ind w:left="3864" w:hanging="2160"/>
      </w:pPr>
      <w:rPr>
        <w:rFonts w:hint="default"/>
      </w:rPr>
    </w:lvl>
  </w:abstractNum>
  <w:abstractNum w:abstractNumId="4">
    <w:nsid w:val="12713B91"/>
    <w:multiLevelType w:val="hybridMultilevel"/>
    <w:tmpl w:val="2A3829B2"/>
    <w:lvl w:ilvl="0" w:tplc="04190001">
      <w:start w:val="1"/>
      <w:numFmt w:val="bullet"/>
      <w:lvlText w:val=""/>
      <w:lvlJc w:val="left"/>
      <w:pPr>
        <w:tabs>
          <w:tab w:val="num" w:pos="1070"/>
        </w:tabs>
        <w:ind w:left="1070" w:hanging="360"/>
      </w:pPr>
      <w:rPr>
        <w:rFonts w:ascii="Symbol" w:hAnsi="Symbol" w:hint="default"/>
      </w:rPr>
    </w:lvl>
    <w:lvl w:ilvl="1" w:tplc="04190003" w:tentative="1">
      <w:start w:val="1"/>
      <w:numFmt w:val="bullet"/>
      <w:lvlText w:val="o"/>
      <w:lvlJc w:val="left"/>
      <w:pPr>
        <w:tabs>
          <w:tab w:val="num" w:pos="2220"/>
        </w:tabs>
        <w:ind w:left="2220" w:hanging="360"/>
      </w:pPr>
      <w:rPr>
        <w:rFonts w:ascii="Courier New" w:hAnsi="Courier New" w:hint="default"/>
      </w:rPr>
    </w:lvl>
    <w:lvl w:ilvl="2" w:tplc="04190005" w:tentative="1">
      <w:start w:val="1"/>
      <w:numFmt w:val="bullet"/>
      <w:lvlText w:val=""/>
      <w:lvlJc w:val="left"/>
      <w:pPr>
        <w:tabs>
          <w:tab w:val="num" w:pos="2940"/>
        </w:tabs>
        <w:ind w:left="2940" w:hanging="360"/>
      </w:pPr>
      <w:rPr>
        <w:rFonts w:ascii="Wingdings" w:hAnsi="Wingdings" w:hint="default"/>
      </w:rPr>
    </w:lvl>
    <w:lvl w:ilvl="3" w:tplc="04190001" w:tentative="1">
      <w:start w:val="1"/>
      <w:numFmt w:val="bullet"/>
      <w:lvlText w:val=""/>
      <w:lvlJc w:val="left"/>
      <w:pPr>
        <w:tabs>
          <w:tab w:val="num" w:pos="3660"/>
        </w:tabs>
        <w:ind w:left="3660" w:hanging="360"/>
      </w:pPr>
      <w:rPr>
        <w:rFonts w:ascii="Symbol" w:hAnsi="Symbol" w:hint="default"/>
      </w:rPr>
    </w:lvl>
    <w:lvl w:ilvl="4" w:tplc="04190003" w:tentative="1">
      <w:start w:val="1"/>
      <w:numFmt w:val="bullet"/>
      <w:lvlText w:val="o"/>
      <w:lvlJc w:val="left"/>
      <w:pPr>
        <w:tabs>
          <w:tab w:val="num" w:pos="4380"/>
        </w:tabs>
        <w:ind w:left="4380" w:hanging="360"/>
      </w:pPr>
      <w:rPr>
        <w:rFonts w:ascii="Courier New" w:hAnsi="Courier New" w:hint="default"/>
      </w:rPr>
    </w:lvl>
    <w:lvl w:ilvl="5" w:tplc="04190005" w:tentative="1">
      <w:start w:val="1"/>
      <w:numFmt w:val="bullet"/>
      <w:lvlText w:val=""/>
      <w:lvlJc w:val="left"/>
      <w:pPr>
        <w:tabs>
          <w:tab w:val="num" w:pos="5100"/>
        </w:tabs>
        <w:ind w:left="5100" w:hanging="360"/>
      </w:pPr>
      <w:rPr>
        <w:rFonts w:ascii="Wingdings" w:hAnsi="Wingdings" w:hint="default"/>
      </w:rPr>
    </w:lvl>
    <w:lvl w:ilvl="6" w:tplc="04190001" w:tentative="1">
      <w:start w:val="1"/>
      <w:numFmt w:val="bullet"/>
      <w:lvlText w:val=""/>
      <w:lvlJc w:val="left"/>
      <w:pPr>
        <w:tabs>
          <w:tab w:val="num" w:pos="5820"/>
        </w:tabs>
        <w:ind w:left="5820" w:hanging="360"/>
      </w:pPr>
      <w:rPr>
        <w:rFonts w:ascii="Symbol" w:hAnsi="Symbol" w:hint="default"/>
      </w:rPr>
    </w:lvl>
    <w:lvl w:ilvl="7" w:tplc="04190003" w:tentative="1">
      <w:start w:val="1"/>
      <w:numFmt w:val="bullet"/>
      <w:lvlText w:val="o"/>
      <w:lvlJc w:val="left"/>
      <w:pPr>
        <w:tabs>
          <w:tab w:val="num" w:pos="6540"/>
        </w:tabs>
        <w:ind w:left="6540" w:hanging="360"/>
      </w:pPr>
      <w:rPr>
        <w:rFonts w:ascii="Courier New" w:hAnsi="Courier New" w:hint="default"/>
      </w:rPr>
    </w:lvl>
    <w:lvl w:ilvl="8" w:tplc="04190005" w:tentative="1">
      <w:start w:val="1"/>
      <w:numFmt w:val="bullet"/>
      <w:lvlText w:val=""/>
      <w:lvlJc w:val="left"/>
      <w:pPr>
        <w:tabs>
          <w:tab w:val="num" w:pos="7260"/>
        </w:tabs>
        <w:ind w:left="7260" w:hanging="360"/>
      </w:pPr>
      <w:rPr>
        <w:rFonts w:ascii="Wingdings" w:hAnsi="Wingdings" w:hint="default"/>
      </w:rPr>
    </w:lvl>
  </w:abstractNum>
  <w:abstractNum w:abstractNumId="5">
    <w:nsid w:val="2BC84960"/>
    <w:multiLevelType w:val="multilevel"/>
    <w:tmpl w:val="8AF42B4A"/>
    <w:lvl w:ilvl="0">
      <w:start w:val="2"/>
      <w:numFmt w:val="decimal"/>
      <w:lvlText w:val="%1."/>
      <w:lvlJc w:val="left"/>
      <w:pPr>
        <w:ind w:left="675" w:hanging="675"/>
      </w:pPr>
      <w:rPr>
        <w:b/>
        <w:i/>
      </w:rPr>
    </w:lvl>
    <w:lvl w:ilvl="1">
      <w:start w:val="3"/>
      <w:numFmt w:val="decimal"/>
      <w:lvlText w:val="%1.%2."/>
      <w:lvlJc w:val="left"/>
      <w:pPr>
        <w:ind w:left="1288" w:hanging="720"/>
      </w:pPr>
      <w:rPr>
        <w:b/>
        <w:i w:val="0"/>
      </w:rPr>
    </w:lvl>
    <w:lvl w:ilvl="2">
      <w:start w:val="1"/>
      <w:numFmt w:val="decimal"/>
      <w:lvlText w:val="%1.%2.%3."/>
      <w:lvlJc w:val="left"/>
      <w:pPr>
        <w:ind w:left="720" w:hanging="720"/>
      </w:pPr>
      <w:rPr>
        <w:b/>
        <w:i/>
      </w:rPr>
    </w:lvl>
    <w:lvl w:ilvl="3">
      <w:start w:val="1"/>
      <w:numFmt w:val="decimal"/>
      <w:lvlText w:val="%1.%2.%3.%4."/>
      <w:lvlJc w:val="left"/>
      <w:pPr>
        <w:ind w:left="1080" w:hanging="1080"/>
      </w:pPr>
      <w:rPr>
        <w:b/>
        <w:i/>
      </w:rPr>
    </w:lvl>
    <w:lvl w:ilvl="4">
      <w:start w:val="1"/>
      <w:numFmt w:val="decimal"/>
      <w:lvlText w:val="%1.%2.%3.%4.%5."/>
      <w:lvlJc w:val="left"/>
      <w:pPr>
        <w:ind w:left="1080" w:hanging="1080"/>
      </w:pPr>
      <w:rPr>
        <w:b/>
        <w:i/>
      </w:rPr>
    </w:lvl>
    <w:lvl w:ilvl="5">
      <w:start w:val="1"/>
      <w:numFmt w:val="decimal"/>
      <w:lvlText w:val="%1.%2.%3.%4.%5.%6."/>
      <w:lvlJc w:val="left"/>
      <w:pPr>
        <w:ind w:left="1440" w:hanging="1440"/>
      </w:pPr>
      <w:rPr>
        <w:b/>
        <w:i/>
      </w:rPr>
    </w:lvl>
    <w:lvl w:ilvl="6">
      <w:start w:val="1"/>
      <w:numFmt w:val="decimal"/>
      <w:lvlText w:val="%1.%2.%3.%4.%5.%6.%7."/>
      <w:lvlJc w:val="left"/>
      <w:pPr>
        <w:ind w:left="1800" w:hanging="1800"/>
      </w:pPr>
      <w:rPr>
        <w:b/>
        <w:i/>
      </w:rPr>
    </w:lvl>
    <w:lvl w:ilvl="7">
      <w:start w:val="1"/>
      <w:numFmt w:val="decimal"/>
      <w:lvlText w:val="%1.%2.%3.%4.%5.%6.%7.%8."/>
      <w:lvlJc w:val="left"/>
      <w:pPr>
        <w:ind w:left="1800" w:hanging="1800"/>
      </w:pPr>
      <w:rPr>
        <w:b/>
        <w:i/>
      </w:rPr>
    </w:lvl>
    <w:lvl w:ilvl="8">
      <w:start w:val="1"/>
      <w:numFmt w:val="decimal"/>
      <w:lvlText w:val="%1.%2.%3.%4.%5.%6.%7.%8.%9."/>
      <w:lvlJc w:val="left"/>
      <w:pPr>
        <w:ind w:left="2160" w:hanging="2160"/>
      </w:pPr>
      <w:rPr>
        <w:b/>
        <w:i/>
      </w:rPr>
    </w:lvl>
  </w:abstractNum>
  <w:abstractNum w:abstractNumId="6">
    <w:nsid w:val="32535E6C"/>
    <w:multiLevelType w:val="hybridMultilevel"/>
    <w:tmpl w:val="5AF87488"/>
    <w:lvl w:ilvl="0" w:tplc="04190001">
      <w:start w:val="1"/>
      <w:numFmt w:val="bullet"/>
      <w:lvlText w:val=""/>
      <w:lvlJc w:val="left"/>
      <w:pPr>
        <w:ind w:left="1429" w:hanging="360"/>
      </w:pPr>
      <w:rPr>
        <w:rFonts w:ascii="Symbol" w:hAnsi="Symbol" w:hint="default"/>
      </w:rPr>
    </w:lvl>
    <w:lvl w:ilvl="1" w:tplc="04190003">
      <w:start w:val="1"/>
      <w:numFmt w:val="bullet"/>
      <w:lvlText w:val="o"/>
      <w:lvlJc w:val="left"/>
      <w:pPr>
        <w:ind w:left="2149" w:hanging="360"/>
      </w:pPr>
      <w:rPr>
        <w:rFonts w:ascii="Courier New" w:hAnsi="Courier New" w:cs="Courier New" w:hint="default"/>
      </w:rPr>
    </w:lvl>
    <w:lvl w:ilvl="2" w:tplc="04190005">
      <w:start w:val="1"/>
      <w:numFmt w:val="bullet"/>
      <w:lvlText w:val=""/>
      <w:lvlJc w:val="left"/>
      <w:pPr>
        <w:ind w:left="2869" w:hanging="360"/>
      </w:pPr>
      <w:rPr>
        <w:rFonts w:ascii="Wingdings" w:hAnsi="Wingdings" w:hint="default"/>
      </w:rPr>
    </w:lvl>
    <w:lvl w:ilvl="3" w:tplc="04190001">
      <w:start w:val="1"/>
      <w:numFmt w:val="bullet"/>
      <w:lvlText w:val=""/>
      <w:lvlJc w:val="left"/>
      <w:pPr>
        <w:ind w:left="3589" w:hanging="360"/>
      </w:pPr>
      <w:rPr>
        <w:rFonts w:ascii="Symbol" w:hAnsi="Symbol" w:hint="default"/>
      </w:rPr>
    </w:lvl>
    <w:lvl w:ilvl="4" w:tplc="04190003">
      <w:start w:val="1"/>
      <w:numFmt w:val="bullet"/>
      <w:lvlText w:val="o"/>
      <w:lvlJc w:val="left"/>
      <w:pPr>
        <w:ind w:left="4309" w:hanging="360"/>
      </w:pPr>
      <w:rPr>
        <w:rFonts w:ascii="Courier New" w:hAnsi="Courier New" w:cs="Courier New" w:hint="default"/>
      </w:rPr>
    </w:lvl>
    <w:lvl w:ilvl="5" w:tplc="04190005">
      <w:start w:val="1"/>
      <w:numFmt w:val="bullet"/>
      <w:lvlText w:val=""/>
      <w:lvlJc w:val="left"/>
      <w:pPr>
        <w:ind w:left="5029" w:hanging="360"/>
      </w:pPr>
      <w:rPr>
        <w:rFonts w:ascii="Wingdings" w:hAnsi="Wingdings" w:hint="default"/>
      </w:rPr>
    </w:lvl>
    <w:lvl w:ilvl="6" w:tplc="04190001">
      <w:start w:val="1"/>
      <w:numFmt w:val="bullet"/>
      <w:lvlText w:val=""/>
      <w:lvlJc w:val="left"/>
      <w:pPr>
        <w:ind w:left="5749" w:hanging="360"/>
      </w:pPr>
      <w:rPr>
        <w:rFonts w:ascii="Symbol" w:hAnsi="Symbol" w:hint="default"/>
      </w:rPr>
    </w:lvl>
    <w:lvl w:ilvl="7" w:tplc="04190003">
      <w:start w:val="1"/>
      <w:numFmt w:val="bullet"/>
      <w:lvlText w:val="o"/>
      <w:lvlJc w:val="left"/>
      <w:pPr>
        <w:ind w:left="6469" w:hanging="360"/>
      </w:pPr>
      <w:rPr>
        <w:rFonts w:ascii="Courier New" w:hAnsi="Courier New" w:cs="Courier New" w:hint="default"/>
      </w:rPr>
    </w:lvl>
    <w:lvl w:ilvl="8" w:tplc="04190005">
      <w:start w:val="1"/>
      <w:numFmt w:val="bullet"/>
      <w:lvlText w:val=""/>
      <w:lvlJc w:val="left"/>
      <w:pPr>
        <w:ind w:left="7189" w:hanging="360"/>
      </w:pPr>
      <w:rPr>
        <w:rFonts w:ascii="Wingdings" w:hAnsi="Wingdings" w:hint="default"/>
      </w:rPr>
    </w:lvl>
  </w:abstractNum>
  <w:abstractNum w:abstractNumId="7">
    <w:nsid w:val="34AD16E3"/>
    <w:multiLevelType w:val="hybridMultilevel"/>
    <w:tmpl w:val="C55049A6"/>
    <w:lvl w:ilvl="0" w:tplc="04190001">
      <w:start w:val="1"/>
      <w:numFmt w:val="bullet"/>
      <w:lvlText w:val=""/>
      <w:lvlJc w:val="left"/>
      <w:pPr>
        <w:ind w:left="1260" w:hanging="360"/>
      </w:pPr>
      <w:rPr>
        <w:rFonts w:ascii="Symbol" w:hAnsi="Symbol" w:hint="default"/>
      </w:rPr>
    </w:lvl>
    <w:lvl w:ilvl="1" w:tplc="04190003" w:tentative="1">
      <w:start w:val="1"/>
      <w:numFmt w:val="bullet"/>
      <w:lvlText w:val="o"/>
      <w:lvlJc w:val="left"/>
      <w:pPr>
        <w:ind w:left="1980" w:hanging="360"/>
      </w:pPr>
      <w:rPr>
        <w:rFonts w:ascii="Courier New" w:hAnsi="Courier New" w:cs="Courier New" w:hint="default"/>
      </w:rPr>
    </w:lvl>
    <w:lvl w:ilvl="2" w:tplc="D02013D4">
      <w:start w:val="1"/>
      <w:numFmt w:val="bullet"/>
      <w:lvlText w:val=""/>
      <w:lvlJc w:val="left"/>
      <w:pPr>
        <w:ind w:left="2700" w:hanging="360"/>
      </w:pPr>
      <w:rPr>
        <w:rFonts w:ascii="Wingdings" w:hAnsi="Wingdings" w:hint="default"/>
      </w:rPr>
    </w:lvl>
    <w:lvl w:ilvl="3" w:tplc="04190001" w:tentative="1">
      <w:start w:val="1"/>
      <w:numFmt w:val="bullet"/>
      <w:lvlText w:val=""/>
      <w:lvlJc w:val="left"/>
      <w:pPr>
        <w:ind w:left="3420" w:hanging="360"/>
      </w:pPr>
      <w:rPr>
        <w:rFonts w:ascii="Symbol" w:hAnsi="Symbol" w:hint="default"/>
      </w:rPr>
    </w:lvl>
    <w:lvl w:ilvl="4" w:tplc="04190003" w:tentative="1">
      <w:start w:val="1"/>
      <w:numFmt w:val="bullet"/>
      <w:lvlText w:val="o"/>
      <w:lvlJc w:val="left"/>
      <w:pPr>
        <w:ind w:left="4140" w:hanging="360"/>
      </w:pPr>
      <w:rPr>
        <w:rFonts w:ascii="Courier New" w:hAnsi="Courier New" w:cs="Courier New" w:hint="default"/>
      </w:rPr>
    </w:lvl>
    <w:lvl w:ilvl="5" w:tplc="04190005" w:tentative="1">
      <w:start w:val="1"/>
      <w:numFmt w:val="bullet"/>
      <w:lvlText w:val=""/>
      <w:lvlJc w:val="left"/>
      <w:pPr>
        <w:ind w:left="4860" w:hanging="360"/>
      </w:pPr>
      <w:rPr>
        <w:rFonts w:ascii="Wingdings" w:hAnsi="Wingdings" w:hint="default"/>
      </w:rPr>
    </w:lvl>
    <w:lvl w:ilvl="6" w:tplc="04190001" w:tentative="1">
      <w:start w:val="1"/>
      <w:numFmt w:val="bullet"/>
      <w:lvlText w:val=""/>
      <w:lvlJc w:val="left"/>
      <w:pPr>
        <w:ind w:left="5580" w:hanging="360"/>
      </w:pPr>
      <w:rPr>
        <w:rFonts w:ascii="Symbol" w:hAnsi="Symbol" w:hint="default"/>
      </w:rPr>
    </w:lvl>
    <w:lvl w:ilvl="7" w:tplc="04190003" w:tentative="1">
      <w:start w:val="1"/>
      <w:numFmt w:val="bullet"/>
      <w:lvlText w:val="o"/>
      <w:lvlJc w:val="left"/>
      <w:pPr>
        <w:ind w:left="6300" w:hanging="360"/>
      </w:pPr>
      <w:rPr>
        <w:rFonts w:ascii="Courier New" w:hAnsi="Courier New" w:cs="Courier New" w:hint="default"/>
      </w:rPr>
    </w:lvl>
    <w:lvl w:ilvl="8" w:tplc="04190005" w:tentative="1">
      <w:start w:val="1"/>
      <w:numFmt w:val="bullet"/>
      <w:lvlText w:val=""/>
      <w:lvlJc w:val="left"/>
      <w:pPr>
        <w:ind w:left="7020" w:hanging="360"/>
      </w:pPr>
      <w:rPr>
        <w:rFonts w:ascii="Wingdings" w:hAnsi="Wingdings" w:hint="default"/>
      </w:rPr>
    </w:lvl>
  </w:abstractNum>
  <w:abstractNum w:abstractNumId="8">
    <w:nsid w:val="377073AC"/>
    <w:multiLevelType w:val="hybridMultilevel"/>
    <w:tmpl w:val="C57CCFFE"/>
    <w:lvl w:ilvl="0" w:tplc="0419000B">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9">
    <w:nsid w:val="3D9D0030"/>
    <w:multiLevelType w:val="hybridMultilevel"/>
    <w:tmpl w:val="0340E9B2"/>
    <w:lvl w:ilvl="0" w:tplc="04190011">
      <w:start w:val="1"/>
      <w:numFmt w:val="decimal"/>
      <w:lvlText w:val="%1)"/>
      <w:lvlJc w:val="left"/>
      <w:pPr>
        <w:ind w:left="720" w:hanging="360"/>
      </w:pPr>
      <w:rPr>
        <w:rFonts w:cs="Times New Roman"/>
      </w:rPr>
    </w:lvl>
    <w:lvl w:ilvl="1" w:tplc="04190019">
      <w:start w:val="1"/>
      <w:numFmt w:val="decimal"/>
      <w:lvlText w:val="%2."/>
      <w:lvlJc w:val="left"/>
      <w:pPr>
        <w:tabs>
          <w:tab w:val="num" w:pos="1440"/>
        </w:tabs>
        <w:ind w:left="1440" w:hanging="360"/>
      </w:pPr>
      <w:rPr>
        <w:rFonts w:cs="Times New Roman"/>
      </w:rPr>
    </w:lvl>
    <w:lvl w:ilvl="2" w:tplc="0419001B">
      <w:start w:val="1"/>
      <w:numFmt w:val="decimal"/>
      <w:lvlText w:val="%3."/>
      <w:lvlJc w:val="left"/>
      <w:pPr>
        <w:tabs>
          <w:tab w:val="num" w:pos="2160"/>
        </w:tabs>
        <w:ind w:left="2160" w:hanging="36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decimal"/>
      <w:lvlText w:val="%5."/>
      <w:lvlJc w:val="left"/>
      <w:pPr>
        <w:tabs>
          <w:tab w:val="num" w:pos="3600"/>
        </w:tabs>
        <w:ind w:left="3600" w:hanging="360"/>
      </w:pPr>
      <w:rPr>
        <w:rFonts w:cs="Times New Roman"/>
      </w:rPr>
    </w:lvl>
    <w:lvl w:ilvl="5" w:tplc="0419001B">
      <w:start w:val="1"/>
      <w:numFmt w:val="decimal"/>
      <w:lvlText w:val="%6."/>
      <w:lvlJc w:val="left"/>
      <w:pPr>
        <w:tabs>
          <w:tab w:val="num" w:pos="4320"/>
        </w:tabs>
        <w:ind w:left="4320" w:hanging="36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decimal"/>
      <w:lvlText w:val="%8."/>
      <w:lvlJc w:val="left"/>
      <w:pPr>
        <w:tabs>
          <w:tab w:val="num" w:pos="5760"/>
        </w:tabs>
        <w:ind w:left="5760" w:hanging="360"/>
      </w:pPr>
      <w:rPr>
        <w:rFonts w:cs="Times New Roman"/>
      </w:rPr>
    </w:lvl>
    <w:lvl w:ilvl="8" w:tplc="0419001B">
      <w:start w:val="1"/>
      <w:numFmt w:val="decimal"/>
      <w:lvlText w:val="%9."/>
      <w:lvlJc w:val="left"/>
      <w:pPr>
        <w:tabs>
          <w:tab w:val="num" w:pos="6480"/>
        </w:tabs>
        <w:ind w:left="6480" w:hanging="360"/>
      </w:pPr>
      <w:rPr>
        <w:rFonts w:cs="Times New Roman"/>
      </w:rPr>
    </w:lvl>
  </w:abstractNum>
  <w:abstractNum w:abstractNumId="10">
    <w:nsid w:val="417E4888"/>
    <w:multiLevelType w:val="hybridMultilevel"/>
    <w:tmpl w:val="4CDACD10"/>
    <w:lvl w:ilvl="0" w:tplc="04190011">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1">
    <w:nsid w:val="46F2682C"/>
    <w:multiLevelType w:val="hybridMultilevel"/>
    <w:tmpl w:val="4DB801E8"/>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12">
    <w:nsid w:val="49824408"/>
    <w:multiLevelType w:val="hybridMultilevel"/>
    <w:tmpl w:val="35C4276A"/>
    <w:lvl w:ilvl="0" w:tplc="0419000B">
      <w:start w:val="1"/>
      <w:numFmt w:val="bullet"/>
      <w:lvlText w:val=""/>
      <w:lvlJc w:val="left"/>
      <w:pPr>
        <w:ind w:left="1429" w:hanging="360"/>
      </w:pPr>
      <w:rPr>
        <w:rFonts w:ascii="Wingdings" w:hAnsi="Wingdings"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3">
    <w:nsid w:val="62CD3172"/>
    <w:multiLevelType w:val="hybridMultilevel"/>
    <w:tmpl w:val="18D6196E"/>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14">
    <w:nsid w:val="635C0EBB"/>
    <w:multiLevelType w:val="hybridMultilevel"/>
    <w:tmpl w:val="79F4F206"/>
    <w:lvl w:ilvl="0" w:tplc="0419000B">
      <w:start w:val="1"/>
      <w:numFmt w:val="bullet"/>
      <w:lvlText w:val=""/>
      <w:lvlJc w:val="left"/>
      <w:pPr>
        <w:ind w:left="1429" w:hanging="360"/>
      </w:pPr>
      <w:rPr>
        <w:rFonts w:ascii="Wingdings" w:hAnsi="Wingdings"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5">
    <w:nsid w:val="65110C45"/>
    <w:multiLevelType w:val="hybridMultilevel"/>
    <w:tmpl w:val="D8DC10B0"/>
    <w:lvl w:ilvl="0" w:tplc="9092D466">
      <w:start w:val="1"/>
      <w:numFmt w:val="decimal"/>
      <w:lvlText w:val="%1."/>
      <w:lvlJc w:val="left"/>
      <w:pPr>
        <w:ind w:left="1068" w:hanging="360"/>
      </w:pPr>
    </w:lvl>
    <w:lvl w:ilvl="1" w:tplc="04190019">
      <w:start w:val="1"/>
      <w:numFmt w:val="lowerLetter"/>
      <w:lvlText w:val="%2."/>
      <w:lvlJc w:val="left"/>
      <w:pPr>
        <w:ind w:left="1647" w:hanging="360"/>
      </w:pPr>
    </w:lvl>
    <w:lvl w:ilvl="2" w:tplc="0419001B">
      <w:start w:val="1"/>
      <w:numFmt w:val="lowerRoman"/>
      <w:lvlText w:val="%3."/>
      <w:lvlJc w:val="right"/>
      <w:pPr>
        <w:ind w:left="2367" w:hanging="180"/>
      </w:pPr>
    </w:lvl>
    <w:lvl w:ilvl="3" w:tplc="0419000F">
      <w:start w:val="1"/>
      <w:numFmt w:val="decimal"/>
      <w:lvlText w:val="%4."/>
      <w:lvlJc w:val="left"/>
      <w:pPr>
        <w:ind w:left="3087" w:hanging="360"/>
      </w:pPr>
    </w:lvl>
    <w:lvl w:ilvl="4" w:tplc="04190019">
      <w:start w:val="1"/>
      <w:numFmt w:val="lowerLetter"/>
      <w:lvlText w:val="%5."/>
      <w:lvlJc w:val="left"/>
      <w:pPr>
        <w:ind w:left="3807" w:hanging="360"/>
      </w:pPr>
    </w:lvl>
    <w:lvl w:ilvl="5" w:tplc="0419001B">
      <w:start w:val="1"/>
      <w:numFmt w:val="lowerRoman"/>
      <w:lvlText w:val="%6."/>
      <w:lvlJc w:val="right"/>
      <w:pPr>
        <w:ind w:left="4527" w:hanging="180"/>
      </w:pPr>
    </w:lvl>
    <w:lvl w:ilvl="6" w:tplc="0419000F">
      <w:start w:val="1"/>
      <w:numFmt w:val="decimal"/>
      <w:lvlText w:val="%7."/>
      <w:lvlJc w:val="left"/>
      <w:pPr>
        <w:ind w:left="5247" w:hanging="360"/>
      </w:pPr>
    </w:lvl>
    <w:lvl w:ilvl="7" w:tplc="04190019">
      <w:start w:val="1"/>
      <w:numFmt w:val="lowerLetter"/>
      <w:lvlText w:val="%8."/>
      <w:lvlJc w:val="left"/>
      <w:pPr>
        <w:ind w:left="5967" w:hanging="360"/>
      </w:pPr>
    </w:lvl>
    <w:lvl w:ilvl="8" w:tplc="0419001B">
      <w:start w:val="1"/>
      <w:numFmt w:val="lowerRoman"/>
      <w:lvlText w:val="%9."/>
      <w:lvlJc w:val="right"/>
      <w:pPr>
        <w:ind w:left="6687" w:hanging="180"/>
      </w:pPr>
    </w:lvl>
  </w:abstractNum>
  <w:abstractNum w:abstractNumId="16">
    <w:nsid w:val="6D2576CF"/>
    <w:multiLevelType w:val="multilevel"/>
    <w:tmpl w:val="807A3DAE"/>
    <w:lvl w:ilvl="0">
      <w:start w:val="2"/>
      <w:numFmt w:val="decimal"/>
      <w:lvlText w:val="%1."/>
      <w:lvlJc w:val="left"/>
      <w:pPr>
        <w:ind w:left="480" w:hanging="480"/>
      </w:pPr>
      <w:rPr>
        <w:rFonts w:hint="default"/>
      </w:rPr>
    </w:lvl>
    <w:lvl w:ilvl="1">
      <w:start w:val="5"/>
      <w:numFmt w:val="decimal"/>
      <w:lvlText w:val="%1.%2."/>
      <w:lvlJc w:val="left"/>
      <w:pPr>
        <w:ind w:left="2008" w:hanging="720"/>
      </w:pPr>
      <w:rPr>
        <w:rFonts w:hint="default"/>
      </w:rPr>
    </w:lvl>
    <w:lvl w:ilvl="2">
      <w:start w:val="1"/>
      <w:numFmt w:val="decimal"/>
      <w:lvlText w:val="%1.%2.%3."/>
      <w:lvlJc w:val="left"/>
      <w:pPr>
        <w:ind w:left="3296" w:hanging="720"/>
      </w:pPr>
      <w:rPr>
        <w:rFonts w:hint="default"/>
      </w:rPr>
    </w:lvl>
    <w:lvl w:ilvl="3">
      <w:start w:val="1"/>
      <w:numFmt w:val="decimal"/>
      <w:lvlText w:val="%1.%2.%3.%4."/>
      <w:lvlJc w:val="left"/>
      <w:pPr>
        <w:ind w:left="4944" w:hanging="1080"/>
      </w:pPr>
      <w:rPr>
        <w:rFonts w:hint="default"/>
      </w:rPr>
    </w:lvl>
    <w:lvl w:ilvl="4">
      <w:start w:val="1"/>
      <w:numFmt w:val="decimal"/>
      <w:lvlText w:val="%1.%2.%3.%4.%5."/>
      <w:lvlJc w:val="left"/>
      <w:pPr>
        <w:ind w:left="6592" w:hanging="1440"/>
      </w:pPr>
      <w:rPr>
        <w:rFonts w:hint="default"/>
      </w:rPr>
    </w:lvl>
    <w:lvl w:ilvl="5">
      <w:start w:val="1"/>
      <w:numFmt w:val="decimal"/>
      <w:lvlText w:val="%1.%2.%3.%4.%5.%6."/>
      <w:lvlJc w:val="left"/>
      <w:pPr>
        <w:ind w:left="7880" w:hanging="1440"/>
      </w:pPr>
      <w:rPr>
        <w:rFonts w:hint="default"/>
      </w:rPr>
    </w:lvl>
    <w:lvl w:ilvl="6">
      <w:start w:val="1"/>
      <w:numFmt w:val="decimal"/>
      <w:lvlText w:val="%1.%2.%3.%4.%5.%6.%7."/>
      <w:lvlJc w:val="left"/>
      <w:pPr>
        <w:ind w:left="9528" w:hanging="1800"/>
      </w:pPr>
      <w:rPr>
        <w:rFonts w:hint="default"/>
      </w:rPr>
    </w:lvl>
    <w:lvl w:ilvl="7">
      <w:start w:val="1"/>
      <w:numFmt w:val="decimal"/>
      <w:lvlText w:val="%1.%2.%3.%4.%5.%6.%7.%8."/>
      <w:lvlJc w:val="left"/>
      <w:pPr>
        <w:ind w:left="11176" w:hanging="2160"/>
      </w:pPr>
      <w:rPr>
        <w:rFonts w:hint="default"/>
      </w:rPr>
    </w:lvl>
    <w:lvl w:ilvl="8">
      <w:start w:val="1"/>
      <w:numFmt w:val="decimal"/>
      <w:lvlText w:val="%1.%2.%3.%4.%5.%6.%7.%8.%9."/>
      <w:lvlJc w:val="left"/>
      <w:pPr>
        <w:ind w:left="12464" w:hanging="2160"/>
      </w:pPr>
      <w:rPr>
        <w:rFonts w:hint="default"/>
      </w:rPr>
    </w:lvl>
  </w:abstractNum>
  <w:abstractNum w:abstractNumId="17">
    <w:nsid w:val="76CA7515"/>
    <w:multiLevelType w:val="hybridMultilevel"/>
    <w:tmpl w:val="F84C3C6A"/>
    <w:lvl w:ilvl="0" w:tplc="04190001">
      <w:start w:val="1"/>
      <w:numFmt w:val="bullet"/>
      <w:lvlText w:val=""/>
      <w:lvlJc w:val="left"/>
      <w:pPr>
        <w:tabs>
          <w:tab w:val="num" w:pos="720"/>
        </w:tabs>
        <w:ind w:left="720" w:hanging="360"/>
      </w:pPr>
      <w:rPr>
        <w:rFonts w:ascii="Symbol" w:hAnsi="Symbol" w:hint="default"/>
      </w:rPr>
    </w:lvl>
    <w:lvl w:ilvl="1" w:tplc="04190003">
      <w:start w:val="1"/>
      <w:numFmt w:val="bullet"/>
      <w:lvlText w:val="o"/>
      <w:lvlJc w:val="left"/>
      <w:pPr>
        <w:tabs>
          <w:tab w:val="num" w:pos="1440"/>
        </w:tabs>
        <w:ind w:left="1440" w:hanging="360"/>
      </w:pPr>
      <w:rPr>
        <w:rFonts w:ascii="Courier New" w:hAnsi="Courier New" w:cs="Courier New" w:hint="default"/>
      </w:rPr>
    </w:lvl>
    <w:lvl w:ilvl="2" w:tplc="04190005">
      <w:start w:val="1"/>
      <w:numFmt w:val="bullet"/>
      <w:lvlText w:val=""/>
      <w:lvlJc w:val="left"/>
      <w:pPr>
        <w:tabs>
          <w:tab w:val="num" w:pos="2160"/>
        </w:tabs>
        <w:ind w:left="2160" w:hanging="360"/>
      </w:pPr>
      <w:rPr>
        <w:rFonts w:ascii="Wingdings" w:hAnsi="Wingdings" w:hint="default"/>
      </w:rPr>
    </w:lvl>
    <w:lvl w:ilvl="3" w:tplc="04190001">
      <w:start w:val="1"/>
      <w:numFmt w:val="bullet"/>
      <w:lvlText w:val=""/>
      <w:lvlJc w:val="left"/>
      <w:pPr>
        <w:tabs>
          <w:tab w:val="num" w:pos="2880"/>
        </w:tabs>
        <w:ind w:left="2880" w:hanging="360"/>
      </w:pPr>
      <w:rPr>
        <w:rFonts w:ascii="Symbol" w:hAnsi="Symbol" w:hint="default"/>
      </w:rPr>
    </w:lvl>
    <w:lvl w:ilvl="4" w:tplc="04190003">
      <w:start w:val="1"/>
      <w:numFmt w:val="bullet"/>
      <w:lvlText w:val="o"/>
      <w:lvlJc w:val="left"/>
      <w:pPr>
        <w:tabs>
          <w:tab w:val="num" w:pos="3600"/>
        </w:tabs>
        <w:ind w:left="3600" w:hanging="360"/>
      </w:pPr>
      <w:rPr>
        <w:rFonts w:ascii="Courier New" w:hAnsi="Courier New" w:cs="Courier New" w:hint="default"/>
      </w:rPr>
    </w:lvl>
    <w:lvl w:ilvl="5" w:tplc="04190005">
      <w:start w:val="1"/>
      <w:numFmt w:val="bullet"/>
      <w:lvlText w:val=""/>
      <w:lvlJc w:val="left"/>
      <w:pPr>
        <w:tabs>
          <w:tab w:val="num" w:pos="4320"/>
        </w:tabs>
        <w:ind w:left="4320" w:hanging="360"/>
      </w:pPr>
      <w:rPr>
        <w:rFonts w:ascii="Wingdings" w:hAnsi="Wingdings" w:hint="default"/>
      </w:rPr>
    </w:lvl>
    <w:lvl w:ilvl="6" w:tplc="04190001">
      <w:start w:val="1"/>
      <w:numFmt w:val="bullet"/>
      <w:lvlText w:val=""/>
      <w:lvlJc w:val="left"/>
      <w:pPr>
        <w:tabs>
          <w:tab w:val="num" w:pos="5040"/>
        </w:tabs>
        <w:ind w:left="5040" w:hanging="360"/>
      </w:pPr>
      <w:rPr>
        <w:rFonts w:ascii="Symbol" w:hAnsi="Symbol" w:hint="default"/>
      </w:rPr>
    </w:lvl>
    <w:lvl w:ilvl="7" w:tplc="04190003">
      <w:start w:val="1"/>
      <w:numFmt w:val="bullet"/>
      <w:lvlText w:val="o"/>
      <w:lvlJc w:val="left"/>
      <w:pPr>
        <w:tabs>
          <w:tab w:val="num" w:pos="5760"/>
        </w:tabs>
        <w:ind w:left="5760" w:hanging="360"/>
      </w:pPr>
      <w:rPr>
        <w:rFonts w:ascii="Courier New" w:hAnsi="Courier New" w:cs="Courier New" w:hint="default"/>
      </w:rPr>
    </w:lvl>
    <w:lvl w:ilvl="8" w:tplc="04190005">
      <w:start w:val="1"/>
      <w:numFmt w:val="bullet"/>
      <w:lvlText w:val=""/>
      <w:lvlJc w:val="left"/>
      <w:pPr>
        <w:tabs>
          <w:tab w:val="num" w:pos="6480"/>
        </w:tabs>
        <w:ind w:left="6480" w:hanging="360"/>
      </w:pPr>
      <w:rPr>
        <w:rFonts w:ascii="Wingdings" w:hAnsi="Wingdings" w:hint="default"/>
      </w:rPr>
    </w:lvl>
  </w:abstractNum>
  <w:num w:numId="1">
    <w:abstractNumId w:val="10"/>
  </w:num>
  <w:num w:numId="2">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1"/>
  </w:num>
  <w:num w:numId="4">
    <w:abstractNumId w:val="6"/>
  </w:num>
  <w:num w:numId="5">
    <w:abstractNumId w:val="17"/>
  </w:num>
  <w:num w:numId="6">
    <w:abstractNumId w:val="11"/>
  </w:num>
  <w:num w:numId="7">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5"/>
    <w:lvlOverride w:ilvl="0">
      <w:startOverride w:val="2"/>
    </w:lvlOverride>
    <w:lvlOverride w:ilvl="1">
      <w:startOverride w:val="3"/>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2"/>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7"/>
  </w:num>
  <w:num w:numId="12">
    <w:abstractNumId w:val="12"/>
  </w:num>
  <w:num w:numId="13">
    <w:abstractNumId w:val="14"/>
  </w:num>
  <w:num w:numId="14">
    <w:abstractNumId w:val="8"/>
  </w:num>
  <w:num w:numId="15">
    <w:abstractNumId w:val="4"/>
  </w:num>
  <w:num w:numId="16">
    <w:abstractNumId w:val="0"/>
  </w:num>
  <w:num w:numId="17">
    <w:abstractNumId w:val="9"/>
  </w:num>
  <w:num w:numId="18">
    <w:abstractNumId w:val="16"/>
  </w:num>
  <w:num w:numId="19">
    <w:abstractNumId w:val="3"/>
  </w:num>
  <w:num w:numId="20">
    <w:abstractNumId w:val="3"/>
  </w:num>
  <w:num w:numId="21">
    <w:abstractNumId w:val="3"/>
    <w:lvlOverride w:ilvl="0">
      <w:startOverride w:val="2"/>
    </w:lvlOverride>
    <w:lvlOverride w:ilvl="1">
      <w:startOverride w:val="6"/>
    </w:lvlOverride>
  </w:num>
  <w:numIdMacAtCleanup w:val="1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0"/>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370AE"/>
    <w:rsid w:val="00004C25"/>
    <w:rsid w:val="000376DE"/>
    <w:rsid w:val="00051E21"/>
    <w:rsid w:val="000536F1"/>
    <w:rsid w:val="000E53E2"/>
    <w:rsid w:val="000E55EA"/>
    <w:rsid w:val="000E6A73"/>
    <w:rsid w:val="0010319A"/>
    <w:rsid w:val="00115789"/>
    <w:rsid w:val="00133CCA"/>
    <w:rsid w:val="00147717"/>
    <w:rsid w:val="00183720"/>
    <w:rsid w:val="00185C71"/>
    <w:rsid w:val="001B72FD"/>
    <w:rsid w:val="001D165F"/>
    <w:rsid w:val="001E6715"/>
    <w:rsid w:val="001E7B45"/>
    <w:rsid w:val="00220164"/>
    <w:rsid w:val="00262A3F"/>
    <w:rsid w:val="002730DE"/>
    <w:rsid w:val="002D099C"/>
    <w:rsid w:val="002F3255"/>
    <w:rsid w:val="00300B7B"/>
    <w:rsid w:val="00301AE6"/>
    <w:rsid w:val="00301B24"/>
    <w:rsid w:val="003051F4"/>
    <w:rsid w:val="003546B2"/>
    <w:rsid w:val="00364535"/>
    <w:rsid w:val="00371934"/>
    <w:rsid w:val="003904E3"/>
    <w:rsid w:val="00396961"/>
    <w:rsid w:val="003A409C"/>
    <w:rsid w:val="003D2783"/>
    <w:rsid w:val="004274BA"/>
    <w:rsid w:val="00434256"/>
    <w:rsid w:val="00442D00"/>
    <w:rsid w:val="00460305"/>
    <w:rsid w:val="004911B6"/>
    <w:rsid w:val="00494D0A"/>
    <w:rsid w:val="004F1F8A"/>
    <w:rsid w:val="00525F0D"/>
    <w:rsid w:val="005301F6"/>
    <w:rsid w:val="00533808"/>
    <w:rsid w:val="00541DBC"/>
    <w:rsid w:val="005451F2"/>
    <w:rsid w:val="00550B90"/>
    <w:rsid w:val="00550C92"/>
    <w:rsid w:val="005727C2"/>
    <w:rsid w:val="00577FA1"/>
    <w:rsid w:val="005D278C"/>
    <w:rsid w:val="005D3E06"/>
    <w:rsid w:val="005D5A4D"/>
    <w:rsid w:val="006011C4"/>
    <w:rsid w:val="0060767F"/>
    <w:rsid w:val="00615BF6"/>
    <w:rsid w:val="0061749D"/>
    <w:rsid w:val="006323CF"/>
    <w:rsid w:val="006A0363"/>
    <w:rsid w:val="006B400A"/>
    <w:rsid w:val="006E7D14"/>
    <w:rsid w:val="00756939"/>
    <w:rsid w:val="00763A8B"/>
    <w:rsid w:val="00781939"/>
    <w:rsid w:val="007A0559"/>
    <w:rsid w:val="007A4F07"/>
    <w:rsid w:val="007C37C8"/>
    <w:rsid w:val="008228C9"/>
    <w:rsid w:val="008248F9"/>
    <w:rsid w:val="008348FD"/>
    <w:rsid w:val="008370AE"/>
    <w:rsid w:val="00851796"/>
    <w:rsid w:val="00862D81"/>
    <w:rsid w:val="00870081"/>
    <w:rsid w:val="00876367"/>
    <w:rsid w:val="008962CB"/>
    <w:rsid w:val="008C1AA9"/>
    <w:rsid w:val="008D6150"/>
    <w:rsid w:val="008E2860"/>
    <w:rsid w:val="00943F22"/>
    <w:rsid w:val="00953A4D"/>
    <w:rsid w:val="00986830"/>
    <w:rsid w:val="00990B89"/>
    <w:rsid w:val="009F2215"/>
    <w:rsid w:val="00A55787"/>
    <w:rsid w:val="00A92E7A"/>
    <w:rsid w:val="00A94728"/>
    <w:rsid w:val="00AB03E4"/>
    <w:rsid w:val="00AC77C2"/>
    <w:rsid w:val="00AD3C83"/>
    <w:rsid w:val="00B0259A"/>
    <w:rsid w:val="00B17B10"/>
    <w:rsid w:val="00B25BEA"/>
    <w:rsid w:val="00B60834"/>
    <w:rsid w:val="00B60A41"/>
    <w:rsid w:val="00B726B9"/>
    <w:rsid w:val="00B7723A"/>
    <w:rsid w:val="00B97ADF"/>
    <w:rsid w:val="00BD58BF"/>
    <w:rsid w:val="00C038BE"/>
    <w:rsid w:val="00C77ECF"/>
    <w:rsid w:val="00C92FAB"/>
    <w:rsid w:val="00CA230A"/>
    <w:rsid w:val="00CC14CD"/>
    <w:rsid w:val="00CE22B2"/>
    <w:rsid w:val="00CF7BC9"/>
    <w:rsid w:val="00D053C8"/>
    <w:rsid w:val="00D13C17"/>
    <w:rsid w:val="00D234B5"/>
    <w:rsid w:val="00D3749A"/>
    <w:rsid w:val="00D51D11"/>
    <w:rsid w:val="00D636EC"/>
    <w:rsid w:val="00D66F50"/>
    <w:rsid w:val="00D730C3"/>
    <w:rsid w:val="00D818A7"/>
    <w:rsid w:val="00DB2105"/>
    <w:rsid w:val="00DD0B25"/>
    <w:rsid w:val="00DF11F6"/>
    <w:rsid w:val="00E03445"/>
    <w:rsid w:val="00E06C7A"/>
    <w:rsid w:val="00EC08D8"/>
    <w:rsid w:val="00EF177C"/>
    <w:rsid w:val="00F165C1"/>
    <w:rsid w:val="00F26C95"/>
    <w:rsid w:val="00F57F43"/>
    <w:rsid w:val="00F6210A"/>
    <w:rsid w:val="00F93C07"/>
    <w:rsid w:val="00FA3DB0"/>
    <w:rsid w:val="00FC3BDB"/>
    <w:rsid w:val="00FF5CE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uiPriority="0" w:qFormat="1"/>
    <w:lsdException w:name="heading 3" w:uiPriority="9" w:qFormat="1"/>
    <w:lsdException w:name="heading 4" w:uiPriority="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footnote reference" w:uiPriority="0"/>
    <w:lsdException w:name="Title" w:semiHidden="0" w:unhideWhenUsed="0" w:qFormat="1"/>
    <w:lsdException w:name="Default Paragraph Font" w:uiPriority="1"/>
    <w:lsdException w:name="Subtitle" w:semiHidden="0" w:uiPriority="11" w:unhideWhenUsed="0" w:qFormat="1"/>
    <w:lsdException w:name="Strong" w:semiHidden="0" w:unhideWhenUsed="0" w:qFormat="1"/>
    <w:lsdException w:name="Emphasis" w:semiHidden="0" w:uiPriority="20" w:unhideWhenUsed="0" w:qFormat="1"/>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F3255"/>
    <w:pPr>
      <w:spacing w:after="120"/>
    </w:pPr>
    <w:rPr>
      <w:rFonts w:ascii="Times New Roman" w:eastAsia="MS Mincho" w:hAnsi="Times New Roman" w:cs="Times New Roman"/>
      <w:sz w:val="24"/>
      <w:szCs w:val="24"/>
      <w:lang w:eastAsia="ru-RU"/>
    </w:rPr>
  </w:style>
  <w:style w:type="paragraph" w:styleId="1">
    <w:name w:val="heading 1"/>
    <w:basedOn w:val="a"/>
    <w:next w:val="a"/>
    <w:link w:val="10"/>
    <w:uiPriority w:val="99"/>
    <w:qFormat/>
    <w:rsid w:val="005727C2"/>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2">
    <w:name w:val="heading 2"/>
    <w:basedOn w:val="a"/>
    <w:next w:val="a"/>
    <w:link w:val="20"/>
    <w:unhideWhenUsed/>
    <w:qFormat/>
    <w:rsid w:val="005727C2"/>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3">
    <w:name w:val="heading 3"/>
    <w:basedOn w:val="a"/>
    <w:link w:val="30"/>
    <w:uiPriority w:val="9"/>
    <w:unhideWhenUsed/>
    <w:qFormat/>
    <w:rsid w:val="005727C2"/>
    <w:pPr>
      <w:spacing w:before="100" w:beforeAutospacing="1" w:after="100" w:afterAutospacing="1" w:line="240" w:lineRule="auto"/>
      <w:outlineLvl w:val="2"/>
    </w:pPr>
    <w:rPr>
      <w:rFonts w:eastAsia="Times New Roman"/>
      <w:b/>
      <w:bCs/>
      <w:sz w:val="27"/>
      <w:szCs w:val="27"/>
    </w:rPr>
  </w:style>
  <w:style w:type="paragraph" w:styleId="4">
    <w:name w:val="heading 4"/>
    <w:basedOn w:val="a"/>
    <w:next w:val="a"/>
    <w:link w:val="40"/>
    <w:qFormat/>
    <w:rsid w:val="002F3255"/>
    <w:pPr>
      <w:keepNext/>
      <w:spacing w:before="240" w:after="60"/>
      <w:outlineLvl w:val="3"/>
    </w:pPr>
    <w:rPr>
      <w:rFonts w:eastAsia="Times New Roman"/>
      <w:b/>
      <w:bCs/>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40">
    <w:name w:val="Заголовок 4 Знак"/>
    <w:basedOn w:val="a0"/>
    <w:link w:val="4"/>
    <w:rsid w:val="002F3255"/>
    <w:rPr>
      <w:rFonts w:ascii="Times New Roman" w:eastAsia="Times New Roman" w:hAnsi="Times New Roman" w:cs="Times New Roman"/>
      <w:b/>
      <w:bCs/>
      <w:sz w:val="28"/>
      <w:szCs w:val="28"/>
      <w:lang w:eastAsia="ru-RU"/>
    </w:rPr>
  </w:style>
  <w:style w:type="paragraph" w:customStyle="1" w:styleId="a3">
    <w:name w:val="Стиль второй"/>
    <w:basedOn w:val="a"/>
    <w:link w:val="a4"/>
    <w:autoRedefine/>
    <w:qFormat/>
    <w:rsid w:val="0061749D"/>
    <w:pPr>
      <w:tabs>
        <w:tab w:val="right" w:leader="dot" w:pos="9786"/>
      </w:tabs>
      <w:spacing w:after="0" w:line="240" w:lineRule="auto"/>
      <w:ind w:left="284"/>
      <w:jc w:val="both"/>
    </w:pPr>
    <w:rPr>
      <w:b/>
      <w:noProof/>
      <w:color w:val="000000"/>
      <w:sz w:val="28"/>
      <w:szCs w:val="28"/>
    </w:rPr>
  </w:style>
  <w:style w:type="character" w:customStyle="1" w:styleId="a4">
    <w:name w:val="Стиль второй Знак"/>
    <w:basedOn w:val="a0"/>
    <w:link w:val="a3"/>
    <w:rsid w:val="0061749D"/>
    <w:rPr>
      <w:rFonts w:ascii="Times New Roman" w:eastAsia="MS Mincho" w:hAnsi="Times New Roman" w:cs="Times New Roman"/>
      <w:b/>
      <w:noProof/>
      <w:color w:val="000000"/>
      <w:sz w:val="28"/>
      <w:szCs w:val="28"/>
      <w:lang w:eastAsia="ru-RU"/>
    </w:rPr>
  </w:style>
  <w:style w:type="paragraph" w:customStyle="1" w:styleId="11">
    <w:name w:val="Стиль1"/>
    <w:basedOn w:val="4"/>
    <w:link w:val="12"/>
    <w:qFormat/>
    <w:rsid w:val="002F3255"/>
    <w:rPr>
      <w:sz w:val="32"/>
      <w:szCs w:val="32"/>
    </w:rPr>
  </w:style>
  <w:style w:type="character" w:customStyle="1" w:styleId="12">
    <w:name w:val="Стиль1 Знак"/>
    <w:basedOn w:val="40"/>
    <w:link w:val="11"/>
    <w:rsid w:val="002F3255"/>
    <w:rPr>
      <w:rFonts w:ascii="Times New Roman" w:eastAsia="Times New Roman" w:hAnsi="Times New Roman" w:cs="Times New Roman"/>
      <w:b/>
      <w:bCs/>
      <w:sz w:val="32"/>
      <w:szCs w:val="32"/>
      <w:lang w:eastAsia="ru-RU"/>
    </w:rPr>
  </w:style>
  <w:style w:type="paragraph" w:customStyle="1" w:styleId="13">
    <w:name w:val="Без интервала1"/>
    <w:rsid w:val="002F3255"/>
    <w:pPr>
      <w:spacing w:after="0" w:line="240" w:lineRule="auto"/>
    </w:pPr>
    <w:rPr>
      <w:rFonts w:ascii="Calibri" w:eastAsia="Calibri" w:hAnsi="Calibri" w:cs="Times New Roman"/>
      <w:lang w:val="en-US"/>
    </w:rPr>
  </w:style>
  <w:style w:type="paragraph" w:customStyle="1" w:styleId="a5">
    <w:name w:val="Стиль первый"/>
    <w:basedOn w:val="a"/>
    <w:uiPriority w:val="99"/>
    <w:qFormat/>
    <w:rsid w:val="002F3255"/>
    <w:pPr>
      <w:tabs>
        <w:tab w:val="right" w:leader="dot" w:pos="9786"/>
      </w:tabs>
    </w:pPr>
    <w:rPr>
      <w:b/>
      <w:noProof/>
      <w:sz w:val="32"/>
      <w:szCs w:val="28"/>
    </w:rPr>
  </w:style>
  <w:style w:type="paragraph" w:styleId="a6">
    <w:name w:val="List Paragraph"/>
    <w:basedOn w:val="a"/>
    <w:uiPriority w:val="34"/>
    <w:qFormat/>
    <w:rsid w:val="00943F22"/>
    <w:pPr>
      <w:spacing w:after="200"/>
      <w:ind w:left="720"/>
      <w:contextualSpacing/>
    </w:pPr>
    <w:rPr>
      <w:rFonts w:ascii="Calibri" w:eastAsia="Calibri" w:hAnsi="Calibri"/>
      <w:sz w:val="22"/>
      <w:szCs w:val="22"/>
      <w:lang w:eastAsia="en-US"/>
    </w:rPr>
  </w:style>
  <w:style w:type="character" w:customStyle="1" w:styleId="a7">
    <w:name w:val="Верхний колонтитул Знак"/>
    <w:basedOn w:val="a0"/>
    <w:link w:val="a8"/>
    <w:rsid w:val="000E6A73"/>
    <w:rPr>
      <w:rFonts w:ascii="Times New Roman" w:eastAsia="Times New Roman" w:hAnsi="Times New Roman" w:cs="Times New Roman"/>
      <w:sz w:val="24"/>
      <w:szCs w:val="24"/>
      <w:lang w:eastAsia="ru-RU"/>
    </w:rPr>
  </w:style>
  <w:style w:type="paragraph" w:styleId="a8">
    <w:name w:val="header"/>
    <w:basedOn w:val="a"/>
    <w:link w:val="a7"/>
    <w:unhideWhenUsed/>
    <w:rsid w:val="000E6A73"/>
    <w:pPr>
      <w:tabs>
        <w:tab w:val="center" w:pos="4677"/>
        <w:tab w:val="right" w:pos="9355"/>
      </w:tabs>
      <w:spacing w:after="0" w:line="240" w:lineRule="auto"/>
    </w:pPr>
    <w:rPr>
      <w:rFonts w:eastAsia="Times New Roman"/>
    </w:rPr>
  </w:style>
  <w:style w:type="character" w:customStyle="1" w:styleId="a9">
    <w:name w:val="Нижний колонтитул Знак"/>
    <w:basedOn w:val="a0"/>
    <w:link w:val="aa"/>
    <w:uiPriority w:val="99"/>
    <w:rsid w:val="000E6A73"/>
    <w:rPr>
      <w:rFonts w:ascii="Times New Roman" w:eastAsia="Times New Roman" w:hAnsi="Times New Roman" w:cs="Times New Roman"/>
      <w:sz w:val="24"/>
      <w:szCs w:val="24"/>
      <w:lang w:eastAsia="ru-RU"/>
    </w:rPr>
  </w:style>
  <w:style w:type="paragraph" w:styleId="aa">
    <w:name w:val="footer"/>
    <w:basedOn w:val="a"/>
    <w:link w:val="a9"/>
    <w:uiPriority w:val="99"/>
    <w:unhideWhenUsed/>
    <w:rsid w:val="000E6A73"/>
    <w:pPr>
      <w:tabs>
        <w:tab w:val="center" w:pos="4677"/>
        <w:tab w:val="right" w:pos="9355"/>
      </w:tabs>
      <w:spacing w:after="0" w:line="240" w:lineRule="auto"/>
    </w:pPr>
    <w:rPr>
      <w:rFonts w:eastAsia="Times New Roman"/>
    </w:rPr>
  </w:style>
  <w:style w:type="character" w:customStyle="1" w:styleId="ab">
    <w:name w:val="Основной текст Знак"/>
    <w:basedOn w:val="a0"/>
    <w:link w:val="ac"/>
    <w:uiPriority w:val="99"/>
    <w:rsid w:val="000E6A73"/>
    <w:rPr>
      <w:rFonts w:ascii="Times New Roman" w:eastAsia="Times New Roman" w:hAnsi="Times New Roman" w:cs="Times New Roman"/>
      <w:sz w:val="28"/>
      <w:szCs w:val="20"/>
      <w:lang w:eastAsia="ru-RU"/>
    </w:rPr>
  </w:style>
  <w:style w:type="paragraph" w:styleId="ac">
    <w:name w:val="Body Text"/>
    <w:basedOn w:val="a"/>
    <w:link w:val="ab"/>
    <w:uiPriority w:val="99"/>
    <w:unhideWhenUsed/>
    <w:rsid w:val="000E6A73"/>
    <w:pPr>
      <w:spacing w:after="0" w:line="240" w:lineRule="auto"/>
      <w:jc w:val="both"/>
    </w:pPr>
    <w:rPr>
      <w:rFonts w:eastAsia="Times New Roman"/>
      <w:sz w:val="28"/>
      <w:szCs w:val="20"/>
    </w:rPr>
  </w:style>
  <w:style w:type="character" w:customStyle="1" w:styleId="31">
    <w:name w:val="Основной текст с отступом 3 Знак"/>
    <w:basedOn w:val="a0"/>
    <w:link w:val="32"/>
    <w:uiPriority w:val="99"/>
    <w:rsid w:val="000E6A73"/>
    <w:rPr>
      <w:rFonts w:ascii="Times New Roman" w:eastAsia="Times New Roman" w:hAnsi="Times New Roman" w:cs="Times New Roman"/>
      <w:sz w:val="28"/>
      <w:szCs w:val="20"/>
      <w:lang w:eastAsia="ru-RU"/>
    </w:rPr>
  </w:style>
  <w:style w:type="paragraph" w:styleId="32">
    <w:name w:val="Body Text Indent 3"/>
    <w:basedOn w:val="a"/>
    <w:link w:val="31"/>
    <w:uiPriority w:val="99"/>
    <w:unhideWhenUsed/>
    <w:rsid w:val="000E6A73"/>
    <w:pPr>
      <w:spacing w:after="0" w:line="240" w:lineRule="auto"/>
      <w:ind w:right="-1050" w:firstLine="709"/>
    </w:pPr>
    <w:rPr>
      <w:rFonts w:eastAsia="Times New Roman"/>
      <w:sz w:val="28"/>
      <w:szCs w:val="20"/>
    </w:rPr>
  </w:style>
  <w:style w:type="paragraph" w:styleId="ad">
    <w:name w:val="Balloon Text"/>
    <w:basedOn w:val="a"/>
    <w:link w:val="ae"/>
    <w:uiPriority w:val="99"/>
    <w:unhideWhenUsed/>
    <w:rsid w:val="000E6A73"/>
    <w:pPr>
      <w:spacing w:after="0" w:line="240" w:lineRule="auto"/>
    </w:pPr>
    <w:rPr>
      <w:rFonts w:ascii="Tahoma" w:hAnsi="Tahoma" w:cs="Tahoma"/>
      <w:sz w:val="16"/>
      <w:szCs w:val="16"/>
    </w:rPr>
  </w:style>
  <w:style w:type="character" w:customStyle="1" w:styleId="ae">
    <w:name w:val="Текст выноски Знак"/>
    <w:basedOn w:val="a0"/>
    <w:link w:val="ad"/>
    <w:uiPriority w:val="99"/>
    <w:rsid w:val="000E6A73"/>
    <w:rPr>
      <w:rFonts w:ascii="Tahoma" w:eastAsia="MS Mincho" w:hAnsi="Tahoma" w:cs="Tahoma"/>
      <w:sz w:val="16"/>
      <w:szCs w:val="16"/>
      <w:lang w:eastAsia="ru-RU"/>
    </w:rPr>
  </w:style>
  <w:style w:type="paragraph" w:styleId="af">
    <w:name w:val="Normal (Web)"/>
    <w:basedOn w:val="a"/>
    <w:uiPriority w:val="99"/>
    <w:unhideWhenUsed/>
    <w:rsid w:val="000E6A73"/>
    <w:pPr>
      <w:spacing w:before="82" w:after="82" w:line="240" w:lineRule="auto"/>
      <w:ind w:firstLine="82"/>
    </w:pPr>
    <w:rPr>
      <w:rFonts w:ascii="Verdana" w:eastAsia="Times New Roman" w:hAnsi="Verdana"/>
    </w:rPr>
  </w:style>
  <w:style w:type="character" w:customStyle="1" w:styleId="10">
    <w:name w:val="Заголовок 1 Знак"/>
    <w:basedOn w:val="a0"/>
    <w:link w:val="1"/>
    <w:uiPriority w:val="99"/>
    <w:rsid w:val="005727C2"/>
    <w:rPr>
      <w:rFonts w:asciiTheme="majorHAnsi" w:eastAsiaTheme="majorEastAsia" w:hAnsiTheme="majorHAnsi" w:cstheme="majorBidi"/>
      <w:b/>
      <w:bCs/>
      <w:color w:val="365F91" w:themeColor="accent1" w:themeShade="BF"/>
      <w:sz w:val="28"/>
      <w:szCs w:val="28"/>
      <w:lang w:eastAsia="ru-RU"/>
    </w:rPr>
  </w:style>
  <w:style w:type="character" w:customStyle="1" w:styleId="20">
    <w:name w:val="Заголовок 2 Знак"/>
    <w:basedOn w:val="a0"/>
    <w:link w:val="2"/>
    <w:rsid w:val="005727C2"/>
    <w:rPr>
      <w:rFonts w:asciiTheme="majorHAnsi" w:eastAsiaTheme="majorEastAsia" w:hAnsiTheme="majorHAnsi" w:cstheme="majorBidi"/>
      <w:b/>
      <w:bCs/>
      <w:color w:val="4F81BD" w:themeColor="accent1"/>
      <w:sz w:val="26"/>
      <w:szCs w:val="26"/>
      <w:lang w:eastAsia="ru-RU"/>
    </w:rPr>
  </w:style>
  <w:style w:type="character" w:customStyle="1" w:styleId="30">
    <w:name w:val="Заголовок 3 Знак"/>
    <w:basedOn w:val="a0"/>
    <w:link w:val="3"/>
    <w:uiPriority w:val="9"/>
    <w:rsid w:val="005727C2"/>
    <w:rPr>
      <w:rFonts w:ascii="Times New Roman" w:eastAsia="Times New Roman" w:hAnsi="Times New Roman" w:cs="Times New Roman"/>
      <w:b/>
      <w:bCs/>
      <w:sz w:val="27"/>
      <w:szCs w:val="27"/>
      <w:lang w:eastAsia="ru-RU"/>
    </w:rPr>
  </w:style>
  <w:style w:type="character" w:styleId="af0">
    <w:name w:val="Hyperlink"/>
    <w:basedOn w:val="a0"/>
    <w:uiPriority w:val="99"/>
    <w:unhideWhenUsed/>
    <w:rsid w:val="005727C2"/>
    <w:rPr>
      <w:rFonts w:ascii="Times New Roman" w:hAnsi="Times New Roman" w:cs="Times New Roman" w:hint="default"/>
      <w:color w:val="0000FF"/>
      <w:u w:val="single"/>
    </w:rPr>
  </w:style>
  <w:style w:type="character" w:styleId="af1">
    <w:name w:val="FollowedHyperlink"/>
    <w:basedOn w:val="a0"/>
    <w:uiPriority w:val="99"/>
    <w:semiHidden/>
    <w:unhideWhenUsed/>
    <w:rsid w:val="005727C2"/>
    <w:rPr>
      <w:color w:val="800080" w:themeColor="followedHyperlink"/>
      <w:u w:val="single"/>
    </w:rPr>
  </w:style>
  <w:style w:type="character" w:styleId="af2">
    <w:name w:val="Strong"/>
    <w:basedOn w:val="a0"/>
    <w:uiPriority w:val="99"/>
    <w:qFormat/>
    <w:rsid w:val="005727C2"/>
    <w:rPr>
      <w:rFonts w:ascii="Times New Roman" w:hAnsi="Times New Roman" w:cs="Times New Roman" w:hint="default"/>
      <w:b/>
      <w:bCs/>
    </w:rPr>
  </w:style>
  <w:style w:type="paragraph" w:styleId="14">
    <w:name w:val="toc 1"/>
    <w:basedOn w:val="a"/>
    <w:next w:val="a"/>
    <w:autoRedefine/>
    <w:uiPriority w:val="39"/>
    <w:semiHidden/>
    <w:unhideWhenUsed/>
    <w:rsid w:val="005727C2"/>
    <w:pPr>
      <w:spacing w:after="100"/>
    </w:pPr>
  </w:style>
  <w:style w:type="paragraph" w:styleId="af3">
    <w:name w:val="footnote text"/>
    <w:basedOn w:val="a"/>
    <w:link w:val="af4"/>
    <w:uiPriority w:val="99"/>
    <w:semiHidden/>
    <w:unhideWhenUsed/>
    <w:rsid w:val="005727C2"/>
    <w:pPr>
      <w:spacing w:after="0" w:line="240" w:lineRule="auto"/>
    </w:pPr>
    <w:rPr>
      <w:rFonts w:eastAsia="Times New Roman"/>
      <w:sz w:val="20"/>
      <w:szCs w:val="20"/>
    </w:rPr>
  </w:style>
  <w:style w:type="character" w:customStyle="1" w:styleId="af4">
    <w:name w:val="Текст сноски Знак"/>
    <w:basedOn w:val="a0"/>
    <w:link w:val="af3"/>
    <w:uiPriority w:val="99"/>
    <w:semiHidden/>
    <w:rsid w:val="005727C2"/>
    <w:rPr>
      <w:rFonts w:ascii="Times New Roman" w:eastAsia="Times New Roman" w:hAnsi="Times New Roman" w:cs="Times New Roman"/>
      <w:sz w:val="20"/>
      <w:szCs w:val="20"/>
      <w:lang w:eastAsia="ru-RU"/>
    </w:rPr>
  </w:style>
  <w:style w:type="paragraph" w:styleId="21">
    <w:name w:val="List 2"/>
    <w:basedOn w:val="a"/>
    <w:uiPriority w:val="99"/>
    <w:unhideWhenUsed/>
    <w:rsid w:val="005727C2"/>
    <w:pPr>
      <w:ind w:left="566" w:hanging="283"/>
    </w:pPr>
    <w:rPr>
      <w:rFonts w:eastAsia="Times New Roman"/>
      <w:sz w:val="20"/>
      <w:szCs w:val="20"/>
    </w:rPr>
  </w:style>
  <w:style w:type="paragraph" w:styleId="af5">
    <w:name w:val="Title"/>
    <w:basedOn w:val="a"/>
    <w:link w:val="af6"/>
    <w:uiPriority w:val="99"/>
    <w:qFormat/>
    <w:rsid w:val="005727C2"/>
    <w:pPr>
      <w:jc w:val="center"/>
    </w:pPr>
    <w:rPr>
      <w:rFonts w:eastAsia="Times New Roman"/>
      <w:b/>
      <w:bCs/>
    </w:rPr>
  </w:style>
  <w:style w:type="character" w:customStyle="1" w:styleId="af6">
    <w:name w:val="Название Знак"/>
    <w:basedOn w:val="a0"/>
    <w:link w:val="af5"/>
    <w:uiPriority w:val="99"/>
    <w:rsid w:val="005727C2"/>
    <w:rPr>
      <w:rFonts w:ascii="Times New Roman" w:eastAsia="Times New Roman" w:hAnsi="Times New Roman" w:cs="Times New Roman"/>
      <w:b/>
      <w:bCs/>
      <w:sz w:val="24"/>
      <w:szCs w:val="24"/>
      <w:lang w:eastAsia="ru-RU"/>
    </w:rPr>
  </w:style>
  <w:style w:type="paragraph" w:styleId="af7">
    <w:name w:val="Body Text Indent"/>
    <w:basedOn w:val="a"/>
    <w:link w:val="af8"/>
    <w:uiPriority w:val="99"/>
    <w:unhideWhenUsed/>
    <w:rsid w:val="005727C2"/>
    <w:pPr>
      <w:ind w:left="283"/>
    </w:pPr>
  </w:style>
  <w:style w:type="character" w:customStyle="1" w:styleId="af8">
    <w:name w:val="Основной текст с отступом Знак"/>
    <w:basedOn w:val="a0"/>
    <w:link w:val="af7"/>
    <w:uiPriority w:val="99"/>
    <w:rsid w:val="005727C2"/>
    <w:rPr>
      <w:rFonts w:ascii="Times New Roman" w:eastAsia="MS Mincho" w:hAnsi="Times New Roman" w:cs="Times New Roman"/>
      <w:sz w:val="24"/>
      <w:szCs w:val="24"/>
      <w:lang w:eastAsia="ru-RU"/>
    </w:rPr>
  </w:style>
  <w:style w:type="paragraph" w:styleId="22">
    <w:name w:val="Body Text 2"/>
    <w:basedOn w:val="a"/>
    <w:link w:val="23"/>
    <w:uiPriority w:val="99"/>
    <w:unhideWhenUsed/>
    <w:rsid w:val="005727C2"/>
    <w:pPr>
      <w:spacing w:line="480" w:lineRule="auto"/>
    </w:pPr>
  </w:style>
  <w:style w:type="character" w:customStyle="1" w:styleId="23">
    <w:name w:val="Основной текст 2 Знак"/>
    <w:basedOn w:val="a0"/>
    <w:link w:val="22"/>
    <w:uiPriority w:val="99"/>
    <w:rsid w:val="005727C2"/>
    <w:rPr>
      <w:rFonts w:ascii="Times New Roman" w:eastAsia="MS Mincho" w:hAnsi="Times New Roman" w:cs="Times New Roman"/>
      <w:sz w:val="24"/>
      <w:szCs w:val="24"/>
      <w:lang w:eastAsia="ru-RU"/>
    </w:rPr>
  </w:style>
  <w:style w:type="paragraph" w:styleId="24">
    <w:name w:val="Body Text Indent 2"/>
    <w:basedOn w:val="a"/>
    <w:link w:val="25"/>
    <w:uiPriority w:val="99"/>
    <w:unhideWhenUsed/>
    <w:rsid w:val="005727C2"/>
    <w:pPr>
      <w:spacing w:line="480" w:lineRule="auto"/>
      <w:ind w:left="283"/>
    </w:pPr>
  </w:style>
  <w:style w:type="character" w:customStyle="1" w:styleId="25">
    <w:name w:val="Основной текст с отступом 2 Знак"/>
    <w:basedOn w:val="a0"/>
    <w:link w:val="24"/>
    <w:uiPriority w:val="99"/>
    <w:rsid w:val="005727C2"/>
    <w:rPr>
      <w:rFonts w:ascii="Times New Roman" w:eastAsia="MS Mincho" w:hAnsi="Times New Roman" w:cs="Times New Roman"/>
      <w:sz w:val="24"/>
      <w:szCs w:val="24"/>
      <w:lang w:eastAsia="ru-RU"/>
    </w:rPr>
  </w:style>
  <w:style w:type="character" w:customStyle="1" w:styleId="af9">
    <w:name w:val="Без интервала Знак"/>
    <w:link w:val="afa"/>
    <w:uiPriority w:val="1"/>
    <w:locked/>
    <w:rsid w:val="005727C2"/>
    <w:rPr>
      <w:rFonts w:ascii="Calibri" w:hAnsi="Calibri" w:cs="Calibri"/>
      <w:lang w:eastAsia="zh-CN"/>
    </w:rPr>
  </w:style>
  <w:style w:type="paragraph" w:styleId="afa">
    <w:name w:val="No Spacing"/>
    <w:link w:val="af9"/>
    <w:uiPriority w:val="1"/>
    <w:qFormat/>
    <w:rsid w:val="005727C2"/>
    <w:pPr>
      <w:suppressAutoHyphens/>
      <w:spacing w:after="0" w:line="240" w:lineRule="auto"/>
    </w:pPr>
    <w:rPr>
      <w:rFonts w:ascii="Calibri" w:hAnsi="Calibri" w:cs="Calibri"/>
      <w:lang w:eastAsia="zh-CN"/>
    </w:rPr>
  </w:style>
  <w:style w:type="paragraph" w:customStyle="1" w:styleId="ConsPlusNormal">
    <w:name w:val="ConsPlusNormal"/>
    <w:rsid w:val="005727C2"/>
    <w:pPr>
      <w:autoSpaceDE w:val="0"/>
      <w:autoSpaceDN w:val="0"/>
      <w:adjustRightInd w:val="0"/>
      <w:spacing w:after="0" w:line="240" w:lineRule="auto"/>
    </w:pPr>
    <w:rPr>
      <w:rFonts w:ascii="Calibri" w:eastAsia="Calibri" w:hAnsi="Calibri" w:cs="Calibri"/>
    </w:rPr>
  </w:style>
  <w:style w:type="paragraph" w:customStyle="1" w:styleId="-12">
    <w:name w:val="Цветной список - Акцент 12"/>
    <w:basedOn w:val="a"/>
    <w:uiPriority w:val="99"/>
    <w:qFormat/>
    <w:rsid w:val="005727C2"/>
    <w:pPr>
      <w:spacing w:after="200"/>
      <w:ind w:left="720"/>
      <w:contextualSpacing/>
    </w:pPr>
    <w:rPr>
      <w:rFonts w:ascii="Calibri" w:eastAsia="Times New Roman" w:hAnsi="Calibri"/>
      <w:sz w:val="22"/>
      <w:szCs w:val="22"/>
      <w:lang w:eastAsia="en-US"/>
    </w:rPr>
  </w:style>
  <w:style w:type="paragraph" w:customStyle="1" w:styleId="ConsPlusTitle">
    <w:name w:val="ConsPlusTitle"/>
    <w:uiPriority w:val="99"/>
    <w:rsid w:val="005727C2"/>
    <w:pPr>
      <w:widowControl w:val="0"/>
      <w:autoSpaceDE w:val="0"/>
      <w:autoSpaceDN w:val="0"/>
      <w:adjustRightInd w:val="0"/>
      <w:spacing w:after="0" w:line="240" w:lineRule="auto"/>
    </w:pPr>
    <w:rPr>
      <w:rFonts w:ascii="Calibri" w:eastAsia="Times New Roman" w:hAnsi="Calibri" w:cs="Calibri"/>
      <w:b/>
      <w:bCs/>
      <w:lang w:eastAsia="ru-RU"/>
    </w:rPr>
  </w:style>
  <w:style w:type="paragraph" w:customStyle="1" w:styleId="ConsPlusCell">
    <w:name w:val="ConsPlusCell"/>
    <w:rsid w:val="005727C2"/>
    <w:pPr>
      <w:autoSpaceDE w:val="0"/>
      <w:autoSpaceDN w:val="0"/>
      <w:adjustRightInd w:val="0"/>
      <w:spacing w:after="0" w:line="240" w:lineRule="auto"/>
    </w:pPr>
    <w:rPr>
      <w:rFonts w:ascii="Arial" w:eastAsia="Times New Roman" w:hAnsi="Arial" w:cs="Arial"/>
      <w:sz w:val="20"/>
      <w:szCs w:val="20"/>
      <w:lang w:eastAsia="ru-RU"/>
    </w:rPr>
  </w:style>
  <w:style w:type="paragraph" w:customStyle="1" w:styleId="15">
    <w:name w:val="Абзац списка1"/>
    <w:basedOn w:val="a"/>
    <w:uiPriority w:val="99"/>
    <w:rsid w:val="005727C2"/>
    <w:pPr>
      <w:ind w:left="720"/>
      <w:contextualSpacing/>
    </w:pPr>
    <w:rPr>
      <w:rFonts w:eastAsia="Times New Roman"/>
      <w:sz w:val="20"/>
      <w:szCs w:val="20"/>
    </w:rPr>
  </w:style>
  <w:style w:type="paragraph" w:customStyle="1" w:styleId="afb">
    <w:name w:val="Знак"/>
    <w:basedOn w:val="a"/>
    <w:autoRedefine/>
    <w:rsid w:val="005727C2"/>
    <w:pPr>
      <w:spacing w:after="160" w:line="240" w:lineRule="exact"/>
      <w:ind w:left="26"/>
    </w:pPr>
    <w:rPr>
      <w:rFonts w:eastAsia="Times New Roman"/>
      <w:lang w:val="en-US" w:eastAsia="en-US"/>
    </w:rPr>
  </w:style>
  <w:style w:type="paragraph" w:customStyle="1" w:styleId="ConsNormal">
    <w:name w:val="ConsNormal"/>
    <w:uiPriority w:val="99"/>
    <w:rsid w:val="005727C2"/>
    <w:pPr>
      <w:widowControl w:val="0"/>
      <w:autoSpaceDE w:val="0"/>
      <w:autoSpaceDN w:val="0"/>
      <w:adjustRightInd w:val="0"/>
      <w:spacing w:after="0" w:line="240" w:lineRule="auto"/>
      <w:ind w:right="19772" w:firstLine="720"/>
    </w:pPr>
    <w:rPr>
      <w:rFonts w:ascii="Arial" w:eastAsia="Times New Roman" w:hAnsi="Arial" w:cs="Arial"/>
      <w:sz w:val="18"/>
      <w:szCs w:val="20"/>
      <w:lang w:eastAsia="ru-RU"/>
    </w:rPr>
  </w:style>
  <w:style w:type="character" w:customStyle="1" w:styleId="SMAPlainText">
    <w:name w:val="SMA_PlainText Знак"/>
    <w:link w:val="SMAPlainText0"/>
    <w:locked/>
    <w:rsid w:val="005727C2"/>
    <w:rPr>
      <w:rFonts w:ascii="Times New Roman" w:eastAsia="MS Mincho" w:hAnsi="Times New Roman" w:cs="Times New Roman"/>
      <w:sz w:val="24"/>
      <w:szCs w:val="28"/>
      <w:lang w:eastAsia="ru-RU"/>
    </w:rPr>
  </w:style>
  <w:style w:type="paragraph" w:customStyle="1" w:styleId="SMAPlainText0">
    <w:name w:val="SMA_PlainText"/>
    <w:link w:val="SMAPlainText"/>
    <w:qFormat/>
    <w:rsid w:val="005727C2"/>
    <w:pPr>
      <w:spacing w:after="0"/>
      <w:ind w:firstLine="709"/>
      <w:jc w:val="both"/>
    </w:pPr>
    <w:rPr>
      <w:rFonts w:ascii="Times New Roman" w:eastAsia="MS Mincho" w:hAnsi="Times New Roman" w:cs="Times New Roman"/>
      <w:sz w:val="24"/>
      <w:szCs w:val="28"/>
      <w:lang w:eastAsia="ru-RU"/>
    </w:rPr>
  </w:style>
  <w:style w:type="paragraph" w:customStyle="1" w:styleId="26">
    <w:name w:val="Стиль ОТЧЕТ2"/>
    <w:basedOn w:val="a"/>
    <w:qFormat/>
    <w:rsid w:val="005727C2"/>
    <w:pPr>
      <w:tabs>
        <w:tab w:val="right" w:leader="dot" w:pos="9786"/>
      </w:tabs>
      <w:spacing w:after="0" w:line="240" w:lineRule="auto"/>
    </w:pPr>
    <w:rPr>
      <w:b/>
      <w:i/>
      <w:noProof/>
      <w:sz w:val="32"/>
      <w:szCs w:val="28"/>
    </w:rPr>
  </w:style>
  <w:style w:type="paragraph" w:customStyle="1" w:styleId="16">
    <w:name w:val="Стиль ОТЧЕТ 1"/>
    <w:basedOn w:val="14"/>
    <w:qFormat/>
    <w:rsid w:val="005727C2"/>
    <w:pPr>
      <w:tabs>
        <w:tab w:val="right" w:leader="dot" w:pos="9786"/>
      </w:tabs>
      <w:spacing w:after="0" w:line="240" w:lineRule="auto"/>
    </w:pPr>
    <w:rPr>
      <w:b/>
      <w:noProof/>
      <w:sz w:val="32"/>
      <w:szCs w:val="28"/>
    </w:rPr>
  </w:style>
  <w:style w:type="paragraph" w:customStyle="1" w:styleId="33">
    <w:name w:val="Стиль ОТЧЕТ 3"/>
    <w:basedOn w:val="a"/>
    <w:uiPriority w:val="99"/>
    <w:qFormat/>
    <w:rsid w:val="005727C2"/>
    <w:pPr>
      <w:tabs>
        <w:tab w:val="right" w:leader="dot" w:pos="9786"/>
      </w:tabs>
      <w:spacing w:after="0" w:line="240" w:lineRule="auto"/>
    </w:pPr>
    <w:rPr>
      <w:b/>
      <w:i/>
      <w:noProof/>
      <w:sz w:val="28"/>
      <w:szCs w:val="28"/>
    </w:rPr>
  </w:style>
  <w:style w:type="character" w:customStyle="1" w:styleId="afc">
    <w:name w:val="Основной текст_"/>
    <w:basedOn w:val="a0"/>
    <w:link w:val="17"/>
    <w:locked/>
    <w:rsid w:val="005727C2"/>
    <w:rPr>
      <w:rFonts w:ascii="Times New Roman" w:hAnsi="Times New Roman" w:cs="Times New Roman"/>
      <w:sz w:val="26"/>
      <w:szCs w:val="26"/>
      <w:shd w:val="clear" w:color="auto" w:fill="FFFFFF"/>
    </w:rPr>
  </w:style>
  <w:style w:type="paragraph" w:customStyle="1" w:styleId="17">
    <w:name w:val="Основной текст1"/>
    <w:basedOn w:val="a"/>
    <w:link w:val="afc"/>
    <w:rsid w:val="005727C2"/>
    <w:pPr>
      <w:shd w:val="clear" w:color="auto" w:fill="FFFFFF"/>
      <w:spacing w:before="360" w:after="0" w:line="317" w:lineRule="exact"/>
      <w:ind w:hanging="360"/>
      <w:jc w:val="both"/>
    </w:pPr>
    <w:rPr>
      <w:rFonts w:eastAsiaTheme="minorHAnsi"/>
      <w:sz w:val="26"/>
      <w:szCs w:val="26"/>
      <w:lang w:eastAsia="en-US"/>
    </w:rPr>
  </w:style>
  <w:style w:type="paragraph" w:customStyle="1" w:styleId="font5">
    <w:name w:val="font5"/>
    <w:basedOn w:val="a"/>
    <w:uiPriority w:val="99"/>
    <w:rsid w:val="005727C2"/>
    <w:pPr>
      <w:spacing w:before="100" w:beforeAutospacing="1" w:after="100" w:afterAutospacing="1" w:line="240" w:lineRule="auto"/>
    </w:pPr>
    <w:rPr>
      <w:rFonts w:eastAsia="Times New Roman"/>
      <w:sz w:val="16"/>
      <w:szCs w:val="16"/>
    </w:rPr>
  </w:style>
  <w:style w:type="paragraph" w:customStyle="1" w:styleId="font6">
    <w:name w:val="font6"/>
    <w:basedOn w:val="a"/>
    <w:uiPriority w:val="99"/>
    <w:rsid w:val="005727C2"/>
    <w:pPr>
      <w:spacing w:before="100" w:beforeAutospacing="1" w:after="100" w:afterAutospacing="1" w:line="240" w:lineRule="auto"/>
    </w:pPr>
    <w:rPr>
      <w:rFonts w:eastAsia="Times New Roman"/>
      <w:b/>
      <w:bCs/>
      <w:sz w:val="16"/>
      <w:szCs w:val="16"/>
    </w:rPr>
  </w:style>
  <w:style w:type="paragraph" w:customStyle="1" w:styleId="xl63">
    <w:name w:val="xl63"/>
    <w:basedOn w:val="a"/>
    <w:uiPriority w:val="99"/>
    <w:rsid w:val="005727C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eastAsia="Times New Roman"/>
      <w:sz w:val="16"/>
      <w:szCs w:val="16"/>
    </w:rPr>
  </w:style>
  <w:style w:type="paragraph" w:customStyle="1" w:styleId="xl64">
    <w:name w:val="xl64"/>
    <w:basedOn w:val="a"/>
    <w:uiPriority w:val="99"/>
    <w:rsid w:val="005727C2"/>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line="240" w:lineRule="auto"/>
      <w:jc w:val="center"/>
    </w:pPr>
    <w:rPr>
      <w:rFonts w:eastAsia="Times New Roman"/>
      <w:sz w:val="16"/>
      <w:szCs w:val="16"/>
    </w:rPr>
  </w:style>
  <w:style w:type="paragraph" w:customStyle="1" w:styleId="xl65">
    <w:name w:val="xl65"/>
    <w:basedOn w:val="a"/>
    <w:uiPriority w:val="99"/>
    <w:rsid w:val="005727C2"/>
    <w:pPr>
      <w:pBdr>
        <w:top w:val="single" w:sz="4" w:space="0" w:color="auto"/>
        <w:left w:val="single" w:sz="4" w:space="0" w:color="auto"/>
      </w:pBdr>
      <w:spacing w:before="100" w:beforeAutospacing="1" w:after="100" w:afterAutospacing="1" w:line="240" w:lineRule="auto"/>
    </w:pPr>
    <w:rPr>
      <w:rFonts w:eastAsia="Times New Roman"/>
      <w:sz w:val="16"/>
      <w:szCs w:val="16"/>
    </w:rPr>
  </w:style>
  <w:style w:type="paragraph" w:customStyle="1" w:styleId="xl66">
    <w:name w:val="xl66"/>
    <w:basedOn w:val="a"/>
    <w:uiPriority w:val="99"/>
    <w:rsid w:val="005727C2"/>
    <w:pPr>
      <w:pBdr>
        <w:top w:val="single" w:sz="4" w:space="0" w:color="auto"/>
      </w:pBdr>
      <w:spacing w:before="100" w:beforeAutospacing="1" w:after="100" w:afterAutospacing="1" w:line="240" w:lineRule="auto"/>
    </w:pPr>
    <w:rPr>
      <w:rFonts w:eastAsia="Times New Roman"/>
      <w:sz w:val="16"/>
      <w:szCs w:val="16"/>
    </w:rPr>
  </w:style>
  <w:style w:type="paragraph" w:customStyle="1" w:styleId="xl67">
    <w:name w:val="xl67"/>
    <w:basedOn w:val="a"/>
    <w:uiPriority w:val="99"/>
    <w:rsid w:val="005727C2"/>
    <w:pPr>
      <w:pBdr>
        <w:top w:val="single" w:sz="4" w:space="0" w:color="auto"/>
        <w:right w:val="single" w:sz="4" w:space="0" w:color="auto"/>
      </w:pBdr>
      <w:spacing w:before="100" w:beforeAutospacing="1" w:after="100" w:afterAutospacing="1" w:line="240" w:lineRule="auto"/>
    </w:pPr>
    <w:rPr>
      <w:rFonts w:eastAsia="Times New Roman"/>
      <w:sz w:val="16"/>
      <w:szCs w:val="16"/>
    </w:rPr>
  </w:style>
  <w:style w:type="paragraph" w:customStyle="1" w:styleId="xl68">
    <w:name w:val="xl68"/>
    <w:basedOn w:val="a"/>
    <w:uiPriority w:val="99"/>
    <w:rsid w:val="005727C2"/>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eastAsia="Times New Roman"/>
      <w:sz w:val="16"/>
      <w:szCs w:val="16"/>
    </w:rPr>
  </w:style>
  <w:style w:type="paragraph" w:customStyle="1" w:styleId="xl69">
    <w:name w:val="xl69"/>
    <w:basedOn w:val="a"/>
    <w:uiPriority w:val="99"/>
    <w:rsid w:val="005727C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eastAsia="Times New Roman"/>
      <w:sz w:val="16"/>
      <w:szCs w:val="16"/>
    </w:rPr>
  </w:style>
  <w:style w:type="paragraph" w:customStyle="1" w:styleId="xl70">
    <w:name w:val="xl70"/>
    <w:basedOn w:val="a"/>
    <w:uiPriority w:val="99"/>
    <w:rsid w:val="005727C2"/>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eastAsia="Times New Roman"/>
      <w:sz w:val="16"/>
      <w:szCs w:val="16"/>
    </w:rPr>
  </w:style>
  <w:style w:type="paragraph" w:customStyle="1" w:styleId="xl71">
    <w:name w:val="xl71"/>
    <w:basedOn w:val="a"/>
    <w:uiPriority w:val="99"/>
    <w:rsid w:val="005727C2"/>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line="240" w:lineRule="auto"/>
      <w:jc w:val="center"/>
    </w:pPr>
    <w:rPr>
      <w:rFonts w:eastAsia="Times New Roman"/>
      <w:sz w:val="16"/>
      <w:szCs w:val="16"/>
    </w:rPr>
  </w:style>
  <w:style w:type="paragraph" w:customStyle="1" w:styleId="xl72">
    <w:name w:val="xl72"/>
    <w:basedOn w:val="a"/>
    <w:uiPriority w:val="99"/>
    <w:rsid w:val="005727C2"/>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eastAsia="Times New Roman"/>
      <w:sz w:val="16"/>
      <w:szCs w:val="16"/>
    </w:rPr>
  </w:style>
  <w:style w:type="paragraph" w:customStyle="1" w:styleId="xl73">
    <w:name w:val="xl73"/>
    <w:basedOn w:val="a"/>
    <w:uiPriority w:val="99"/>
    <w:rsid w:val="005727C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eastAsia="Times New Roman"/>
      <w:sz w:val="16"/>
      <w:szCs w:val="16"/>
    </w:rPr>
  </w:style>
  <w:style w:type="paragraph" w:customStyle="1" w:styleId="xl74">
    <w:name w:val="xl74"/>
    <w:basedOn w:val="a"/>
    <w:uiPriority w:val="99"/>
    <w:rsid w:val="005727C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eastAsia="Times New Roman"/>
      <w:sz w:val="16"/>
      <w:szCs w:val="16"/>
    </w:rPr>
  </w:style>
  <w:style w:type="paragraph" w:customStyle="1" w:styleId="xl75">
    <w:name w:val="xl75"/>
    <w:basedOn w:val="a"/>
    <w:uiPriority w:val="99"/>
    <w:rsid w:val="005727C2"/>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line="240" w:lineRule="auto"/>
      <w:jc w:val="center"/>
    </w:pPr>
    <w:rPr>
      <w:rFonts w:eastAsia="Times New Roman"/>
      <w:sz w:val="16"/>
      <w:szCs w:val="16"/>
    </w:rPr>
  </w:style>
  <w:style w:type="paragraph" w:customStyle="1" w:styleId="xl76">
    <w:name w:val="xl76"/>
    <w:basedOn w:val="a"/>
    <w:uiPriority w:val="99"/>
    <w:rsid w:val="005727C2"/>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line="240" w:lineRule="auto"/>
      <w:jc w:val="center"/>
    </w:pPr>
    <w:rPr>
      <w:rFonts w:eastAsia="Times New Roman"/>
      <w:sz w:val="16"/>
      <w:szCs w:val="16"/>
    </w:rPr>
  </w:style>
  <w:style w:type="paragraph" w:customStyle="1" w:styleId="xl77">
    <w:name w:val="xl77"/>
    <w:basedOn w:val="a"/>
    <w:uiPriority w:val="99"/>
    <w:rsid w:val="005727C2"/>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line="240" w:lineRule="auto"/>
    </w:pPr>
    <w:rPr>
      <w:rFonts w:eastAsia="Times New Roman"/>
      <w:sz w:val="16"/>
      <w:szCs w:val="16"/>
    </w:rPr>
  </w:style>
  <w:style w:type="paragraph" w:customStyle="1" w:styleId="xl78">
    <w:name w:val="xl78"/>
    <w:basedOn w:val="a"/>
    <w:uiPriority w:val="99"/>
    <w:rsid w:val="005727C2"/>
    <w:pPr>
      <w:spacing w:before="100" w:beforeAutospacing="1" w:after="100" w:afterAutospacing="1" w:line="240" w:lineRule="auto"/>
    </w:pPr>
    <w:rPr>
      <w:rFonts w:eastAsia="Times New Roman"/>
      <w:sz w:val="16"/>
      <w:szCs w:val="16"/>
    </w:rPr>
  </w:style>
  <w:style w:type="paragraph" w:customStyle="1" w:styleId="xl79">
    <w:name w:val="xl79"/>
    <w:basedOn w:val="a"/>
    <w:uiPriority w:val="99"/>
    <w:rsid w:val="005727C2"/>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line="240" w:lineRule="auto"/>
      <w:jc w:val="center"/>
    </w:pPr>
    <w:rPr>
      <w:rFonts w:eastAsia="Times New Roman"/>
      <w:sz w:val="16"/>
      <w:szCs w:val="16"/>
    </w:rPr>
  </w:style>
  <w:style w:type="paragraph" w:customStyle="1" w:styleId="xl80">
    <w:name w:val="xl80"/>
    <w:basedOn w:val="a"/>
    <w:uiPriority w:val="99"/>
    <w:rsid w:val="005727C2"/>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eastAsia="Times New Roman"/>
      <w:sz w:val="16"/>
      <w:szCs w:val="16"/>
    </w:rPr>
  </w:style>
  <w:style w:type="paragraph" w:customStyle="1" w:styleId="xl81">
    <w:name w:val="xl81"/>
    <w:basedOn w:val="a"/>
    <w:uiPriority w:val="99"/>
    <w:rsid w:val="005727C2"/>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line="240" w:lineRule="auto"/>
      <w:jc w:val="center"/>
    </w:pPr>
    <w:rPr>
      <w:rFonts w:eastAsia="Times New Roman"/>
      <w:sz w:val="16"/>
      <w:szCs w:val="16"/>
    </w:rPr>
  </w:style>
  <w:style w:type="paragraph" w:customStyle="1" w:styleId="xl82">
    <w:name w:val="xl82"/>
    <w:basedOn w:val="a"/>
    <w:uiPriority w:val="99"/>
    <w:rsid w:val="005727C2"/>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line="240" w:lineRule="auto"/>
    </w:pPr>
    <w:rPr>
      <w:rFonts w:eastAsia="Times New Roman"/>
      <w:sz w:val="16"/>
      <w:szCs w:val="16"/>
    </w:rPr>
  </w:style>
  <w:style w:type="paragraph" w:customStyle="1" w:styleId="xl83">
    <w:name w:val="xl83"/>
    <w:basedOn w:val="a"/>
    <w:uiPriority w:val="99"/>
    <w:rsid w:val="005727C2"/>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line="240" w:lineRule="auto"/>
    </w:pPr>
    <w:rPr>
      <w:rFonts w:eastAsia="Times New Roman"/>
      <w:sz w:val="16"/>
      <w:szCs w:val="16"/>
    </w:rPr>
  </w:style>
  <w:style w:type="paragraph" w:customStyle="1" w:styleId="xl84">
    <w:name w:val="xl84"/>
    <w:basedOn w:val="a"/>
    <w:uiPriority w:val="99"/>
    <w:rsid w:val="005727C2"/>
    <w:pPr>
      <w:pBdr>
        <w:left w:val="single" w:sz="4" w:space="0" w:color="auto"/>
        <w:right w:val="single" w:sz="4" w:space="0" w:color="auto"/>
      </w:pBdr>
      <w:shd w:val="clear" w:color="auto" w:fill="FFFFFF"/>
      <w:spacing w:before="100" w:beforeAutospacing="1" w:after="100" w:afterAutospacing="1" w:line="240" w:lineRule="auto"/>
      <w:jc w:val="center"/>
    </w:pPr>
    <w:rPr>
      <w:rFonts w:eastAsia="Times New Roman"/>
      <w:sz w:val="16"/>
      <w:szCs w:val="16"/>
    </w:rPr>
  </w:style>
  <w:style w:type="paragraph" w:customStyle="1" w:styleId="xl85">
    <w:name w:val="xl85"/>
    <w:basedOn w:val="a"/>
    <w:uiPriority w:val="99"/>
    <w:rsid w:val="005727C2"/>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line="240" w:lineRule="auto"/>
      <w:jc w:val="center"/>
    </w:pPr>
    <w:rPr>
      <w:rFonts w:eastAsia="Times New Roman"/>
      <w:sz w:val="16"/>
      <w:szCs w:val="16"/>
    </w:rPr>
  </w:style>
  <w:style w:type="character" w:styleId="afd">
    <w:name w:val="footnote reference"/>
    <w:semiHidden/>
    <w:unhideWhenUsed/>
    <w:rsid w:val="005727C2"/>
    <w:rPr>
      <w:vertAlign w:val="superscript"/>
    </w:rPr>
  </w:style>
  <w:style w:type="character" w:customStyle="1" w:styleId="apple-converted-space">
    <w:name w:val="apple-converted-space"/>
    <w:basedOn w:val="a0"/>
    <w:rsid w:val="005727C2"/>
  </w:style>
  <w:style w:type="character" w:customStyle="1" w:styleId="apple-style-span">
    <w:name w:val="apple-style-span"/>
    <w:basedOn w:val="a0"/>
    <w:rsid w:val="005727C2"/>
  </w:style>
  <w:style w:type="character" w:customStyle="1" w:styleId="afe">
    <w:name w:val="Цветовое выделение"/>
    <w:rsid w:val="005727C2"/>
    <w:rPr>
      <w:b/>
      <w:bCs/>
      <w:color w:val="000080"/>
      <w:sz w:val="20"/>
      <w:szCs w:val="20"/>
    </w:rPr>
  </w:style>
  <w:style w:type="table" w:styleId="aff">
    <w:name w:val="Table Grid"/>
    <w:basedOn w:val="a1"/>
    <w:rsid w:val="005727C2"/>
    <w:pPr>
      <w:spacing w:after="0" w:line="240" w:lineRule="auto"/>
    </w:pPr>
    <w:rPr>
      <w:rFonts w:ascii="Calibri" w:eastAsia="Times New Roman"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8">
    <w:name w:val="Сетка таблицы1"/>
    <w:basedOn w:val="a1"/>
    <w:rsid w:val="005727C2"/>
    <w:pPr>
      <w:spacing w:after="0" w:line="240" w:lineRule="auto"/>
    </w:pPr>
    <w:rPr>
      <w:rFonts w:ascii="Calibri" w:eastAsia="Times New Roman" w:hAnsi="Calibri" w:cs="Calibri"/>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styleId="aff0">
    <w:name w:val="Emphasis"/>
    <w:basedOn w:val="a0"/>
    <w:uiPriority w:val="20"/>
    <w:qFormat/>
    <w:rsid w:val="005727C2"/>
    <w:rPr>
      <w:i/>
      <w:iCs/>
    </w:rPr>
  </w:style>
  <w:style w:type="numbering" w:customStyle="1" w:styleId="19">
    <w:name w:val="Нет списка1"/>
    <w:next w:val="a2"/>
    <w:uiPriority w:val="99"/>
    <w:semiHidden/>
    <w:unhideWhenUsed/>
    <w:rsid w:val="001E7B45"/>
  </w:style>
  <w:style w:type="paragraph" w:customStyle="1" w:styleId="ConsPlusNonformat">
    <w:name w:val="ConsPlusNonformat"/>
    <w:uiPriority w:val="99"/>
    <w:rsid w:val="001E7B45"/>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uiPriority="0" w:qFormat="1"/>
    <w:lsdException w:name="heading 3" w:uiPriority="9" w:qFormat="1"/>
    <w:lsdException w:name="heading 4" w:uiPriority="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footnote reference" w:uiPriority="0"/>
    <w:lsdException w:name="Title" w:semiHidden="0" w:unhideWhenUsed="0" w:qFormat="1"/>
    <w:lsdException w:name="Default Paragraph Font" w:uiPriority="1"/>
    <w:lsdException w:name="Subtitle" w:semiHidden="0" w:uiPriority="11" w:unhideWhenUsed="0" w:qFormat="1"/>
    <w:lsdException w:name="Strong" w:semiHidden="0" w:unhideWhenUsed="0" w:qFormat="1"/>
    <w:lsdException w:name="Emphasis" w:semiHidden="0" w:uiPriority="20" w:unhideWhenUsed="0" w:qFormat="1"/>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F3255"/>
    <w:pPr>
      <w:spacing w:after="120"/>
    </w:pPr>
    <w:rPr>
      <w:rFonts w:ascii="Times New Roman" w:eastAsia="MS Mincho" w:hAnsi="Times New Roman" w:cs="Times New Roman"/>
      <w:sz w:val="24"/>
      <w:szCs w:val="24"/>
      <w:lang w:eastAsia="ru-RU"/>
    </w:rPr>
  </w:style>
  <w:style w:type="paragraph" w:styleId="1">
    <w:name w:val="heading 1"/>
    <w:basedOn w:val="a"/>
    <w:next w:val="a"/>
    <w:link w:val="10"/>
    <w:uiPriority w:val="99"/>
    <w:qFormat/>
    <w:rsid w:val="005727C2"/>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2">
    <w:name w:val="heading 2"/>
    <w:basedOn w:val="a"/>
    <w:next w:val="a"/>
    <w:link w:val="20"/>
    <w:unhideWhenUsed/>
    <w:qFormat/>
    <w:rsid w:val="005727C2"/>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3">
    <w:name w:val="heading 3"/>
    <w:basedOn w:val="a"/>
    <w:link w:val="30"/>
    <w:uiPriority w:val="9"/>
    <w:unhideWhenUsed/>
    <w:qFormat/>
    <w:rsid w:val="005727C2"/>
    <w:pPr>
      <w:spacing w:before="100" w:beforeAutospacing="1" w:after="100" w:afterAutospacing="1" w:line="240" w:lineRule="auto"/>
      <w:outlineLvl w:val="2"/>
    </w:pPr>
    <w:rPr>
      <w:rFonts w:eastAsia="Times New Roman"/>
      <w:b/>
      <w:bCs/>
      <w:sz w:val="27"/>
      <w:szCs w:val="27"/>
    </w:rPr>
  </w:style>
  <w:style w:type="paragraph" w:styleId="4">
    <w:name w:val="heading 4"/>
    <w:basedOn w:val="a"/>
    <w:next w:val="a"/>
    <w:link w:val="40"/>
    <w:qFormat/>
    <w:rsid w:val="002F3255"/>
    <w:pPr>
      <w:keepNext/>
      <w:spacing w:before="240" w:after="60"/>
      <w:outlineLvl w:val="3"/>
    </w:pPr>
    <w:rPr>
      <w:rFonts w:eastAsia="Times New Roman"/>
      <w:b/>
      <w:bCs/>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40">
    <w:name w:val="Заголовок 4 Знак"/>
    <w:basedOn w:val="a0"/>
    <w:link w:val="4"/>
    <w:rsid w:val="002F3255"/>
    <w:rPr>
      <w:rFonts w:ascii="Times New Roman" w:eastAsia="Times New Roman" w:hAnsi="Times New Roman" w:cs="Times New Roman"/>
      <w:b/>
      <w:bCs/>
      <w:sz w:val="28"/>
      <w:szCs w:val="28"/>
      <w:lang w:eastAsia="ru-RU"/>
    </w:rPr>
  </w:style>
  <w:style w:type="paragraph" w:customStyle="1" w:styleId="a3">
    <w:name w:val="Стиль второй"/>
    <w:basedOn w:val="a"/>
    <w:link w:val="a4"/>
    <w:autoRedefine/>
    <w:qFormat/>
    <w:rsid w:val="0061749D"/>
    <w:pPr>
      <w:tabs>
        <w:tab w:val="right" w:leader="dot" w:pos="9786"/>
      </w:tabs>
      <w:spacing w:after="0" w:line="240" w:lineRule="auto"/>
      <w:ind w:left="284"/>
      <w:jc w:val="both"/>
    </w:pPr>
    <w:rPr>
      <w:b/>
      <w:noProof/>
      <w:color w:val="000000"/>
      <w:sz w:val="28"/>
      <w:szCs w:val="28"/>
    </w:rPr>
  </w:style>
  <w:style w:type="character" w:customStyle="1" w:styleId="a4">
    <w:name w:val="Стиль второй Знак"/>
    <w:basedOn w:val="a0"/>
    <w:link w:val="a3"/>
    <w:rsid w:val="0061749D"/>
    <w:rPr>
      <w:rFonts w:ascii="Times New Roman" w:eastAsia="MS Mincho" w:hAnsi="Times New Roman" w:cs="Times New Roman"/>
      <w:b/>
      <w:noProof/>
      <w:color w:val="000000"/>
      <w:sz w:val="28"/>
      <w:szCs w:val="28"/>
      <w:lang w:eastAsia="ru-RU"/>
    </w:rPr>
  </w:style>
  <w:style w:type="paragraph" w:customStyle="1" w:styleId="11">
    <w:name w:val="Стиль1"/>
    <w:basedOn w:val="4"/>
    <w:link w:val="12"/>
    <w:qFormat/>
    <w:rsid w:val="002F3255"/>
    <w:rPr>
      <w:sz w:val="32"/>
      <w:szCs w:val="32"/>
    </w:rPr>
  </w:style>
  <w:style w:type="character" w:customStyle="1" w:styleId="12">
    <w:name w:val="Стиль1 Знак"/>
    <w:basedOn w:val="40"/>
    <w:link w:val="11"/>
    <w:rsid w:val="002F3255"/>
    <w:rPr>
      <w:rFonts w:ascii="Times New Roman" w:eastAsia="Times New Roman" w:hAnsi="Times New Roman" w:cs="Times New Roman"/>
      <w:b/>
      <w:bCs/>
      <w:sz w:val="32"/>
      <w:szCs w:val="32"/>
      <w:lang w:eastAsia="ru-RU"/>
    </w:rPr>
  </w:style>
  <w:style w:type="paragraph" w:customStyle="1" w:styleId="13">
    <w:name w:val="Без интервала1"/>
    <w:rsid w:val="002F3255"/>
    <w:pPr>
      <w:spacing w:after="0" w:line="240" w:lineRule="auto"/>
    </w:pPr>
    <w:rPr>
      <w:rFonts w:ascii="Calibri" w:eastAsia="Calibri" w:hAnsi="Calibri" w:cs="Times New Roman"/>
      <w:lang w:val="en-US"/>
    </w:rPr>
  </w:style>
  <w:style w:type="paragraph" w:customStyle="1" w:styleId="a5">
    <w:name w:val="Стиль первый"/>
    <w:basedOn w:val="a"/>
    <w:uiPriority w:val="99"/>
    <w:qFormat/>
    <w:rsid w:val="002F3255"/>
    <w:pPr>
      <w:tabs>
        <w:tab w:val="right" w:leader="dot" w:pos="9786"/>
      </w:tabs>
    </w:pPr>
    <w:rPr>
      <w:b/>
      <w:noProof/>
      <w:sz w:val="32"/>
      <w:szCs w:val="28"/>
    </w:rPr>
  </w:style>
  <w:style w:type="paragraph" w:styleId="a6">
    <w:name w:val="List Paragraph"/>
    <w:basedOn w:val="a"/>
    <w:uiPriority w:val="34"/>
    <w:qFormat/>
    <w:rsid w:val="00943F22"/>
    <w:pPr>
      <w:spacing w:after="200"/>
      <w:ind w:left="720"/>
      <w:contextualSpacing/>
    </w:pPr>
    <w:rPr>
      <w:rFonts w:ascii="Calibri" w:eastAsia="Calibri" w:hAnsi="Calibri"/>
      <w:sz w:val="22"/>
      <w:szCs w:val="22"/>
      <w:lang w:eastAsia="en-US"/>
    </w:rPr>
  </w:style>
  <w:style w:type="character" w:customStyle="1" w:styleId="a7">
    <w:name w:val="Верхний колонтитул Знак"/>
    <w:basedOn w:val="a0"/>
    <w:link w:val="a8"/>
    <w:rsid w:val="000E6A73"/>
    <w:rPr>
      <w:rFonts w:ascii="Times New Roman" w:eastAsia="Times New Roman" w:hAnsi="Times New Roman" w:cs="Times New Roman"/>
      <w:sz w:val="24"/>
      <w:szCs w:val="24"/>
      <w:lang w:eastAsia="ru-RU"/>
    </w:rPr>
  </w:style>
  <w:style w:type="paragraph" w:styleId="a8">
    <w:name w:val="header"/>
    <w:basedOn w:val="a"/>
    <w:link w:val="a7"/>
    <w:unhideWhenUsed/>
    <w:rsid w:val="000E6A73"/>
    <w:pPr>
      <w:tabs>
        <w:tab w:val="center" w:pos="4677"/>
        <w:tab w:val="right" w:pos="9355"/>
      </w:tabs>
      <w:spacing w:after="0" w:line="240" w:lineRule="auto"/>
    </w:pPr>
    <w:rPr>
      <w:rFonts w:eastAsia="Times New Roman"/>
    </w:rPr>
  </w:style>
  <w:style w:type="character" w:customStyle="1" w:styleId="a9">
    <w:name w:val="Нижний колонтитул Знак"/>
    <w:basedOn w:val="a0"/>
    <w:link w:val="aa"/>
    <w:uiPriority w:val="99"/>
    <w:rsid w:val="000E6A73"/>
    <w:rPr>
      <w:rFonts w:ascii="Times New Roman" w:eastAsia="Times New Roman" w:hAnsi="Times New Roman" w:cs="Times New Roman"/>
      <w:sz w:val="24"/>
      <w:szCs w:val="24"/>
      <w:lang w:eastAsia="ru-RU"/>
    </w:rPr>
  </w:style>
  <w:style w:type="paragraph" w:styleId="aa">
    <w:name w:val="footer"/>
    <w:basedOn w:val="a"/>
    <w:link w:val="a9"/>
    <w:uiPriority w:val="99"/>
    <w:unhideWhenUsed/>
    <w:rsid w:val="000E6A73"/>
    <w:pPr>
      <w:tabs>
        <w:tab w:val="center" w:pos="4677"/>
        <w:tab w:val="right" w:pos="9355"/>
      </w:tabs>
      <w:spacing w:after="0" w:line="240" w:lineRule="auto"/>
    </w:pPr>
    <w:rPr>
      <w:rFonts w:eastAsia="Times New Roman"/>
    </w:rPr>
  </w:style>
  <w:style w:type="character" w:customStyle="1" w:styleId="ab">
    <w:name w:val="Основной текст Знак"/>
    <w:basedOn w:val="a0"/>
    <w:link w:val="ac"/>
    <w:uiPriority w:val="99"/>
    <w:rsid w:val="000E6A73"/>
    <w:rPr>
      <w:rFonts w:ascii="Times New Roman" w:eastAsia="Times New Roman" w:hAnsi="Times New Roman" w:cs="Times New Roman"/>
      <w:sz w:val="28"/>
      <w:szCs w:val="20"/>
      <w:lang w:eastAsia="ru-RU"/>
    </w:rPr>
  </w:style>
  <w:style w:type="paragraph" w:styleId="ac">
    <w:name w:val="Body Text"/>
    <w:basedOn w:val="a"/>
    <w:link w:val="ab"/>
    <w:uiPriority w:val="99"/>
    <w:unhideWhenUsed/>
    <w:rsid w:val="000E6A73"/>
    <w:pPr>
      <w:spacing w:after="0" w:line="240" w:lineRule="auto"/>
      <w:jc w:val="both"/>
    </w:pPr>
    <w:rPr>
      <w:rFonts w:eastAsia="Times New Roman"/>
      <w:sz w:val="28"/>
      <w:szCs w:val="20"/>
    </w:rPr>
  </w:style>
  <w:style w:type="character" w:customStyle="1" w:styleId="31">
    <w:name w:val="Основной текст с отступом 3 Знак"/>
    <w:basedOn w:val="a0"/>
    <w:link w:val="32"/>
    <w:uiPriority w:val="99"/>
    <w:rsid w:val="000E6A73"/>
    <w:rPr>
      <w:rFonts w:ascii="Times New Roman" w:eastAsia="Times New Roman" w:hAnsi="Times New Roman" w:cs="Times New Roman"/>
      <w:sz w:val="28"/>
      <w:szCs w:val="20"/>
      <w:lang w:eastAsia="ru-RU"/>
    </w:rPr>
  </w:style>
  <w:style w:type="paragraph" w:styleId="32">
    <w:name w:val="Body Text Indent 3"/>
    <w:basedOn w:val="a"/>
    <w:link w:val="31"/>
    <w:uiPriority w:val="99"/>
    <w:unhideWhenUsed/>
    <w:rsid w:val="000E6A73"/>
    <w:pPr>
      <w:spacing w:after="0" w:line="240" w:lineRule="auto"/>
      <w:ind w:right="-1050" w:firstLine="709"/>
    </w:pPr>
    <w:rPr>
      <w:rFonts w:eastAsia="Times New Roman"/>
      <w:sz w:val="28"/>
      <w:szCs w:val="20"/>
    </w:rPr>
  </w:style>
  <w:style w:type="paragraph" w:styleId="ad">
    <w:name w:val="Balloon Text"/>
    <w:basedOn w:val="a"/>
    <w:link w:val="ae"/>
    <w:uiPriority w:val="99"/>
    <w:unhideWhenUsed/>
    <w:rsid w:val="000E6A73"/>
    <w:pPr>
      <w:spacing w:after="0" w:line="240" w:lineRule="auto"/>
    </w:pPr>
    <w:rPr>
      <w:rFonts w:ascii="Tahoma" w:hAnsi="Tahoma" w:cs="Tahoma"/>
      <w:sz w:val="16"/>
      <w:szCs w:val="16"/>
    </w:rPr>
  </w:style>
  <w:style w:type="character" w:customStyle="1" w:styleId="ae">
    <w:name w:val="Текст выноски Знак"/>
    <w:basedOn w:val="a0"/>
    <w:link w:val="ad"/>
    <w:uiPriority w:val="99"/>
    <w:rsid w:val="000E6A73"/>
    <w:rPr>
      <w:rFonts w:ascii="Tahoma" w:eastAsia="MS Mincho" w:hAnsi="Tahoma" w:cs="Tahoma"/>
      <w:sz w:val="16"/>
      <w:szCs w:val="16"/>
      <w:lang w:eastAsia="ru-RU"/>
    </w:rPr>
  </w:style>
  <w:style w:type="paragraph" w:styleId="af">
    <w:name w:val="Normal (Web)"/>
    <w:basedOn w:val="a"/>
    <w:uiPriority w:val="99"/>
    <w:unhideWhenUsed/>
    <w:rsid w:val="000E6A73"/>
    <w:pPr>
      <w:spacing w:before="82" w:after="82" w:line="240" w:lineRule="auto"/>
      <w:ind w:firstLine="82"/>
    </w:pPr>
    <w:rPr>
      <w:rFonts w:ascii="Verdana" w:eastAsia="Times New Roman" w:hAnsi="Verdana"/>
    </w:rPr>
  </w:style>
  <w:style w:type="character" w:customStyle="1" w:styleId="10">
    <w:name w:val="Заголовок 1 Знак"/>
    <w:basedOn w:val="a0"/>
    <w:link w:val="1"/>
    <w:uiPriority w:val="99"/>
    <w:rsid w:val="005727C2"/>
    <w:rPr>
      <w:rFonts w:asciiTheme="majorHAnsi" w:eastAsiaTheme="majorEastAsia" w:hAnsiTheme="majorHAnsi" w:cstheme="majorBidi"/>
      <w:b/>
      <w:bCs/>
      <w:color w:val="365F91" w:themeColor="accent1" w:themeShade="BF"/>
      <w:sz w:val="28"/>
      <w:szCs w:val="28"/>
      <w:lang w:eastAsia="ru-RU"/>
    </w:rPr>
  </w:style>
  <w:style w:type="character" w:customStyle="1" w:styleId="20">
    <w:name w:val="Заголовок 2 Знак"/>
    <w:basedOn w:val="a0"/>
    <w:link w:val="2"/>
    <w:rsid w:val="005727C2"/>
    <w:rPr>
      <w:rFonts w:asciiTheme="majorHAnsi" w:eastAsiaTheme="majorEastAsia" w:hAnsiTheme="majorHAnsi" w:cstheme="majorBidi"/>
      <w:b/>
      <w:bCs/>
      <w:color w:val="4F81BD" w:themeColor="accent1"/>
      <w:sz w:val="26"/>
      <w:szCs w:val="26"/>
      <w:lang w:eastAsia="ru-RU"/>
    </w:rPr>
  </w:style>
  <w:style w:type="character" w:customStyle="1" w:styleId="30">
    <w:name w:val="Заголовок 3 Знак"/>
    <w:basedOn w:val="a0"/>
    <w:link w:val="3"/>
    <w:uiPriority w:val="9"/>
    <w:rsid w:val="005727C2"/>
    <w:rPr>
      <w:rFonts w:ascii="Times New Roman" w:eastAsia="Times New Roman" w:hAnsi="Times New Roman" w:cs="Times New Roman"/>
      <w:b/>
      <w:bCs/>
      <w:sz w:val="27"/>
      <w:szCs w:val="27"/>
      <w:lang w:eastAsia="ru-RU"/>
    </w:rPr>
  </w:style>
  <w:style w:type="character" w:styleId="af0">
    <w:name w:val="Hyperlink"/>
    <w:basedOn w:val="a0"/>
    <w:uiPriority w:val="99"/>
    <w:unhideWhenUsed/>
    <w:rsid w:val="005727C2"/>
    <w:rPr>
      <w:rFonts w:ascii="Times New Roman" w:hAnsi="Times New Roman" w:cs="Times New Roman" w:hint="default"/>
      <w:color w:val="0000FF"/>
      <w:u w:val="single"/>
    </w:rPr>
  </w:style>
  <w:style w:type="character" w:styleId="af1">
    <w:name w:val="FollowedHyperlink"/>
    <w:basedOn w:val="a0"/>
    <w:uiPriority w:val="99"/>
    <w:semiHidden/>
    <w:unhideWhenUsed/>
    <w:rsid w:val="005727C2"/>
    <w:rPr>
      <w:color w:val="800080" w:themeColor="followedHyperlink"/>
      <w:u w:val="single"/>
    </w:rPr>
  </w:style>
  <w:style w:type="character" w:styleId="af2">
    <w:name w:val="Strong"/>
    <w:basedOn w:val="a0"/>
    <w:uiPriority w:val="99"/>
    <w:qFormat/>
    <w:rsid w:val="005727C2"/>
    <w:rPr>
      <w:rFonts w:ascii="Times New Roman" w:hAnsi="Times New Roman" w:cs="Times New Roman" w:hint="default"/>
      <w:b/>
      <w:bCs/>
    </w:rPr>
  </w:style>
  <w:style w:type="paragraph" w:styleId="14">
    <w:name w:val="toc 1"/>
    <w:basedOn w:val="a"/>
    <w:next w:val="a"/>
    <w:autoRedefine/>
    <w:uiPriority w:val="39"/>
    <w:semiHidden/>
    <w:unhideWhenUsed/>
    <w:rsid w:val="005727C2"/>
    <w:pPr>
      <w:spacing w:after="100"/>
    </w:pPr>
  </w:style>
  <w:style w:type="paragraph" w:styleId="af3">
    <w:name w:val="footnote text"/>
    <w:basedOn w:val="a"/>
    <w:link w:val="af4"/>
    <w:uiPriority w:val="99"/>
    <w:semiHidden/>
    <w:unhideWhenUsed/>
    <w:rsid w:val="005727C2"/>
    <w:pPr>
      <w:spacing w:after="0" w:line="240" w:lineRule="auto"/>
    </w:pPr>
    <w:rPr>
      <w:rFonts w:eastAsia="Times New Roman"/>
      <w:sz w:val="20"/>
      <w:szCs w:val="20"/>
    </w:rPr>
  </w:style>
  <w:style w:type="character" w:customStyle="1" w:styleId="af4">
    <w:name w:val="Текст сноски Знак"/>
    <w:basedOn w:val="a0"/>
    <w:link w:val="af3"/>
    <w:uiPriority w:val="99"/>
    <w:semiHidden/>
    <w:rsid w:val="005727C2"/>
    <w:rPr>
      <w:rFonts w:ascii="Times New Roman" w:eastAsia="Times New Roman" w:hAnsi="Times New Roman" w:cs="Times New Roman"/>
      <w:sz w:val="20"/>
      <w:szCs w:val="20"/>
      <w:lang w:eastAsia="ru-RU"/>
    </w:rPr>
  </w:style>
  <w:style w:type="paragraph" w:styleId="21">
    <w:name w:val="List 2"/>
    <w:basedOn w:val="a"/>
    <w:uiPriority w:val="99"/>
    <w:unhideWhenUsed/>
    <w:rsid w:val="005727C2"/>
    <w:pPr>
      <w:ind w:left="566" w:hanging="283"/>
    </w:pPr>
    <w:rPr>
      <w:rFonts w:eastAsia="Times New Roman"/>
      <w:sz w:val="20"/>
      <w:szCs w:val="20"/>
    </w:rPr>
  </w:style>
  <w:style w:type="paragraph" w:styleId="af5">
    <w:name w:val="Title"/>
    <w:basedOn w:val="a"/>
    <w:link w:val="af6"/>
    <w:uiPriority w:val="99"/>
    <w:qFormat/>
    <w:rsid w:val="005727C2"/>
    <w:pPr>
      <w:jc w:val="center"/>
    </w:pPr>
    <w:rPr>
      <w:rFonts w:eastAsia="Times New Roman"/>
      <w:b/>
      <w:bCs/>
    </w:rPr>
  </w:style>
  <w:style w:type="character" w:customStyle="1" w:styleId="af6">
    <w:name w:val="Название Знак"/>
    <w:basedOn w:val="a0"/>
    <w:link w:val="af5"/>
    <w:uiPriority w:val="99"/>
    <w:rsid w:val="005727C2"/>
    <w:rPr>
      <w:rFonts w:ascii="Times New Roman" w:eastAsia="Times New Roman" w:hAnsi="Times New Roman" w:cs="Times New Roman"/>
      <w:b/>
      <w:bCs/>
      <w:sz w:val="24"/>
      <w:szCs w:val="24"/>
      <w:lang w:eastAsia="ru-RU"/>
    </w:rPr>
  </w:style>
  <w:style w:type="paragraph" w:styleId="af7">
    <w:name w:val="Body Text Indent"/>
    <w:basedOn w:val="a"/>
    <w:link w:val="af8"/>
    <w:uiPriority w:val="99"/>
    <w:unhideWhenUsed/>
    <w:rsid w:val="005727C2"/>
    <w:pPr>
      <w:ind w:left="283"/>
    </w:pPr>
  </w:style>
  <w:style w:type="character" w:customStyle="1" w:styleId="af8">
    <w:name w:val="Основной текст с отступом Знак"/>
    <w:basedOn w:val="a0"/>
    <w:link w:val="af7"/>
    <w:uiPriority w:val="99"/>
    <w:rsid w:val="005727C2"/>
    <w:rPr>
      <w:rFonts w:ascii="Times New Roman" w:eastAsia="MS Mincho" w:hAnsi="Times New Roman" w:cs="Times New Roman"/>
      <w:sz w:val="24"/>
      <w:szCs w:val="24"/>
      <w:lang w:eastAsia="ru-RU"/>
    </w:rPr>
  </w:style>
  <w:style w:type="paragraph" w:styleId="22">
    <w:name w:val="Body Text 2"/>
    <w:basedOn w:val="a"/>
    <w:link w:val="23"/>
    <w:uiPriority w:val="99"/>
    <w:unhideWhenUsed/>
    <w:rsid w:val="005727C2"/>
    <w:pPr>
      <w:spacing w:line="480" w:lineRule="auto"/>
    </w:pPr>
  </w:style>
  <w:style w:type="character" w:customStyle="1" w:styleId="23">
    <w:name w:val="Основной текст 2 Знак"/>
    <w:basedOn w:val="a0"/>
    <w:link w:val="22"/>
    <w:uiPriority w:val="99"/>
    <w:rsid w:val="005727C2"/>
    <w:rPr>
      <w:rFonts w:ascii="Times New Roman" w:eastAsia="MS Mincho" w:hAnsi="Times New Roman" w:cs="Times New Roman"/>
      <w:sz w:val="24"/>
      <w:szCs w:val="24"/>
      <w:lang w:eastAsia="ru-RU"/>
    </w:rPr>
  </w:style>
  <w:style w:type="paragraph" w:styleId="24">
    <w:name w:val="Body Text Indent 2"/>
    <w:basedOn w:val="a"/>
    <w:link w:val="25"/>
    <w:uiPriority w:val="99"/>
    <w:unhideWhenUsed/>
    <w:rsid w:val="005727C2"/>
    <w:pPr>
      <w:spacing w:line="480" w:lineRule="auto"/>
      <w:ind w:left="283"/>
    </w:pPr>
  </w:style>
  <w:style w:type="character" w:customStyle="1" w:styleId="25">
    <w:name w:val="Основной текст с отступом 2 Знак"/>
    <w:basedOn w:val="a0"/>
    <w:link w:val="24"/>
    <w:uiPriority w:val="99"/>
    <w:rsid w:val="005727C2"/>
    <w:rPr>
      <w:rFonts w:ascii="Times New Roman" w:eastAsia="MS Mincho" w:hAnsi="Times New Roman" w:cs="Times New Roman"/>
      <w:sz w:val="24"/>
      <w:szCs w:val="24"/>
      <w:lang w:eastAsia="ru-RU"/>
    </w:rPr>
  </w:style>
  <w:style w:type="character" w:customStyle="1" w:styleId="af9">
    <w:name w:val="Без интервала Знак"/>
    <w:link w:val="afa"/>
    <w:uiPriority w:val="1"/>
    <w:locked/>
    <w:rsid w:val="005727C2"/>
    <w:rPr>
      <w:rFonts w:ascii="Calibri" w:hAnsi="Calibri" w:cs="Calibri"/>
      <w:lang w:eastAsia="zh-CN"/>
    </w:rPr>
  </w:style>
  <w:style w:type="paragraph" w:styleId="afa">
    <w:name w:val="No Spacing"/>
    <w:link w:val="af9"/>
    <w:uiPriority w:val="1"/>
    <w:qFormat/>
    <w:rsid w:val="005727C2"/>
    <w:pPr>
      <w:suppressAutoHyphens/>
      <w:spacing w:after="0" w:line="240" w:lineRule="auto"/>
    </w:pPr>
    <w:rPr>
      <w:rFonts w:ascii="Calibri" w:hAnsi="Calibri" w:cs="Calibri"/>
      <w:lang w:eastAsia="zh-CN"/>
    </w:rPr>
  </w:style>
  <w:style w:type="paragraph" w:customStyle="1" w:styleId="ConsPlusNormal">
    <w:name w:val="ConsPlusNormal"/>
    <w:rsid w:val="005727C2"/>
    <w:pPr>
      <w:autoSpaceDE w:val="0"/>
      <w:autoSpaceDN w:val="0"/>
      <w:adjustRightInd w:val="0"/>
      <w:spacing w:after="0" w:line="240" w:lineRule="auto"/>
    </w:pPr>
    <w:rPr>
      <w:rFonts w:ascii="Calibri" w:eastAsia="Calibri" w:hAnsi="Calibri" w:cs="Calibri"/>
    </w:rPr>
  </w:style>
  <w:style w:type="paragraph" w:customStyle="1" w:styleId="-12">
    <w:name w:val="Цветной список - Акцент 12"/>
    <w:basedOn w:val="a"/>
    <w:uiPriority w:val="99"/>
    <w:qFormat/>
    <w:rsid w:val="005727C2"/>
    <w:pPr>
      <w:spacing w:after="200"/>
      <w:ind w:left="720"/>
      <w:contextualSpacing/>
    </w:pPr>
    <w:rPr>
      <w:rFonts w:ascii="Calibri" w:eastAsia="Times New Roman" w:hAnsi="Calibri"/>
      <w:sz w:val="22"/>
      <w:szCs w:val="22"/>
      <w:lang w:eastAsia="en-US"/>
    </w:rPr>
  </w:style>
  <w:style w:type="paragraph" w:customStyle="1" w:styleId="ConsPlusTitle">
    <w:name w:val="ConsPlusTitle"/>
    <w:uiPriority w:val="99"/>
    <w:rsid w:val="005727C2"/>
    <w:pPr>
      <w:widowControl w:val="0"/>
      <w:autoSpaceDE w:val="0"/>
      <w:autoSpaceDN w:val="0"/>
      <w:adjustRightInd w:val="0"/>
      <w:spacing w:after="0" w:line="240" w:lineRule="auto"/>
    </w:pPr>
    <w:rPr>
      <w:rFonts w:ascii="Calibri" w:eastAsia="Times New Roman" w:hAnsi="Calibri" w:cs="Calibri"/>
      <w:b/>
      <w:bCs/>
      <w:lang w:eastAsia="ru-RU"/>
    </w:rPr>
  </w:style>
  <w:style w:type="paragraph" w:customStyle="1" w:styleId="ConsPlusCell">
    <w:name w:val="ConsPlusCell"/>
    <w:rsid w:val="005727C2"/>
    <w:pPr>
      <w:autoSpaceDE w:val="0"/>
      <w:autoSpaceDN w:val="0"/>
      <w:adjustRightInd w:val="0"/>
      <w:spacing w:after="0" w:line="240" w:lineRule="auto"/>
    </w:pPr>
    <w:rPr>
      <w:rFonts w:ascii="Arial" w:eastAsia="Times New Roman" w:hAnsi="Arial" w:cs="Arial"/>
      <w:sz w:val="20"/>
      <w:szCs w:val="20"/>
      <w:lang w:eastAsia="ru-RU"/>
    </w:rPr>
  </w:style>
  <w:style w:type="paragraph" w:customStyle="1" w:styleId="15">
    <w:name w:val="Абзац списка1"/>
    <w:basedOn w:val="a"/>
    <w:uiPriority w:val="99"/>
    <w:rsid w:val="005727C2"/>
    <w:pPr>
      <w:ind w:left="720"/>
      <w:contextualSpacing/>
    </w:pPr>
    <w:rPr>
      <w:rFonts w:eastAsia="Times New Roman"/>
      <w:sz w:val="20"/>
      <w:szCs w:val="20"/>
    </w:rPr>
  </w:style>
  <w:style w:type="paragraph" w:customStyle="1" w:styleId="afb">
    <w:name w:val="Знак"/>
    <w:basedOn w:val="a"/>
    <w:autoRedefine/>
    <w:rsid w:val="005727C2"/>
    <w:pPr>
      <w:spacing w:after="160" w:line="240" w:lineRule="exact"/>
      <w:ind w:left="26"/>
    </w:pPr>
    <w:rPr>
      <w:rFonts w:eastAsia="Times New Roman"/>
      <w:lang w:val="en-US" w:eastAsia="en-US"/>
    </w:rPr>
  </w:style>
  <w:style w:type="paragraph" w:customStyle="1" w:styleId="ConsNormal">
    <w:name w:val="ConsNormal"/>
    <w:uiPriority w:val="99"/>
    <w:rsid w:val="005727C2"/>
    <w:pPr>
      <w:widowControl w:val="0"/>
      <w:autoSpaceDE w:val="0"/>
      <w:autoSpaceDN w:val="0"/>
      <w:adjustRightInd w:val="0"/>
      <w:spacing w:after="0" w:line="240" w:lineRule="auto"/>
      <w:ind w:right="19772" w:firstLine="720"/>
    </w:pPr>
    <w:rPr>
      <w:rFonts w:ascii="Arial" w:eastAsia="Times New Roman" w:hAnsi="Arial" w:cs="Arial"/>
      <w:sz w:val="18"/>
      <w:szCs w:val="20"/>
      <w:lang w:eastAsia="ru-RU"/>
    </w:rPr>
  </w:style>
  <w:style w:type="character" w:customStyle="1" w:styleId="SMAPlainText">
    <w:name w:val="SMA_PlainText Знак"/>
    <w:link w:val="SMAPlainText0"/>
    <w:locked/>
    <w:rsid w:val="005727C2"/>
    <w:rPr>
      <w:rFonts w:ascii="Times New Roman" w:eastAsia="MS Mincho" w:hAnsi="Times New Roman" w:cs="Times New Roman"/>
      <w:sz w:val="24"/>
      <w:szCs w:val="28"/>
      <w:lang w:eastAsia="ru-RU"/>
    </w:rPr>
  </w:style>
  <w:style w:type="paragraph" w:customStyle="1" w:styleId="SMAPlainText0">
    <w:name w:val="SMA_PlainText"/>
    <w:link w:val="SMAPlainText"/>
    <w:qFormat/>
    <w:rsid w:val="005727C2"/>
    <w:pPr>
      <w:spacing w:after="0"/>
      <w:ind w:firstLine="709"/>
      <w:jc w:val="both"/>
    </w:pPr>
    <w:rPr>
      <w:rFonts w:ascii="Times New Roman" w:eastAsia="MS Mincho" w:hAnsi="Times New Roman" w:cs="Times New Roman"/>
      <w:sz w:val="24"/>
      <w:szCs w:val="28"/>
      <w:lang w:eastAsia="ru-RU"/>
    </w:rPr>
  </w:style>
  <w:style w:type="paragraph" w:customStyle="1" w:styleId="26">
    <w:name w:val="Стиль ОТЧЕТ2"/>
    <w:basedOn w:val="a"/>
    <w:qFormat/>
    <w:rsid w:val="005727C2"/>
    <w:pPr>
      <w:tabs>
        <w:tab w:val="right" w:leader="dot" w:pos="9786"/>
      </w:tabs>
      <w:spacing w:after="0" w:line="240" w:lineRule="auto"/>
    </w:pPr>
    <w:rPr>
      <w:b/>
      <w:i/>
      <w:noProof/>
      <w:sz w:val="32"/>
      <w:szCs w:val="28"/>
    </w:rPr>
  </w:style>
  <w:style w:type="paragraph" w:customStyle="1" w:styleId="16">
    <w:name w:val="Стиль ОТЧЕТ 1"/>
    <w:basedOn w:val="14"/>
    <w:qFormat/>
    <w:rsid w:val="005727C2"/>
    <w:pPr>
      <w:tabs>
        <w:tab w:val="right" w:leader="dot" w:pos="9786"/>
      </w:tabs>
      <w:spacing w:after="0" w:line="240" w:lineRule="auto"/>
    </w:pPr>
    <w:rPr>
      <w:b/>
      <w:noProof/>
      <w:sz w:val="32"/>
      <w:szCs w:val="28"/>
    </w:rPr>
  </w:style>
  <w:style w:type="paragraph" w:customStyle="1" w:styleId="33">
    <w:name w:val="Стиль ОТЧЕТ 3"/>
    <w:basedOn w:val="a"/>
    <w:uiPriority w:val="99"/>
    <w:qFormat/>
    <w:rsid w:val="005727C2"/>
    <w:pPr>
      <w:tabs>
        <w:tab w:val="right" w:leader="dot" w:pos="9786"/>
      </w:tabs>
      <w:spacing w:after="0" w:line="240" w:lineRule="auto"/>
    </w:pPr>
    <w:rPr>
      <w:b/>
      <w:i/>
      <w:noProof/>
      <w:sz w:val="28"/>
      <w:szCs w:val="28"/>
    </w:rPr>
  </w:style>
  <w:style w:type="character" w:customStyle="1" w:styleId="afc">
    <w:name w:val="Основной текст_"/>
    <w:basedOn w:val="a0"/>
    <w:link w:val="17"/>
    <w:locked/>
    <w:rsid w:val="005727C2"/>
    <w:rPr>
      <w:rFonts w:ascii="Times New Roman" w:hAnsi="Times New Roman" w:cs="Times New Roman"/>
      <w:sz w:val="26"/>
      <w:szCs w:val="26"/>
      <w:shd w:val="clear" w:color="auto" w:fill="FFFFFF"/>
    </w:rPr>
  </w:style>
  <w:style w:type="paragraph" w:customStyle="1" w:styleId="17">
    <w:name w:val="Основной текст1"/>
    <w:basedOn w:val="a"/>
    <w:link w:val="afc"/>
    <w:rsid w:val="005727C2"/>
    <w:pPr>
      <w:shd w:val="clear" w:color="auto" w:fill="FFFFFF"/>
      <w:spacing w:before="360" w:after="0" w:line="317" w:lineRule="exact"/>
      <w:ind w:hanging="360"/>
      <w:jc w:val="both"/>
    </w:pPr>
    <w:rPr>
      <w:rFonts w:eastAsiaTheme="minorHAnsi"/>
      <w:sz w:val="26"/>
      <w:szCs w:val="26"/>
      <w:lang w:eastAsia="en-US"/>
    </w:rPr>
  </w:style>
  <w:style w:type="paragraph" w:customStyle="1" w:styleId="font5">
    <w:name w:val="font5"/>
    <w:basedOn w:val="a"/>
    <w:uiPriority w:val="99"/>
    <w:rsid w:val="005727C2"/>
    <w:pPr>
      <w:spacing w:before="100" w:beforeAutospacing="1" w:after="100" w:afterAutospacing="1" w:line="240" w:lineRule="auto"/>
    </w:pPr>
    <w:rPr>
      <w:rFonts w:eastAsia="Times New Roman"/>
      <w:sz w:val="16"/>
      <w:szCs w:val="16"/>
    </w:rPr>
  </w:style>
  <w:style w:type="paragraph" w:customStyle="1" w:styleId="font6">
    <w:name w:val="font6"/>
    <w:basedOn w:val="a"/>
    <w:uiPriority w:val="99"/>
    <w:rsid w:val="005727C2"/>
    <w:pPr>
      <w:spacing w:before="100" w:beforeAutospacing="1" w:after="100" w:afterAutospacing="1" w:line="240" w:lineRule="auto"/>
    </w:pPr>
    <w:rPr>
      <w:rFonts w:eastAsia="Times New Roman"/>
      <w:b/>
      <w:bCs/>
      <w:sz w:val="16"/>
      <w:szCs w:val="16"/>
    </w:rPr>
  </w:style>
  <w:style w:type="paragraph" w:customStyle="1" w:styleId="xl63">
    <w:name w:val="xl63"/>
    <w:basedOn w:val="a"/>
    <w:uiPriority w:val="99"/>
    <w:rsid w:val="005727C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eastAsia="Times New Roman"/>
      <w:sz w:val="16"/>
      <w:szCs w:val="16"/>
    </w:rPr>
  </w:style>
  <w:style w:type="paragraph" w:customStyle="1" w:styleId="xl64">
    <w:name w:val="xl64"/>
    <w:basedOn w:val="a"/>
    <w:uiPriority w:val="99"/>
    <w:rsid w:val="005727C2"/>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line="240" w:lineRule="auto"/>
      <w:jc w:val="center"/>
    </w:pPr>
    <w:rPr>
      <w:rFonts w:eastAsia="Times New Roman"/>
      <w:sz w:val="16"/>
      <w:szCs w:val="16"/>
    </w:rPr>
  </w:style>
  <w:style w:type="paragraph" w:customStyle="1" w:styleId="xl65">
    <w:name w:val="xl65"/>
    <w:basedOn w:val="a"/>
    <w:uiPriority w:val="99"/>
    <w:rsid w:val="005727C2"/>
    <w:pPr>
      <w:pBdr>
        <w:top w:val="single" w:sz="4" w:space="0" w:color="auto"/>
        <w:left w:val="single" w:sz="4" w:space="0" w:color="auto"/>
      </w:pBdr>
      <w:spacing w:before="100" w:beforeAutospacing="1" w:after="100" w:afterAutospacing="1" w:line="240" w:lineRule="auto"/>
    </w:pPr>
    <w:rPr>
      <w:rFonts w:eastAsia="Times New Roman"/>
      <w:sz w:val="16"/>
      <w:szCs w:val="16"/>
    </w:rPr>
  </w:style>
  <w:style w:type="paragraph" w:customStyle="1" w:styleId="xl66">
    <w:name w:val="xl66"/>
    <w:basedOn w:val="a"/>
    <w:uiPriority w:val="99"/>
    <w:rsid w:val="005727C2"/>
    <w:pPr>
      <w:pBdr>
        <w:top w:val="single" w:sz="4" w:space="0" w:color="auto"/>
      </w:pBdr>
      <w:spacing w:before="100" w:beforeAutospacing="1" w:after="100" w:afterAutospacing="1" w:line="240" w:lineRule="auto"/>
    </w:pPr>
    <w:rPr>
      <w:rFonts w:eastAsia="Times New Roman"/>
      <w:sz w:val="16"/>
      <w:szCs w:val="16"/>
    </w:rPr>
  </w:style>
  <w:style w:type="paragraph" w:customStyle="1" w:styleId="xl67">
    <w:name w:val="xl67"/>
    <w:basedOn w:val="a"/>
    <w:uiPriority w:val="99"/>
    <w:rsid w:val="005727C2"/>
    <w:pPr>
      <w:pBdr>
        <w:top w:val="single" w:sz="4" w:space="0" w:color="auto"/>
        <w:right w:val="single" w:sz="4" w:space="0" w:color="auto"/>
      </w:pBdr>
      <w:spacing w:before="100" w:beforeAutospacing="1" w:after="100" w:afterAutospacing="1" w:line="240" w:lineRule="auto"/>
    </w:pPr>
    <w:rPr>
      <w:rFonts w:eastAsia="Times New Roman"/>
      <w:sz w:val="16"/>
      <w:szCs w:val="16"/>
    </w:rPr>
  </w:style>
  <w:style w:type="paragraph" w:customStyle="1" w:styleId="xl68">
    <w:name w:val="xl68"/>
    <w:basedOn w:val="a"/>
    <w:uiPriority w:val="99"/>
    <w:rsid w:val="005727C2"/>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eastAsia="Times New Roman"/>
      <w:sz w:val="16"/>
      <w:szCs w:val="16"/>
    </w:rPr>
  </w:style>
  <w:style w:type="paragraph" w:customStyle="1" w:styleId="xl69">
    <w:name w:val="xl69"/>
    <w:basedOn w:val="a"/>
    <w:uiPriority w:val="99"/>
    <w:rsid w:val="005727C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eastAsia="Times New Roman"/>
      <w:sz w:val="16"/>
      <w:szCs w:val="16"/>
    </w:rPr>
  </w:style>
  <w:style w:type="paragraph" w:customStyle="1" w:styleId="xl70">
    <w:name w:val="xl70"/>
    <w:basedOn w:val="a"/>
    <w:uiPriority w:val="99"/>
    <w:rsid w:val="005727C2"/>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eastAsia="Times New Roman"/>
      <w:sz w:val="16"/>
      <w:szCs w:val="16"/>
    </w:rPr>
  </w:style>
  <w:style w:type="paragraph" w:customStyle="1" w:styleId="xl71">
    <w:name w:val="xl71"/>
    <w:basedOn w:val="a"/>
    <w:uiPriority w:val="99"/>
    <w:rsid w:val="005727C2"/>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line="240" w:lineRule="auto"/>
      <w:jc w:val="center"/>
    </w:pPr>
    <w:rPr>
      <w:rFonts w:eastAsia="Times New Roman"/>
      <w:sz w:val="16"/>
      <w:szCs w:val="16"/>
    </w:rPr>
  </w:style>
  <w:style w:type="paragraph" w:customStyle="1" w:styleId="xl72">
    <w:name w:val="xl72"/>
    <w:basedOn w:val="a"/>
    <w:uiPriority w:val="99"/>
    <w:rsid w:val="005727C2"/>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eastAsia="Times New Roman"/>
      <w:sz w:val="16"/>
      <w:szCs w:val="16"/>
    </w:rPr>
  </w:style>
  <w:style w:type="paragraph" w:customStyle="1" w:styleId="xl73">
    <w:name w:val="xl73"/>
    <w:basedOn w:val="a"/>
    <w:uiPriority w:val="99"/>
    <w:rsid w:val="005727C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eastAsia="Times New Roman"/>
      <w:sz w:val="16"/>
      <w:szCs w:val="16"/>
    </w:rPr>
  </w:style>
  <w:style w:type="paragraph" w:customStyle="1" w:styleId="xl74">
    <w:name w:val="xl74"/>
    <w:basedOn w:val="a"/>
    <w:uiPriority w:val="99"/>
    <w:rsid w:val="005727C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eastAsia="Times New Roman"/>
      <w:sz w:val="16"/>
      <w:szCs w:val="16"/>
    </w:rPr>
  </w:style>
  <w:style w:type="paragraph" w:customStyle="1" w:styleId="xl75">
    <w:name w:val="xl75"/>
    <w:basedOn w:val="a"/>
    <w:uiPriority w:val="99"/>
    <w:rsid w:val="005727C2"/>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line="240" w:lineRule="auto"/>
      <w:jc w:val="center"/>
    </w:pPr>
    <w:rPr>
      <w:rFonts w:eastAsia="Times New Roman"/>
      <w:sz w:val="16"/>
      <w:szCs w:val="16"/>
    </w:rPr>
  </w:style>
  <w:style w:type="paragraph" w:customStyle="1" w:styleId="xl76">
    <w:name w:val="xl76"/>
    <w:basedOn w:val="a"/>
    <w:uiPriority w:val="99"/>
    <w:rsid w:val="005727C2"/>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line="240" w:lineRule="auto"/>
      <w:jc w:val="center"/>
    </w:pPr>
    <w:rPr>
      <w:rFonts w:eastAsia="Times New Roman"/>
      <w:sz w:val="16"/>
      <w:szCs w:val="16"/>
    </w:rPr>
  </w:style>
  <w:style w:type="paragraph" w:customStyle="1" w:styleId="xl77">
    <w:name w:val="xl77"/>
    <w:basedOn w:val="a"/>
    <w:uiPriority w:val="99"/>
    <w:rsid w:val="005727C2"/>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line="240" w:lineRule="auto"/>
    </w:pPr>
    <w:rPr>
      <w:rFonts w:eastAsia="Times New Roman"/>
      <w:sz w:val="16"/>
      <w:szCs w:val="16"/>
    </w:rPr>
  </w:style>
  <w:style w:type="paragraph" w:customStyle="1" w:styleId="xl78">
    <w:name w:val="xl78"/>
    <w:basedOn w:val="a"/>
    <w:uiPriority w:val="99"/>
    <w:rsid w:val="005727C2"/>
    <w:pPr>
      <w:spacing w:before="100" w:beforeAutospacing="1" w:after="100" w:afterAutospacing="1" w:line="240" w:lineRule="auto"/>
    </w:pPr>
    <w:rPr>
      <w:rFonts w:eastAsia="Times New Roman"/>
      <w:sz w:val="16"/>
      <w:szCs w:val="16"/>
    </w:rPr>
  </w:style>
  <w:style w:type="paragraph" w:customStyle="1" w:styleId="xl79">
    <w:name w:val="xl79"/>
    <w:basedOn w:val="a"/>
    <w:uiPriority w:val="99"/>
    <w:rsid w:val="005727C2"/>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line="240" w:lineRule="auto"/>
      <w:jc w:val="center"/>
    </w:pPr>
    <w:rPr>
      <w:rFonts w:eastAsia="Times New Roman"/>
      <w:sz w:val="16"/>
      <w:szCs w:val="16"/>
    </w:rPr>
  </w:style>
  <w:style w:type="paragraph" w:customStyle="1" w:styleId="xl80">
    <w:name w:val="xl80"/>
    <w:basedOn w:val="a"/>
    <w:uiPriority w:val="99"/>
    <w:rsid w:val="005727C2"/>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eastAsia="Times New Roman"/>
      <w:sz w:val="16"/>
      <w:szCs w:val="16"/>
    </w:rPr>
  </w:style>
  <w:style w:type="paragraph" w:customStyle="1" w:styleId="xl81">
    <w:name w:val="xl81"/>
    <w:basedOn w:val="a"/>
    <w:uiPriority w:val="99"/>
    <w:rsid w:val="005727C2"/>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line="240" w:lineRule="auto"/>
      <w:jc w:val="center"/>
    </w:pPr>
    <w:rPr>
      <w:rFonts w:eastAsia="Times New Roman"/>
      <w:sz w:val="16"/>
      <w:szCs w:val="16"/>
    </w:rPr>
  </w:style>
  <w:style w:type="paragraph" w:customStyle="1" w:styleId="xl82">
    <w:name w:val="xl82"/>
    <w:basedOn w:val="a"/>
    <w:uiPriority w:val="99"/>
    <w:rsid w:val="005727C2"/>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line="240" w:lineRule="auto"/>
    </w:pPr>
    <w:rPr>
      <w:rFonts w:eastAsia="Times New Roman"/>
      <w:sz w:val="16"/>
      <w:szCs w:val="16"/>
    </w:rPr>
  </w:style>
  <w:style w:type="paragraph" w:customStyle="1" w:styleId="xl83">
    <w:name w:val="xl83"/>
    <w:basedOn w:val="a"/>
    <w:uiPriority w:val="99"/>
    <w:rsid w:val="005727C2"/>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line="240" w:lineRule="auto"/>
    </w:pPr>
    <w:rPr>
      <w:rFonts w:eastAsia="Times New Roman"/>
      <w:sz w:val="16"/>
      <w:szCs w:val="16"/>
    </w:rPr>
  </w:style>
  <w:style w:type="paragraph" w:customStyle="1" w:styleId="xl84">
    <w:name w:val="xl84"/>
    <w:basedOn w:val="a"/>
    <w:uiPriority w:val="99"/>
    <w:rsid w:val="005727C2"/>
    <w:pPr>
      <w:pBdr>
        <w:left w:val="single" w:sz="4" w:space="0" w:color="auto"/>
        <w:right w:val="single" w:sz="4" w:space="0" w:color="auto"/>
      </w:pBdr>
      <w:shd w:val="clear" w:color="auto" w:fill="FFFFFF"/>
      <w:spacing w:before="100" w:beforeAutospacing="1" w:after="100" w:afterAutospacing="1" w:line="240" w:lineRule="auto"/>
      <w:jc w:val="center"/>
    </w:pPr>
    <w:rPr>
      <w:rFonts w:eastAsia="Times New Roman"/>
      <w:sz w:val="16"/>
      <w:szCs w:val="16"/>
    </w:rPr>
  </w:style>
  <w:style w:type="paragraph" w:customStyle="1" w:styleId="xl85">
    <w:name w:val="xl85"/>
    <w:basedOn w:val="a"/>
    <w:uiPriority w:val="99"/>
    <w:rsid w:val="005727C2"/>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line="240" w:lineRule="auto"/>
      <w:jc w:val="center"/>
    </w:pPr>
    <w:rPr>
      <w:rFonts w:eastAsia="Times New Roman"/>
      <w:sz w:val="16"/>
      <w:szCs w:val="16"/>
    </w:rPr>
  </w:style>
  <w:style w:type="character" w:styleId="afd">
    <w:name w:val="footnote reference"/>
    <w:semiHidden/>
    <w:unhideWhenUsed/>
    <w:rsid w:val="005727C2"/>
    <w:rPr>
      <w:vertAlign w:val="superscript"/>
    </w:rPr>
  </w:style>
  <w:style w:type="character" w:customStyle="1" w:styleId="apple-converted-space">
    <w:name w:val="apple-converted-space"/>
    <w:basedOn w:val="a0"/>
    <w:rsid w:val="005727C2"/>
  </w:style>
  <w:style w:type="character" w:customStyle="1" w:styleId="apple-style-span">
    <w:name w:val="apple-style-span"/>
    <w:basedOn w:val="a0"/>
    <w:rsid w:val="005727C2"/>
  </w:style>
  <w:style w:type="character" w:customStyle="1" w:styleId="afe">
    <w:name w:val="Цветовое выделение"/>
    <w:rsid w:val="005727C2"/>
    <w:rPr>
      <w:b/>
      <w:bCs/>
      <w:color w:val="000080"/>
      <w:sz w:val="20"/>
      <w:szCs w:val="20"/>
    </w:rPr>
  </w:style>
  <w:style w:type="table" w:styleId="aff">
    <w:name w:val="Table Grid"/>
    <w:basedOn w:val="a1"/>
    <w:rsid w:val="005727C2"/>
    <w:pPr>
      <w:spacing w:after="0" w:line="240" w:lineRule="auto"/>
    </w:pPr>
    <w:rPr>
      <w:rFonts w:ascii="Calibri" w:eastAsia="Times New Roman"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8">
    <w:name w:val="Сетка таблицы1"/>
    <w:basedOn w:val="a1"/>
    <w:rsid w:val="005727C2"/>
    <w:pPr>
      <w:spacing w:after="0" w:line="240" w:lineRule="auto"/>
    </w:pPr>
    <w:rPr>
      <w:rFonts w:ascii="Calibri" w:eastAsia="Times New Roman" w:hAnsi="Calibri" w:cs="Calibri"/>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styleId="aff0">
    <w:name w:val="Emphasis"/>
    <w:basedOn w:val="a0"/>
    <w:uiPriority w:val="20"/>
    <w:qFormat/>
    <w:rsid w:val="005727C2"/>
    <w:rPr>
      <w:i/>
      <w:iCs/>
    </w:rPr>
  </w:style>
  <w:style w:type="numbering" w:customStyle="1" w:styleId="19">
    <w:name w:val="Нет списка1"/>
    <w:next w:val="a2"/>
    <w:uiPriority w:val="99"/>
    <w:semiHidden/>
    <w:unhideWhenUsed/>
    <w:rsid w:val="001E7B45"/>
  </w:style>
  <w:style w:type="paragraph" w:customStyle="1" w:styleId="ConsPlusNonformat">
    <w:name w:val="ConsPlusNonformat"/>
    <w:uiPriority w:val="99"/>
    <w:rsid w:val="001E7B45"/>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7750489">
      <w:bodyDiv w:val="1"/>
      <w:marLeft w:val="0"/>
      <w:marRight w:val="0"/>
      <w:marTop w:val="0"/>
      <w:marBottom w:val="0"/>
      <w:divBdr>
        <w:top w:val="none" w:sz="0" w:space="0" w:color="auto"/>
        <w:left w:val="none" w:sz="0" w:space="0" w:color="auto"/>
        <w:bottom w:val="none" w:sz="0" w:space="0" w:color="auto"/>
        <w:right w:val="none" w:sz="0" w:space="0" w:color="auto"/>
      </w:divBdr>
    </w:div>
    <w:div w:id="399443870">
      <w:bodyDiv w:val="1"/>
      <w:marLeft w:val="0"/>
      <w:marRight w:val="0"/>
      <w:marTop w:val="0"/>
      <w:marBottom w:val="0"/>
      <w:divBdr>
        <w:top w:val="none" w:sz="0" w:space="0" w:color="auto"/>
        <w:left w:val="none" w:sz="0" w:space="0" w:color="auto"/>
        <w:bottom w:val="none" w:sz="0" w:space="0" w:color="auto"/>
        <w:right w:val="none" w:sz="0" w:space="0" w:color="auto"/>
      </w:divBdr>
    </w:div>
    <w:div w:id="768165373">
      <w:bodyDiv w:val="1"/>
      <w:marLeft w:val="0"/>
      <w:marRight w:val="0"/>
      <w:marTop w:val="0"/>
      <w:marBottom w:val="0"/>
      <w:divBdr>
        <w:top w:val="none" w:sz="0" w:space="0" w:color="auto"/>
        <w:left w:val="none" w:sz="0" w:space="0" w:color="auto"/>
        <w:bottom w:val="none" w:sz="0" w:space="0" w:color="auto"/>
        <w:right w:val="none" w:sz="0" w:space="0" w:color="auto"/>
      </w:divBdr>
    </w:div>
    <w:div w:id="768238151">
      <w:bodyDiv w:val="1"/>
      <w:marLeft w:val="0"/>
      <w:marRight w:val="0"/>
      <w:marTop w:val="0"/>
      <w:marBottom w:val="0"/>
      <w:divBdr>
        <w:top w:val="none" w:sz="0" w:space="0" w:color="auto"/>
        <w:left w:val="none" w:sz="0" w:space="0" w:color="auto"/>
        <w:bottom w:val="none" w:sz="0" w:space="0" w:color="auto"/>
        <w:right w:val="none" w:sz="0" w:space="0" w:color="auto"/>
      </w:divBdr>
    </w:div>
    <w:div w:id="863833561">
      <w:bodyDiv w:val="1"/>
      <w:marLeft w:val="0"/>
      <w:marRight w:val="0"/>
      <w:marTop w:val="0"/>
      <w:marBottom w:val="0"/>
      <w:divBdr>
        <w:top w:val="none" w:sz="0" w:space="0" w:color="auto"/>
        <w:left w:val="none" w:sz="0" w:space="0" w:color="auto"/>
        <w:bottom w:val="none" w:sz="0" w:space="0" w:color="auto"/>
        <w:right w:val="none" w:sz="0" w:space="0" w:color="auto"/>
      </w:divBdr>
    </w:div>
    <w:div w:id="1132673546">
      <w:bodyDiv w:val="1"/>
      <w:marLeft w:val="0"/>
      <w:marRight w:val="0"/>
      <w:marTop w:val="0"/>
      <w:marBottom w:val="0"/>
      <w:divBdr>
        <w:top w:val="none" w:sz="0" w:space="0" w:color="auto"/>
        <w:left w:val="none" w:sz="0" w:space="0" w:color="auto"/>
        <w:bottom w:val="none" w:sz="0" w:space="0" w:color="auto"/>
        <w:right w:val="none" w:sz="0" w:space="0" w:color="auto"/>
      </w:divBdr>
    </w:div>
    <w:div w:id="1256136651">
      <w:bodyDiv w:val="1"/>
      <w:marLeft w:val="0"/>
      <w:marRight w:val="0"/>
      <w:marTop w:val="0"/>
      <w:marBottom w:val="0"/>
      <w:divBdr>
        <w:top w:val="none" w:sz="0" w:space="0" w:color="auto"/>
        <w:left w:val="none" w:sz="0" w:space="0" w:color="auto"/>
        <w:bottom w:val="none" w:sz="0" w:space="0" w:color="auto"/>
        <w:right w:val="none" w:sz="0" w:space="0" w:color="auto"/>
      </w:divBdr>
    </w:div>
    <w:div w:id="1442458876">
      <w:bodyDiv w:val="1"/>
      <w:marLeft w:val="0"/>
      <w:marRight w:val="0"/>
      <w:marTop w:val="0"/>
      <w:marBottom w:val="0"/>
      <w:divBdr>
        <w:top w:val="none" w:sz="0" w:space="0" w:color="auto"/>
        <w:left w:val="none" w:sz="0" w:space="0" w:color="auto"/>
        <w:bottom w:val="none" w:sz="0" w:space="0" w:color="auto"/>
        <w:right w:val="none" w:sz="0" w:space="0" w:color="auto"/>
      </w:divBdr>
    </w:div>
    <w:div w:id="1997146814">
      <w:bodyDiv w:val="1"/>
      <w:marLeft w:val="0"/>
      <w:marRight w:val="0"/>
      <w:marTop w:val="0"/>
      <w:marBottom w:val="0"/>
      <w:divBdr>
        <w:top w:val="none" w:sz="0" w:space="0" w:color="auto"/>
        <w:left w:val="none" w:sz="0" w:space="0" w:color="auto"/>
        <w:bottom w:val="none" w:sz="0" w:space="0" w:color="auto"/>
        <w:right w:val="none" w:sz="0" w:space="0" w:color="auto"/>
      </w:divBdr>
    </w:div>
    <w:div w:id="212187210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image" Target="media/image6.wmf"/><Relationship Id="rId21" Type="http://schemas.openxmlformats.org/officeDocument/2006/relationships/oleObject" Target="embeddings/oleObject4.bin"/><Relationship Id="rId42" Type="http://schemas.openxmlformats.org/officeDocument/2006/relationships/chart" Target="charts/chart7.xml"/><Relationship Id="rId47" Type="http://schemas.openxmlformats.org/officeDocument/2006/relationships/chart" Target="charts/chart12.xml"/><Relationship Id="rId63" Type="http://schemas.openxmlformats.org/officeDocument/2006/relationships/image" Target="media/image15.png"/><Relationship Id="rId68" Type="http://schemas.openxmlformats.org/officeDocument/2006/relationships/chart" Target="charts/chart20.xml"/><Relationship Id="rId84" Type="http://schemas.openxmlformats.org/officeDocument/2006/relationships/image" Target="media/image24.png"/><Relationship Id="rId89" Type="http://schemas.openxmlformats.org/officeDocument/2006/relationships/image" Target="media/image28.png"/><Relationship Id="rId16" Type="http://schemas.openxmlformats.org/officeDocument/2006/relationships/image" Target="media/image1.wmf"/><Relationship Id="rId107" Type="http://schemas.openxmlformats.org/officeDocument/2006/relationships/hyperlink" Target="consultantplus://offline/ref=376023B1F5AEEBB01BB65057C71CC9E54FE53995B430DDA493E4D65329h3S6K" TargetMode="External"/><Relationship Id="rId11" Type="http://schemas.openxmlformats.org/officeDocument/2006/relationships/chart" Target="charts/chart1.xml"/><Relationship Id="rId32" Type="http://schemas.openxmlformats.org/officeDocument/2006/relationships/image" Target="media/image9.wmf"/><Relationship Id="rId37" Type="http://schemas.openxmlformats.org/officeDocument/2006/relationships/oleObject" Target="embeddings/oleObject12.bin"/><Relationship Id="rId53" Type="http://schemas.openxmlformats.org/officeDocument/2006/relationships/hyperlink" Target="consultantplus://offline/ref=9E89AAB0FD1A9BBB11135E04D54E21C758CB6FE6AEA8954EF67CBF7431ADAA0C1A73BD7BCCC166FA8986AC7DC4A800F313B9978F0E5AB1A21F91790AnEEEJ" TargetMode="External"/><Relationship Id="rId58" Type="http://schemas.openxmlformats.org/officeDocument/2006/relationships/chart" Target="charts/chart16.xml"/><Relationship Id="rId74" Type="http://schemas.openxmlformats.org/officeDocument/2006/relationships/image" Target="media/image20.png"/><Relationship Id="rId79" Type="http://schemas.openxmlformats.org/officeDocument/2006/relationships/hyperlink" Target="consultantplus://offline/ref=C43049CBDA5C98C839071045261902E4FFB9C73D2B54DF47A9E4C2DCB198D2CD913070E2D5E99B490708EDA53205512459699A42CED0I4G" TargetMode="External"/><Relationship Id="rId102" Type="http://schemas.openxmlformats.org/officeDocument/2006/relationships/hyperlink" Target="https://tarif.nso.ru/page/149" TargetMode="External"/><Relationship Id="rId5" Type="http://schemas.openxmlformats.org/officeDocument/2006/relationships/webSettings" Target="webSettings.xml"/><Relationship Id="rId90" Type="http://schemas.openxmlformats.org/officeDocument/2006/relationships/hyperlink" Target="https://tarif.nso.ru/page/96" TargetMode="External"/><Relationship Id="rId95" Type="http://schemas.openxmlformats.org/officeDocument/2006/relationships/hyperlink" Target="https://tarif.nso.ru/page/102" TargetMode="External"/><Relationship Id="rId22" Type="http://schemas.openxmlformats.org/officeDocument/2006/relationships/image" Target="media/image4.wmf"/><Relationship Id="rId27" Type="http://schemas.openxmlformats.org/officeDocument/2006/relationships/oleObject" Target="embeddings/oleObject7.bin"/><Relationship Id="rId43" Type="http://schemas.openxmlformats.org/officeDocument/2006/relationships/chart" Target="charts/chart8.xml"/><Relationship Id="rId48" Type="http://schemas.openxmlformats.org/officeDocument/2006/relationships/chart" Target="charts/chart13.xml"/><Relationship Id="rId64" Type="http://schemas.openxmlformats.org/officeDocument/2006/relationships/image" Target="media/image16.png"/><Relationship Id="rId69" Type="http://schemas.openxmlformats.org/officeDocument/2006/relationships/chart" Target="charts/chart21.xml"/><Relationship Id="rId80" Type="http://schemas.openxmlformats.org/officeDocument/2006/relationships/hyperlink" Target="consultantplus://offline/ref=3B3A133908C0A1154F3E04CF6300C028562CCA9033EE82F4A53CF866F2207F00C09FA0B24AAB4B8839A852CB70EFEB235DE542419220FC3DE9o6J" TargetMode="External"/><Relationship Id="rId85" Type="http://schemas.openxmlformats.org/officeDocument/2006/relationships/hyperlink" Target="https://tarif.nso.ru/page/430" TargetMode="External"/><Relationship Id="rId12" Type="http://schemas.openxmlformats.org/officeDocument/2006/relationships/chart" Target="charts/chart2.xml"/><Relationship Id="rId17" Type="http://schemas.openxmlformats.org/officeDocument/2006/relationships/oleObject" Target="embeddings/oleObject2.bin"/><Relationship Id="rId33" Type="http://schemas.openxmlformats.org/officeDocument/2006/relationships/oleObject" Target="embeddings/oleObject10.bin"/><Relationship Id="rId38" Type="http://schemas.openxmlformats.org/officeDocument/2006/relationships/image" Target="media/image12.wmf"/><Relationship Id="rId59" Type="http://schemas.openxmlformats.org/officeDocument/2006/relationships/chart" Target="charts/chart17.xml"/><Relationship Id="rId103" Type="http://schemas.openxmlformats.org/officeDocument/2006/relationships/hyperlink" Target="http://www.tarif.nso.ru" TargetMode="External"/><Relationship Id="rId108" Type="http://schemas.openxmlformats.org/officeDocument/2006/relationships/hyperlink" Target="consultantplus://offline/ref=13392FFE2AF39C4BC9B54549391CAA50747F0D90C458E058CBA81E441838DCA765912DA11EF31A2C0A9F3ES6y0K" TargetMode="External"/><Relationship Id="rId54" Type="http://schemas.openxmlformats.org/officeDocument/2006/relationships/hyperlink" Target="consultantplus://offline/ref=9E89AAB0FD1A9BBB11135E04D54E21C758CB6FE6AEAB9D46F475BF7431ADAA0C1A73BD7BCCC166FA8986AC7DC4A800F313B9978F0E5AB1A21F91790AnEEEJ" TargetMode="External"/><Relationship Id="rId70" Type="http://schemas.openxmlformats.org/officeDocument/2006/relationships/chart" Target="charts/chart22.xml"/><Relationship Id="rId75" Type="http://schemas.openxmlformats.org/officeDocument/2006/relationships/image" Target="media/image21.png"/><Relationship Id="rId91" Type="http://schemas.openxmlformats.org/officeDocument/2006/relationships/image" Target="media/image29.png"/><Relationship Id="rId96" Type="http://schemas.openxmlformats.org/officeDocument/2006/relationships/hyperlink" Target="https://tarif.nso.ru/page/334" TargetMode="External"/><Relationship Id="rId1" Type="http://schemas.openxmlformats.org/officeDocument/2006/relationships/numbering" Target="numbering.xml"/><Relationship Id="rId6" Type="http://schemas.openxmlformats.org/officeDocument/2006/relationships/footnotes" Target="footnotes.xml"/><Relationship Id="rId15" Type="http://schemas.openxmlformats.org/officeDocument/2006/relationships/hyperlink" Target="http://www.tarif.nso.ru" TargetMode="External"/><Relationship Id="rId23" Type="http://schemas.openxmlformats.org/officeDocument/2006/relationships/oleObject" Target="embeddings/oleObject5.bin"/><Relationship Id="rId28" Type="http://schemas.openxmlformats.org/officeDocument/2006/relationships/image" Target="media/image7.wmf"/><Relationship Id="rId36" Type="http://schemas.openxmlformats.org/officeDocument/2006/relationships/image" Target="media/image11.wmf"/><Relationship Id="rId49" Type="http://schemas.openxmlformats.org/officeDocument/2006/relationships/chart" Target="charts/chart14.xml"/><Relationship Id="rId57" Type="http://schemas.openxmlformats.org/officeDocument/2006/relationships/chart" Target="charts/chart15.xml"/><Relationship Id="rId106" Type="http://schemas.openxmlformats.org/officeDocument/2006/relationships/hyperlink" Target="consultantplus://offline/ref=523B5E62EB75B5928BCCB90A7A1EA050A0AB86C06734470100DB52400D5167F7F021BCCE6E215A70Y5gCI" TargetMode="External"/><Relationship Id="rId10" Type="http://schemas.openxmlformats.org/officeDocument/2006/relationships/hyperlink" Target="consultantplus://offline/ref=D478ACEB59D8724AC7A0BA6009DA9EBEE2E6CEE7AA68251CCCC2EB7DEB6BAE1EF65DC5BC668FDA22w5TCJ" TargetMode="External"/><Relationship Id="rId31" Type="http://schemas.openxmlformats.org/officeDocument/2006/relationships/oleObject" Target="embeddings/oleObject9.bin"/><Relationship Id="rId44" Type="http://schemas.openxmlformats.org/officeDocument/2006/relationships/chart" Target="charts/chart9.xml"/><Relationship Id="rId52" Type="http://schemas.openxmlformats.org/officeDocument/2006/relationships/hyperlink" Target="consultantplus://offline/ref=9E89AAB0FD1A9BBB11135E04D54E21C758CB6FE6AEA89A49F574BF7431ADAA0C1A73BD7BCCC166FA8986AC7DC7A800F313B9978F0E5AB1A21F91790AnEEEJ" TargetMode="External"/><Relationship Id="rId60" Type="http://schemas.openxmlformats.org/officeDocument/2006/relationships/chart" Target="charts/chart18.xml"/><Relationship Id="rId65" Type="http://schemas.openxmlformats.org/officeDocument/2006/relationships/image" Target="media/image17.png"/><Relationship Id="rId73" Type="http://schemas.openxmlformats.org/officeDocument/2006/relationships/chart" Target="charts/chart24.xml"/><Relationship Id="rId78" Type="http://schemas.openxmlformats.org/officeDocument/2006/relationships/hyperlink" Target="consultantplus://offline/ref=C43049CBDA5C98C839071045261902E4FFBEC5392B51DF47A9E4C2DCB198D2CD913070E5D0EF9B490708EDA53205512459699A42CED0I4G" TargetMode="External"/><Relationship Id="rId81" Type="http://schemas.openxmlformats.org/officeDocument/2006/relationships/hyperlink" Target="consultantplus://offline/ref=3B3A133908C0A1154F3E04CF6300C028562CCA9033EE82F4A53CF866F2207F00C09FA0B24AAB4B883DA852CB70EFEB235DE542419220FC3DE9o6J" TargetMode="External"/><Relationship Id="rId86" Type="http://schemas.openxmlformats.org/officeDocument/2006/relationships/image" Target="media/image25.png"/><Relationship Id="rId94" Type="http://schemas.openxmlformats.org/officeDocument/2006/relationships/hyperlink" Target="https://tarif.nso.ru/page/102" TargetMode="External"/><Relationship Id="rId99" Type="http://schemas.openxmlformats.org/officeDocument/2006/relationships/image" Target="media/image31.png"/><Relationship Id="rId101" Type="http://schemas.openxmlformats.org/officeDocument/2006/relationships/hyperlink" Target="https://tarif.nso.ru/page/149" TargetMode="External"/><Relationship Id="rId4" Type="http://schemas.openxmlformats.org/officeDocument/2006/relationships/settings" Target="settings.xml"/><Relationship Id="rId9" Type="http://schemas.openxmlformats.org/officeDocument/2006/relationships/hyperlink" Target="consultantplus://offline/ref=4BEFCD2D76227768AF2A65ECB6FDE213123D537EF4A32D4530174F2C8B782626AB64ECBD1A08D1A4B277074AE40D12C40DFCAC868D430C9A32BC5EDF20L2D" TargetMode="External"/><Relationship Id="rId13" Type="http://schemas.openxmlformats.org/officeDocument/2006/relationships/chart" Target="charts/chart3.xml"/><Relationship Id="rId18" Type="http://schemas.openxmlformats.org/officeDocument/2006/relationships/image" Target="media/image2.wmf"/><Relationship Id="rId39" Type="http://schemas.openxmlformats.org/officeDocument/2006/relationships/oleObject" Target="embeddings/oleObject13.bin"/><Relationship Id="rId109" Type="http://schemas.openxmlformats.org/officeDocument/2006/relationships/fontTable" Target="fontTable.xml"/><Relationship Id="rId34" Type="http://schemas.openxmlformats.org/officeDocument/2006/relationships/image" Target="media/image10.wmf"/><Relationship Id="rId50" Type="http://schemas.openxmlformats.org/officeDocument/2006/relationships/hyperlink" Target="consultantplus://offline/ref=E03CADF3A13801D63D7935CF071F2CFBC15EEE4758354C2B479A62D948B57FB33D0FD674C895CB33uFl9H" TargetMode="External"/><Relationship Id="rId55" Type="http://schemas.openxmlformats.org/officeDocument/2006/relationships/hyperlink" Target="consultantplus://offline/ref=9E89AAB0FD1A9BBB11135E04D54E21C758CB6FE6AEAB9E4AF77CBF7431ADAA0C1A73BD7BCCC166FA8986AC7DC4A800F313B9978F0E5AB1A21F91790AnEEEJ" TargetMode="External"/><Relationship Id="rId76" Type="http://schemas.openxmlformats.org/officeDocument/2006/relationships/image" Target="media/image22.png"/><Relationship Id="rId97" Type="http://schemas.openxmlformats.org/officeDocument/2006/relationships/image" Target="media/image30.emf"/><Relationship Id="rId104" Type="http://schemas.openxmlformats.org/officeDocument/2006/relationships/hyperlink" Target="http://www.tarif.nso.ru/sites/tarif.nso.ru/wodby_files/files/page_36/zhnvlp_16.rar" TargetMode="External"/><Relationship Id="rId7" Type="http://schemas.openxmlformats.org/officeDocument/2006/relationships/endnotes" Target="endnotes.xml"/><Relationship Id="rId71" Type="http://schemas.openxmlformats.org/officeDocument/2006/relationships/chart" Target="charts/chart23.xml"/><Relationship Id="rId92" Type="http://schemas.openxmlformats.org/officeDocument/2006/relationships/hyperlink" Target="https://tarif.nso.ru/page/99" TargetMode="External"/><Relationship Id="rId2" Type="http://schemas.openxmlformats.org/officeDocument/2006/relationships/styles" Target="styles.xml"/><Relationship Id="rId29" Type="http://schemas.openxmlformats.org/officeDocument/2006/relationships/oleObject" Target="embeddings/oleObject8.bin"/><Relationship Id="rId24" Type="http://schemas.openxmlformats.org/officeDocument/2006/relationships/image" Target="media/image5.wmf"/><Relationship Id="rId40" Type="http://schemas.openxmlformats.org/officeDocument/2006/relationships/chart" Target="charts/chart5.xml"/><Relationship Id="rId45" Type="http://schemas.openxmlformats.org/officeDocument/2006/relationships/chart" Target="charts/chart10.xml"/><Relationship Id="rId66" Type="http://schemas.openxmlformats.org/officeDocument/2006/relationships/image" Target="media/image18.png"/><Relationship Id="rId87" Type="http://schemas.openxmlformats.org/officeDocument/2006/relationships/image" Target="media/image26.png"/><Relationship Id="rId110" Type="http://schemas.openxmlformats.org/officeDocument/2006/relationships/theme" Target="theme/theme1.xml"/><Relationship Id="rId61" Type="http://schemas.openxmlformats.org/officeDocument/2006/relationships/image" Target="media/image13.png"/><Relationship Id="rId82" Type="http://schemas.openxmlformats.org/officeDocument/2006/relationships/hyperlink" Target="consultantplus://offline/ref=6948A3C4A62FB5F0A0F0499E458F7E6758541B4081D6C0E08DE55EDE20E911619D36DF8A510EE7E4D328627554CBF66AEA0F9E4C18DEF4B34Eh5C" TargetMode="External"/><Relationship Id="rId19" Type="http://schemas.openxmlformats.org/officeDocument/2006/relationships/oleObject" Target="embeddings/oleObject3.bin"/><Relationship Id="rId14" Type="http://schemas.openxmlformats.org/officeDocument/2006/relationships/chart" Target="charts/chart4.xml"/><Relationship Id="rId30" Type="http://schemas.openxmlformats.org/officeDocument/2006/relationships/image" Target="media/image8.wmf"/><Relationship Id="rId35" Type="http://schemas.openxmlformats.org/officeDocument/2006/relationships/oleObject" Target="embeddings/oleObject11.bin"/><Relationship Id="rId56" Type="http://schemas.openxmlformats.org/officeDocument/2006/relationships/hyperlink" Target="http://www.eias.ru/files/shablon/JKH.INF.PODKL.WARM.2019.zip" TargetMode="External"/><Relationship Id="rId77" Type="http://schemas.openxmlformats.org/officeDocument/2006/relationships/hyperlink" Target="consultantplus://offline/ref=10E9756894F98074DC8E38F2CA7EF5E2C03D9E66BF8E8D20211645F1C7090232F4231B1F73543427C02E734ED31C0A53E062A0F14C7301BE30m1E" TargetMode="External"/><Relationship Id="rId100" Type="http://schemas.openxmlformats.org/officeDocument/2006/relationships/hyperlink" Target="https://tarif.nso.ru/page/93" TargetMode="External"/><Relationship Id="rId105" Type="http://schemas.openxmlformats.org/officeDocument/2006/relationships/hyperlink" Target="consultantplus://offline/ref=A376E63F424EEBD505193D151F594CEE911DC800C660B9E2A95F32ED81B8F5D38CC84E2E3DE61799D0FC8BFB8C535D0EF229220896D2471CACv7E" TargetMode="External"/><Relationship Id="rId8" Type="http://schemas.openxmlformats.org/officeDocument/2006/relationships/hyperlink" Target="consultantplus://offline/ref=4BEFCD2D76227768AF2A65ECB6FDE213123D537EF4A0244933164F2C8B782626AB64ECBD1A08D1A4B2770442E60D12C40DFCAC868D430C9A32BC5EDF20L2D" TargetMode="External"/><Relationship Id="rId51" Type="http://schemas.openxmlformats.org/officeDocument/2006/relationships/hyperlink" Target="consultantplus://offline/ref=E03CADF3A13801D63D7935CF071F2CFBC257E8435C3C4C2B479A62D948B57FB33D0FD67DuCl8H" TargetMode="External"/><Relationship Id="rId72" Type="http://schemas.openxmlformats.org/officeDocument/2006/relationships/image" Target="media/image19.png"/><Relationship Id="rId93" Type="http://schemas.openxmlformats.org/officeDocument/2006/relationships/hyperlink" Target="https://tarif.nso.ru/page/97" TargetMode="External"/><Relationship Id="rId98" Type="http://schemas.openxmlformats.org/officeDocument/2006/relationships/package" Target="embeddings/Microsoft_Excel_Worksheet12.xlsx"/><Relationship Id="rId3" Type="http://schemas.microsoft.com/office/2007/relationships/stylesWithEffects" Target="stylesWithEffects.xml"/><Relationship Id="rId25" Type="http://schemas.openxmlformats.org/officeDocument/2006/relationships/oleObject" Target="embeddings/oleObject6.bin"/><Relationship Id="rId46" Type="http://schemas.openxmlformats.org/officeDocument/2006/relationships/chart" Target="charts/chart11.xml"/><Relationship Id="rId67" Type="http://schemas.openxmlformats.org/officeDocument/2006/relationships/chart" Target="charts/chart19.xml"/><Relationship Id="rId20" Type="http://schemas.openxmlformats.org/officeDocument/2006/relationships/image" Target="media/image3.wmf"/><Relationship Id="rId41" Type="http://schemas.openxmlformats.org/officeDocument/2006/relationships/chart" Target="charts/chart6.xml"/><Relationship Id="rId62" Type="http://schemas.openxmlformats.org/officeDocument/2006/relationships/image" Target="media/image14.png"/><Relationship Id="rId83" Type="http://schemas.openxmlformats.org/officeDocument/2006/relationships/image" Target="media/image23.png"/><Relationship Id="rId88" Type="http://schemas.openxmlformats.org/officeDocument/2006/relationships/image" Target="media/image27.png"/></Relationships>
</file>

<file path=word/charts/_rels/chart1.xml.rels><?xml version="1.0" encoding="UTF-8" standalone="yes"?>
<Relationships xmlns="http://schemas.openxmlformats.org/package/2006/relationships"><Relationship Id="rId2" Type="http://schemas.openxmlformats.org/officeDocument/2006/relationships/oleObject" Target="../embeddings/oleObject1.bin"/><Relationship Id="rId1" Type="http://schemas.openxmlformats.org/officeDocument/2006/relationships/themeOverride" Target="../theme/themeOverride1.xml"/></Relationships>
</file>

<file path=word/charts/_rels/chart2.xml.rels><?xml version="1.0" encoding="UTF-8" standalone="yes"?>
<Relationships xmlns="http://schemas.openxmlformats.org/package/2006/relationships"><Relationship Id="rId2" Type="http://schemas.openxmlformats.org/officeDocument/2006/relationships/oleObject" Target="file:///\\10.54.1.5\Cenoviki\2020\&#1054;&#1090;&#1095;&#1077;&#1090;%20&#1044;&#1058;%20&#1079;&#1072;%202019\&#1050;%20&#1086;&#1090;&#1095;&#1077;&#1090;&#1091;%20&#1087;&#1086;%20&#1087;&#1077;&#1088;&#1077;&#1076;%20&#1069;&#1069;.%20&#1079;&#1072;%202014%20-15%20-19&#1075;..xlsx" TargetMode="External"/><Relationship Id="rId1" Type="http://schemas.openxmlformats.org/officeDocument/2006/relationships/themeOverride" Target="../theme/themeOverride2.xml"/></Relationships>
</file>

<file path=word/charts/_rels/chart3.xml.rels><?xml version="1.0" encoding="UTF-8" standalone="yes"?>
<Relationships xmlns="http://schemas.openxmlformats.org/package/2006/relationships"><Relationship Id="rId2" Type="http://schemas.openxmlformats.org/officeDocument/2006/relationships/oleObject" Target="file:///\\terra\Cenoviki\2019\&#1054;&#1090;&#1095;&#1077;&#1090;%20&#1044;&#1058;%20&#1079;&#1072;%202018\&#1050;%20&#1086;&#1090;&#1095;&#1077;&#1090;&#1091;%20&#1087;&#1086;%20&#1087;&#1077;&#1088;&#1077;&#1076;%20&#1069;&#1069;.%20&#1079;&#1072;%202014%20-15%20-18&#1075;..xlsx" TargetMode="External"/><Relationship Id="rId1" Type="http://schemas.openxmlformats.org/officeDocument/2006/relationships/themeOverride" Target="../theme/themeOverride3.xml"/></Relationships>
</file>

<file path=word/charts/_rels/chart4.xml.rels><?xml version="1.0" encoding="UTF-8" standalone="yes"?>
<Relationships xmlns="http://schemas.openxmlformats.org/package/2006/relationships"><Relationship Id="rId2" Type="http://schemas.openxmlformats.org/officeDocument/2006/relationships/package" Target="../embeddings/Microsoft_Excel_Worksheet1.xlsx"/><Relationship Id="rId1" Type="http://schemas.openxmlformats.org/officeDocument/2006/relationships/themeOverride" Target="../theme/themeOverride4.xml"/></Relationships>
</file>

<file path=word/charts/_rels/chart5.xml.rels><?xml version="1.0" encoding="UTF-8" standalone="yes"?>
<Relationships xmlns="http://schemas.openxmlformats.org/package/2006/relationships"><Relationship Id="rId1" Type="http://schemas.openxmlformats.org/officeDocument/2006/relationships/oleObject" Target="file:///C:\&#1052;&#1040;&#1058;&#1045;&#1056;&#1048;&#1040;&#1051;&#1067;\&#1043;&#1054;&#1044;&#1054;&#1042;&#1054;&#1049;%20&#1054;&#1058;&#1063;&#1045;&#1058;%20&#1044;&#1058;\&#1043;&#1086;&#1076;&#1086;&#1074;&#1086;&#1081;%20&#1086;&#1090;&#1095;&#1077;&#1090;%20&#1044;&#1058;2019\&#1043;&#1088;&#1072;&#1092;&#1080;&#1082;&#1080;%20&#1086;&#1090;&#1095;%20&#1090;&#1077;&#1087;&#1083;&#1086;%202018.xlsx" TargetMode="External"/></Relationships>
</file>

<file path=word/charts/_rels/chart6.xml.rels><?xml version="1.0" encoding="UTF-8" standalone="yes"?>
<Relationships xmlns="http://schemas.openxmlformats.org/package/2006/relationships"><Relationship Id="rId1" Type="http://schemas.openxmlformats.org/officeDocument/2006/relationships/oleObject" Target="file:///C:\&#1052;&#1040;&#1058;&#1045;&#1056;&#1048;&#1040;&#1051;&#1067;\&#1043;&#1054;&#1044;&#1054;&#1042;&#1054;&#1049;%20&#1054;&#1058;&#1063;&#1045;&#1058;%20&#1044;&#1058;\&#1043;&#1086;&#1076;&#1086;&#1074;&#1086;&#1081;%20&#1086;&#1090;&#1095;&#1077;&#1090;%20&#1044;&#1058;2019\&#1043;&#1088;&#1072;&#1092;&#1080;&#1082;&#1080;%20&#1086;&#1090;&#1095;%20&#1090;&#1077;&#1087;&#1083;&#1086;%202019.xlsx" TargetMode="External"/></Relationships>
</file>

<file path=word/charts/_rels/chart7.xml.rels><?xml version="1.0" encoding="UTF-8" standalone="yes"?>
<Relationships xmlns="http://schemas.openxmlformats.org/package/2006/relationships"><Relationship Id="rId1" Type="http://schemas.openxmlformats.org/officeDocument/2006/relationships/oleObject" Target="file:///C:\&#1052;&#1040;&#1058;&#1045;&#1056;&#1048;&#1040;&#1051;&#1067;\&#1043;&#1054;&#1044;&#1054;&#1042;&#1054;&#1049;%20&#1054;&#1058;&#1063;&#1045;&#1058;%20&#1044;&#1058;\&#1043;&#1086;&#1076;&#1086;&#1074;&#1086;&#1081;%20&#1086;&#1090;&#1095;&#1077;&#1090;%20&#1044;&#1058;2019\&#1043;&#1088;&#1072;&#1092;&#1080;&#1082;&#1080;%20&#1086;&#1090;&#1095;%20&#1090;&#1077;&#1087;&#1083;&#1086;%202018.xlsx" TargetMode="External"/></Relationships>
</file>

<file path=word/charts/_rels/chart8.xml.rels><?xml version="1.0" encoding="UTF-8" standalone="yes"?>
<Relationships xmlns="http://schemas.openxmlformats.org/package/2006/relationships"><Relationship Id="rId1" Type="http://schemas.openxmlformats.org/officeDocument/2006/relationships/oleObject" Target="file:///C:\&#1052;&#1040;&#1058;&#1045;&#1056;&#1048;&#1040;&#1051;&#1067;\&#1043;&#1054;&#1044;&#1054;&#1042;&#1054;&#1049;%20&#1054;&#1058;&#1063;&#1045;&#1058;%20&#1044;&#1058;\&#1043;&#1086;&#1076;&#1086;&#1074;&#1086;&#1081;%20&#1086;&#1090;&#1095;&#1077;&#1090;%20&#1044;&#1058;2019\&#1043;&#1088;&#1072;&#1092;&#1080;&#1082;&#1080;%20&#1086;&#1090;&#1095;%20&#1090;&#1077;&#1087;&#1083;&#1086;%202018.xlsx" TargetMode="External"/></Relationships>
</file>

<file path=word/charts/_rels/chart9.xml.rels><?xml version="1.0" encoding="UTF-8" standalone="yes"?>
<Relationships xmlns="http://schemas.openxmlformats.org/package/2006/relationships"><Relationship Id="rId1" Type="http://schemas.openxmlformats.org/officeDocument/2006/relationships/oleObject" Target="file:///C:\Users\rtn\AppData\Roaming\Microsoft\Excel\&#1043;&#1088;&#1072;&#1092;&#1080;&#1082;&#1080;%20&#1086;&#1090;&#1095;%20&#1090;&#1077;&#1087;&#1083;&#1086;%202018%20(version%201).xlsb" TargetMode="External"/></Relationships>
</file>

<file path=word/charts/_rels/chart10.xml.rels><?xml version="1.0" encoding="UTF-8" standalone="yes"?>
<Relationships xmlns="http://schemas.openxmlformats.org/package/2006/relationships"><Relationship Id="rId1" Type="http://schemas.openxmlformats.org/officeDocument/2006/relationships/oleObject" Target="file:///C:\&#1052;&#1040;&#1058;&#1045;&#1056;&#1048;&#1040;&#1051;&#1067;\&#1043;&#1054;&#1044;&#1054;&#1042;&#1054;&#1049;%20&#1054;&#1058;&#1063;&#1045;&#1058;%20&#1044;&#1058;\&#1043;&#1086;&#1076;&#1086;&#1074;&#1086;&#1081;%20&#1086;&#1090;&#1095;&#1077;&#1090;%20&#1044;&#1058;2019\&#1043;&#1088;&#1072;&#1092;&#1080;&#1082;&#1080;%20&#1086;&#1090;&#1095;%20&#1090;&#1077;&#1087;&#1083;&#1086;%202019.xlsx" TargetMode="External"/></Relationships>
</file>

<file path=word/charts/_rels/chart11.xml.rels><?xml version="1.0" encoding="UTF-8" standalone="yes"?>
<Relationships xmlns="http://schemas.openxmlformats.org/package/2006/relationships"><Relationship Id="rId1" Type="http://schemas.openxmlformats.org/officeDocument/2006/relationships/oleObject" Target="file:///C:\&#1052;&#1040;&#1058;&#1045;&#1056;&#1048;&#1040;&#1051;&#1067;\&#1043;&#1054;&#1044;&#1054;&#1042;&#1054;&#1049;%20&#1054;&#1058;&#1063;&#1045;&#1058;%20&#1044;&#1058;\&#1043;&#1086;&#1076;&#1086;&#1074;&#1086;&#1081;%20&#1086;&#1090;&#1095;&#1077;&#1090;%20&#1044;&#1058;2019\&#1043;&#1088;&#1072;&#1092;&#1080;&#1082;&#1080;%20&#1086;&#1090;&#1095;%20&#1090;&#1077;&#1087;&#1083;&#1086;%202019.xlsx" TargetMode="External"/></Relationships>
</file>

<file path=word/charts/_rels/chart12.xml.rels><?xml version="1.0" encoding="UTF-8" standalone="yes"?>
<Relationships xmlns="http://schemas.openxmlformats.org/package/2006/relationships"><Relationship Id="rId1" Type="http://schemas.openxmlformats.org/officeDocument/2006/relationships/oleObject" Target="file:///C:\&#1052;&#1040;&#1058;&#1045;&#1056;&#1048;&#1040;&#1051;&#1067;\&#1043;&#1054;&#1044;&#1054;&#1042;&#1054;&#1049;%20&#1054;&#1058;&#1063;&#1045;&#1058;%20&#1044;&#1058;\&#1043;&#1086;&#1076;&#1086;&#1074;&#1086;&#1081;%20&#1086;&#1090;&#1095;&#1077;&#1090;%20&#1044;&#1058;2019\&#1043;&#1088;&#1072;&#1092;&#1080;&#1082;&#1080;%20&#1086;&#1090;&#1095;%20&#1090;&#1077;&#1087;&#1083;&#1086;%202019.xlsx" TargetMode="External"/></Relationships>
</file>

<file path=word/charts/_rels/chart13.xml.rels><?xml version="1.0" encoding="UTF-8" standalone="yes"?>
<Relationships xmlns="http://schemas.openxmlformats.org/package/2006/relationships"><Relationship Id="rId1" Type="http://schemas.openxmlformats.org/officeDocument/2006/relationships/oleObject" Target="file:///C:\&#1052;&#1040;&#1058;&#1045;&#1056;&#1048;&#1040;&#1051;&#1067;\&#1043;&#1054;&#1044;&#1054;&#1042;&#1054;&#1049;%20&#1054;&#1058;&#1063;&#1045;&#1058;%20&#1044;&#1058;\&#1043;&#1086;&#1076;&#1086;&#1074;&#1086;&#1081;%20&#1086;&#1090;&#1095;&#1077;&#1090;%20&#1044;&#1058;2019\&#1043;&#1088;&#1072;&#1092;&#1080;&#1082;&#1080;%20&#1086;&#1090;&#1095;%20&#1090;&#1077;&#1087;&#1083;&#1086;%202019.xlsx" TargetMode="External"/></Relationships>
</file>

<file path=word/charts/_rels/chart14.xml.rels><?xml version="1.0" encoding="UTF-8" standalone="yes"?>
<Relationships xmlns="http://schemas.openxmlformats.org/package/2006/relationships"><Relationship Id="rId1" Type="http://schemas.openxmlformats.org/officeDocument/2006/relationships/oleObject" Target="file:///C:\&#1052;&#1040;&#1058;&#1045;&#1056;&#1048;&#1040;&#1051;&#1067;\&#1043;&#1054;&#1044;&#1054;&#1042;&#1054;&#1049;%20&#1054;&#1058;&#1063;&#1045;&#1058;%20&#1044;&#1058;\&#1043;&#1086;&#1076;&#1086;&#1074;&#1086;&#1081;%20&#1086;&#1090;&#1095;&#1077;&#1090;%20&#1044;&#1058;2019\&#1043;&#1088;&#1072;&#1092;&#1080;&#1082;&#1080;%20&#1086;&#1090;&#1095;%20&#1090;&#1077;&#1087;&#1083;&#1086;%202019.xlsx" TargetMode="External"/></Relationships>
</file>

<file path=word/charts/_rels/chart15.xml.rels><?xml version="1.0" encoding="UTF-8" standalone="yes"?>
<Relationships xmlns="http://schemas.openxmlformats.org/package/2006/relationships"><Relationship Id="rId2" Type="http://schemas.openxmlformats.org/officeDocument/2006/relationships/package" Target="../embeddings/Microsoft_Excel_Worksheet2.xlsx"/><Relationship Id="rId1" Type="http://schemas.openxmlformats.org/officeDocument/2006/relationships/themeOverride" Target="../theme/themeOverride5.xml"/></Relationships>
</file>

<file path=word/charts/_rels/chart16.xml.rels><?xml version="1.0" encoding="UTF-8" standalone="yes"?>
<Relationships xmlns="http://schemas.openxmlformats.org/package/2006/relationships"><Relationship Id="rId2" Type="http://schemas.openxmlformats.org/officeDocument/2006/relationships/package" Target="../embeddings/Microsoft_Excel_Worksheet3.xlsx"/><Relationship Id="rId1" Type="http://schemas.openxmlformats.org/officeDocument/2006/relationships/themeOverride" Target="../theme/themeOverride6.xml"/></Relationships>
</file>

<file path=word/charts/_rels/chart17.xml.rels><?xml version="1.0" encoding="UTF-8" standalone="yes"?>
<Relationships xmlns="http://schemas.openxmlformats.org/package/2006/relationships"><Relationship Id="rId2" Type="http://schemas.openxmlformats.org/officeDocument/2006/relationships/package" Target="../embeddings/Microsoft_Excel_Worksheet4.xlsx"/><Relationship Id="rId1" Type="http://schemas.openxmlformats.org/officeDocument/2006/relationships/themeOverride" Target="../theme/themeOverride7.xml"/></Relationships>
</file>

<file path=word/charts/_rels/chart18.xml.rels><?xml version="1.0" encoding="UTF-8" standalone="yes"?>
<Relationships xmlns="http://schemas.openxmlformats.org/package/2006/relationships"><Relationship Id="rId2" Type="http://schemas.openxmlformats.org/officeDocument/2006/relationships/package" Target="../embeddings/Microsoft_Excel_Worksheet5.xlsx"/><Relationship Id="rId1" Type="http://schemas.openxmlformats.org/officeDocument/2006/relationships/themeOverride" Target="../theme/themeOverride8.xml"/></Relationships>
</file>

<file path=word/charts/_rels/chart19.xml.rels><?xml version="1.0" encoding="UTF-8" standalone="yes"?>
<Relationships xmlns="http://schemas.openxmlformats.org/package/2006/relationships"><Relationship Id="rId2" Type="http://schemas.openxmlformats.org/officeDocument/2006/relationships/package" Target="../embeddings/Microsoft_Excel_Worksheet6.xlsx"/><Relationship Id="rId1" Type="http://schemas.openxmlformats.org/officeDocument/2006/relationships/themeOverride" Target="../theme/themeOverride9.xml"/></Relationships>
</file>

<file path=word/charts/_rels/chart20.xml.rels><?xml version="1.0" encoding="UTF-8" standalone="yes"?>
<Relationships xmlns="http://schemas.openxmlformats.org/package/2006/relationships"><Relationship Id="rId2" Type="http://schemas.openxmlformats.org/officeDocument/2006/relationships/package" Target="../embeddings/Microsoft_Excel_Worksheet7.xlsx"/><Relationship Id="rId1" Type="http://schemas.openxmlformats.org/officeDocument/2006/relationships/themeOverride" Target="../theme/themeOverride10.xml"/></Relationships>
</file>

<file path=word/charts/_rels/chart21.xml.rels><?xml version="1.0" encoding="UTF-8" standalone="yes"?>
<Relationships xmlns="http://schemas.openxmlformats.org/package/2006/relationships"><Relationship Id="rId2" Type="http://schemas.openxmlformats.org/officeDocument/2006/relationships/package" Target="../embeddings/Microsoft_Excel_Worksheet8.xlsx"/><Relationship Id="rId1" Type="http://schemas.openxmlformats.org/officeDocument/2006/relationships/themeOverride" Target="../theme/themeOverride11.xml"/></Relationships>
</file>

<file path=word/charts/_rels/chart22.xml.rels><?xml version="1.0" encoding="UTF-8" standalone="yes"?>
<Relationships xmlns="http://schemas.openxmlformats.org/package/2006/relationships"><Relationship Id="rId2" Type="http://schemas.openxmlformats.org/officeDocument/2006/relationships/package" Target="../embeddings/Microsoft_Excel_Worksheet9.xlsx"/><Relationship Id="rId1" Type="http://schemas.openxmlformats.org/officeDocument/2006/relationships/themeOverride" Target="../theme/themeOverride12.xml"/></Relationships>
</file>

<file path=word/charts/_rels/chart23.xml.rels><?xml version="1.0" encoding="UTF-8" standalone="yes"?>
<Relationships xmlns="http://schemas.openxmlformats.org/package/2006/relationships"><Relationship Id="rId2" Type="http://schemas.openxmlformats.org/officeDocument/2006/relationships/package" Target="../embeddings/Microsoft_Excel_Worksheet10.xlsx"/><Relationship Id="rId1" Type="http://schemas.openxmlformats.org/officeDocument/2006/relationships/themeOverride" Target="../theme/themeOverride13.xml"/></Relationships>
</file>

<file path=word/charts/_rels/chart24.xml.rels><?xml version="1.0" encoding="UTF-8" standalone="yes"?>
<Relationships xmlns="http://schemas.openxmlformats.org/package/2006/relationships"><Relationship Id="rId2" Type="http://schemas.openxmlformats.org/officeDocument/2006/relationships/package" Target="../embeddings/Microsoft_Excel_Worksheet11.xlsx"/><Relationship Id="rId1" Type="http://schemas.openxmlformats.org/officeDocument/2006/relationships/themeOverride" Target="../theme/themeOverride14.xml"/></Relationships>
</file>

<file path=word/charts/chart1.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a:lstStyle/>
          <a:p>
            <a:pPr>
              <a:defRPr sz="1400" b="1" i="0" u="none" strike="noStrike" baseline="0">
                <a:solidFill>
                  <a:srgbClr val="000000"/>
                </a:solidFill>
                <a:latin typeface="Times New Roman"/>
                <a:ea typeface="Times New Roman"/>
                <a:cs typeface="Times New Roman"/>
              </a:defRPr>
            </a:pPr>
            <a:r>
              <a:rPr lang="ru-RU"/>
              <a:t>Динамика электропотребления Новосибирской области</a:t>
            </a:r>
          </a:p>
        </c:rich>
      </c:tx>
      <c:layout>
        <c:manualLayout>
          <c:xMode val="edge"/>
          <c:yMode val="edge"/>
          <c:x val="0.18684855986888102"/>
          <c:y val="3.0647879541373116E-2"/>
        </c:manualLayout>
      </c:layout>
      <c:overlay val="0"/>
      <c:spPr>
        <a:noFill/>
        <a:ln w="25400">
          <a:noFill/>
        </a:ln>
      </c:spPr>
    </c:title>
    <c:autoTitleDeleted val="0"/>
    <c:plotArea>
      <c:layout>
        <c:manualLayout>
          <c:layoutTarget val="inner"/>
          <c:xMode val="edge"/>
          <c:yMode val="edge"/>
          <c:x val="0.14631197097944376"/>
          <c:y val="0.20929220757276584"/>
          <c:w val="0.76654868888260186"/>
          <c:h val="0.64998122015863891"/>
        </c:manualLayout>
      </c:layout>
      <c:lineChart>
        <c:grouping val="standard"/>
        <c:varyColors val="0"/>
        <c:ser>
          <c:idx val="0"/>
          <c:order val="0"/>
          <c:tx>
            <c:strRef>
              <c:f>'[Диаграмма в Microsoft Word]диаграмма динамики потребления'!$A$9</c:f>
              <c:strCache>
                <c:ptCount val="1"/>
                <c:pt idx="0">
                  <c:v>факт</c:v>
                </c:pt>
              </c:strCache>
            </c:strRef>
          </c:tx>
          <c:spPr>
            <a:ln w="12700">
              <a:solidFill>
                <a:srgbClr val="000080"/>
              </a:solidFill>
              <a:prstDash val="solid"/>
            </a:ln>
          </c:spPr>
          <c:marker>
            <c:symbol val="diamond"/>
            <c:size val="5"/>
            <c:spPr>
              <a:solidFill>
                <a:srgbClr val="000080"/>
              </a:solidFill>
              <a:ln>
                <a:solidFill>
                  <a:srgbClr val="000080"/>
                </a:solidFill>
                <a:prstDash val="solid"/>
              </a:ln>
            </c:spPr>
          </c:marker>
          <c:dLbls>
            <c:dLbl>
              <c:idx val="0"/>
              <c:layout>
                <c:manualLayout>
                  <c:x val="4.1079737992698083E-3"/>
                  <c:y val="2.5228327145802053E-2"/>
                </c:manualLayout>
              </c:layout>
              <c:numFmt formatCode="#,##0" sourceLinked="0"/>
              <c:spPr>
                <a:noFill/>
                <a:ln w="25400">
                  <a:noFill/>
                </a:ln>
              </c:spPr>
              <c:txPr>
                <a:bodyPr/>
                <a:lstStyle/>
                <a:p>
                  <a:pPr>
                    <a:defRPr sz="1100" b="0" i="0" u="none" strike="noStrike" baseline="0">
                      <a:solidFill>
                        <a:srgbClr val="000000"/>
                      </a:solidFill>
                      <a:latin typeface="Times New Roman" panose="02020603050405020304" pitchFamily="18" charset="0"/>
                      <a:ea typeface="Arial Cyr"/>
                      <a:cs typeface="Times New Roman" panose="02020603050405020304" pitchFamily="18" charset="0"/>
                    </a:defRPr>
                  </a:pPr>
                  <a:endParaRPr lang="ru-RU"/>
                </a:p>
              </c:txPr>
              <c:dLblPos val="r"/>
              <c:showLegendKey val="0"/>
              <c:showVal val="1"/>
              <c:showCatName val="0"/>
              <c:showSerName val="0"/>
              <c:showPercent val="0"/>
              <c:showBubbleSize val="0"/>
            </c:dLbl>
            <c:dLbl>
              <c:idx val="1"/>
              <c:layout>
                <c:manualLayout>
                  <c:x val="-4.76176526295852E-2"/>
                  <c:y val="-4.2679651649373672E-2"/>
                </c:manualLayout>
              </c:layout>
              <c:tx>
                <c:rich>
                  <a:bodyPr/>
                  <a:lstStyle/>
                  <a:p>
                    <a:r>
                      <a:rPr lang="en-US"/>
                      <a:t>1494</a:t>
                    </a:r>
                    <a:r>
                      <a:rPr lang="ru-RU"/>
                      <a:t>8</a:t>
                    </a:r>
                    <a:endParaRPr lang="en-US"/>
                  </a:p>
                </c:rich>
              </c:tx>
              <c:dLblPos val="r"/>
              <c:showLegendKey val="0"/>
              <c:showVal val="1"/>
              <c:showCatName val="0"/>
              <c:showSerName val="0"/>
              <c:showPercent val="0"/>
              <c:showBubbleSize val="0"/>
            </c:dLbl>
            <c:dLbl>
              <c:idx val="2"/>
              <c:layout>
                <c:manualLayout>
                  <c:x val="-3.2037039375381444E-2"/>
                  <c:y val="3.9377667904070712E-2"/>
                </c:manualLayout>
              </c:layout>
              <c:tx>
                <c:rich>
                  <a:bodyPr/>
                  <a:lstStyle/>
                  <a:p>
                    <a:r>
                      <a:rPr lang="en-US"/>
                      <a:t>14755</a:t>
                    </a:r>
                  </a:p>
                </c:rich>
              </c:tx>
              <c:dLblPos val="r"/>
              <c:showLegendKey val="0"/>
              <c:showVal val="1"/>
              <c:showCatName val="0"/>
              <c:showSerName val="0"/>
              <c:showPercent val="0"/>
              <c:showBubbleSize val="0"/>
            </c:dLbl>
            <c:dLbl>
              <c:idx val="3"/>
              <c:layout>
                <c:manualLayout>
                  <c:x val="-3.0845044931287712E-2"/>
                  <c:y val="4.8756709860357683E-2"/>
                </c:manualLayout>
              </c:layout>
              <c:tx>
                <c:rich>
                  <a:bodyPr/>
                  <a:lstStyle/>
                  <a:p>
                    <a:r>
                      <a:rPr lang="en-US"/>
                      <a:t>1533</a:t>
                    </a:r>
                    <a:r>
                      <a:rPr lang="ru-RU"/>
                      <a:t>2</a:t>
                    </a:r>
                  </a:p>
                </c:rich>
              </c:tx>
              <c:dLblPos val="r"/>
              <c:showLegendKey val="0"/>
              <c:showVal val="1"/>
              <c:showCatName val="0"/>
              <c:showSerName val="0"/>
              <c:showPercent val="0"/>
              <c:showBubbleSize val="0"/>
            </c:dLbl>
            <c:dLbl>
              <c:idx val="4"/>
              <c:layout>
                <c:manualLayout>
                  <c:x val="-5.8943283456447164E-2"/>
                  <c:y val="-6.2671259710631422E-2"/>
                </c:manualLayout>
              </c:layout>
              <c:numFmt formatCode="#,##0" sourceLinked="0"/>
              <c:spPr>
                <a:noFill/>
                <a:ln w="25400">
                  <a:noFill/>
                </a:ln>
              </c:spPr>
              <c:txPr>
                <a:bodyPr/>
                <a:lstStyle/>
                <a:p>
                  <a:pPr>
                    <a:defRPr sz="1100" b="0" i="0" u="none" strike="noStrike" baseline="0">
                      <a:solidFill>
                        <a:srgbClr val="000000"/>
                      </a:solidFill>
                      <a:latin typeface="Times New Roman" panose="02020603050405020304" pitchFamily="18" charset="0"/>
                      <a:ea typeface="Arial Cyr"/>
                      <a:cs typeface="Times New Roman" panose="02020603050405020304" pitchFamily="18" charset="0"/>
                    </a:defRPr>
                  </a:pPr>
                  <a:endParaRPr lang="ru-RU"/>
                </a:p>
              </c:txPr>
              <c:dLblPos val="r"/>
              <c:showLegendKey val="0"/>
              <c:showVal val="1"/>
              <c:showCatName val="0"/>
              <c:showSerName val="0"/>
              <c:showPercent val="0"/>
              <c:showBubbleSize val="0"/>
            </c:dLbl>
            <c:dLbl>
              <c:idx val="5"/>
              <c:layout>
                <c:manualLayout>
                  <c:x val="-6.3500136793147713E-2"/>
                  <c:y val="-3.5771632521658353E-2"/>
                </c:manualLayout>
              </c:layout>
              <c:tx>
                <c:rich>
                  <a:bodyPr/>
                  <a:lstStyle/>
                  <a:p>
                    <a:r>
                      <a:rPr lang="en-US"/>
                      <a:t>1577</a:t>
                    </a:r>
                    <a:r>
                      <a:rPr lang="ru-RU"/>
                      <a:t>4</a:t>
                    </a:r>
                  </a:p>
                </c:rich>
              </c:tx>
              <c:dLblPos val="r"/>
              <c:showLegendKey val="0"/>
              <c:showVal val="1"/>
              <c:showCatName val="0"/>
              <c:showSerName val="0"/>
              <c:showPercent val="0"/>
              <c:showBubbleSize val="0"/>
            </c:dLbl>
            <c:dLbl>
              <c:idx val="6"/>
              <c:layout>
                <c:manualLayout>
                  <c:x val="-5.4973167497948103E-2"/>
                  <c:y val="-5.9280132908323464E-2"/>
                </c:manualLayout>
              </c:layout>
              <c:tx>
                <c:rich>
                  <a:bodyPr/>
                  <a:lstStyle/>
                  <a:p>
                    <a:r>
                      <a:rPr lang="en-US"/>
                      <a:t>1558</a:t>
                    </a:r>
                    <a:r>
                      <a:rPr lang="ru-RU"/>
                      <a:t>8</a:t>
                    </a:r>
                    <a:endParaRPr lang="en-US"/>
                  </a:p>
                </c:rich>
              </c:tx>
              <c:dLblPos val="r"/>
              <c:showLegendKey val="0"/>
              <c:showVal val="1"/>
              <c:showCatName val="0"/>
              <c:showSerName val="0"/>
              <c:showPercent val="0"/>
              <c:showBubbleSize val="0"/>
            </c:dLbl>
            <c:dLbl>
              <c:idx val="7"/>
              <c:layout>
                <c:manualLayout>
                  <c:x val="-8.0576467369572996E-2"/>
                  <c:y val="-6.317858022931909E-2"/>
                </c:manualLayout>
              </c:layout>
              <c:tx>
                <c:rich>
                  <a:bodyPr/>
                  <a:lstStyle/>
                  <a:p>
                    <a:r>
                      <a:rPr lang="en-US"/>
                      <a:t>15858</a:t>
                    </a:r>
                  </a:p>
                </c:rich>
              </c:tx>
              <c:dLblPos val="r"/>
              <c:showLegendKey val="0"/>
              <c:showVal val="1"/>
              <c:showCatName val="0"/>
              <c:showSerName val="0"/>
              <c:showPercent val="0"/>
              <c:showBubbleSize val="0"/>
            </c:dLbl>
            <c:dLbl>
              <c:idx val="8"/>
              <c:layout>
                <c:manualLayout>
                  <c:x val="-4.7918681734958016E-2"/>
                  <c:y val="-4.8463730131602406E-2"/>
                </c:manualLayout>
              </c:layout>
              <c:tx>
                <c:rich>
                  <a:bodyPr/>
                  <a:lstStyle/>
                  <a:p>
                    <a:r>
                      <a:rPr lang="en-US"/>
                      <a:t>1594</a:t>
                    </a:r>
                    <a:r>
                      <a:rPr lang="ru-RU"/>
                      <a:t>8</a:t>
                    </a:r>
                    <a:endParaRPr lang="en-US"/>
                  </a:p>
                </c:rich>
              </c:tx>
              <c:showLegendKey val="0"/>
              <c:showVal val="1"/>
              <c:showCatName val="0"/>
              <c:showSerName val="0"/>
              <c:showPercent val="0"/>
              <c:showBubbleSize val="0"/>
            </c:dLbl>
            <c:dLbl>
              <c:idx val="9"/>
              <c:layout>
                <c:manualLayout>
                  <c:x val="-3.6302031530286702E-2"/>
                  <c:y val="-2.6977314530962599E-2"/>
                </c:manualLayout>
              </c:layout>
              <c:tx>
                <c:rich>
                  <a:bodyPr/>
                  <a:lstStyle/>
                  <a:p>
                    <a:r>
                      <a:rPr lang="en-US"/>
                      <a:t>1658</a:t>
                    </a:r>
                    <a:r>
                      <a:rPr lang="ru-RU"/>
                      <a:t>8</a:t>
                    </a:r>
                  </a:p>
                </c:rich>
              </c:tx>
              <c:showLegendKey val="0"/>
              <c:showVal val="1"/>
              <c:showCatName val="0"/>
              <c:showSerName val="0"/>
              <c:showPercent val="0"/>
              <c:showBubbleSize val="0"/>
            </c:dLbl>
            <c:spPr>
              <a:noFill/>
              <a:ln w="25400">
                <a:noFill/>
              </a:ln>
            </c:spPr>
            <c:txPr>
              <a:bodyPr/>
              <a:lstStyle/>
              <a:p>
                <a:pPr>
                  <a:defRPr sz="1100" b="0" i="0" u="none" strike="noStrike" baseline="0">
                    <a:solidFill>
                      <a:srgbClr val="000000"/>
                    </a:solidFill>
                    <a:latin typeface="Times New Roman" panose="02020603050405020304" pitchFamily="18" charset="0"/>
                    <a:ea typeface="Arial Cyr"/>
                    <a:cs typeface="Times New Roman" panose="02020603050405020304" pitchFamily="18" charset="0"/>
                  </a:defRPr>
                </a:pPr>
                <a:endParaRPr lang="ru-RU"/>
              </a:p>
            </c:txPr>
            <c:showLegendKey val="0"/>
            <c:showVal val="1"/>
            <c:showCatName val="0"/>
            <c:showSerName val="0"/>
            <c:showPercent val="0"/>
            <c:showBubbleSize val="0"/>
            <c:showLeaderLines val="0"/>
          </c:dLbls>
          <c:cat>
            <c:numRef>
              <c:f>'[Диаграмма в Microsoft Word]диаграмма динамики потребления'!$F$7:$Q$7</c:f>
              <c:numCache>
                <c:formatCode>General</c:formatCode>
                <c:ptCount val="12"/>
                <c:pt idx="0">
                  <c:v>2009</c:v>
                </c:pt>
                <c:pt idx="1">
                  <c:v>2010</c:v>
                </c:pt>
                <c:pt idx="2">
                  <c:v>2011</c:v>
                </c:pt>
                <c:pt idx="3">
                  <c:v>2012</c:v>
                </c:pt>
                <c:pt idx="4">
                  <c:v>2013</c:v>
                </c:pt>
                <c:pt idx="5">
                  <c:v>2014</c:v>
                </c:pt>
                <c:pt idx="6">
                  <c:v>2015</c:v>
                </c:pt>
                <c:pt idx="7">
                  <c:v>2016</c:v>
                </c:pt>
                <c:pt idx="8">
                  <c:v>2017</c:v>
                </c:pt>
                <c:pt idx="9">
                  <c:v>2018</c:v>
                </c:pt>
                <c:pt idx="10">
                  <c:v>2019</c:v>
                </c:pt>
                <c:pt idx="11">
                  <c:v>2020</c:v>
                </c:pt>
              </c:numCache>
            </c:numRef>
          </c:cat>
          <c:val>
            <c:numRef>
              <c:f>'[Диаграмма в Microsoft Word]диаграмма динамики потребления'!$F$9:$Q$9</c:f>
              <c:numCache>
                <c:formatCode>0.00</c:formatCode>
                <c:ptCount val="12"/>
                <c:pt idx="0">
                  <c:v>14235.2479</c:v>
                </c:pt>
                <c:pt idx="1">
                  <c:v>14947.905000000001</c:v>
                </c:pt>
                <c:pt idx="2">
                  <c:v>14754.65</c:v>
                </c:pt>
                <c:pt idx="3">
                  <c:v>15331.96</c:v>
                </c:pt>
                <c:pt idx="4">
                  <c:v>15335.797149000002</c:v>
                </c:pt>
                <c:pt idx="5">
                  <c:v>15773.978945104907</c:v>
                </c:pt>
                <c:pt idx="6">
                  <c:v>15587.495243206025</c:v>
                </c:pt>
                <c:pt idx="7">
                  <c:v>15858.336950136769</c:v>
                </c:pt>
                <c:pt idx="8">
                  <c:v>15947.678117179832</c:v>
                </c:pt>
                <c:pt idx="9" formatCode="General">
                  <c:v>16587.810000000001</c:v>
                </c:pt>
              </c:numCache>
            </c:numRef>
          </c:val>
          <c:smooth val="0"/>
        </c:ser>
        <c:ser>
          <c:idx val="1"/>
          <c:order val="1"/>
          <c:tx>
            <c:strRef>
              <c:f>'[Диаграмма в Microsoft Word]диаграмма динамики потребления'!$A$10</c:f>
              <c:strCache>
                <c:ptCount val="1"/>
                <c:pt idx="0">
                  <c:v>план</c:v>
                </c:pt>
              </c:strCache>
            </c:strRef>
          </c:tx>
          <c:spPr>
            <a:ln w="12700">
              <a:solidFill>
                <a:srgbClr val="FF00FF"/>
              </a:solidFill>
              <a:prstDash val="lgDash"/>
            </a:ln>
          </c:spPr>
          <c:marker>
            <c:symbol val="square"/>
            <c:size val="5"/>
            <c:spPr>
              <a:solidFill>
                <a:srgbClr val="FF00FF"/>
              </a:solidFill>
              <a:ln>
                <a:solidFill>
                  <a:srgbClr val="FF00FF"/>
                </a:solidFill>
                <a:prstDash val="solid"/>
              </a:ln>
            </c:spPr>
          </c:marker>
          <c:dLbls>
            <c:dLbl>
              <c:idx val="0"/>
              <c:layout>
                <c:manualLayout>
                  <c:x val="-1.3715343982153756E-2"/>
                  <c:y val="-3.3496213407342892E-2"/>
                </c:manualLayout>
              </c:layout>
              <c:tx>
                <c:rich>
                  <a:bodyPr/>
                  <a:lstStyle/>
                  <a:p>
                    <a:r>
                      <a:rPr lang="en-US"/>
                      <a:t>15413</a:t>
                    </a:r>
                  </a:p>
                </c:rich>
              </c:tx>
              <c:dLblPos val="r"/>
              <c:showLegendKey val="0"/>
              <c:showVal val="1"/>
              <c:showCatName val="0"/>
              <c:showSerName val="0"/>
              <c:showPercent val="0"/>
              <c:showBubbleSize val="0"/>
            </c:dLbl>
            <c:dLbl>
              <c:idx val="1"/>
              <c:layout>
                <c:manualLayout>
                  <c:x val="-3.8440137214049708E-2"/>
                  <c:y val="3.4315534625548059E-2"/>
                </c:manualLayout>
              </c:layout>
              <c:tx>
                <c:rich>
                  <a:bodyPr/>
                  <a:lstStyle/>
                  <a:p>
                    <a:r>
                      <a:rPr lang="en-US"/>
                      <a:t>14731</a:t>
                    </a:r>
                  </a:p>
                </c:rich>
              </c:tx>
              <c:showLegendKey val="0"/>
              <c:showVal val="1"/>
              <c:showCatName val="0"/>
              <c:showSerName val="0"/>
              <c:showPercent val="0"/>
              <c:showBubbleSize val="0"/>
            </c:dLbl>
            <c:dLbl>
              <c:idx val="2"/>
              <c:layout>
                <c:manualLayout>
                  <c:x val="-5.2117768377633267E-2"/>
                  <c:y val="-4.4913054290960666E-2"/>
                </c:manualLayout>
              </c:layout>
              <c:tx>
                <c:rich>
                  <a:bodyPr/>
                  <a:lstStyle/>
                  <a:p>
                    <a:r>
                      <a:rPr lang="en-US"/>
                      <a:t>1506</a:t>
                    </a:r>
                    <a:r>
                      <a:rPr lang="ru-RU"/>
                      <a:t>4</a:t>
                    </a:r>
                    <a:endParaRPr lang="en-US"/>
                  </a:p>
                </c:rich>
              </c:tx>
              <c:dLblPos val="r"/>
              <c:showLegendKey val="0"/>
              <c:showVal val="1"/>
              <c:showCatName val="0"/>
              <c:showSerName val="0"/>
              <c:showPercent val="0"/>
              <c:showBubbleSize val="0"/>
            </c:dLbl>
            <c:dLbl>
              <c:idx val="3"/>
              <c:layout>
                <c:manualLayout>
                  <c:x val="-6.5759707052212887E-2"/>
                  <c:y val="-7.8224168102229485E-2"/>
                </c:manualLayout>
              </c:layout>
              <c:numFmt formatCode="#,##0" sourceLinked="0"/>
              <c:spPr>
                <a:noFill/>
                <a:ln w="25400">
                  <a:noFill/>
                </a:ln>
              </c:spPr>
              <c:txPr>
                <a:bodyPr/>
                <a:lstStyle/>
                <a:p>
                  <a:pPr>
                    <a:defRPr sz="1100" b="0" i="0" u="none" strike="noStrike" baseline="0">
                      <a:solidFill>
                        <a:srgbClr val="000000"/>
                      </a:solidFill>
                      <a:latin typeface="Times New Roman" panose="02020603050405020304" pitchFamily="18" charset="0"/>
                      <a:ea typeface="Arial Cyr"/>
                      <a:cs typeface="Times New Roman" panose="02020603050405020304" pitchFamily="18" charset="0"/>
                    </a:defRPr>
                  </a:pPr>
                  <a:endParaRPr lang="ru-RU"/>
                </a:p>
              </c:txPr>
              <c:dLblPos val="r"/>
              <c:showLegendKey val="0"/>
              <c:showVal val="1"/>
              <c:showCatName val="0"/>
              <c:showSerName val="0"/>
              <c:showPercent val="0"/>
              <c:showBubbleSize val="0"/>
            </c:dLbl>
            <c:dLbl>
              <c:idx val="4"/>
              <c:layout>
                <c:manualLayout>
                  <c:x val="-3.162506050466149E-2"/>
                  <c:y val="5.106250574887549E-2"/>
                </c:manualLayout>
              </c:layout>
              <c:tx>
                <c:rich>
                  <a:bodyPr/>
                  <a:lstStyle/>
                  <a:p>
                    <a:r>
                      <a:rPr lang="en-US"/>
                      <a:t>1528</a:t>
                    </a:r>
                    <a:r>
                      <a:rPr lang="ru-RU"/>
                      <a:t>4</a:t>
                    </a:r>
                  </a:p>
                </c:rich>
              </c:tx>
              <c:dLblPos val="r"/>
              <c:showLegendKey val="0"/>
              <c:showVal val="1"/>
              <c:showCatName val="0"/>
              <c:showSerName val="0"/>
              <c:showPercent val="0"/>
              <c:showBubbleSize val="0"/>
            </c:dLbl>
            <c:dLbl>
              <c:idx val="5"/>
              <c:layout>
                <c:manualLayout>
                  <c:x val="-4.5024222909695474E-2"/>
                  <c:y val="3.2306976892075644E-2"/>
                </c:manualLayout>
              </c:layout>
              <c:numFmt formatCode="#,##0" sourceLinked="0"/>
              <c:spPr>
                <a:noFill/>
                <a:ln w="25400">
                  <a:noFill/>
                </a:ln>
              </c:spPr>
              <c:txPr>
                <a:bodyPr/>
                <a:lstStyle/>
                <a:p>
                  <a:pPr>
                    <a:defRPr sz="1100" b="0" i="0" u="none" strike="noStrike" baseline="0">
                      <a:solidFill>
                        <a:srgbClr val="000000"/>
                      </a:solidFill>
                      <a:latin typeface="Times New Roman" panose="02020603050405020304" pitchFamily="18" charset="0"/>
                      <a:ea typeface="Arial Cyr"/>
                      <a:cs typeface="Times New Roman" panose="02020603050405020304" pitchFamily="18" charset="0"/>
                    </a:defRPr>
                  </a:pPr>
                  <a:endParaRPr lang="ru-RU"/>
                </a:p>
              </c:txPr>
              <c:dLblPos val="r"/>
              <c:showLegendKey val="0"/>
              <c:showVal val="1"/>
              <c:showCatName val="0"/>
              <c:showSerName val="0"/>
              <c:showPercent val="0"/>
              <c:showBubbleSize val="0"/>
            </c:dLbl>
            <c:dLbl>
              <c:idx val="6"/>
              <c:layout>
                <c:manualLayout>
                  <c:x val="-4.9210177410190037E-3"/>
                  <c:y val="2.6116360646690293E-2"/>
                </c:manualLayout>
              </c:layout>
              <c:tx>
                <c:rich>
                  <a:bodyPr/>
                  <a:lstStyle/>
                  <a:p>
                    <a:r>
                      <a:rPr lang="en-US"/>
                      <a:t>1536</a:t>
                    </a:r>
                    <a:r>
                      <a:rPr lang="ru-RU"/>
                      <a:t>1</a:t>
                    </a:r>
                    <a:endParaRPr lang="en-US"/>
                  </a:p>
                </c:rich>
              </c:tx>
              <c:dLblPos val="r"/>
              <c:showLegendKey val="0"/>
              <c:showVal val="1"/>
              <c:showCatName val="0"/>
              <c:showSerName val="0"/>
              <c:showPercent val="0"/>
              <c:showBubbleSize val="0"/>
            </c:dLbl>
            <c:dLbl>
              <c:idx val="7"/>
              <c:layout>
                <c:manualLayout>
                  <c:x val="-4.6019066860281586E-2"/>
                  <c:y val="4.4564998915520772E-2"/>
                </c:manualLayout>
              </c:layout>
              <c:tx>
                <c:rich>
                  <a:bodyPr/>
                  <a:lstStyle/>
                  <a:p>
                    <a:r>
                      <a:rPr lang="en-US"/>
                      <a:t>15786</a:t>
                    </a:r>
                  </a:p>
                </c:rich>
              </c:tx>
              <c:dLblPos val="r"/>
              <c:showLegendKey val="0"/>
              <c:showVal val="1"/>
              <c:showCatName val="0"/>
              <c:showSerName val="0"/>
              <c:showPercent val="0"/>
              <c:showBubbleSize val="0"/>
            </c:dLbl>
            <c:dLbl>
              <c:idx val="8"/>
              <c:layout>
                <c:manualLayout>
                  <c:x val="-1.0964160195298524E-2"/>
                  <c:y val="7.9433845063689029E-3"/>
                </c:manualLayout>
              </c:layout>
              <c:tx>
                <c:rich>
                  <a:bodyPr/>
                  <a:lstStyle/>
                  <a:p>
                    <a:r>
                      <a:rPr lang="en-US"/>
                      <a:t>1573</a:t>
                    </a:r>
                    <a:r>
                      <a:rPr lang="ru-RU"/>
                      <a:t>4</a:t>
                    </a:r>
                    <a:endParaRPr lang="en-US"/>
                  </a:p>
                </c:rich>
              </c:tx>
              <c:dLblPos val="r"/>
              <c:showLegendKey val="0"/>
              <c:showVal val="1"/>
              <c:showCatName val="0"/>
              <c:showSerName val="0"/>
              <c:showPercent val="0"/>
              <c:showBubbleSize val="0"/>
            </c:dLbl>
            <c:dLbl>
              <c:idx val="9"/>
              <c:layout>
                <c:manualLayout>
                  <c:x val="-2.3743923227476482E-2"/>
                  <c:y val="2.9429700195433377E-2"/>
                </c:manualLayout>
              </c:layout>
              <c:tx>
                <c:rich>
                  <a:bodyPr/>
                  <a:lstStyle/>
                  <a:p>
                    <a:r>
                      <a:rPr lang="en-US"/>
                      <a:t>16112</a:t>
                    </a:r>
                  </a:p>
                </c:rich>
              </c:tx>
              <c:dLblPos val="r"/>
              <c:showLegendKey val="0"/>
              <c:showVal val="1"/>
              <c:showCatName val="0"/>
              <c:showSerName val="0"/>
              <c:showPercent val="0"/>
              <c:showBubbleSize val="0"/>
            </c:dLbl>
            <c:dLbl>
              <c:idx val="10"/>
              <c:layout>
                <c:manualLayout>
                  <c:x val="-4.0625460361554809E-2"/>
                  <c:y val="3.6054675922403523E-2"/>
                </c:manualLayout>
              </c:layout>
              <c:tx>
                <c:rich>
                  <a:bodyPr/>
                  <a:lstStyle/>
                  <a:p>
                    <a:r>
                      <a:rPr lang="en-US"/>
                      <a:t>1637</a:t>
                    </a:r>
                    <a:r>
                      <a:rPr lang="ru-RU"/>
                      <a:t>8</a:t>
                    </a:r>
                  </a:p>
                </c:rich>
              </c:tx>
              <c:showLegendKey val="0"/>
              <c:showVal val="1"/>
              <c:showCatName val="0"/>
              <c:showSerName val="0"/>
              <c:showPercent val="0"/>
              <c:showBubbleSize val="0"/>
            </c:dLbl>
            <c:dLbl>
              <c:idx val="11"/>
              <c:layout>
                <c:manualLayout>
                  <c:x val="-6.2007281604478395E-2"/>
                  <c:y val="-3.9660143514643878E-2"/>
                </c:manualLayout>
              </c:layout>
              <c:tx>
                <c:rich>
                  <a:bodyPr/>
                  <a:lstStyle/>
                  <a:p>
                    <a:r>
                      <a:rPr lang="en-US"/>
                      <a:t>16369</a:t>
                    </a:r>
                  </a:p>
                </c:rich>
              </c:tx>
              <c:showLegendKey val="0"/>
              <c:showVal val="1"/>
              <c:showCatName val="0"/>
              <c:showSerName val="0"/>
              <c:showPercent val="0"/>
              <c:showBubbleSize val="0"/>
            </c:dLbl>
            <c:spPr>
              <a:noFill/>
              <a:ln w="25400">
                <a:noFill/>
              </a:ln>
            </c:spPr>
            <c:txPr>
              <a:bodyPr/>
              <a:lstStyle/>
              <a:p>
                <a:pPr>
                  <a:defRPr sz="1100" b="0" i="0" u="none" strike="noStrike" baseline="0">
                    <a:solidFill>
                      <a:srgbClr val="000000"/>
                    </a:solidFill>
                    <a:latin typeface="Times New Roman" panose="02020603050405020304" pitchFamily="18" charset="0"/>
                    <a:ea typeface="Arial Cyr"/>
                    <a:cs typeface="Times New Roman" panose="02020603050405020304" pitchFamily="18" charset="0"/>
                  </a:defRPr>
                </a:pPr>
                <a:endParaRPr lang="ru-RU"/>
              </a:p>
            </c:txPr>
            <c:showLegendKey val="0"/>
            <c:showVal val="1"/>
            <c:showCatName val="0"/>
            <c:showSerName val="0"/>
            <c:showPercent val="0"/>
            <c:showBubbleSize val="0"/>
            <c:showLeaderLines val="0"/>
          </c:dLbls>
          <c:cat>
            <c:numRef>
              <c:f>'[Диаграмма в Microsoft Word]диаграмма динамики потребления'!$F$7:$Q$7</c:f>
              <c:numCache>
                <c:formatCode>General</c:formatCode>
                <c:ptCount val="12"/>
                <c:pt idx="0">
                  <c:v>2009</c:v>
                </c:pt>
                <c:pt idx="1">
                  <c:v>2010</c:v>
                </c:pt>
                <c:pt idx="2">
                  <c:v>2011</c:v>
                </c:pt>
                <c:pt idx="3">
                  <c:v>2012</c:v>
                </c:pt>
                <c:pt idx="4">
                  <c:v>2013</c:v>
                </c:pt>
                <c:pt idx="5">
                  <c:v>2014</c:v>
                </c:pt>
                <c:pt idx="6">
                  <c:v>2015</c:v>
                </c:pt>
                <c:pt idx="7">
                  <c:v>2016</c:v>
                </c:pt>
                <c:pt idx="8">
                  <c:v>2017</c:v>
                </c:pt>
                <c:pt idx="9">
                  <c:v>2018</c:v>
                </c:pt>
                <c:pt idx="10">
                  <c:v>2019</c:v>
                </c:pt>
                <c:pt idx="11">
                  <c:v>2020</c:v>
                </c:pt>
              </c:numCache>
            </c:numRef>
          </c:cat>
          <c:val>
            <c:numRef>
              <c:f>'[Диаграмма в Microsoft Word]диаграмма динамики потребления'!$F$10:$Q$10</c:f>
              <c:numCache>
                <c:formatCode>0.00</c:formatCode>
                <c:ptCount val="12"/>
                <c:pt idx="0">
                  <c:v>15413.136665373442</c:v>
                </c:pt>
                <c:pt idx="1">
                  <c:v>14731.21</c:v>
                </c:pt>
                <c:pt idx="2">
                  <c:v>15063.92</c:v>
                </c:pt>
                <c:pt idx="3">
                  <c:v>15220.73</c:v>
                </c:pt>
                <c:pt idx="4">
                  <c:v>15283.6</c:v>
                </c:pt>
                <c:pt idx="5">
                  <c:v>15435.72</c:v>
                </c:pt>
                <c:pt idx="6">
                  <c:v>15360.84</c:v>
                </c:pt>
                <c:pt idx="7">
                  <c:v>15786.434799999999</c:v>
                </c:pt>
                <c:pt idx="8">
                  <c:v>15733.554899999999</c:v>
                </c:pt>
                <c:pt idx="9" formatCode="General">
                  <c:v>16112.265600000001</c:v>
                </c:pt>
                <c:pt idx="10" formatCode="General">
                  <c:v>16377.7327</c:v>
                </c:pt>
                <c:pt idx="11" formatCode="General">
                  <c:v>16369.08</c:v>
                </c:pt>
              </c:numCache>
            </c:numRef>
          </c:val>
          <c:smooth val="0"/>
        </c:ser>
        <c:dLbls>
          <c:showLegendKey val="0"/>
          <c:showVal val="0"/>
          <c:showCatName val="0"/>
          <c:showSerName val="0"/>
          <c:showPercent val="0"/>
          <c:showBubbleSize val="0"/>
        </c:dLbls>
        <c:marker val="1"/>
        <c:smooth val="0"/>
        <c:axId val="283162624"/>
        <c:axId val="165996224"/>
      </c:lineChart>
      <c:catAx>
        <c:axId val="283162624"/>
        <c:scaling>
          <c:orientation val="minMax"/>
        </c:scaling>
        <c:delete val="0"/>
        <c:axPos val="b"/>
        <c:title>
          <c:tx>
            <c:rich>
              <a:bodyPr/>
              <a:lstStyle/>
              <a:p>
                <a:pPr>
                  <a:defRPr sz="1200" b="1" i="0" u="none" strike="noStrike" baseline="0">
                    <a:solidFill>
                      <a:srgbClr val="000000"/>
                    </a:solidFill>
                    <a:latin typeface="Times New Roman" panose="02020603050405020304" pitchFamily="18" charset="0"/>
                    <a:ea typeface="Arial Cyr"/>
                    <a:cs typeface="Times New Roman" panose="02020603050405020304" pitchFamily="18" charset="0"/>
                  </a:defRPr>
                </a:pPr>
                <a:r>
                  <a:rPr lang="ru-RU" sz="1200">
                    <a:latin typeface="Times New Roman" panose="02020603050405020304" pitchFamily="18" charset="0"/>
                    <a:cs typeface="Times New Roman" panose="02020603050405020304" pitchFamily="18" charset="0"/>
                  </a:rPr>
                  <a:t>годы</a:t>
                </a:r>
              </a:p>
            </c:rich>
          </c:tx>
          <c:layout>
            <c:manualLayout>
              <c:xMode val="edge"/>
              <c:yMode val="edge"/>
              <c:x val="0.40777487421059266"/>
              <c:y val="0.92735401495865644"/>
            </c:manualLayout>
          </c:layout>
          <c:overlay val="0"/>
          <c:spPr>
            <a:noFill/>
            <a:ln w="25400">
              <a:noFill/>
            </a:ln>
          </c:spPr>
        </c:title>
        <c:numFmt formatCode="General" sourceLinked="1"/>
        <c:majorTickMark val="out"/>
        <c:minorTickMark val="none"/>
        <c:tickLblPos val="nextTo"/>
        <c:spPr>
          <a:ln w="3175">
            <a:solidFill>
              <a:srgbClr val="000000"/>
            </a:solidFill>
            <a:prstDash val="solid"/>
          </a:ln>
        </c:spPr>
        <c:txPr>
          <a:bodyPr rot="0" vert="horz"/>
          <a:lstStyle/>
          <a:p>
            <a:pPr>
              <a:defRPr sz="1100" b="0" i="0" u="none" strike="noStrike" baseline="0">
                <a:solidFill>
                  <a:srgbClr val="000000"/>
                </a:solidFill>
                <a:latin typeface="Times New Roman" panose="02020603050405020304" pitchFamily="18" charset="0"/>
                <a:ea typeface="Arial Cyr"/>
                <a:cs typeface="Times New Roman" panose="02020603050405020304" pitchFamily="18" charset="0"/>
              </a:defRPr>
            </a:pPr>
            <a:endParaRPr lang="ru-RU"/>
          </a:p>
        </c:txPr>
        <c:crossAx val="165996224"/>
        <c:crosses val="autoZero"/>
        <c:auto val="1"/>
        <c:lblAlgn val="ctr"/>
        <c:lblOffset val="100"/>
        <c:tickLblSkip val="1"/>
        <c:tickMarkSkip val="1"/>
        <c:noMultiLvlLbl val="0"/>
      </c:catAx>
      <c:valAx>
        <c:axId val="165996224"/>
        <c:scaling>
          <c:orientation val="minMax"/>
          <c:min val="13500"/>
        </c:scaling>
        <c:delete val="0"/>
        <c:axPos val="l"/>
        <c:majorGridlines>
          <c:spPr>
            <a:ln w="3175">
              <a:solidFill>
                <a:srgbClr val="000000"/>
              </a:solidFill>
              <a:prstDash val="solid"/>
            </a:ln>
          </c:spPr>
        </c:majorGridlines>
        <c:title>
          <c:tx>
            <c:rich>
              <a:bodyPr/>
              <a:lstStyle/>
              <a:p>
                <a:pPr>
                  <a:defRPr sz="1200" b="1" i="0" u="none" strike="noStrike" baseline="0">
                    <a:solidFill>
                      <a:srgbClr val="000000"/>
                    </a:solidFill>
                    <a:latin typeface="Times New Roman" panose="02020603050405020304" pitchFamily="18" charset="0"/>
                    <a:ea typeface="Arial Cyr"/>
                    <a:cs typeface="Times New Roman" panose="02020603050405020304" pitchFamily="18" charset="0"/>
                  </a:defRPr>
                </a:pPr>
                <a:r>
                  <a:rPr lang="ru-RU" sz="1200">
                    <a:latin typeface="Times New Roman" panose="02020603050405020304" pitchFamily="18" charset="0"/>
                    <a:cs typeface="Times New Roman" panose="02020603050405020304" pitchFamily="18" charset="0"/>
                  </a:rPr>
                  <a:t>млн.кВт.ч.</a:t>
                </a:r>
              </a:p>
            </c:rich>
          </c:tx>
          <c:layout>
            <c:manualLayout>
              <c:xMode val="edge"/>
              <c:yMode val="edge"/>
              <c:x val="6.7753435612517626E-3"/>
              <c:y val="0.4743799514679729"/>
            </c:manualLayout>
          </c:layout>
          <c:overlay val="0"/>
          <c:spPr>
            <a:noFill/>
            <a:ln w="25400">
              <a:noFill/>
            </a:ln>
          </c:spPr>
        </c:title>
        <c:numFmt formatCode="0.00" sourceLinked="1"/>
        <c:majorTickMark val="out"/>
        <c:minorTickMark val="none"/>
        <c:tickLblPos val="nextTo"/>
        <c:spPr>
          <a:ln w="3175">
            <a:solidFill>
              <a:srgbClr val="000000"/>
            </a:solidFill>
            <a:prstDash val="solid"/>
          </a:ln>
        </c:spPr>
        <c:txPr>
          <a:bodyPr rot="0" vert="horz"/>
          <a:lstStyle/>
          <a:p>
            <a:pPr>
              <a:defRPr sz="1100" b="0" i="0" u="none" strike="noStrike" baseline="0">
                <a:solidFill>
                  <a:srgbClr val="000000"/>
                </a:solidFill>
                <a:latin typeface="Times New Roman" panose="02020603050405020304" pitchFamily="18" charset="0"/>
                <a:ea typeface="Arial Cyr"/>
                <a:cs typeface="Times New Roman" panose="02020603050405020304" pitchFamily="18" charset="0"/>
              </a:defRPr>
            </a:pPr>
            <a:endParaRPr lang="ru-RU"/>
          </a:p>
        </c:txPr>
        <c:crossAx val="283162624"/>
        <c:crosses val="autoZero"/>
        <c:crossBetween val="midCat"/>
      </c:valAx>
      <c:spPr>
        <a:noFill/>
        <a:ln w="3175">
          <a:solidFill>
            <a:srgbClr val="000000"/>
          </a:solidFill>
          <a:prstDash val="solid"/>
        </a:ln>
      </c:spPr>
    </c:plotArea>
    <c:legend>
      <c:legendPos val="r"/>
      <c:layout>
        <c:manualLayout>
          <c:xMode val="edge"/>
          <c:yMode val="edge"/>
          <c:x val="0.67278066224254718"/>
          <c:y val="9.0372387662068551E-2"/>
          <c:w val="0.24594642918543486"/>
          <c:h val="7.6156138377439661E-2"/>
        </c:manualLayout>
      </c:layout>
      <c:overlay val="0"/>
      <c:spPr>
        <a:solidFill>
          <a:srgbClr val="FFFFFF"/>
        </a:solidFill>
        <a:ln w="3175">
          <a:solidFill>
            <a:srgbClr val="000000"/>
          </a:solidFill>
          <a:prstDash val="solid"/>
        </a:ln>
      </c:spPr>
      <c:txPr>
        <a:bodyPr/>
        <a:lstStyle/>
        <a:p>
          <a:pPr>
            <a:defRPr sz="1200" b="0" i="0" u="none" strike="noStrike" baseline="0">
              <a:solidFill>
                <a:srgbClr val="000000"/>
              </a:solidFill>
              <a:latin typeface="Times New Roman" panose="02020603050405020304" pitchFamily="18" charset="0"/>
              <a:ea typeface="Arial Cyr"/>
              <a:cs typeface="Times New Roman" panose="02020603050405020304" pitchFamily="18" charset="0"/>
            </a:defRPr>
          </a:pPr>
          <a:endParaRPr lang="ru-RU"/>
        </a:p>
      </c:txPr>
    </c:legend>
    <c:plotVisOnly val="1"/>
    <c:dispBlanksAs val="gap"/>
    <c:showDLblsOverMax val="0"/>
  </c:chart>
  <c:spPr>
    <a:solidFill>
      <a:srgbClr val="FFFFFF"/>
    </a:solidFill>
    <a:ln w="3175">
      <a:noFill/>
      <a:prstDash val="solid"/>
    </a:ln>
  </c:spPr>
  <c:txPr>
    <a:bodyPr/>
    <a:lstStyle/>
    <a:p>
      <a:pPr>
        <a:defRPr sz="1000" b="0" i="0" u="none" strike="noStrike" baseline="0">
          <a:solidFill>
            <a:srgbClr val="000000"/>
          </a:solidFill>
          <a:latin typeface="Arial Cyr"/>
          <a:ea typeface="Arial Cyr"/>
          <a:cs typeface="Arial Cyr"/>
        </a:defRPr>
      </a:pPr>
      <a:endParaRPr lang="ru-RU"/>
    </a:p>
  </c:txPr>
  <c:externalData r:id="rId2">
    <c:autoUpdate val="0"/>
  </c:externalData>
</c:chartSpace>
</file>

<file path=word/charts/chart2.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0"/>
    <c:plotArea>
      <c:layout>
        <c:manualLayout>
          <c:layoutTarget val="inner"/>
          <c:xMode val="edge"/>
          <c:yMode val="edge"/>
          <c:x val="0.11558414295500247"/>
          <c:y val="2.2514368880425642E-2"/>
          <c:w val="0.8844157730961576"/>
          <c:h val="0.88819565788919441"/>
        </c:manualLayout>
      </c:layout>
      <c:barChart>
        <c:barDir val="col"/>
        <c:grouping val="clustered"/>
        <c:varyColors val="0"/>
        <c:ser>
          <c:idx val="0"/>
          <c:order val="0"/>
          <c:tx>
            <c:strRef>
              <c:f>'НВВ котел 2020'!$A$2</c:f>
              <c:strCache>
                <c:ptCount val="1"/>
                <c:pt idx="0">
                  <c:v>НВВ котел</c:v>
                </c:pt>
              </c:strCache>
            </c:strRef>
          </c:tx>
          <c:invertIfNegative val="0"/>
          <c:dLbls>
            <c:dLbl>
              <c:idx val="0"/>
              <c:tx>
                <c:rich>
                  <a:bodyPr/>
                  <a:lstStyle/>
                  <a:p>
                    <a:r>
                      <a:rPr lang="en-US" sz="700"/>
                      <a:t> </a:t>
                    </a:r>
                    <a:r>
                      <a:rPr lang="ru-RU" sz="700"/>
                      <a:t>12</a:t>
                    </a:r>
                    <a:r>
                      <a:rPr lang="ru-RU" sz="700" baseline="0"/>
                      <a:t> 013</a:t>
                    </a:r>
                    <a:endParaRPr lang="en-US"/>
                  </a:p>
                </c:rich>
              </c:tx>
              <c:showLegendKey val="0"/>
              <c:showVal val="1"/>
              <c:showCatName val="0"/>
              <c:showSerName val="0"/>
              <c:showPercent val="0"/>
              <c:showBubbleSize val="0"/>
            </c:dLbl>
            <c:dLbl>
              <c:idx val="1"/>
              <c:layout>
                <c:manualLayout>
                  <c:x val="0"/>
                  <c:y val="-1.7689331122166942E-2"/>
                </c:manualLayout>
              </c:layout>
              <c:tx>
                <c:rich>
                  <a:bodyPr/>
                  <a:lstStyle/>
                  <a:p>
                    <a:r>
                      <a:rPr lang="en-US" sz="700"/>
                      <a:t> </a:t>
                    </a:r>
                    <a:r>
                      <a:rPr lang="ru-RU" sz="700"/>
                      <a:t>13</a:t>
                    </a:r>
                    <a:r>
                      <a:rPr lang="ru-RU" sz="700" baseline="0"/>
                      <a:t> 139</a:t>
                    </a:r>
                    <a:endParaRPr lang="ru-RU" sz="700"/>
                  </a:p>
                  <a:p>
                    <a:r>
                      <a:rPr lang="ru-RU" sz="700"/>
                      <a:t>(109 %)</a:t>
                    </a:r>
                    <a:r>
                      <a:rPr lang="en-US" sz="700"/>
                      <a:t>   </a:t>
                    </a:r>
                    <a:endParaRPr lang="en-US"/>
                  </a:p>
                </c:rich>
              </c:tx>
              <c:showLegendKey val="0"/>
              <c:showVal val="1"/>
              <c:showCatName val="0"/>
              <c:showSerName val="0"/>
              <c:showPercent val="0"/>
              <c:showBubbleSize val="0"/>
            </c:dLbl>
            <c:dLbl>
              <c:idx val="2"/>
              <c:layout>
                <c:manualLayout>
                  <c:x val="3.6985644253606487E-3"/>
                  <c:y val="1.9606081578111206E-2"/>
                </c:manualLayout>
              </c:layout>
              <c:tx>
                <c:rich>
                  <a:bodyPr/>
                  <a:lstStyle/>
                  <a:p>
                    <a:r>
                      <a:rPr lang="en-US" sz="700"/>
                      <a:t> </a:t>
                    </a:r>
                    <a:r>
                      <a:rPr lang="ru-RU" sz="700"/>
                      <a:t>14</a:t>
                    </a:r>
                    <a:r>
                      <a:rPr lang="ru-RU" sz="700" baseline="0"/>
                      <a:t> 432</a:t>
                    </a:r>
                    <a:endParaRPr lang="ru-RU" sz="700"/>
                  </a:p>
                  <a:p>
                    <a:r>
                      <a:rPr lang="ru-RU" sz="700"/>
                      <a:t>(110%)</a:t>
                    </a:r>
                  </a:p>
                  <a:p>
                    <a:endParaRPr lang="en-US" sz="800"/>
                  </a:p>
                </c:rich>
              </c:tx>
              <c:showLegendKey val="0"/>
              <c:showVal val="1"/>
              <c:showCatName val="0"/>
              <c:showSerName val="0"/>
              <c:showPercent val="0"/>
              <c:showBubbleSize val="0"/>
            </c:dLbl>
            <c:dLbl>
              <c:idx val="3"/>
              <c:tx>
                <c:rich>
                  <a:bodyPr/>
                  <a:lstStyle/>
                  <a:p>
                    <a:r>
                      <a:rPr lang="en-US" sz="700"/>
                      <a:t> </a:t>
                    </a:r>
                    <a:r>
                      <a:rPr lang="ru-RU" sz="700"/>
                      <a:t>1</a:t>
                    </a:r>
                    <a:r>
                      <a:rPr lang="en-US" sz="700"/>
                      <a:t>3</a:t>
                    </a:r>
                    <a:r>
                      <a:rPr lang="ru-RU" sz="700"/>
                      <a:t> </a:t>
                    </a:r>
                    <a:r>
                      <a:rPr lang="en-US" sz="700"/>
                      <a:t>846</a:t>
                    </a:r>
                    <a:endParaRPr lang="ru-RU" sz="700"/>
                  </a:p>
                  <a:p>
                    <a:r>
                      <a:rPr lang="ru-RU" sz="700"/>
                      <a:t>(</a:t>
                    </a:r>
                    <a:r>
                      <a:rPr lang="en-US" sz="700"/>
                      <a:t>9</a:t>
                    </a:r>
                    <a:r>
                      <a:rPr lang="ru-RU" sz="700"/>
                      <a:t>6%)</a:t>
                    </a:r>
                    <a:r>
                      <a:rPr lang="en-US" sz="700"/>
                      <a:t>   </a:t>
                    </a:r>
                    <a:endParaRPr lang="en-US"/>
                  </a:p>
                </c:rich>
              </c:tx>
              <c:showLegendKey val="0"/>
              <c:showVal val="1"/>
              <c:showCatName val="0"/>
              <c:showSerName val="0"/>
              <c:showPercent val="0"/>
              <c:showBubbleSize val="0"/>
            </c:dLbl>
            <c:dLbl>
              <c:idx val="4"/>
              <c:tx>
                <c:rich>
                  <a:bodyPr/>
                  <a:lstStyle/>
                  <a:p>
                    <a:r>
                      <a:rPr lang="en-US" sz="700"/>
                      <a:t>13</a:t>
                    </a:r>
                    <a:r>
                      <a:rPr lang="en-US" sz="700" baseline="0"/>
                      <a:t> 576</a:t>
                    </a:r>
                    <a:endParaRPr lang="ru-RU" sz="700"/>
                  </a:p>
                  <a:p>
                    <a:r>
                      <a:rPr lang="ru-RU" sz="700"/>
                      <a:t> (</a:t>
                    </a:r>
                    <a:r>
                      <a:rPr lang="en-US" sz="700"/>
                      <a:t>98</a:t>
                    </a:r>
                    <a:r>
                      <a:rPr lang="ru-RU" sz="700"/>
                      <a:t>%)</a:t>
                    </a:r>
                    <a:endParaRPr lang="en-US"/>
                  </a:p>
                </c:rich>
              </c:tx>
              <c:showLegendKey val="0"/>
              <c:showVal val="1"/>
              <c:showCatName val="0"/>
              <c:showSerName val="0"/>
              <c:showPercent val="0"/>
              <c:showBubbleSize val="0"/>
            </c:dLbl>
            <c:dLbl>
              <c:idx val="5"/>
              <c:tx>
                <c:rich>
                  <a:bodyPr/>
                  <a:lstStyle/>
                  <a:p>
                    <a:r>
                      <a:rPr lang="en-US" sz="700"/>
                      <a:t>13139</a:t>
                    </a:r>
                    <a:r>
                      <a:rPr lang="ru-RU" sz="700"/>
                      <a:t> </a:t>
                    </a:r>
                  </a:p>
                  <a:p>
                    <a:r>
                      <a:rPr lang="ru-RU" sz="700"/>
                      <a:t>(109%</a:t>
                    </a:r>
                    <a:endParaRPr lang="en-US"/>
                  </a:p>
                </c:rich>
              </c:tx>
              <c:showLegendKey val="0"/>
              <c:showVal val="1"/>
              <c:showCatName val="0"/>
              <c:showSerName val="0"/>
              <c:showPercent val="0"/>
              <c:showBubbleSize val="0"/>
            </c:dLbl>
            <c:txPr>
              <a:bodyPr/>
              <a:lstStyle/>
              <a:p>
                <a:pPr>
                  <a:defRPr sz="700"/>
                </a:pPr>
                <a:endParaRPr lang="ru-RU"/>
              </a:p>
            </c:txPr>
            <c:showLegendKey val="0"/>
            <c:showVal val="1"/>
            <c:showCatName val="0"/>
            <c:showSerName val="0"/>
            <c:showPercent val="0"/>
            <c:showBubbleSize val="0"/>
            <c:showLeaderLines val="0"/>
          </c:dLbls>
          <c:cat>
            <c:numRef>
              <c:f>'НВВ котел 2020'!$E$1:$I$1</c:f>
              <c:numCache>
                <c:formatCode>General</c:formatCode>
                <c:ptCount val="5"/>
                <c:pt idx="0">
                  <c:v>2016</c:v>
                </c:pt>
                <c:pt idx="1">
                  <c:v>2017</c:v>
                </c:pt>
                <c:pt idx="2">
                  <c:v>2018</c:v>
                </c:pt>
                <c:pt idx="3">
                  <c:v>2019</c:v>
                </c:pt>
                <c:pt idx="4">
                  <c:v>2020</c:v>
                </c:pt>
              </c:numCache>
            </c:numRef>
          </c:cat>
          <c:val>
            <c:numRef>
              <c:f>'НВВ котел 2020'!$E$2:$I$2</c:f>
              <c:numCache>
                <c:formatCode>0</c:formatCode>
                <c:ptCount val="5"/>
                <c:pt idx="0" formatCode="_-* #,##0_р_._-;\-* #,##0_р_._-;_-* &quot;-&quot;??_р_._-;_-@_-">
                  <c:v>12013.111815335989</c:v>
                </c:pt>
                <c:pt idx="1">
                  <c:v>13139.103410825343</c:v>
                </c:pt>
                <c:pt idx="2">
                  <c:v>14431.521646943078</c:v>
                </c:pt>
                <c:pt idx="3" formatCode="#,##0">
                  <c:v>13845.607567694458</c:v>
                </c:pt>
                <c:pt idx="4" formatCode="#,##0">
                  <c:v>13576.326117134739</c:v>
                </c:pt>
              </c:numCache>
            </c:numRef>
          </c:val>
        </c:ser>
        <c:ser>
          <c:idx val="1"/>
          <c:order val="1"/>
          <c:tx>
            <c:strRef>
              <c:f>'НВВ котел 2020'!$A$3</c:f>
              <c:strCache>
                <c:ptCount val="1"/>
                <c:pt idx="0">
                  <c:v>Расходы АО "РЭС"</c:v>
                </c:pt>
              </c:strCache>
            </c:strRef>
          </c:tx>
          <c:invertIfNegative val="0"/>
          <c:dLbls>
            <c:dLbl>
              <c:idx val="0"/>
              <c:layout>
                <c:manualLayout>
                  <c:x val="2.806246882331527E-2"/>
                  <c:y val="-3.6887346913879663E-3"/>
                </c:manualLayout>
              </c:layout>
              <c:tx>
                <c:rich>
                  <a:bodyPr/>
                  <a:lstStyle/>
                  <a:p>
                    <a:r>
                      <a:rPr lang="en-US" sz="700"/>
                      <a:t> </a:t>
                    </a:r>
                    <a:r>
                      <a:rPr lang="ru-RU" sz="700"/>
                      <a:t>7</a:t>
                    </a:r>
                    <a:r>
                      <a:rPr lang="ru-RU" sz="700" baseline="0"/>
                      <a:t> 803</a:t>
                    </a:r>
                    <a:endParaRPr lang="ru-RU"/>
                  </a:p>
                </c:rich>
              </c:tx>
              <c:showLegendKey val="0"/>
              <c:showVal val="1"/>
              <c:showCatName val="0"/>
              <c:showSerName val="0"/>
              <c:showPercent val="0"/>
              <c:showBubbleSize val="0"/>
            </c:dLbl>
            <c:dLbl>
              <c:idx val="1"/>
              <c:layout>
                <c:manualLayout>
                  <c:x val="3.5078086029144091E-2"/>
                  <c:y val="0"/>
                </c:manualLayout>
              </c:layout>
              <c:tx>
                <c:rich>
                  <a:bodyPr/>
                  <a:lstStyle/>
                  <a:p>
                    <a:r>
                      <a:rPr lang="en-US" sz="700"/>
                      <a:t> </a:t>
                    </a:r>
                    <a:r>
                      <a:rPr lang="ru-RU" sz="700"/>
                      <a:t>8</a:t>
                    </a:r>
                    <a:r>
                      <a:rPr lang="ru-RU" sz="700" baseline="0"/>
                      <a:t> 245</a:t>
                    </a:r>
                    <a:endParaRPr lang="ru-RU" sz="700"/>
                  </a:p>
                  <a:p>
                    <a:r>
                      <a:rPr lang="ru-RU" sz="700"/>
                      <a:t>(106%)</a:t>
                    </a:r>
                    <a:r>
                      <a:rPr lang="en-US" sz="700"/>
                      <a:t>   </a:t>
                    </a:r>
                    <a:endParaRPr lang="en-US" sz="800"/>
                  </a:p>
                </c:rich>
              </c:tx>
              <c:showLegendKey val="0"/>
              <c:showVal val="1"/>
              <c:showCatName val="0"/>
              <c:showSerName val="0"/>
              <c:showPercent val="0"/>
              <c:showBubbleSize val="0"/>
            </c:dLbl>
            <c:dLbl>
              <c:idx val="2"/>
              <c:layout>
                <c:manualLayout>
                  <c:x val="2.6648481303011874E-2"/>
                  <c:y val="-2.0639777630292934E-2"/>
                </c:manualLayout>
              </c:layout>
              <c:tx>
                <c:rich>
                  <a:bodyPr/>
                  <a:lstStyle/>
                  <a:p>
                    <a:r>
                      <a:rPr lang="en-US" sz="700"/>
                      <a:t> </a:t>
                    </a:r>
                    <a:r>
                      <a:rPr lang="ru-RU" sz="700"/>
                      <a:t>7</a:t>
                    </a:r>
                    <a:r>
                      <a:rPr lang="ru-RU" sz="700" baseline="0"/>
                      <a:t> 634</a:t>
                    </a:r>
                    <a:endParaRPr lang="ru-RU" sz="700"/>
                  </a:p>
                  <a:p>
                    <a:r>
                      <a:rPr lang="ru-RU" sz="700"/>
                      <a:t>(93%)</a:t>
                    </a:r>
                    <a:r>
                      <a:rPr lang="en-US" sz="700"/>
                      <a:t>   </a:t>
                    </a:r>
                    <a:endParaRPr lang="en-US" sz="800"/>
                  </a:p>
                </c:rich>
              </c:tx>
              <c:showLegendKey val="0"/>
              <c:showVal val="1"/>
              <c:showCatName val="0"/>
              <c:showSerName val="0"/>
              <c:showPercent val="0"/>
              <c:showBubbleSize val="0"/>
            </c:dLbl>
            <c:dLbl>
              <c:idx val="3"/>
              <c:layout>
                <c:manualLayout>
                  <c:x val="3.7868749217386179E-2"/>
                  <c:y val="-8.6842216112028615E-3"/>
                </c:manualLayout>
              </c:layout>
              <c:tx>
                <c:rich>
                  <a:bodyPr/>
                  <a:lstStyle/>
                  <a:p>
                    <a:r>
                      <a:rPr lang="en-US" sz="700"/>
                      <a:t> 7 810</a:t>
                    </a:r>
                    <a:endParaRPr lang="ru-RU" sz="700"/>
                  </a:p>
                  <a:p>
                    <a:r>
                      <a:rPr lang="ru-RU" sz="700"/>
                      <a:t>(1</a:t>
                    </a:r>
                    <a:r>
                      <a:rPr lang="en-US" sz="700"/>
                      <a:t>02</a:t>
                    </a:r>
                    <a:r>
                      <a:rPr lang="ru-RU" sz="700"/>
                      <a:t>%)</a:t>
                    </a:r>
                    <a:r>
                      <a:rPr lang="en-US" sz="700"/>
                      <a:t>   </a:t>
                    </a:r>
                    <a:endParaRPr lang="en-US" sz="800"/>
                  </a:p>
                </c:rich>
              </c:tx>
              <c:showLegendKey val="0"/>
              <c:showVal val="1"/>
              <c:showCatName val="0"/>
              <c:showSerName val="0"/>
              <c:showPercent val="0"/>
              <c:showBubbleSize val="0"/>
            </c:dLbl>
            <c:dLbl>
              <c:idx val="4"/>
              <c:layout>
                <c:manualLayout>
                  <c:x val="3.9316365851363562E-2"/>
                  <c:y val="-2.9448882705498101E-3"/>
                </c:manualLayout>
              </c:layout>
              <c:tx>
                <c:rich>
                  <a:bodyPr/>
                  <a:lstStyle/>
                  <a:p>
                    <a:r>
                      <a:rPr lang="en-US" sz="700"/>
                      <a:t>9</a:t>
                    </a:r>
                    <a:r>
                      <a:rPr lang="en-US" sz="700" baseline="0"/>
                      <a:t> 247</a:t>
                    </a:r>
                    <a:endParaRPr lang="ru-RU" sz="700"/>
                  </a:p>
                  <a:p>
                    <a:r>
                      <a:rPr lang="ru-RU" sz="700"/>
                      <a:t> (</a:t>
                    </a:r>
                    <a:r>
                      <a:rPr lang="en-US" sz="700"/>
                      <a:t>118</a:t>
                    </a:r>
                    <a:r>
                      <a:rPr lang="ru-RU" sz="700"/>
                      <a:t>%)</a:t>
                    </a:r>
                    <a:endParaRPr lang="en-US" sz="800"/>
                  </a:p>
                </c:rich>
              </c:tx>
              <c:showLegendKey val="0"/>
              <c:showVal val="1"/>
              <c:showCatName val="0"/>
              <c:showSerName val="0"/>
              <c:showPercent val="0"/>
              <c:showBubbleSize val="0"/>
            </c:dLbl>
            <c:dLbl>
              <c:idx val="5"/>
              <c:tx>
                <c:rich>
                  <a:bodyPr/>
                  <a:lstStyle/>
                  <a:p>
                    <a:r>
                      <a:rPr lang="en-US" sz="700"/>
                      <a:t>8688</a:t>
                    </a:r>
                    <a:r>
                      <a:rPr lang="ru-RU" sz="700"/>
                      <a:t> </a:t>
                    </a:r>
                  </a:p>
                  <a:p>
                    <a:r>
                      <a:rPr lang="ru-RU" sz="700"/>
                      <a:t>(110%)</a:t>
                    </a:r>
                    <a:endParaRPr lang="en-US"/>
                  </a:p>
                </c:rich>
              </c:tx>
              <c:showLegendKey val="0"/>
              <c:showVal val="1"/>
              <c:showCatName val="0"/>
              <c:showSerName val="0"/>
              <c:showPercent val="0"/>
              <c:showBubbleSize val="0"/>
            </c:dLbl>
            <c:txPr>
              <a:bodyPr/>
              <a:lstStyle/>
              <a:p>
                <a:pPr>
                  <a:defRPr sz="700"/>
                </a:pPr>
                <a:endParaRPr lang="ru-RU"/>
              </a:p>
            </c:txPr>
            <c:showLegendKey val="0"/>
            <c:showVal val="1"/>
            <c:showCatName val="0"/>
            <c:showSerName val="0"/>
            <c:showPercent val="0"/>
            <c:showBubbleSize val="0"/>
            <c:showLeaderLines val="0"/>
          </c:dLbls>
          <c:cat>
            <c:numRef>
              <c:f>'НВВ котел 2020'!$E$1:$I$1</c:f>
              <c:numCache>
                <c:formatCode>General</c:formatCode>
                <c:ptCount val="5"/>
                <c:pt idx="0">
                  <c:v>2016</c:v>
                </c:pt>
                <c:pt idx="1">
                  <c:v>2017</c:v>
                </c:pt>
                <c:pt idx="2">
                  <c:v>2018</c:v>
                </c:pt>
                <c:pt idx="3">
                  <c:v>2019</c:v>
                </c:pt>
                <c:pt idx="4">
                  <c:v>2020</c:v>
                </c:pt>
              </c:numCache>
            </c:numRef>
          </c:cat>
          <c:val>
            <c:numRef>
              <c:f>'НВВ котел 2020'!$E$3:$I$3</c:f>
              <c:numCache>
                <c:formatCode>0</c:formatCode>
                <c:ptCount val="5"/>
                <c:pt idx="0" formatCode="_-* #,##0_р_._-;\-* #,##0_р_._-;_-* &quot;-&quot;??_р_._-;_-@_-">
                  <c:v>7802.99368672132</c:v>
                </c:pt>
                <c:pt idx="1">
                  <c:v>8244.857026471389</c:v>
                </c:pt>
                <c:pt idx="2">
                  <c:v>7634.1932309901313</c:v>
                </c:pt>
                <c:pt idx="3" formatCode="#,##0">
                  <c:v>7809.7576842657991</c:v>
                </c:pt>
                <c:pt idx="4" formatCode="#,##0">
                  <c:v>9246.9180133995505</c:v>
                </c:pt>
              </c:numCache>
            </c:numRef>
          </c:val>
        </c:ser>
        <c:ser>
          <c:idx val="2"/>
          <c:order val="2"/>
          <c:tx>
            <c:strRef>
              <c:f>'НВВ котел 2020'!$A$4</c:f>
              <c:strCache>
                <c:ptCount val="1"/>
                <c:pt idx="0">
                  <c:v>Потери котел</c:v>
                </c:pt>
              </c:strCache>
            </c:strRef>
          </c:tx>
          <c:invertIfNegative val="0"/>
          <c:dLbls>
            <c:dLbl>
              <c:idx val="0"/>
              <c:layout>
                <c:manualLayout>
                  <c:x val="2.5723929754705645E-2"/>
                  <c:y val="6.7626021453875459E-17"/>
                </c:manualLayout>
              </c:layout>
              <c:tx>
                <c:rich>
                  <a:bodyPr/>
                  <a:lstStyle/>
                  <a:p>
                    <a:r>
                      <a:rPr lang="en-US" sz="700"/>
                      <a:t> </a:t>
                    </a:r>
                    <a:r>
                      <a:rPr lang="ru-RU" sz="700"/>
                      <a:t>3</a:t>
                    </a:r>
                    <a:r>
                      <a:rPr lang="ru-RU" sz="700" baseline="0"/>
                      <a:t> 468</a:t>
                    </a:r>
                    <a:endParaRPr lang="ru-RU"/>
                  </a:p>
                </c:rich>
              </c:tx>
              <c:showLegendKey val="0"/>
              <c:showVal val="1"/>
              <c:showCatName val="0"/>
              <c:showSerName val="0"/>
              <c:showPercent val="0"/>
              <c:showBubbleSize val="0"/>
            </c:dLbl>
            <c:dLbl>
              <c:idx val="1"/>
              <c:layout>
                <c:manualLayout>
                  <c:x val="3.2222306311422325E-2"/>
                  <c:y val="-1.8880803040446831E-2"/>
                </c:manualLayout>
              </c:layout>
              <c:tx>
                <c:rich>
                  <a:bodyPr/>
                  <a:lstStyle/>
                  <a:p>
                    <a:r>
                      <a:rPr lang="en-US" sz="700"/>
                      <a:t> </a:t>
                    </a:r>
                    <a:r>
                      <a:rPr lang="ru-RU" sz="700"/>
                      <a:t>3</a:t>
                    </a:r>
                    <a:r>
                      <a:rPr lang="ru-RU" sz="700" baseline="0"/>
                      <a:t> 735</a:t>
                    </a:r>
                    <a:endParaRPr lang="ru-RU" sz="700"/>
                  </a:p>
                  <a:p>
                    <a:r>
                      <a:rPr lang="ru-RU" sz="700"/>
                      <a:t>(108%)</a:t>
                    </a:r>
                    <a:r>
                      <a:rPr lang="en-US" sz="700"/>
                      <a:t>   </a:t>
                    </a:r>
                    <a:endParaRPr lang="en-US" sz="800"/>
                  </a:p>
                </c:rich>
              </c:tx>
              <c:showLegendKey val="0"/>
              <c:showVal val="1"/>
              <c:showCatName val="0"/>
              <c:showSerName val="0"/>
              <c:showPercent val="0"/>
              <c:showBubbleSize val="0"/>
            </c:dLbl>
            <c:dLbl>
              <c:idx val="2"/>
              <c:layout>
                <c:manualLayout>
                  <c:x val="3.1937262336760308E-2"/>
                  <c:y val="-1.1503333657670898E-2"/>
                </c:manualLayout>
              </c:layout>
              <c:tx>
                <c:rich>
                  <a:bodyPr/>
                  <a:lstStyle/>
                  <a:p>
                    <a:r>
                      <a:rPr lang="en-US" sz="700"/>
                      <a:t> </a:t>
                    </a:r>
                    <a:r>
                      <a:rPr lang="ru-RU" sz="700"/>
                      <a:t>3</a:t>
                    </a:r>
                    <a:r>
                      <a:rPr lang="ru-RU" sz="700" baseline="0"/>
                      <a:t> 894</a:t>
                    </a:r>
                    <a:endParaRPr lang="ru-RU" sz="700"/>
                  </a:p>
                  <a:p>
                    <a:r>
                      <a:rPr lang="ru-RU" sz="700"/>
                      <a:t>(104%)</a:t>
                    </a:r>
                    <a:r>
                      <a:rPr lang="en-US" sz="700"/>
                      <a:t>   </a:t>
                    </a:r>
                    <a:endParaRPr lang="en-US" sz="800"/>
                  </a:p>
                </c:rich>
              </c:tx>
              <c:showLegendKey val="0"/>
              <c:showVal val="1"/>
              <c:showCatName val="0"/>
              <c:showSerName val="0"/>
              <c:showPercent val="0"/>
              <c:showBubbleSize val="0"/>
            </c:dLbl>
            <c:dLbl>
              <c:idx val="3"/>
              <c:layout>
                <c:manualLayout>
                  <c:x val="2.9323070277150025E-2"/>
                  <c:y val="-1.1803370109340487E-2"/>
                </c:manualLayout>
              </c:layout>
              <c:tx>
                <c:rich>
                  <a:bodyPr/>
                  <a:lstStyle/>
                  <a:p>
                    <a:r>
                      <a:rPr lang="en-US" sz="700"/>
                      <a:t> 3</a:t>
                    </a:r>
                    <a:r>
                      <a:rPr lang="en-US" sz="700" baseline="0"/>
                      <a:t> 85</a:t>
                    </a:r>
                    <a:r>
                      <a:rPr lang="en-US" sz="700"/>
                      <a:t>4</a:t>
                    </a:r>
                    <a:endParaRPr lang="ru-RU" sz="700"/>
                  </a:p>
                  <a:p>
                    <a:r>
                      <a:rPr lang="ru-RU" sz="700"/>
                      <a:t>(</a:t>
                    </a:r>
                    <a:r>
                      <a:rPr lang="en-US" sz="700"/>
                      <a:t>99</a:t>
                    </a:r>
                    <a:r>
                      <a:rPr lang="ru-RU" sz="700"/>
                      <a:t>%)</a:t>
                    </a:r>
                    <a:r>
                      <a:rPr lang="en-US" sz="700"/>
                      <a:t>   </a:t>
                    </a:r>
                    <a:endParaRPr lang="en-US" sz="800"/>
                  </a:p>
                </c:rich>
              </c:tx>
              <c:showLegendKey val="0"/>
              <c:showVal val="1"/>
              <c:showCatName val="0"/>
              <c:showSerName val="0"/>
              <c:showPercent val="0"/>
              <c:showBubbleSize val="0"/>
            </c:dLbl>
            <c:dLbl>
              <c:idx val="4"/>
              <c:layout>
                <c:manualLayout>
                  <c:x val="2.8007596016823486E-2"/>
                  <c:y val="-4.1197647923344027E-3"/>
                </c:manualLayout>
              </c:layout>
              <c:tx>
                <c:rich>
                  <a:bodyPr/>
                  <a:lstStyle/>
                  <a:p>
                    <a:r>
                      <a:rPr lang="en-US" sz="700"/>
                      <a:t>3</a:t>
                    </a:r>
                    <a:r>
                      <a:rPr lang="en-US" sz="700" baseline="0"/>
                      <a:t> 996</a:t>
                    </a:r>
                    <a:endParaRPr lang="ru-RU" sz="700"/>
                  </a:p>
                  <a:p>
                    <a:r>
                      <a:rPr lang="ru-RU" sz="700"/>
                      <a:t>(1</a:t>
                    </a:r>
                    <a:r>
                      <a:rPr lang="en-US" sz="700"/>
                      <a:t>0</a:t>
                    </a:r>
                    <a:r>
                      <a:rPr lang="ru-RU" sz="700"/>
                      <a:t>4%)</a:t>
                    </a:r>
                    <a:endParaRPr lang="en-US" sz="800"/>
                  </a:p>
                </c:rich>
              </c:tx>
              <c:showLegendKey val="0"/>
              <c:showVal val="1"/>
              <c:showCatName val="0"/>
              <c:showSerName val="0"/>
              <c:showPercent val="0"/>
              <c:showBubbleSize val="0"/>
            </c:dLbl>
            <c:dLbl>
              <c:idx val="5"/>
              <c:tx>
                <c:rich>
                  <a:bodyPr/>
                  <a:lstStyle/>
                  <a:p>
                    <a:r>
                      <a:rPr lang="en-US" sz="700"/>
                      <a:t>3735</a:t>
                    </a:r>
                    <a:endParaRPr lang="ru-RU" sz="700"/>
                  </a:p>
                  <a:p>
                    <a:r>
                      <a:rPr lang="ru-RU" sz="700"/>
                      <a:t>(108%)</a:t>
                    </a:r>
                    <a:endParaRPr lang="en-US"/>
                  </a:p>
                </c:rich>
              </c:tx>
              <c:showLegendKey val="0"/>
              <c:showVal val="1"/>
              <c:showCatName val="0"/>
              <c:showSerName val="0"/>
              <c:showPercent val="0"/>
              <c:showBubbleSize val="0"/>
            </c:dLbl>
            <c:txPr>
              <a:bodyPr/>
              <a:lstStyle/>
              <a:p>
                <a:pPr>
                  <a:defRPr sz="700"/>
                </a:pPr>
                <a:endParaRPr lang="ru-RU"/>
              </a:p>
            </c:txPr>
            <c:showLegendKey val="0"/>
            <c:showVal val="1"/>
            <c:showCatName val="0"/>
            <c:showSerName val="0"/>
            <c:showPercent val="0"/>
            <c:showBubbleSize val="0"/>
            <c:showLeaderLines val="0"/>
          </c:dLbls>
          <c:cat>
            <c:numRef>
              <c:f>'НВВ котел 2020'!$E$1:$I$1</c:f>
              <c:numCache>
                <c:formatCode>General</c:formatCode>
                <c:ptCount val="5"/>
                <c:pt idx="0">
                  <c:v>2016</c:v>
                </c:pt>
                <c:pt idx="1">
                  <c:v>2017</c:v>
                </c:pt>
                <c:pt idx="2">
                  <c:v>2018</c:v>
                </c:pt>
                <c:pt idx="3">
                  <c:v>2019</c:v>
                </c:pt>
                <c:pt idx="4">
                  <c:v>2020</c:v>
                </c:pt>
              </c:numCache>
            </c:numRef>
          </c:cat>
          <c:val>
            <c:numRef>
              <c:f>'НВВ котел 2020'!$E$4:$I$4</c:f>
              <c:numCache>
                <c:formatCode>0</c:formatCode>
                <c:ptCount val="5"/>
                <c:pt idx="0" formatCode="_-* #,##0_р_._-;\-* #,##0_р_._-;_-* &quot;-&quot;??_р_._-;_-@_-">
                  <c:v>3468.0338204746686</c:v>
                </c:pt>
                <c:pt idx="1">
                  <c:v>3735.4108280851892</c:v>
                </c:pt>
                <c:pt idx="2">
                  <c:v>3894.485222832664</c:v>
                </c:pt>
                <c:pt idx="3" formatCode="#,##0">
                  <c:v>3854.0355520691833</c:v>
                </c:pt>
                <c:pt idx="4" formatCode="#,##0">
                  <c:v>3996.3037068720087</c:v>
                </c:pt>
              </c:numCache>
            </c:numRef>
          </c:val>
        </c:ser>
        <c:ser>
          <c:idx val="3"/>
          <c:order val="3"/>
          <c:tx>
            <c:strRef>
              <c:f>'НВВ котел 2020'!$A$5</c:f>
              <c:strCache>
                <c:ptCount val="1"/>
                <c:pt idx="0">
                  <c:v>НВВ смежных ТСО (содерж)</c:v>
                </c:pt>
              </c:strCache>
            </c:strRef>
          </c:tx>
          <c:invertIfNegative val="0"/>
          <c:dLbls>
            <c:dLbl>
              <c:idx val="0"/>
              <c:layout>
                <c:manualLayout>
                  <c:x val="5.9612523292498307E-3"/>
                  <c:y val="-7.5678520320119101E-17"/>
                </c:manualLayout>
              </c:layout>
              <c:tx>
                <c:rich>
                  <a:bodyPr/>
                  <a:lstStyle/>
                  <a:p>
                    <a:r>
                      <a:rPr lang="en-US" sz="700"/>
                      <a:t> </a:t>
                    </a:r>
                    <a:r>
                      <a:rPr lang="ru-RU" sz="700"/>
                      <a:t>651 </a:t>
                    </a:r>
                    <a:endParaRPr lang="en-US"/>
                  </a:p>
                </c:rich>
              </c:tx>
              <c:showLegendKey val="0"/>
              <c:showVal val="1"/>
              <c:showCatName val="0"/>
              <c:showSerName val="0"/>
              <c:showPercent val="0"/>
              <c:showBubbleSize val="0"/>
            </c:dLbl>
            <c:dLbl>
              <c:idx val="1"/>
              <c:layout>
                <c:manualLayout>
                  <c:x val="8.1950199085565698E-3"/>
                  <c:y val="-4.1279669762641896E-3"/>
                </c:manualLayout>
              </c:layout>
              <c:tx>
                <c:rich>
                  <a:bodyPr/>
                  <a:lstStyle/>
                  <a:p>
                    <a:r>
                      <a:rPr lang="ru-RU" sz="700"/>
                      <a:t>716</a:t>
                    </a:r>
                  </a:p>
                  <a:p>
                    <a:r>
                      <a:rPr lang="ru-RU" sz="700"/>
                      <a:t>(110%)</a:t>
                    </a:r>
                    <a:r>
                      <a:rPr lang="en-US" sz="700"/>
                      <a:t>   </a:t>
                    </a:r>
                    <a:endParaRPr lang="en-US" sz="800"/>
                  </a:p>
                </c:rich>
              </c:tx>
              <c:showLegendKey val="0"/>
              <c:showVal val="1"/>
              <c:showCatName val="0"/>
              <c:showSerName val="0"/>
              <c:showPercent val="0"/>
              <c:showBubbleSize val="0"/>
            </c:dLbl>
            <c:dLbl>
              <c:idx val="2"/>
              <c:layout>
                <c:manualLayout>
                  <c:x val="7.9863345462210817E-4"/>
                  <c:y val="-1.6953378340145292E-2"/>
                </c:manualLayout>
              </c:layout>
              <c:tx>
                <c:rich>
                  <a:bodyPr/>
                  <a:lstStyle/>
                  <a:p>
                    <a:r>
                      <a:rPr lang="en-US" sz="700"/>
                      <a:t> </a:t>
                    </a:r>
                    <a:r>
                      <a:rPr lang="ru-RU" sz="700"/>
                      <a:t>779</a:t>
                    </a:r>
                  </a:p>
                  <a:p>
                    <a:r>
                      <a:rPr lang="ru-RU" sz="700"/>
                      <a:t>(109%)</a:t>
                    </a:r>
                    <a:r>
                      <a:rPr lang="en-US" sz="700"/>
                      <a:t>   </a:t>
                    </a:r>
                    <a:endParaRPr lang="en-US" sz="800"/>
                  </a:p>
                </c:rich>
              </c:tx>
              <c:showLegendKey val="0"/>
              <c:showVal val="1"/>
              <c:showCatName val="0"/>
              <c:showSerName val="0"/>
              <c:showPercent val="0"/>
              <c:showBubbleSize val="0"/>
            </c:dLbl>
            <c:dLbl>
              <c:idx val="3"/>
              <c:layout>
                <c:manualLayout>
                  <c:x val="2.6558990752827284E-2"/>
                  <c:y val="-2.0042318790908287E-2"/>
                </c:manualLayout>
              </c:layout>
              <c:tx>
                <c:rich>
                  <a:bodyPr/>
                  <a:lstStyle/>
                  <a:p>
                    <a:r>
                      <a:rPr lang="en-US" sz="700"/>
                      <a:t>1</a:t>
                    </a:r>
                    <a:r>
                      <a:rPr lang="en-US" sz="700" baseline="0"/>
                      <a:t> 161</a:t>
                    </a:r>
                    <a:endParaRPr lang="ru-RU" sz="700"/>
                  </a:p>
                  <a:p>
                    <a:r>
                      <a:rPr lang="ru-RU" sz="700"/>
                      <a:t>(1</a:t>
                    </a:r>
                    <a:r>
                      <a:rPr lang="en-US" sz="700"/>
                      <a:t>49</a:t>
                    </a:r>
                    <a:r>
                      <a:rPr lang="ru-RU" sz="700"/>
                      <a:t>%)</a:t>
                    </a:r>
                  </a:p>
                  <a:p>
                    <a:r>
                      <a:rPr lang="en-US" sz="700"/>
                      <a:t>   </a:t>
                    </a:r>
                    <a:endParaRPr lang="en-US" sz="800"/>
                  </a:p>
                </c:rich>
              </c:tx>
              <c:showLegendKey val="0"/>
              <c:showVal val="1"/>
              <c:showCatName val="0"/>
              <c:showSerName val="0"/>
              <c:showPercent val="0"/>
              <c:showBubbleSize val="0"/>
            </c:dLbl>
            <c:dLbl>
              <c:idx val="4"/>
              <c:layout>
                <c:manualLayout>
                  <c:x val="3.2739546960534487E-2"/>
                  <c:y val="-3.6887346913879663E-3"/>
                </c:manualLayout>
              </c:layout>
              <c:tx>
                <c:rich>
                  <a:bodyPr/>
                  <a:lstStyle/>
                  <a:p>
                    <a:r>
                      <a:rPr lang="en-US" sz="700"/>
                      <a:t>1</a:t>
                    </a:r>
                    <a:r>
                      <a:rPr lang="en-US" sz="700" baseline="0"/>
                      <a:t> 294</a:t>
                    </a:r>
                    <a:endParaRPr lang="ru-RU" sz="700"/>
                  </a:p>
                  <a:p>
                    <a:r>
                      <a:rPr lang="ru-RU" sz="700"/>
                      <a:t> (1</a:t>
                    </a:r>
                    <a:r>
                      <a:rPr lang="en-US" sz="700"/>
                      <a:t>11</a:t>
                    </a:r>
                    <a:r>
                      <a:rPr lang="ru-RU" sz="700"/>
                      <a:t>%)</a:t>
                    </a:r>
                    <a:endParaRPr lang="en-US" sz="800"/>
                  </a:p>
                </c:rich>
              </c:tx>
              <c:showLegendKey val="0"/>
              <c:showVal val="1"/>
              <c:showCatName val="0"/>
              <c:showSerName val="0"/>
              <c:showPercent val="0"/>
              <c:showBubbleSize val="0"/>
            </c:dLbl>
            <c:dLbl>
              <c:idx val="5"/>
              <c:tx>
                <c:rich>
                  <a:bodyPr/>
                  <a:lstStyle/>
                  <a:p>
                    <a:r>
                      <a:rPr lang="en-US" sz="700"/>
                      <a:t>716</a:t>
                    </a:r>
                    <a:r>
                      <a:rPr lang="ru-RU" sz="700"/>
                      <a:t> </a:t>
                    </a:r>
                  </a:p>
                  <a:p>
                    <a:r>
                      <a:rPr lang="ru-RU" sz="700"/>
                      <a:t>(110%)  </a:t>
                    </a:r>
                    <a:endParaRPr lang="en-US"/>
                  </a:p>
                </c:rich>
              </c:tx>
              <c:showLegendKey val="0"/>
              <c:showVal val="1"/>
              <c:showCatName val="0"/>
              <c:showSerName val="0"/>
              <c:showPercent val="0"/>
              <c:showBubbleSize val="0"/>
            </c:dLbl>
            <c:txPr>
              <a:bodyPr/>
              <a:lstStyle/>
              <a:p>
                <a:pPr>
                  <a:defRPr sz="700"/>
                </a:pPr>
                <a:endParaRPr lang="ru-RU"/>
              </a:p>
            </c:txPr>
            <c:showLegendKey val="0"/>
            <c:showVal val="1"/>
            <c:showCatName val="0"/>
            <c:showSerName val="0"/>
            <c:showPercent val="0"/>
            <c:showBubbleSize val="0"/>
            <c:showLeaderLines val="0"/>
          </c:dLbls>
          <c:cat>
            <c:numRef>
              <c:f>'НВВ котел 2020'!$E$1:$I$1</c:f>
              <c:numCache>
                <c:formatCode>General</c:formatCode>
                <c:ptCount val="5"/>
                <c:pt idx="0">
                  <c:v>2016</c:v>
                </c:pt>
                <c:pt idx="1">
                  <c:v>2017</c:v>
                </c:pt>
                <c:pt idx="2">
                  <c:v>2018</c:v>
                </c:pt>
                <c:pt idx="3">
                  <c:v>2019</c:v>
                </c:pt>
                <c:pt idx="4">
                  <c:v>2020</c:v>
                </c:pt>
              </c:numCache>
            </c:numRef>
          </c:cat>
          <c:val>
            <c:numRef>
              <c:f>'НВВ котел 2020'!$E$5:$I$5</c:f>
              <c:numCache>
                <c:formatCode>0</c:formatCode>
                <c:ptCount val="5"/>
                <c:pt idx="0" formatCode="_-* #,##0_р_._-;\-* #,##0_р_._-;_-* &quot;-&quot;??_р_._-;_-@_-">
                  <c:v>650.78530813999782</c:v>
                </c:pt>
                <c:pt idx="1">
                  <c:v>715.57555626876444</c:v>
                </c:pt>
                <c:pt idx="2">
                  <c:v>778.790878637736</c:v>
                </c:pt>
                <c:pt idx="3" formatCode="#,##0">
                  <c:v>1160.991761276953</c:v>
                </c:pt>
                <c:pt idx="4" formatCode="#,##0">
                  <c:v>1294.207543621952</c:v>
                </c:pt>
              </c:numCache>
            </c:numRef>
          </c:val>
        </c:ser>
        <c:ser>
          <c:idx val="4"/>
          <c:order val="4"/>
          <c:tx>
            <c:strRef>
              <c:f>'НВВ котел 2020'!$A$6</c:f>
              <c:strCache>
                <c:ptCount val="1"/>
                <c:pt idx="0">
                  <c:v>Возмещение по RAB</c:v>
                </c:pt>
              </c:strCache>
            </c:strRef>
          </c:tx>
          <c:invertIfNegative val="0"/>
          <c:dLbls>
            <c:dLbl>
              <c:idx val="0"/>
              <c:layout>
                <c:manualLayout>
                  <c:x val="1.4031234411657635E-2"/>
                  <c:y val="3.6887346913879663E-3"/>
                </c:manualLayout>
              </c:layout>
              <c:showLegendKey val="0"/>
              <c:showVal val="1"/>
              <c:showCatName val="0"/>
              <c:showSerName val="0"/>
              <c:showPercent val="0"/>
              <c:showBubbleSize val="0"/>
            </c:dLbl>
            <c:dLbl>
              <c:idx val="1"/>
              <c:layout>
                <c:manualLayout>
                  <c:x val="3.3567242481274656E-2"/>
                  <c:y val="-1.2533274855754499E-2"/>
                </c:manualLayout>
              </c:layout>
              <c:tx>
                <c:rich>
                  <a:bodyPr/>
                  <a:lstStyle/>
                  <a:p>
                    <a:r>
                      <a:rPr lang="en-US" sz="700"/>
                      <a:t>443</a:t>
                    </a:r>
                    <a:r>
                      <a:rPr lang="ru-RU" sz="700"/>
                      <a:t> </a:t>
                    </a:r>
                  </a:p>
                  <a:p>
                    <a:r>
                      <a:rPr lang="ru-RU" sz="700"/>
                      <a:t>(486%)</a:t>
                    </a:r>
                    <a:endParaRPr lang="en-US"/>
                  </a:p>
                </c:rich>
              </c:tx>
              <c:showLegendKey val="0"/>
              <c:showVal val="1"/>
              <c:showCatName val="0"/>
              <c:showSerName val="0"/>
              <c:showPercent val="0"/>
              <c:showBubbleSize val="0"/>
            </c:dLbl>
            <c:dLbl>
              <c:idx val="2"/>
              <c:layout>
                <c:manualLayout>
                  <c:x val="3.2304247247290932E-2"/>
                  <c:y val="1.1812374107406079E-2"/>
                </c:manualLayout>
              </c:layout>
              <c:tx>
                <c:rich>
                  <a:bodyPr/>
                  <a:lstStyle/>
                  <a:p>
                    <a:r>
                      <a:rPr lang="en-US" sz="700"/>
                      <a:t>2</a:t>
                    </a:r>
                    <a:r>
                      <a:rPr lang="ru-RU" sz="700"/>
                      <a:t> </a:t>
                    </a:r>
                    <a:r>
                      <a:rPr lang="en-US" sz="700"/>
                      <a:t>124</a:t>
                    </a:r>
                    <a:endParaRPr lang="ru-RU" sz="700"/>
                  </a:p>
                  <a:p>
                    <a:r>
                      <a:rPr lang="ru-RU" sz="700"/>
                      <a:t>(479%)</a:t>
                    </a:r>
                    <a:endParaRPr lang="en-US"/>
                  </a:p>
                </c:rich>
              </c:tx>
              <c:showLegendKey val="0"/>
              <c:showVal val="1"/>
              <c:showCatName val="0"/>
              <c:showSerName val="0"/>
              <c:showPercent val="0"/>
              <c:showBubbleSize val="0"/>
            </c:dLbl>
            <c:dLbl>
              <c:idx val="3"/>
              <c:layout>
                <c:manualLayout>
                  <c:x val="4.0101894014094946E-2"/>
                  <c:y val="2.730912613294258E-2"/>
                </c:manualLayout>
              </c:layout>
              <c:tx>
                <c:rich>
                  <a:bodyPr/>
                  <a:lstStyle/>
                  <a:p>
                    <a:r>
                      <a:rPr lang="en-US" sz="700"/>
                      <a:t>1 021</a:t>
                    </a:r>
                  </a:p>
                  <a:p>
                    <a:r>
                      <a:rPr lang="en-US" sz="700"/>
                      <a:t>(48%)</a:t>
                    </a:r>
                    <a:endParaRPr lang="en-US"/>
                  </a:p>
                </c:rich>
              </c:tx>
              <c:showLegendKey val="0"/>
              <c:showVal val="1"/>
              <c:showCatName val="0"/>
              <c:showSerName val="0"/>
              <c:showPercent val="0"/>
              <c:showBubbleSize val="0"/>
            </c:dLbl>
            <c:txPr>
              <a:bodyPr/>
              <a:lstStyle/>
              <a:p>
                <a:pPr>
                  <a:defRPr sz="700"/>
                </a:pPr>
                <a:endParaRPr lang="ru-RU"/>
              </a:p>
            </c:txPr>
            <c:showLegendKey val="0"/>
            <c:showVal val="1"/>
            <c:showCatName val="0"/>
            <c:showSerName val="0"/>
            <c:showPercent val="0"/>
            <c:showBubbleSize val="0"/>
            <c:showLeaderLines val="0"/>
          </c:dLbls>
          <c:cat>
            <c:numRef>
              <c:f>'НВВ котел 2020'!$E$1:$I$1</c:f>
              <c:numCache>
                <c:formatCode>General</c:formatCode>
                <c:ptCount val="5"/>
                <c:pt idx="0">
                  <c:v>2016</c:v>
                </c:pt>
                <c:pt idx="1">
                  <c:v>2017</c:v>
                </c:pt>
                <c:pt idx="2">
                  <c:v>2018</c:v>
                </c:pt>
                <c:pt idx="3">
                  <c:v>2019</c:v>
                </c:pt>
                <c:pt idx="4">
                  <c:v>2020</c:v>
                </c:pt>
              </c:numCache>
            </c:numRef>
          </c:cat>
          <c:val>
            <c:numRef>
              <c:f>'НВВ котел 2020'!$E$6:$I$6</c:f>
              <c:numCache>
                <c:formatCode>0</c:formatCode>
                <c:ptCount val="5"/>
                <c:pt idx="0" formatCode="_-* #,##0_р_._-;\-* #,##0_р_._-;_-* &quot;-&quot;??_р_._-;_-@_-">
                  <c:v>91.299000000000007</c:v>
                </c:pt>
                <c:pt idx="1">
                  <c:v>443.26</c:v>
                </c:pt>
                <c:pt idx="2">
                  <c:v>2124.0523144825415</c:v>
                </c:pt>
                <c:pt idx="3" formatCode="#,##0">
                  <c:v>1020.8225700825247</c:v>
                </c:pt>
                <c:pt idx="4" formatCode="#,##0">
                  <c:v>0</c:v>
                </c:pt>
              </c:numCache>
            </c:numRef>
          </c:val>
        </c:ser>
        <c:ser>
          <c:idx val="5"/>
          <c:order val="5"/>
          <c:tx>
            <c:strRef>
              <c:f>'НВВ котел 2020'!$A$7</c:f>
              <c:strCache>
                <c:ptCount val="1"/>
                <c:pt idx="0">
                  <c:v>Недополученный доход</c:v>
                </c:pt>
              </c:strCache>
            </c:strRef>
          </c:tx>
          <c:invertIfNegative val="0"/>
          <c:dLbls>
            <c:txPr>
              <a:bodyPr/>
              <a:lstStyle/>
              <a:p>
                <a:pPr>
                  <a:defRPr sz="800"/>
                </a:pPr>
                <a:endParaRPr lang="ru-RU"/>
              </a:p>
            </c:txPr>
            <c:showLegendKey val="0"/>
            <c:showVal val="1"/>
            <c:showCatName val="0"/>
            <c:showSerName val="0"/>
            <c:showPercent val="0"/>
            <c:showBubbleSize val="0"/>
            <c:showLeaderLines val="0"/>
          </c:dLbls>
          <c:cat>
            <c:numRef>
              <c:f>'НВВ котел 2020'!$E$1:$I$1</c:f>
              <c:numCache>
                <c:formatCode>General</c:formatCode>
                <c:ptCount val="5"/>
                <c:pt idx="0">
                  <c:v>2016</c:v>
                </c:pt>
                <c:pt idx="1">
                  <c:v>2017</c:v>
                </c:pt>
                <c:pt idx="2">
                  <c:v>2018</c:v>
                </c:pt>
                <c:pt idx="3">
                  <c:v>2019</c:v>
                </c:pt>
                <c:pt idx="4">
                  <c:v>2020</c:v>
                </c:pt>
              </c:numCache>
            </c:numRef>
          </c:cat>
          <c:val>
            <c:numRef>
              <c:f>'НВВ котел 2020'!$E$7:$I$7</c:f>
              <c:numCache>
                <c:formatCode>0</c:formatCode>
                <c:ptCount val="5"/>
                <c:pt idx="1">
                  <c:v>0</c:v>
                </c:pt>
                <c:pt idx="2">
                  <c:v>0</c:v>
                </c:pt>
                <c:pt idx="4">
                  <c:v>-961.10314675877453</c:v>
                </c:pt>
              </c:numCache>
            </c:numRef>
          </c:val>
        </c:ser>
        <c:dLbls>
          <c:showLegendKey val="0"/>
          <c:showVal val="0"/>
          <c:showCatName val="0"/>
          <c:showSerName val="0"/>
          <c:showPercent val="0"/>
          <c:showBubbleSize val="0"/>
        </c:dLbls>
        <c:gapWidth val="150"/>
        <c:axId val="42217984"/>
        <c:axId val="283296320"/>
      </c:barChart>
      <c:catAx>
        <c:axId val="42217984"/>
        <c:scaling>
          <c:orientation val="minMax"/>
        </c:scaling>
        <c:delete val="0"/>
        <c:axPos val="b"/>
        <c:title>
          <c:tx>
            <c:rich>
              <a:bodyPr/>
              <a:lstStyle/>
              <a:p>
                <a:pPr>
                  <a:defRPr/>
                </a:pPr>
                <a:r>
                  <a:rPr lang="ru-RU"/>
                  <a:t>год</a:t>
                </a:r>
              </a:p>
            </c:rich>
          </c:tx>
          <c:layout>
            <c:manualLayout>
              <c:xMode val="edge"/>
              <c:yMode val="edge"/>
              <c:x val="0.96179693087468965"/>
              <c:y val="0.780623420524448"/>
            </c:manualLayout>
          </c:layout>
          <c:overlay val="0"/>
        </c:title>
        <c:numFmt formatCode="General" sourceLinked="1"/>
        <c:majorTickMark val="out"/>
        <c:minorTickMark val="none"/>
        <c:tickLblPos val="nextTo"/>
        <c:crossAx val="283296320"/>
        <c:crosses val="autoZero"/>
        <c:auto val="1"/>
        <c:lblAlgn val="ctr"/>
        <c:lblOffset val="100"/>
        <c:noMultiLvlLbl val="0"/>
      </c:catAx>
      <c:valAx>
        <c:axId val="283296320"/>
        <c:scaling>
          <c:orientation val="minMax"/>
          <c:max val="16000"/>
          <c:min val="-2000"/>
        </c:scaling>
        <c:delete val="0"/>
        <c:axPos val="l"/>
        <c:majorGridlines/>
        <c:title>
          <c:tx>
            <c:rich>
              <a:bodyPr rot="-5400000" vert="horz"/>
              <a:lstStyle/>
              <a:p>
                <a:pPr>
                  <a:defRPr/>
                </a:pPr>
                <a:r>
                  <a:rPr lang="ru-RU"/>
                  <a:t>млн.руб.</a:t>
                </a:r>
              </a:p>
            </c:rich>
          </c:tx>
          <c:layout>
            <c:manualLayout>
              <c:xMode val="edge"/>
              <c:yMode val="edge"/>
              <c:x val="1.2376934992474583E-2"/>
              <c:y val="2.3430925623461222E-2"/>
            </c:manualLayout>
          </c:layout>
          <c:overlay val="0"/>
        </c:title>
        <c:numFmt formatCode="_-* #,##0_р_._-;\-* #,##0_р_._-;_-* &quot;-&quot;??_р_._-;_-@_-" sourceLinked="1"/>
        <c:majorTickMark val="out"/>
        <c:minorTickMark val="none"/>
        <c:tickLblPos val="nextTo"/>
        <c:crossAx val="42217984"/>
        <c:crosses val="autoZero"/>
        <c:crossBetween val="between"/>
        <c:majorUnit val="2000"/>
      </c:valAx>
    </c:plotArea>
    <c:legend>
      <c:legendPos val="b"/>
      <c:layout>
        <c:manualLayout>
          <c:xMode val="edge"/>
          <c:yMode val="edge"/>
          <c:x val="9.8474826323391135E-2"/>
          <c:y val="0.81687430189101295"/>
          <c:w val="0.81710792771894725"/>
          <c:h val="0.15381865173864598"/>
        </c:manualLayout>
      </c:layout>
      <c:overlay val="0"/>
      <c:txPr>
        <a:bodyPr/>
        <a:lstStyle/>
        <a:p>
          <a:pPr>
            <a:defRPr sz="900"/>
          </a:pPr>
          <a:endParaRPr lang="ru-RU"/>
        </a:p>
      </c:txPr>
    </c:legend>
    <c:plotVisOnly val="1"/>
    <c:dispBlanksAs val="gap"/>
    <c:showDLblsOverMax val="0"/>
  </c:chart>
  <c:externalData r:id="rId2">
    <c:autoUpdate val="0"/>
  </c:externalData>
</c:chartSpace>
</file>

<file path=word/charts/chart3.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a:lstStyle/>
          <a:p>
            <a:pPr>
              <a:defRPr sz="900"/>
            </a:pPr>
            <a:r>
              <a:rPr lang="ru-RU" sz="900"/>
              <a:t>Структура котловых затрат АО "РЭС" и сетевых организаций в 201</a:t>
            </a:r>
            <a:r>
              <a:rPr lang="en-US" sz="900"/>
              <a:t>9</a:t>
            </a:r>
            <a:r>
              <a:rPr lang="ru-RU" sz="900"/>
              <a:t> году</a:t>
            </a:r>
          </a:p>
        </c:rich>
      </c:tx>
      <c:overlay val="0"/>
    </c:title>
    <c:autoTitleDeleted val="0"/>
    <c:plotArea>
      <c:layout/>
      <c:pieChart>
        <c:varyColors val="1"/>
        <c:ser>
          <c:idx val="0"/>
          <c:order val="0"/>
          <c:explosion val="25"/>
          <c:dLbls>
            <c:dLbl>
              <c:idx val="0"/>
              <c:layout>
                <c:manualLayout>
                  <c:x val="3.0853994490358156E-2"/>
                  <c:y val="3.267974697126954E-2"/>
                </c:manualLayout>
              </c:layout>
              <c:tx>
                <c:rich>
                  <a:bodyPr/>
                  <a:lstStyle/>
                  <a:p>
                    <a:r>
                      <a:rPr lang="ru-RU" sz="900"/>
                      <a:t>Услуги ТСО </a:t>
                    </a:r>
                  </a:p>
                  <a:p>
                    <a:r>
                      <a:rPr lang="ru-RU" sz="900"/>
                      <a:t>(Содерж)
8%</a:t>
                    </a:r>
                    <a:endParaRPr lang="ru-RU"/>
                  </a:p>
                </c:rich>
              </c:tx>
              <c:dLblPos val="bestFit"/>
              <c:showLegendKey val="0"/>
              <c:showVal val="0"/>
              <c:showCatName val="1"/>
              <c:showSerName val="0"/>
              <c:showPercent val="1"/>
              <c:showBubbleSize val="0"/>
            </c:dLbl>
            <c:dLbl>
              <c:idx val="1"/>
              <c:layout>
                <c:manualLayout>
                  <c:x val="2.4844720496894412E-2"/>
                  <c:y val="3.9215696365523231E-2"/>
                </c:manualLayout>
              </c:layout>
              <c:tx>
                <c:rich>
                  <a:bodyPr/>
                  <a:lstStyle/>
                  <a:p>
                    <a:r>
                      <a:rPr lang="ru-RU" sz="900"/>
                      <a:t>Услуги ПАО "ФСК ЕЭС"
17%</a:t>
                    </a:r>
                    <a:endParaRPr lang="ru-RU"/>
                  </a:p>
                </c:rich>
              </c:tx>
              <c:dLblPos val="bestFit"/>
              <c:showLegendKey val="0"/>
              <c:showVal val="0"/>
              <c:showCatName val="1"/>
              <c:showSerName val="0"/>
              <c:showPercent val="1"/>
              <c:showBubbleSize val="0"/>
            </c:dLbl>
            <c:dLbl>
              <c:idx val="2"/>
              <c:tx>
                <c:rich>
                  <a:bodyPr/>
                  <a:lstStyle/>
                  <a:p>
                    <a:r>
                      <a:rPr lang="ru-RU" sz="900"/>
                      <a:t>ФОТ
14%</a:t>
                    </a:r>
                    <a:endParaRPr lang="ru-RU"/>
                  </a:p>
                </c:rich>
              </c:tx>
              <c:dLblPos val="outEnd"/>
              <c:showLegendKey val="0"/>
              <c:showVal val="0"/>
              <c:showCatName val="1"/>
              <c:showSerName val="0"/>
              <c:showPercent val="1"/>
              <c:showBubbleSize val="0"/>
            </c:dLbl>
            <c:dLbl>
              <c:idx val="3"/>
              <c:tx>
                <c:rich>
                  <a:bodyPr/>
                  <a:lstStyle/>
                  <a:p>
                    <a:r>
                      <a:rPr lang="ru-RU" sz="900"/>
                      <a:t>Амортизация
12%</a:t>
                    </a:r>
                    <a:endParaRPr lang="ru-RU"/>
                  </a:p>
                </c:rich>
              </c:tx>
              <c:dLblPos val="outEnd"/>
              <c:showLegendKey val="0"/>
              <c:showVal val="0"/>
              <c:showCatName val="1"/>
              <c:showSerName val="0"/>
              <c:showPercent val="1"/>
              <c:showBubbleSize val="0"/>
            </c:dLbl>
            <c:dLbl>
              <c:idx val="4"/>
              <c:layout>
                <c:manualLayout>
                  <c:x val="-8.4886128364389232E-2"/>
                  <c:y val="-3.2682320179692292E-3"/>
                </c:manualLayout>
              </c:layout>
              <c:dLblPos val="bestFit"/>
              <c:showLegendKey val="0"/>
              <c:showVal val="0"/>
              <c:showCatName val="1"/>
              <c:showSerName val="0"/>
              <c:showPercent val="1"/>
              <c:showBubbleSize val="0"/>
            </c:dLbl>
            <c:dLbl>
              <c:idx val="5"/>
              <c:tx>
                <c:rich>
                  <a:bodyPr/>
                  <a:lstStyle/>
                  <a:p>
                    <a:r>
                      <a:rPr lang="ru-RU" sz="900"/>
                      <a:t>Оплата потерь
28%</a:t>
                    </a:r>
                    <a:endParaRPr lang="ru-RU"/>
                  </a:p>
                </c:rich>
              </c:tx>
              <c:dLblPos val="outEnd"/>
              <c:showLegendKey val="0"/>
              <c:showVal val="0"/>
              <c:showCatName val="1"/>
              <c:showSerName val="0"/>
              <c:showPercent val="1"/>
              <c:showBubbleSize val="0"/>
            </c:dLbl>
            <c:dLbl>
              <c:idx val="6"/>
              <c:tx>
                <c:rich>
                  <a:bodyPr/>
                  <a:lstStyle/>
                  <a:p>
                    <a:r>
                      <a:rPr lang="ru-RU" sz="900"/>
                      <a:t>Прочие
26%</a:t>
                    </a:r>
                    <a:endParaRPr lang="ru-RU"/>
                  </a:p>
                </c:rich>
              </c:tx>
              <c:dLblPos val="outEnd"/>
              <c:showLegendKey val="0"/>
              <c:showVal val="0"/>
              <c:showCatName val="1"/>
              <c:showSerName val="0"/>
              <c:showPercent val="1"/>
              <c:showBubbleSize val="0"/>
            </c:dLbl>
            <c:txPr>
              <a:bodyPr/>
              <a:lstStyle/>
              <a:p>
                <a:pPr>
                  <a:defRPr sz="900"/>
                </a:pPr>
                <a:endParaRPr lang="ru-RU"/>
              </a:p>
            </c:txPr>
            <c:dLblPos val="outEnd"/>
            <c:showLegendKey val="0"/>
            <c:showVal val="0"/>
            <c:showCatName val="1"/>
            <c:showSerName val="0"/>
            <c:showPercent val="1"/>
            <c:showBubbleSize val="0"/>
            <c:showLeaderLines val="1"/>
          </c:dLbls>
          <c:cat>
            <c:strRef>
              <c:f>'Структура затрат 2019'!$B$2:$B$8</c:f>
              <c:strCache>
                <c:ptCount val="7"/>
                <c:pt idx="0">
                  <c:v>Услуги ТСО (Содерж)</c:v>
                </c:pt>
                <c:pt idx="1">
                  <c:v>Услуги ПАО "ФСК ЕЭС"</c:v>
                </c:pt>
                <c:pt idx="2">
                  <c:v>ФОТ</c:v>
                </c:pt>
                <c:pt idx="3">
                  <c:v>Амортизация</c:v>
                </c:pt>
                <c:pt idx="4">
                  <c:v>Избыток средств АО "РЭС"</c:v>
                </c:pt>
                <c:pt idx="5">
                  <c:v>Оплата потерь</c:v>
                </c:pt>
                <c:pt idx="6">
                  <c:v>Прочие</c:v>
                </c:pt>
              </c:strCache>
            </c:strRef>
          </c:cat>
          <c:val>
            <c:numRef>
              <c:f>'Структура затрат 2019'!$C$2:$C$8</c:f>
              <c:numCache>
                <c:formatCode>_-* #,##0.00_р_._-;\-* #,##0.00_р_._-;_-* "-"??_р_._-;_-@_-</c:formatCode>
                <c:ptCount val="7"/>
                <c:pt idx="0">
                  <c:v>1160.991761276953</c:v>
                </c:pt>
                <c:pt idx="1">
                  <c:v>2318.9443296731556</c:v>
                </c:pt>
                <c:pt idx="2">
                  <c:v>1884.5221024036271</c:v>
                </c:pt>
                <c:pt idx="3">
                  <c:v>1709.588</c:v>
                </c:pt>
                <c:pt idx="4">
                  <c:v>-692.00898347459804</c:v>
                </c:pt>
                <c:pt idx="5">
                  <c:v>3854.0355520691833</c:v>
                </c:pt>
                <c:pt idx="6">
                  <c:v>3609.5348057461379</c:v>
                </c:pt>
              </c:numCache>
            </c:numRef>
          </c:val>
        </c:ser>
        <c:dLbls>
          <c:showLegendKey val="0"/>
          <c:showVal val="1"/>
          <c:showCatName val="0"/>
          <c:showSerName val="0"/>
          <c:showPercent val="0"/>
          <c:showBubbleSize val="0"/>
          <c:showLeaderLines val="1"/>
        </c:dLbls>
        <c:firstSliceAng val="0"/>
      </c:pieChart>
    </c:plotArea>
    <c:plotVisOnly val="1"/>
    <c:dispBlanksAs val="gap"/>
    <c:showDLblsOverMax val="0"/>
  </c:chart>
  <c:externalData r:id="rId2">
    <c:autoUpdate val="0"/>
  </c:externalData>
</c:chartSpace>
</file>

<file path=word/charts/chart4.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a:lstStyle/>
          <a:p>
            <a:pPr>
              <a:defRPr sz="900"/>
            </a:pPr>
            <a:r>
              <a:rPr lang="ru-RU" sz="900"/>
              <a:t>Структура котловых затрат АО "РЭС" и сетевых организаций в 2020 году</a:t>
            </a:r>
          </a:p>
        </c:rich>
      </c:tx>
      <c:layout>
        <c:manualLayout>
          <c:xMode val="edge"/>
          <c:yMode val="edge"/>
          <c:x val="0.2586321771506957"/>
          <c:y val="0"/>
        </c:manualLayout>
      </c:layout>
      <c:overlay val="0"/>
    </c:title>
    <c:autoTitleDeleted val="0"/>
    <c:plotArea>
      <c:layout>
        <c:manualLayout>
          <c:layoutTarget val="inner"/>
          <c:xMode val="edge"/>
          <c:yMode val="edge"/>
          <c:x val="0.21742105826419808"/>
          <c:y val="0.28257065377201296"/>
          <c:w val="0.60245597546135288"/>
          <c:h val="0.67130801384531558"/>
        </c:manualLayout>
      </c:layout>
      <c:pieChart>
        <c:varyColors val="1"/>
        <c:ser>
          <c:idx val="0"/>
          <c:order val="0"/>
          <c:explosion val="22"/>
          <c:dLbls>
            <c:dLbl>
              <c:idx val="0"/>
              <c:layout>
                <c:manualLayout>
                  <c:x val="3.0853994490358156E-2"/>
                  <c:y val="3.267974697126954E-2"/>
                </c:manualLayout>
              </c:layout>
              <c:tx>
                <c:rich>
                  <a:bodyPr/>
                  <a:lstStyle/>
                  <a:p>
                    <a:r>
                      <a:rPr lang="ru-RU" sz="900"/>
                      <a:t>Услуги ТСО </a:t>
                    </a:r>
                  </a:p>
                  <a:p>
                    <a:r>
                      <a:rPr lang="ru-RU" sz="900"/>
                      <a:t>(Содерж)
</a:t>
                    </a:r>
                    <a:r>
                      <a:rPr lang="en-US" sz="900"/>
                      <a:t>10</a:t>
                    </a:r>
                    <a:r>
                      <a:rPr lang="ru-RU" sz="900"/>
                      <a:t>%</a:t>
                    </a:r>
                    <a:endParaRPr lang="ru-RU"/>
                  </a:p>
                </c:rich>
              </c:tx>
              <c:dLblPos val="bestFit"/>
              <c:showLegendKey val="0"/>
              <c:showVal val="0"/>
              <c:showCatName val="1"/>
              <c:showSerName val="0"/>
              <c:showPercent val="1"/>
              <c:showBubbleSize val="0"/>
            </c:dLbl>
            <c:dLbl>
              <c:idx val="1"/>
              <c:layout>
                <c:manualLayout>
                  <c:x val="2.4844720496894412E-2"/>
                  <c:y val="3.9215696365523231E-2"/>
                </c:manualLayout>
              </c:layout>
              <c:tx>
                <c:rich>
                  <a:bodyPr/>
                  <a:lstStyle/>
                  <a:p>
                    <a:r>
                      <a:rPr lang="ru-RU" sz="900"/>
                      <a:t>Услуги ПАО "ФСК ЕЭС"
19%</a:t>
                    </a:r>
                    <a:endParaRPr lang="ru-RU"/>
                  </a:p>
                </c:rich>
              </c:tx>
              <c:dLblPos val="bestFit"/>
              <c:showLegendKey val="0"/>
              <c:showVal val="0"/>
              <c:showCatName val="1"/>
              <c:showSerName val="0"/>
              <c:showPercent val="1"/>
              <c:showBubbleSize val="0"/>
            </c:dLbl>
            <c:dLbl>
              <c:idx val="2"/>
              <c:layout>
                <c:manualLayout>
                  <c:x val="1.1169388020142423E-2"/>
                  <c:y val="-4.5634923227489931E-2"/>
                </c:manualLayout>
              </c:layout>
              <c:tx>
                <c:rich>
                  <a:bodyPr/>
                  <a:lstStyle/>
                  <a:p>
                    <a:r>
                      <a:rPr lang="ru-RU" sz="900"/>
                      <a:t>ФОТ
14%</a:t>
                    </a:r>
                    <a:endParaRPr lang="ru-RU"/>
                  </a:p>
                </c:rich>
              </c:tx>
              <c:dLblPos val="bestFit"/>
              <c:showLegendKey val="0"/>
              <c:showVal val="0"/>
              <c:showCatName val="1"/>
              <c:showSerName val="0"/>
              <c:showPercent val="1"/>
              <c:showBubbleSize val="0"/>
            </c:dLbl>
            <c:dLbl>
              <c:idx val="3"/>
              <c:layout>
                <c:manualLayout>
                  <c:x val="9.6801362841234334E-2"/>
                  <c:y val="0"/>
                </c:manualLayout>
              </c:layout>
              <c:tx>
                <c:rich>
                  <a:bodyPr/>
                  <a:lstStyle/>
                  <a:p>
                    <a:r>
                      <a:rPr lang="ru-RU" sz="900"/>
                      <a:t>Амортизация
13%</a:t>
                    </a:r>
                    <a:endParaRPr lang="ru-RU"/>
                  </a:p>
                </c:rich>
              </c:tx>
              <c:dLblPos val="bestFit"/>
              <c:showLegendKey val="0"/>
              <c:showVal val="0"/>
              <c:showCatName val="1"/>
              <c:showSerName val="0"/>
              <c:showPercent val="1"/>
              <c:showBubbleSize val="0"/>
            </c:dLbl>
            <c:dLbl>
              <c:idx val="4"/>
              <c:layout>
                <c:manualLayout>
                  <c:x val="-2.9024932672840582E-2"/>
                  <c:y val="-3.2682066194007907E-3"/>
                </c:manualLayout>
              </c:layout>
              <c:tx>
                <c:rich>
                  <a:bodyPr/>
                  <a:lstStyle/>
                  <a:p>
                    <a:r>
                      <a:rPr lang="ru-RU"/>
                      <a:t>Выпадаю-щие доходы АО "РЭС"
1%</a:t>
                    </a:r>
                  </a:p>
                </c:rich>
              </c:tx>
              <c:dLblPos val="bestFit"/>
              <c:showLegendKey val="0"/>
              <c:showVal val="0"/>
              <c:showCatName val="1"/>
              <c:showSerName val="0"/>
              <c:showPercent val="1"/>
              <c:showBubbleSize val="0"/>
            </c:dLbl>
            <c:dLbl>
              <c:idx val="5"/>
              <c:layout>
                <c:manualLayout>
                  <c:x val="-6.3293198780807067E-2"/>
                  <c:y val="-8.2972587686345328E-2"/>
                </c:manualLayout>
              </c:layout>
              <c:tx>
                <c:rich>
                  <a:bodyPr/>
                  <a:lstStyle/>
                  <a:p>
                    <a:r>
                      <a:rPr lang="ru-RU" sz="900"/>
                      <a:t>Оплата потерь
29%</a:t>
                    </a:r>
                    <a:endParaRPr lang="ru-RU"/>
                  </a:p>
                </c:rich>
              </c:tx>
              <c:dLblPos val="bestFit"/>
              <c:showLegendKey val="0"/>
              <c:showVal val="0"/>
              <c:showCatName val="1"/>
              <c:showSerName val="0"/>
              <c:showPercent val="1"/>
              <c:showBubbleSize val="0"/>
            </c:dLbl>
            <c:dLbl>
              <c:idx val="6"/>
              <c:tx>
                <c:rich>
                  <a:bodyPr/>
                  <a:lstStyle/>
                  <a:p>
                    <a:r>
                      <a:rPr lang="ru-RU" sz="900"/>
                      <a:t>Прочие
21%</a:t>
                    </a:r>
                    <a:endParaRPr lang="ru-RU"/>
                  </a:p>
                </c:rich>
              </c:tx>
              <c:dLblPos val="outEnd"/>
              <c:showLegendKey val="0"/>
              <c:showVal val="0"/>
              <c:showCatName val="1"/>
              <c:showSerName val="0"/>
              <c:showPercent val="1"/>
              <c:showBubbleSize val="0"/>
            </c:dLbl>
            <c:dLbl>
              <c:idx val="7"/>
              <c:layout>
                <c:manualLayout>
                  <c:x val="-3.5694842938176409E-2"/>
                  <c:y val="4.831160583970219E-2"/>
                </c:manualLayout>
              </c:layout>
              <c:tx>
                <c:rich>
                  <a:bodyPr/>
                  <a:lstStyle/>
                  <a:p>
                    <a:endParaRPr lang="ru-RU"/>
                  </a:p>
                  <a:p>
                    <a:endParaRPr lang="ru-RU"/>
                  </a:p>
                  <a:p>
                    <a:r>
                      <a:rPr lang="ru-RU"/>
                      <a:t>Недополученнный</a:t>
                    </a:r>
                  </a:p>
                  <a:p>
                    <a:r>
                      <a:rPr lang="ru-RU" baseline="0"/>
                      <a:t> доход</a:t>
                    </a:r>
                    <a:r>
                      <a:rPr lang="en-US"/>
                      <a:t>
-7%</a:t>
                    </a:r>
                  </a:p>
                </c:rich>
              </c:tx>
              <c:dLblPos val="bestFit"/>
              <c:showLegendKey val="0"/>
              <c:showVal val="0"/>
              <c:showCatName val="1"/>
              <c:showSerName val="0"/>
              <c:showPercent val="1"/>
              <c:showBubbleSize val="0"/>
            </c:dLbl>
            <c:txPr>
              <a:bodyPr/>
              <a:lstStyle/>
              <a:p>
                <a:pPr>
                  <a:defRPr sz="900"/>
                </a:pPr>
                <a:endParaRPr lang="ru-RU"/>
              </a:p>
            </c:txPr>
            <c:dLblPos val="outEnd"/>
            <c:showLegendKey val="0"/>
            <c:showVal val="0"/>
            <c:showCatName val="1"/>
            <c:showSerName val="0"/>
            <c:showPercent val="1"/>
            <c:showBubbleSize val="0"/>
            <c:showLeaderLines val="1"/>
          </c:dLbls>
          <c:cat>
            <c:strRef>
              <c:f>'Структура затрат 2020 '!$B$2:$B$9</c:f>
              <c:strCache>
                <c:ptCount val="8"/>
                <c:pt idx="0">
                  <c:v>Услуги ТСО (Содерж)</c:v>
                </c:pt>
                <c:pt idx="1">
                  <c:v>Услуги ПАО "ФСК ЕЭС"</c:v>
                </c:pt>
                <c:pt idx="2">
                  <c:v>ФОТ</c:v>
                </c:pt>
                <c:pt idx="3">
                  <c:v>Амортизация</c:v>
                </c:pt>
                <c:pt idx="4">
                  <c:v>Выпадающие доходы АО "РЭС"</c:v>
                </c:pt>
                <c:pt idx="5">
                  <c:v>Оплата потерь</c:v>
                </c:pt>
                <c:pt idx="6">
                  <c:v>Прочие</c:v>
                </c:pt>
                <c:pt idx="7">
                  <c:v>Недополученный доход</c:v>
                </c:pt>
              </c:strCache>
            </c:strRef>
          </c:cat>
          <c:val>
            <c:numRef>
              <c:f>'Структура затрат 2020 '!$C$2:$C$9</c:f>
              <c:numCache>
                <c:formatCode>_-* #,##0.00_р_._-;\-* #,##0.00_р_._-;_-* "-"??_р_._-;_-@_-</c:formatCode>
                <c:ptCount val="8"/>
                <c:pt idx="0">
                  <c:v>1294.207543621952</c:v>
                </c:pt>
                <c:pt idx="1">
                  <c:v>2533.6217022860824</c:v>
                </c:pt>
                <c:pt idx="2">
                  <c:v>1935.0211906936543</c:v>
                </c:pt>
                <c:pt idx="3">
                  <c:v>1734.2</c:v>
                </c:pt>
                <c:pt idx="4">
                  <c:v>131.22973199840251</c:v>
                </c:pt>
                <c:pt idx="5">
                  <c:v>3996.3037068720087</c:v>
                </c:pt>
                <c:pt idx="6">
                  <c:v>2912.8453884214123</c:v>
                </c:pt>
                <c:pt idx="7">
                  <c:v>-961.10314675877453</c:v>
                </c:pt>
              </c:numCache>
            </c:numRef>
          </c:val>
        </c:ser>
        <c:dLbls>
          <c:showLegendKey val="0"/>
          <c:showVal val="1"/>
          <c:showCatName val="0"/>
          <c:showSerName val="0"/>
          <c:showPercent val="0"/>
          <c:showBubbleSize val="0"/>
          <c:showLeaderLines val="1"/>
        </c:dLbls>
        <c:firstSliceAng val="0"/>
      </c:pieChart>
    </c:plotArea>
    <c:plotVisOnly val="1"/>
    <c:dispBlanksAs val="gap"/>
    <c:showDLblsOverMax val="0"/>
  </c:chart>
  <c:externalData r:id="rId2">
    <c:autoUpdate val="0"/>
  </c:externalData>
</c:chartSpace>
</file>

<file path=word/charts/chart5.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a:lstStyle/>
          <a:p>
            <a:pPr>
              <a:defRPr sz="1125" b="1" i="0" u="none" strike="noStrike" baseline="0">
                <a:solidFill>
                  <a:srgbClr val="000000"/>
                </a:solidFill>
                <a:latin typeface="Arial Cyr"/>
                <a:ea typeface="Arial Cyr"/>
                <a:cs typeface="Arial Cyr"/>
              </a:defRPr>
            </a:pPr>
            <a:r>
              <a:rPr lang="ru-RU"/>
              <a:t>Среднегодовые, средневзвешенные тарифы на тепловую энергию по Новосибирской области</a:t>
            </a:r>
          </a:p>
        </c:rich>
      </c:tx>
      <c:layout>
        <c:manualLayout>
          <c:xMode val="edge"/>
          <c:yMode val="edge"/>
          <c:x val="0.1966530125156952"/>
          <c:y val="2.8622540250447227E-2"/>
        </c:manualLayout>
      </c:layout>
      <c:overlay val="0"/>
      <c:spPr>
        <a:noFill/>
        <a:ln w="25400">
          <a:noFill/>
        </a:ln>
      </c:spPr>
    </c:title>
    <c:autoTitleDeleted val="0"/>
    <c:plotArea>
      <c:layout>
        <c:manualLayout>
          <c:layoutTarget val="inner"/>
          <c:xMode val="edge"/>
          <c:yMode val="edge"/>
          <c:x val="9.0655632539598879E-2"/>
          <c:y val="0.13416827461869918"/>
          <c:w val="0.88981990092712249"/>
          <c:h val="0.42675891628201973"/>
        </c:manualLayout>
      </c:layout>
      <c:lineChart>
        <c:grouping val="standard"/>
        <c:varyColors val="0"/>
        <c:ser>
          <c:idx val="0"/>
          <c:order val="0"/>
          <c:tx>
            <c:strRef>
              <c:f>'График 1'!$A$4</c:f>
              <c:strCache>
                <c:ptCount val="1"/>
                <c:pt idx="0">
                  <c:v>Среднегодовой, средневзвешенный тариф на тепловую энергию, отпускаемую  АО "СИБЭКО" (до 01.01.2011 ОАО "СибирьЭнерго", до 01.07.2011 ОАО "Новосибирскэнерго") потребителям</c:v>
                </c:pt>
              </c:strCache>
            </c:strRef>
          </c:tx>
          <c:spPr>
            <a:ln w="25400">
              <a:solidFill>
                <a:srgbClr val="000080"/>
              </a:solidFill>
              <a:prstDash val="solid"/>
            </a:ln>
          </c:spPr>
          <c:marker>
            <c:symbol val="diamond"/>
            <c:size val="7"/>
            <c:spPr>
              <a:solidFill>
                <a:srgbClr val="000080"/>
              </a:solidFill>
              <a:ln>
                <a:solidFill>
                  <a:srgbClr val="000080"/>
                </a:solidFill>
                <a:prstDash val="solid"/>
              </a:ln>
            </c:spPr>
          </c:marker>
          <c:dLbls>
            <c:dLbl>
              <c:idx val="0"/>
              <c:layout>
                <c:manualLayout>
                  <c:x val="-4.160858953740363E-2"/>
                  <c:y val="-3.6967676459937045E-2"/>
                </c:manualLayout>
              </c:layout>
              <c:numFmt formatCode="0.00" sourceLinked="0"/>
              <c:spPr>
                <a:noFill/>
                <a:ln w="25400">
                  <a:noFill/>
                </a:ln>
              </c:spPr>
              <c:txPr>
                <a:bodyPr/>
                <a:lstStyle/>
                <a:p>
                  <a:pPr algn="ctr" rtl="0">
                    <a:defRPr lang="en-US" sz="800" b="1" i="0" u="none" strike="noStrike" kern="1200" baseline="0">
                      <a:solidFill>
                        <a:srgbClr val="000000"/>
                      </a:solidFill>
                      <a:latin typeface="Arial Cyr"/>
                      <a:ea typeface="Arial Cyr"/>
                      <a:cs typeface="Arial Cyr"/>
                    </a:defRPr>
                  </a:pPr>
                  <a:endParaRPr lang="ru-RU"/>
                </a:p>
              </c:txPr>
              <c:dLblPos val="r"/>
              <c:showLegendKey val="0"/>
              <c:showVal val="1"/>
              <c:showCatName val="0"/>
              <c:showSerName val="0"/>
              <c:showPercent val="0"/>
              <c:showBubbleSize val="0"/>
            </c:dLbl>
            <c:dLbl>
              <c:idx val="1"/>
              <c:layout>
                <c:manualLayout>
                  <c:x val="-4.6257687193853425E-2"/>
                  <c:y val="-3.0424693333907023E-2"/>
                </c:manualLayout>
              </c:layout>
              <c:numFmt formatCode="0.00" sourceLinked="0"/>
              <c:spPr>
                <a:noFill/>
                <a:ln w="25400">
                  <a:noFill/>
                </a:ln>
              </c:spPr>
              <c:txPr>
                <a:bodyPr/>
                <a:lstStyle/>
                <a:p>
                  <a:pPr algn="ctr" rtl="0">
                    <a:defRPr lang="en-US" sz="800" b="1" i="0" u="none" strike="noStrike" kern="1200" baseline="0">
                      <a:solidFill>
                        <a:srgbClr val="000000"/>
                      </a:solidFill>
                      <a:latin typeface="Arial Cyr"/>
                      <a:ea typeface="Arial Cyr"/>
                      <a:cs typeface="Arial Cyr"/>
                    </a:defRPr>
                  </a:pPr>
                  <a:endParaRPr lang="ru-RU"/>
                </a:p>
              </c:txPr>
              <c:dLblPos val="r"/>
              <c:showLegendKey val="0"/>
              <c:showVal val="1"/>
              <c:showCatName val="0"/>
              <c:showSerName val="0"/>
              <c:showPercent val="0"/>
              <c:showBubbleSize val="0"/>
            </c:dLbl>
            <c:dLbl>
              <c:idx val="2"/>
              <c:layout>
                <c:manualLayout>
                  <c:x val="-4.1143724151596985E-2"/>
                  <c:y val="-3.2508873727299624E-2"/>
                </c:manualLayout>
              </c:layout>
              <c:numFmt formatCode="0.00" sourceLinked="0"/>
              <c:spPr>
                <a:noFill/>
                <a:ln w="25400">
                  <a:noFill/>
                </a:ln>
              </c:spPr>
              <c:txPr>
                <a:bodyPr/>
                <a:lstStyle/>
                <a:p>
                  <a:pPr algn="ctr" rtl="0">
                    <a:defRPr lang="en-US" sz="800" b="1" i="0" u="none" strike="noStrike" kern="1200" baseline="0">
                      <a:solidFill>
                        <a:srgbClr val="000000"/>
                      </a:solidFill>
                      <a:latin typeface="Arial Cyr"/>
                      <a:ea typeface="Arial Cyr"/>
                      <a:cs typeface="Arial Cyr"/>
                    </a:defRPr>
                  </a:pPr>
                  <a:endParaRPr lang="ru-RU"/>
                </a:p>
              </c:txPr>
              <c:dLblPos val="r"/>
              <c:showLegendKey val="0"/>
              <c:showVal val="1"/>
              <c:showCatName val="0"/>
              <c:showSerName val="0"/>
              <c:showPercent val="0"/>
              <c:showBubbleSize val="0"/>
            </c:dLbl>
            <c:dLbl>
              <c:idx val="3"/>
              <c:layout>
                <c:manualLayout>
                  <c:x val="-6.5318572630158833E-2"/>
                  <c:y val="-3.6273981647249556E-2"/>
                </c:manualLayout>
              </c:layout>
              <c:numFmt formatCode="0.00" sourceLinked="0"/>
              <c:spPr>
                <a:noFill/>
                <a:ln w="25400">
                  <a:noFill/>
                </a:ln>
              </c:spPr>
              <c:txPr>
                <a:bodyPr/>
                <a:lstStyle/>
                <a:p>
                  <a:pPr algn="ctr" rtl="0">
                    <a:defRPr lang="en-US" sz="800" b="1" i="0" u="none" strike="noStrike" kern="1200" baseline="0">
                      <a:solidFill>
                        <a:srgbClr val="000000"/>
                      </a:solidFill>
                      <a:latin typeface="Arial Cyr"/>
                      <a:ea typeface="Arial Cyr"/>
                      <a:cs typeface="Arial Cyr"/>
                    </a:defRPr>
                  </a:pPr>
                  <a:endParaRPr lang="ru-RU"/>
                </a:p>
              </c:txPr>
              <c:dLblPos val="r"/>
              <c:showLegendKey val="0"/>
              <c:showVal val="1"/>
              <c:showCatName val="0"/>
              <c:showSerName val="0"/>
              <c:showPercent val="0"/>
              <c:showBubbleSize val="0"/>
            </c:dLbl>
            <c:dLbl>
              <c:idx val="4"/>
              <c:layout>
                <c:manualLayout>
                  <c:x val="-7.2565446693680674E-2"/>
                  <c:y val="-2.6188675275300412E-2"/>
                </c:manualLayout>
              </c:layout>
              <c:numFmt formatCode="0.00" sourceLinked="0"/>
              <c:spPr>
                <a:noFill/>
                <a:ln w="25400">
                  <a:noFill/>
                </a:ln>
              </c:spPr>
              <c:txPr>
                <a:bodyPr/>
                <a:lstStyle/>
                <a:p>
                  <a:pPr algn="ctr" rtl="0">
                    <a:defRPr lang="en-US" sz="800" b="1" i="0" u="none" strike="noStrike" kern="1200" baseline="0">
                      <a:solidFill>
                        <a:srgbClr val="000000"/>
                      </a:solidFill>
                      <a:latin typeface="Arial Cyr"/>
                      <a:ea typeface="Arial Cyr"/>
                      <a:cs typeface="Arial Cyr"/>
                    </a:defRPr>
                  </a:pPr>
                  <a:endParaRPr lang="ru-RU"/>
                </a:p>
              </c:txPr>
              <c:dLblPos val="r"/>
              <c:showLegendKey val="0"/>
              <c:showVal val="1"/>
              <c:showCatName val="0"/>
              <c:showSerName val="0"/>
              <c:showPercent val="0"/>
              <c:showBubbleSize val="0"/>
            </c:dLbl>
            <c:dLbl>
              <c:idx val="5"/>
              <c:layout>
                <c:manualLayout>
                  <c:x val="-6.7327539655998941E-2"/>
                  <c:y val="-3.0499703432026404E-2"/>
                </c:manualLayout>
              </c:layout>
              <c:numFmt formatCode="0.00" sourceLinked="0"/>
              <c:spPr>
                <a:noFill/>
                <a:ln w="25400">
                  <a:noFill/>
                </a:ln>
              </c:spPr>
              <c:txPr>
                <a:bodyPr/>
                <a:lstStyle/>
                <a:p>
                  <a:pPr algn="ctr" rtl="0">
                    <a:defRPr lang="en-US" sz="800" b="1" i="0" u="none" strike="noStrike" kern="1200" baseline="0">
                      <a:solidFill>
                        <a:srgbClr val="000000"/>
                      </a:solidFill>
                      <a:latin typeface="Arial Cyr"/>
                      <a:ea typeface="Arial Cyr"/>
                      <a:cs typeface="Arial Cyr"/>
                    </a:defRPr>
                  </a:pPr>
                  <a:endParaRPr lang="ru-RU"/>
                </a:p>
              </c:txPr>
              <c:dLblPos val="r"/>
              <c:showLegendKey val="0"/>
              <c:showVal val="1"/>
              <c:showCatName val="0"/>
              <c:showSerName val="0"/>
              <c:showPercent val="0"/>
              <c:showBubbleSize val="0"/>
            </c:dLbl>
            <c:dLbl>
              <c:idx val="6"/>
              <c:layout>
                <c:manualLayout>
                  <c:x val="-6.6235398181404795E-2"/>
                  <c:y val="-2.6057350985930147E-2"/>
                </c:manualLayout>
              </c:layout>
              <c:numFmt formatCode="0.00" sourceLinked="0"/>
              <c:spPr>
                <a:noFill/>
                <a:ln w="25400">
                  <a:noFill/>
                </a:ln>
              </c:spPr>
              <c:txPr>
                <a:bodyPr/>
                <a:lstStyle/>
                <a:p>
                  <a:pPr algn="ctr" rtl="0">
                    <a:defRPr lang="en-US" sz="800" b="1" i="0" u="none" strike="noStrike" kern="1200" baseline="0">
                      <a:solidFill>
                        <a:srgbClr val="000000"/>
                      </a:solidFill>
                      <a:latin typeface="Arial Cyr"/>
                      <a:ea typeface="Arial Cyr"/>
                      <a:cs typeface="Arial Cyr"/>
                    </a:defRPr>
                  </a:pPr>
                  <a:endParaRPr lang="ru-RU"/>
                </a:p>
              </c:txPr>
              <c:dLblPos val="r"/>
              <c:showLegendKey val="0"/>
              <c:showVal val="1"/>
              <c:showCatName val="0"/>
              <c:showSerName val="0"/>
              <c:showPercent val="0"/>
              <c:showBubbleSize val="0"/>
            </c:dLbl>
            <c:dLbl>
              <c:idx val="7"/>
              <c:layout>
                <c:manualLayout>
                  <c:x val="-6.5769819313126698E-2"/>
                  <c:y val="-2.8248326250165552E-2"/>
                </c:manualLayout>
              </c:layout>
              <c:numFmt formatCode="0.00" sourceLinked="0"/>
              <c:spPr>
                <a:noFill/>
                <a:ln w="25400">
                  <a:noFill/>
                </a:ln>
              </c:spPr>
              <c:txPr>
                <a:bodyPr/>
                <a:lstStyle/>
                <a:p>
                  <a:pPr>
                    <a:defRPr lang="en-US" sz="800" b="1" i="0" u="none" strike="noStrike" kern="1200" baseline="0">
                      <a:solidFill>
                        <a:srgbClr val="000000"/>
                      </a:solidFill>
                      <a:latin typeface="Arial Cyr"/>
                      <a:ea typeface="Arial Cyr"/>
                      <a:cs typeface="Arial Cyr"/>
                    </a:defRPr>
                  </a:pPr>
                  <a:endParaRPr lang="ru-RU"/>
                </a:p>
              </c:txPr>
              <c:dLblPos val="r"/>
              <c:showLegendKey val="0"/>
              <c:showVal val="1"/>
              <c:showCatName val="0"/>
              <c:showSerName val="0"/>
              <c:showPercent val="0"/>
              <c:showBubbleSize val="0"/>
            </c:dLbl>
            <c:dLbl>
              <c:idx val="8"/>
              <c:layout>
                <c:manualLayout>
                  <c:x val="-7.1521223939671918E-2"/>
                  <c:y val="-2.6015631943726442E-2"/>
                </c:manualLayout>
              </c:layout>
              <c:numFmt formatCode="0.00" sourceLinked="0"/>
              <c:spPr>
                <a:noFill/>
                <a:ln w="25400">
                  <a:noFill/>
                </a:ln>
              </c:spPr>
              <c:txPr>
                <a:bodyPr/>
                <a:lstStyle/>
                <a:p>
                  <a:pPr>
                    <a:defRPr sz="800" b="1" i="0" u="none" strike="noStrike" baseline="0">
                      <a:solidFill>
                        <a:srgbClr val="000000"/>
                      </a:solidFill>
                      <a:latin typeface="Arial Cyr"/>
                      <a:ea typeface="Arial Cyr"/>
                      <a:cs typeface="Arial Cyr"/>
                    </a:defRPr>
                  </a:pPr>
                  <a:endParaRPr lang="ru-RU"/>
                </a:p>
              </c:txPr>
              <c:dLblPos val="r"/>
              <c:showLegendKey val="0"/>
              <c:showVal val="1"/>
              <c:showCatName val="0"/>
              <c:showSerName val="0"/>
              <c:showPercent val="0"/>
              <c:showBubbleSize val="0"/>
            </c:dLbl>
            <c:dLbl>
              <c:idx val="9"/>
              <c:layout>
                <c:manualLayout>
                  <c:x val="-6.2076313819846927E-2"/>
                  <c:y val="-2.5839505030772484E-2"/>
                </c:manualLayout>
              </c:layout>
              <c:numFmt formatCode="0.00" sourceLinked="0"/>
              <c:spPr>
                <a:noFill/>
                <a:ln w="25400">
                  <a:noFill/>
                </a:ln>
              </c:spPr>
              <c:txPr>
                <a:bodyPr/>
                <a:lstStyle/>
                <a:p>
                  <a:pPr>
                    <a:defRPr sz="800" b="1" i="0" u="none" strike="noStrike" baseline="0">
                      <a:solidFill>
                        <a:srgbClr val="000000"/>
                      </a:solidFill>
                      <a:latin typeface="Arial Cyr"/>
                      <a:ea typeface="Arial Cyr"/>
                      <a:cs typeface="Arial Cyr"/>
                    </a:defRPr>
                  </a:pPr>
                  <a:endParaRPr lang="ru-RU"/>
                </a:p>
              </c:txPr>
              <c:dLblPos val="r"/>
              <c:showLegendKey val="0"/>
              <c:showVal val="1"/>
              <c:showCatName val="0"/>
              <c:showSerName val="0"/>
              <c:showPercent val="0"/>
              <c:showBubbleSize val="0"/>
            </c:dLbl>
            <c:dLbl>
              <c:idx val="10"/>
              <c:layout>
                <c:manualLayout>
                  <c:x val="-4.9641478212906813E-2"/>
                  <c:y val="-2.533978346003225E-2"/>
                </c:manualLayout>
              </c:layout>
              <c:numFmt formatCode="0.00" sourceLinked="0"/>
              <c:spPr>
                <a:noFill/>
                <a:ln w="25400">
                  <a:noFill/>
                </a:ln>
              </c:spPr>
              <c:txPr>
                <a:bodyPr/>
                <a:lstStyle/>
                <a:p>
                  <a:pPr>
                    <a:defRPr sz="800" b="1" i="0" u="none" strike="noStrike" baseline="0">
                      <a:solidFill>
                        <a:srgbClr val="000000"/>
                      </a:solidFill>
                      <a:latin typeface="Arial Cyr"/>
                      <a:ea typeface="Arial Cyr"/>
                      <a:cs typeface="Arial Cyr"/>
                    </a:defRPr>
                  </a:pPr>
                  <a:endParaRPr lang="ru-RU"/>
                </a:p>
              </c:txPr>
              <c:dLblPos val="r"/>
              <c:showLegendKey val="0"/>
              <c:showVal val="1"/>
              <c:showCatName val="0"/>
              <c:showSerName val="0"/>
              <c:showPercent val="0"/>
              <c:showBubbleSize val="0"/>
            </c:dLbl>
            <c:numFmt formatCode="0.00" sourceLinked="0"/>
            <c:spPr>
              <a:noFill/>
              <a:ln w="25400">
                <a:noFill/>
              </a:ln>
            </c:spPr>
            <c:txPr>
              <a:bodyPr/>
              <a:lstStyle/>
              <a:p>
                <a:pPr>
                  <a:defRPr sz="1100" b="1" i="0" u="none" strike="noStrike" baseline="0">
                    <a:solidFill>
                      <a:srgbClr val="000000"/>
                    </a:solidFill>
                    <a:latin typeface="Arial Cyr"/>
                    <a:ea typeface="Arial Cyr"/>
                    <a:cs typeface="Arial Cyr"/>
                  </a:defRPr>
                </a:pPr>
                <a:endParaRPr lang="ru-RU"/>
              </a:p>
            </c:txPr>
            <c:showLegendKey val="0"/>
            <c:showVal val="1"/>
            <c:showCatName val="0"/>
            <c:showSerName val="0"/>
            <c:showPercent val="0"/>
            <c:showBubbleSize val="0"/>
            <c:showLeaderLines val="0"/>
          </c:dLbls>
          <c:cat>
            <c:multiLvlStrRef>
              <c:f>'График 1'!$J$1:$T$3</c:f>
              <c:multiLvlStrCache>
                <c:ptCount val="11"/>
                <c:lvl>
                  <c:pt idx="0">
                    <c:v>125,2</c:v>
                  </c:pt>
                  <c:pt idx="1">
                    <c:v>106,9</c:v>
                  </c:pt>
                  <c:pt idx="2">
                    <c:v>102,3</c:v>
                  </c:pt>
                  <c:pt idx="3">
                    <c:v>107,9</c:v>
                  </c:pt>
                  <c:pt idx="4">
                    <c:v>106,5</c:v>
                  </c:pt>
                  <c:pt idx="5">
                    <c:v>104,5</c:v>
                  </c:pt>
                  <c:pt idx="6">
                    <c:v>106,1</c:v>
                  </c:pt>
                  <c:pt idx="7">
                    <c:v>103,7</c:v>
                  </c:pt>
                  <c:pt idx="8">
                    <c:v>103,6</c:v>
                  </c:pt>
                  <c:pt idx="9">
                    <c:v>104,6</c:v>
                  </c:pt>
                  <c:pt idx="10">
                    <c:v>106,7</c:v>
                  </c:pt>
                </c:lvl>
                <c:lvl>
                  <c:pt idx="0">
                    <c:v>2010</c:v>
                  </c:pt>
                  <c:pt idx="1">
                    <c:v>2011</c:v>
                  </c:pt>
                  <c:pt idx="2">
                    <c:v>2012</c:v>
                  </c:pt>
                  <c:pt idx="3">
                    <c:v>2013</c:v>
                  </c:pt>
                  <c:pt idx="4">
                    <c:v>2014</c:v>
                  </c:pt>
                  <c:pt idx="5">
                    <c:v>2015</c:v>
                  </c:pt>
                  <c:pt idx="6">
                    <c:v>2016</c:v>
                  </c:pt>
                  <c:pt idx="7">
                    <c:v>2017</c:v>
                  </c:pt>
                  <c:pt idx="8">
                    <c:v>2018</c:v>
                  </c:pt>
                  <c:pt idx="9">
                    <c:v>2019</c:v>
                  </c:pt>
                  <c:pt idx="10">
                    <c:v>2020</c:v>
                  </c:pt>
                </c:lvl>
              </c:multiLvlStrCache>
            </c:multiLvlStrRef>
          </c:cat>
          <c:val>
            <c:numRef>
              <c:f>'График 1'!$J$4:$T$4</c:f>
              <c:numCache>
                <c:formatCode>0.00</c:formatCode>
                <c:ptCount val="11"/>
                <c:pt idx="0" formatCode="General">
                  <c:v>696.54</c:v>
                </c:pt>
                <c:pt idx="1">
                  <c:v>744.56</c:v>
                </c:pt>
                <c:pt idx="2" formatCode="General">
                  <c:v>762.05694892283532</c:v>
                </c:pt>
                <c:pt idx="3" formatCode="General">
                  <c:v>822.54205089858397</c:v>
                </c:pt>
                <c:pt idx="4" formatCode="General">
                  <c:v>876.35598089869666</c:v>
                </c:pt>
                <c:pt idx="5">
                  <c:v>915.61300918152847</c:v>
                </c:pt>
                <c:pt idx="6" formatCode="General">
                  <c:v>971.1</c:v>
                </c:pt>
                <c:pt idx="7">
                  <c:v>1006.64</c:v>
                </c:pt>
                <c:pt idx="8">
                  <c:v>1043.26</c:v>
                </c:pt>
                <c:pt idx="9">
                  <c:v>1091.6799999999998</c:v>
                </c:pt>
                <c:pt idx="10">
                  <c:v>1164.98</c:v>
                </c:pt>
              </c:numCache>
            </c:numRef>
          </c:val>
          <c:smooth val="0"/>
        </c:ser>
        <c:ser>
          <c:idx val="1"/>
          <c:order val="1"/>
          <c:tx>
            <c:strRef>
              <c:f>'График 1'!$A$5</c:f>
              <c:strCache>
                <c:ptCount val="1"/>
                <c:pt idx="0">
                  <c:v>Среднегодовой, средневзвешенный тариф на тепловую энергию, производимую АО "СИБЭКО"</c:v>
                </c:pt>
              </c:strCache>
            </c:strRef>
          </c:tx>
          <c:spPr>
            <a:ln w="25400">
              <a:solidFill>
                <a:srgbClr val="FF00FF"/>
              </a:solidFill>
              <a:prstDash val="solid"/>
            </a:ln>
          </c:spPr>
          <c:marker>
            <c:symbol val="square"/>
            <c:size val="7"/>
            <c:spPr>
              <a:solidFill>
                <a:srgbClr val="FF00FF"/>
              </a:solidFill>
              <a:ln>
                <a:solidFill>
                  <a:srgbClr val="FF00FF"/>
                </a:solidFill>
                <a:prstDash val="solid"/>
              </a:ln>
            </c:spPr>
          </c:marker>
          <c:dLbls>
            <c:dLbl>
              <c:idx val="0"/>
              <c:layout>
                <c:manualLayout>
                  <c:x val="-3.4319648267904845E-2"/>
                  <c:y val="-3.1711913688743917E-2"/>
                </c:manualLayout>
              </c:layout>
              <c:numFmt formatCode="0.00" sourceLinked="0"/>
              <c:spPr>
                <a:noFill/>
                <a:ln w="25400">
                  <a:noFill/>
                </a:ln>
              </c:spPr>
              <c:txPr>
                <a:bodyPr/>
                <a:lstStyle/>
                <a:p>
                  <a:pPr algn="ctr" rtl="0">
                    <a:defRPr lang="en-US" sz="800" b="1" i="0" u="none" strike="noStrike" kern="1200" baseline="0">
                      <a:solidFill>
                        <a:srgbClr val="000000"/>
                      </a:solidFill>
                      <a:latin typeface="Arial Cyr"/>
                      <a:ea typeface="Arial Cyr"/>
                      <a:cs typeface="Arial Cyr"/>
                    </a:defRPr>
                  </a:pPr>
                  <a:endParaRPr lang="ru-RU"/>
                </a:p>
              </c:txPr>
              <c:dLblPos val="r"/>
              <c:showLegendKey val="0"/>
              <c:showVal val="1"/>
              <c:showCatName val="0"/>
              <c:showSerName val="0"/>
              <c:showPercent val="0"/>
              <c:showBubbleSize val="0"/>
            </c:dLbl>
            <c:dLbl>
              <c:idx val="1"/>
              <c:layout>
                <c:manualLayout>
                  <c:x val="-4.4673711152902029E-2"/>
                  <c:y val="-3.1508578704786995E-2"/>
                </c:manualLayout>
              </c:layout>
              <c:numFmt formatCode="0.00" sourceLinked="0"/>
              <c:spPr>
                <a:noFill/>
                <a:ln w="25400">
                  <a:noFill/>
                </a:ln>
              </c:spPr>
              <c:txPr>
                <a:bodyPr/>
                <a:lstStyle/>
                <a:p>
                  <a:pPr algn="ctr" rtl="0">
                    <a:defRPr lang="en-US" sz="800" b="1" i="0" u="none" strike="noStrike" kern="1200" baseline="0">
                      <a:solidFill>
                        <a:srgbClr val="000000"/>
                      </a:solidFill>
                      <a:latin typeface="Arial Cyr"/>
                      <a:ea typeface="Arial Cyr"/>
                      <a:cs typeface="Arial Cyr"/>
                    </a:defRPr>
                  </a:pPr>
                  <a:endParaRPr lang="ru-RU"/>
                </a:p>
              </c:txPr>
              <c:dLblPos val="r"/>
              <c:showLegendKey val="0"/>
              <c:showVal val="1"/>
              <c:showCatName val="0"/>
              <c:showSerName val="0"/>
              <c:showPercent val="0"/>
              <c:showBubbleSize val="0"/>
            </c:dLbl>
            <c:dLbl>
              <c:idx val="2"/>
              <c:layout>
                <c:manualLayout>
                  <c:x val="-5.0717405498057894E-2"/>
                  <c:y val="-2.7890268035776988E-2"/>
                </c:manualLayout>
              </c:layout>
              <c:numFmt formatCode="0.00" sourceLinked="0"/>
              <c:spPr>
                <a:noFill/>
                <a:ln w="25400">
                  <a:noFill/>
                </a:ln>
              </c:spPr>
              <c:txPr>
                <a:bodyPr/>
                <a:lstStyle/>
                <a:p>
                  <a:pPr algn="ctr" rtl="0">
                    <a:defRPr lang="en-US" sz="800" b="1" i="0" u="none" strike="noStrike" kern="1200" baseline="0">
                      <a:solidFill>
                        <a:srgbClr val="000000"/>
                      </a:solidFill>
                      <a:latin typeface="Arial Cyr"/>
                      <a:ea typeface="Arial Cyr"/>
                      <a:cs typeface="Arial Cyr"/>
                    </a:defRPr>
                  </a:pPr>
                  <a:endParaRPr lang="ru-RU"/>
                </a:p>
              </c:txPr>
              <c:dLblPos val="r"/>
              <c:showLegendKey val="0"/>
              <c:showVal val="1"/>
              <c:showCatName val="0"/>
              <c:showSerName val="0"/>
              <c:showPercent val="0"/>
              <c:showBubbleSize val="0"/>
            </c:dLbl>
            <c:dLbl>
              <c:idx val="3"/>
              <c:layout>
                <c:manualLayout>
                  <c:x val="-5.8218784428008735E-2"/>
                  <c:y val="-2.7242897333065185E-2"/>
                </c:manualLayout>
              </c:layout>
              <c:numFmt formatCode="0.00" sourceLinked="0"/>
              <c:spPr>
                <a:noFill/>
                <a:ln w="25400">
                  <a:noFill/>
                </a:ln>
              </c:spPr>
              <c:txPr>
                <a:bodyPr/>
                <a:lstStyle/>
                <a:p>
                  <a:pPr algn="ctr" rtl="0">
                    <a:defRPr lang="en-US" sz="800" b="1" i="0" u="none" strike="noStrike" kern="1200" baseline="0">
                      <a:solidFill>
                        <a:srgbClr val="000000"/>
                      </a:solidFill>
                      <a:latin typeface="Arial Cyr"/>
                      <a:ea typeface="Arial Cyr"/>
                      <a:cs typeface="Arial Cyr"/>
                    </a:defRPr>
                  </a:pPr>
                  <a:endParaRPr lang="ru-RU"/>
                </a:p>
              </c:txPr>
              <c:dLblPos val="r"/>
              <c:showLegendKey val="0"/>
              <c:showVal val="1"/>
              <c:showCatName val="0"/>
              <c:showSerName val="0"/>
              <c:showPercent val="0"/>
              <c:showBubbleSize val="0"/>
            </c:dLbl>
            <c:dLbl>
              <c:idx val="4"/>
              <c:layout>
                <c:manualLayout>
                  <c:x val="-5.8875314330882382E-2"/>
                  <c:y val="-3.3179879812881036E-2"/>
                </c:manualLayout>
              </c:layout>
              <c:numFmt formatCode="0.00" sourceLinked="0"/>
              <c:spPr>
                <a:noFill/>
                <a:ln w="25400">
                  <a:noFill/>
                </a:ln>
              </c:spPr>
              <c:txPr>
                <a:bodyPr/>
                <a:lstStyle/>
                <a:p>
                  <a:pPr algn="ctr" rtl="0">
                    <a:defRPr lang="en-US" sz="800" b="1" i="0" u="none" strike="noStrike" kern="1200" baseline="0">
                      <a:solidFill>
                        <a:srgbClr val="000000"/>
                      </a:solidFill>
                      <a:latin typeface="Arial Cyr"/>
                      <a:ea typeface="Arial Cyr"/>
                      <a:cs typeface="Arial Cyr"/>
                    </a:defRPr>
                  </a:pPr>
                  <a:endParaRPr lang="ru-RU"/>
                </a:p>
              </c:txPr>
              <c:dLblPos val="r"/>
              <c:showLegendKey val="0"/>
              <c:showVal val="1"/>
              <c:showCatName val="0"/>
              <c:showSerName val="0"/>
              <c:showPercent val="0"/>
              <c:showBubbleSize val="0"/>
            </c:dLbl>
            <c:dLbl>
              <c:idx val="5"/>
              <c:layout>
                <c:manualLayout>
                  <c:x val="-6.1685725577739055E-2"/>
                  <c:y val="-3.7961244823664982E-2"/>
                </c:manualLayout>
              </c:layout>
              <c:numFmt formatCode="0.00" sourceLinked="0"/>
              <c:spPr>
                <a:noFill/>
                <a:ln w="25400">
                  <a:noFill/>
                </a:ln>
              </c:spPr>
              <c:txPr>
                <a:bodyPr/>
                <a:lstStyle/>
                <a:p>
                  <a:pPr algn="ctr" rtl="0">
                    <a:defRPr lang="en-US" sz="800" b="1" i="0" u="none" strike="noStrike" kern="1200" baseline="0">
                      <a:solidFill>
                        <a:srgbClr val="000000"/>
                      </a:solidFill>
                      <a:latin typeface="Arial Cyr"/>
                      <a:ea typeface="Arial Cyr"/>
                      <a:cs typeface="Arial Cyr"/>
                    </a:defRPr>
                  </a:pPr>
                  <a:endParaRPr lang="ru-RU"/>
                </a:p>
              </c:txPr>
              <c:dLblPos val="r"/>
              <c:showLegendKey val="0"/>
              <c:showVal val="1"/>
              <c:showCatName val="0"/>
              <c:showSerName val="0"/>
              <c:showPercent val="0"/>
              <c:showBubbleSize val="0"/>
            </c:dLbl>
            <c:dLbl>
              <c:idx val="6"/>
              <c:layout>
                <c:manualLayout>
                  <c:x val="-6.2516268478023523E-2"/>
                  <c:y val="-4.9401694518662338E-2"/>
                </c:manualLayout>
              </c:layout>
              <c:numFmt formatCode="0.00" sourceLinked="0"/>
              <c:spPr>
                <a:noFill/>
                <a:ln w="25400">
                  <a:noFill/>
                </a:ln>
              </c:spPr>
              <c:txPr>
                <a:bodyPr/>
                <a:lstStyle/>
                <a:p>
                  <a:pPr algn="ctr" rtl="0">
                    <a:defRPr lang="en-US" sz="800" b="1" i="0" u="none" strike="noStrike" kern="1200" baseline="0">
                      <a:solidFill>
                        <a:srgbClr val="000000"/>
                      </a:solidFill>
                      <a:latin typeface="Arial Cyr"/>
                      <a:ea typeface="Arial Cyr"/>
                      <a:cs typeface="Arial Cyr"/>
                    </a:defRPr>
                  </a:pPr>
                  <a:endParaRPr lang="ru-RU"/>
                </a:p>
              </c:txPr>
              <c:dLblPos val="r"/>
              <c:showLegendKey val="0"/>
              <c:showVal val="1"/>
              <c:showCatName val="0"/>
              <c:showSerName val="0"/>
              <c:showPercent val="0"/>
              <c:showBubbleSize val="0"/>
            </c:dLbl>
            <c:dLbl>
              <c:idx val="7"/>
              <c:layout>
                <c:manualLayout>
                  <c:x val="-4.7447206164866473E-2"/>
                  <c:y val="-4.8983597160928524E-2"/>
                </c:manualLayout>
              </c:layout>
              <c:numFmt formatCode="0.00" sourceLinked="0"/>
              <c:spPr>
                <a:noFill/>
                <a:ln w="25400">
                  <a:noFill/>
                </a:ln>
              </c:spPr>
              <c:txPr>
                <a:bodyPr/>
                <a:lstStyle/>
                <a:p>
                  <a:pPr>
                    <a:defRPr lang="en-US" sz="800" b="1" i="0" u="none" strike="noStrike" kern="1200" baseline="0">
                      <a:solidFill>
                        <a:srgbClr val="000000"/>
                      </a:solidFill>
                      <a:latin typeface="Arial Cyr"/>
                      <a:ea typeface="Arial Cyr"/>
                      <a:cs typeface="Arial Cyr"/>
                    </a:defRPr>
                  </a:pPr>
                  <a:endParaRPr lang="ru-RU"/>
                </a:p>
              </c:txPr>
              <c:dLblPos val="r"/>
              <c:showLegendKey val="0"/>
              <c:showVal val="1"/>
              <c:showCatName val="0"/>
              <c:showSerName val="0"/>
              <c:showPercent val="0"/>
              <c:showBubbleSize val="0"/>
            </c:dLbl>
            <c:dLbl>
              <c:idx val="8"/>
              <c:layout>
                <c:manualLayout>
                  <c:x val="-4.3561881019698913E-2"/>
                  <c:y val="-3.5886357329038096E-2"/>
                </c:manualLayout>
              </c:layout>
              <c:numFmt formatCode="0.00" sourceLinked="0"/>
              <c:spPr>
                <a:noFill/>
                <a:ln w="25400">
                  <a:noFill/>
                </a:ln>
              </c:spPr>
              <c:txPr>
                <a:bodyPr/>
                <a:lstStyle/>
                <a:p>
                  <a:pPr>
                    <a:defRPr sz="800" b="1" i="0" u="none" strike="noStrike" baseline="0">
                      <a:solidFill>
                        <a:srgbClr val="000000"/>
                      </a:solidFill>
                      <a:latin typeface="Arial Cyr"/>
                      <a:ea typeface="Arial Cyr"/>
                      <a:cs typeface="Arial Cyr"/>
                    </a:defRPr>
                  </a:pPr>
                  <a:endParaRPr lang="ru-RU"/>
                </a:p>
              </c:txPr>
              <c:dLblPos val="r"/>
              <c:showLegendKey val="0"/>
              <c:showVal val="1"/>
              <c:showCatName val="0"/>
              <c:showSerName val="0"/>
              <c:showPercent val="0"/>
              <c:showBubbleSize val="0"/>
            </c:dLbl>
            <c:dLbl>
              <c:idx val="9"/>
              <c:layout>
                <c:manualLayout>
                  <c:x val="-4.780290494576301E-2"/>
                  <c:y val="-3.3925380958340814E-2"/>
                </c:manualLayout>
              </c:layout>
              <c:numFmt formatCode="0.00" sourceLinked="0"/>
              <c:spPr>
                <a:noFill/>
                <a:ln w="25400">
                  <a:noFill/>
                </a:ln>
              </c:spPr>
              <c:txPr>
                <a:bodyPr/>
                <a:lstStyle/>
                <a:p>
                  <a:pPr>
                    <a:defRPr sz="800" b="1" i="0" u="none" strike="noStrike" baseline="0">
                      <a:solidFill>
                        <a:srgbClr val="000000"/>
                      </a:solidFill>
                      <a:latin typeface="Arial Cyr"/>
                      <a:ea typeface="Arial Cyr"/>
                      <a:cs typeface="Arial Cyr"/>
                    </a:defRPr>
                  </a:pPr>
                  <a:endParaRPr lang="ru-RU"/>
                </a:p>
              </c:txPr>
              <c:dLblPos val="r"/>
              <c:showLegendKey val="0"/>
              <c:showVal val="1"/>
              <c:showCatName val="0"/>
              <c:showSerName val="0"/>
              <c:showPercent val="0"/>
              <c:showBubbleSize val="0"/>
            </c:dLbl>
            <c:dLbl>
              <c:idx val="10"/>
              <c:layout>
                <c:manualLayout>
                  <c:x val="-3.4932892075749546E-2"/>
                  <c:y val="-2.7643400138217089E-2"/>
                </c:manualLayout>
              </c:layout>
              <c:numFmt formatCode="0.00" sourceLinked="0"/>
              <c:spPr>
                <a:noFill/>
                <a:ln w="25400">
                  <a:noFill/>
                </a:ln>
              </c:spPr>
              <c:txPr>
                <a:bodyPr/>
                <a:lstStyle/>
                <a:p>
                  <a:pPr>
                    <a:defRPr sz="800" b="1" i="0" u="none" strike="noStrike" baseline="0">
                      <a:solidFill>
                        <a:srgbClr val="000000"/>
                      </a:solidFill>
                      <a:latin typeface="Arial Cyr"/>
                      <a:ea typeface="Arial Cyr"/>
                      <a:cs typeface="Arial Cyr"/>
                    </a:defRPr>
                  </a:pPr>
                  <a:endParaRPr lang="ru-RU"/>
                </a:p>
              </c:txPr>
              <c:dLblPos val="r"/>
              <c:showLegendKey val="0"/>
              <c:showVal val="1"/>
              <c:showCatName val="0"/>
              <c:showSerName val="0"/>
              <c:showPercent val="0"/>
              <c:showBubbleSize val="0"/>
            </c:dLbl>
            <c:numFmt formatCode="0.00" sourceLinked="0"/>
            <c:spPr>
              <a:noFill/>
              <a:ln w="25400">
                <a:noFill/>
              </a:ln>
            </c:spPr>
            <c:txPr>
              <a:bodyPr/>
              <a:lstStyle/>
              <a:p>
                <a:pPr>
                  <a:defRPr sz="1100" b="1" i="0" u="none" strike="noStrike" baseline="0">
                    <a:solidFill>
                      <a:srgbClr val="000000"/>
                    </a:solidFill>
                    <a:latin typeface="Arial Cyr"/>
                    <a:ea typeface="Arial Cyr"/>
                    <a:cs typeface="Arial Cyr"/>
                  </a:defRPr>
                </a:pPr>
                <a:endParaRPr lang="ru-RU"/>
              </a:p>
            </c:txPr>
            <c:showLegendKey val="0"/>
            <c:showVal val="1"/>
            <c:showCatName val="0"/>
            <c:showSerName val="0"/>
            <c:showPercent val="0"/>
            <c:showBubbleSize val="0"/>
            <c:showLeaderLines val="0"/>
          </c:dLbls>
          <c:cat>
            <c:multiLvlStrRef>
              <c:f>'График 1'!$J$1:$T$3</c:f>
              <c:multiLvlStrCache>
                <c:ptCount val="11"/>
                <c:lvl>
                  <c:pt idx="0">
                    <c:v>125,2</c:v>
                  </c:pt>
                  <c:pt idx="1">
                    <c:v>106,9</c:v>
                  </c:pt>
                  <c:pt idx="2">
                    <c:v>102,3</c:v>
                  </c:pt>
                  <c:pt idx="3">
                    <c:v>107,9</c:v>
                  </c:pt>
                  <c:pt idx="4">
                    <c:v>106,5</c:v>
                  </c:pt>
                  <c:pt idx="5">
                    <c:v>104,5</c:v>
                  </c:pt>
                  <c:pt idx="6">
                    <c:v>106,1</c:v>
                  </c:pt>
                  <c:pt idx="7">
                    <c:v>103,7</c:v>
                  </c:pt>
                  <c:pt idx="8">
                    <c:v>103,6</c:v>
                  </c:pt>
                  <c:pt idx="9">
                    <c:v>104,6</c:v>
                  </c:pt>
                  <c:pt idx="10">
                    <c:v>106,7</c:v>
                  </c:pt>
                </c:lvl>
                <c:lvl>
                  <c:pt idx="0">
                    <c:v>2010</c:v>
                  </c:pt>
                  <c:pt idx="1">
                    <c:v>2011</c:v>
                  </c:pt>
                  <c:pt idx="2">
                    <c:v>2012</c:v>
                  </c:pt>
                  <c:pt idx="3">
                    <c:v>2013</c:v>
                  </c:pt>
                  <c:pt idx="4">
                    <c:v>2014</c:v>
                  </c:pt>
                  <c:pt idx="5">
                    <c:v>2015</c:v>
                  </c:pt>
                  <c:pt idx="6">
                    <c:v>2016</c:v>
                  </c:pt>
                  <c:pt idx="7">
                    <c:v>2017</c:v>
                  </c:pt>
                  <c:pt idx="8">
                    <c:v>2018</c:v>
                  </c:pt>
                  <c:pt idx="9">
                    <c:v>2019</c:v>
                  </c:pt>
                  <c:pt idx="10">
                    <c:v>2020</c:v>
                  </c:pt>
                </c:lvl>
              </c:multiLvlStrCache>
            </c:multiLvlStrRef>
          </c:cat>
          <c:val>
            <c:numRef>
              <c:f>'График 1'!$J$5:$T$5</c:f>
              <c:numCache>
                <c:formatCode>0.00</c:formatCode>
                <c:ptCount val="11"/>
                <c:pt idx="0" formatCode="General">
                  <c:v>403.87</c:v>
                </c:pt>
                <c:pt idx="1">
                  <c:v>430.3178131506013</c:v>
                </c:pt>
                <c:pt idx="2" formatCode="General">
                  <c:v>432.86040384952202</c:v>
                </c:pt>
                <c:pt idx="3" formatCode="General">
                  <c:v>454.47604609941766</c:v>
                </c:pt>
                <c:pt idx="4">
                  <c:v>499.7940836130345</c:v>
                </c:pt>
                <c:pt idx="5">
                  <c:v>517.41888599256652</c:v>
                </c:pt>
                <c:pt idx="6">
                  <c:v>542.51</c:v>
                </c:pt>
                <c:pt idx="7">
                  <c:v>559.72</c:v>
                </c:pt>
                <c:pt idx="8">
                  <c:v>570.26</c:v>
                </c:pt>
                <c:pt idx="9">
                  <c:v>538.99</c:v>
                </c:pt>
                <c:pt idx="10">
                  <c:v>588.79999999999995</c:v>
                </c:pt>
              </c:numCache>
            </c:numRef>
          </c:val>
          <c:smooth val="0"/>
        </c:ser>
        <c:ser>
          <c:idx val="2"/>
          <c:order val="2"/>
          <c:tx>
            <c:strRef>
              <c:f>'График 1'!$A$6</c:f>
              <c:strCache>
                <c:ptCount val="1"/>
                <c:pt idx="0">
                  <c:v>Среднегодовой, средневзвешенный тариф на тепловую энергию, производимую АО "СИБЭКО" в режиме комбинированной выработки</c:v>
                </c:pt>
              </c:strCache>
            </c:strRef>
          </c:tx>
          <c:spPr>
            <a:ln w="25400">
              <a:solidFill>
                <a:srgbClr val="339966"/>
              </a:solidFill>
              <a:prstDash val="solid"/>
            </a:ln>
          </c:spPr>
          <c:marker>
            <c:symbol val="triangle"/>
            <c:size val="5"/>
            <c:spPr>
              <a:solidFill>
                <a:srgbClr val="339966"/>
              </a:solidFill>
              <a:ln>
                <a:solidFill>
                  <a:srgbClr val="339966"/>
                </a:solidFill>
                <a:prstDash val="solid"/>
              </a:ln>
            </c:spPr>
          </c:marker>
          <c:dLbls>
            <c:dLbl>
              <c:idx val="0"/>
              <c:layout>
                <c:manualLayout>
                  <c:x val="-4.1587513915972874E-2"/>
                  <c:y val="3.5267101633028451E-2"/>
                </c:manualLayout>
              </c:layout>
              <c:numFmt formatCode="0.00" sourceLinked="0"/>
              <c:spPr>
                <a:noFill/>
                <a:ln w="25400">
                  <a:noFill/>
                </a:ln>
              </c:spPr>
              <c:txPr>
                <a:bodyPr/>
                <a:lstStyle/>
                <a:p>
                  <a:pPr algn="ctr" rtl="0">
                    <a:defRPr lang="en-US" sz="800" b="1" i="0" u="none" strike="noStrike" kern="1200" baseline="0">
                      <a:solidFill>
                        <a:srgbClr val="000000"/>
                      </a:solidFill>
                      <a:latin typeface="Arial Cyr"/>
                      <a:ea typeface="Arial Cyr"/>
                      <a:cs typeface="Arial Cyr"/>
                    </a:defRPr>
                  </a:pPr>
                  <a:endParaRPr lang="ru-RU"/>
                </a:p>
              </c:txPr>
              <c:dLblPos val="r"/>
              <c:showLegendKey val="0"/>
              <c:showVal val="1"/>
              <c:showCatName val="0"/>
              <c:showSerName val="0"/>
              <c:showPercent val="0"/>
              <c:showBubbleSize val="0"/>
            </c:dLbl>
            <c:dLbl>
              <c:idx val="1"/>
              <c:layout>
                <c:manualLayout>
                  <c:x val="-4.3384104014025524E-2"/>
                  <c:y val="3.4470086539804615E-2"/>
                </c:manualLayout>
              </c:layout>
              <c:numFmt formatCode="0.00" sourceLinked="0"/>
              <c:spPr>
                <a:noFill/>
                <a:ln w="25400">
                  <a:noFill/>
                </a:ln>
              </c:spPr>
              <c:txPr>
                <a:bodyPr/>
                <a:lstStyle/>
                <a:p>
                  <a:pPr algn="ctr" rtl="0">
                    <a:defRPr lang="en-US" sz="800" b="1" i="0" u="none" strike="noStrike" kern="1200" baseline="0">
                      <a:solidFill>
                        <a:srgbClr val="000000"/>
                      </a:solidFill>
                      <a:latin typeface="Arial Cyr"/>
                      <a:ea typeface="Arial Cyr"/>
                      <a:cs typeface="Arial Cyr"/>
                    </a:defRPr>
                  </a:pPr>
                  <a:endParaRPr lang="ru-RU"/>
                </a:p>
              </c:txPr>
              <c:dLblPos val="r"/>
              <c:showLegendKey val="0"/>
              <c:showVal val="1"/>
              <c:showCatName val="0"/>
              <c:showSerName val="0"/>
              <c:showPercent val="0"/>
              <c:showBubbleSize val="0"/>
            </c:dLbl>
            <c:dLbl>
              <c:idx val="2"/>
              <c:layout>
                <c:manualLayout>
                  <c:x val="-3.2691425154867323E-2"/>
                  <c:y val="2.5663015343538181E-2"/>
                </c:manualLayout>
              </c:layout>
              <c:numFmt formatCode="0.00" sourceLinked="0"/>
              <c:spPr>
                <a:noFill/>
                <a:ln w="25400">
                  <a:noFill/>
                </a:ln>
              </c:spPr>
              <c:txPr>
                <a:bodyPr/>
                <a:lstStyle/>
                <a:p>
                  <a:pPr algn="ctr" rtl="0">
                    <a:defRPr lang="en-US" sz="800" b="1" i="0" u="none" strike="noStrike" kern="1200" baseline="0">
                      <a:solidFill>
                        <a:srgbClr val="000000"/>
                      </a:solidFill>
                      <a:latin typeface="Arial Cyr"/>
                      <a:ea typeface="Arial Cyr"/>
                      <a:cs typeface="Arial Cyr"/>
                    </a:defRPr>
                  </a:pPr>
                  <a:endParaRPr lang="ru-RU"/>
                </a:p>
              </c:txPr>
              <c:dLblPos val="r"/>
              <c:showLegendKey val="0"/>
              <c:showVal val="1"/>
              <c:showCatName val="0"/>
              <c:showSerName val="0"/>
              <c:showPercent val="0"/>
              <c:showBubbleSize val="0"/>
            </c:dLbl>
            <c:dLbl>
              <c:idx val="3"/>
              <c:layout>
                <c:manualLayout>
                  <c:x val="-3.4487870483371715E-2"/>
                  <c:y val="2.1966164042901627E-2"/>
                </c:manualLayout>
              </c:layout>
              <c:numFmt formatCode="0.00" sourceLinked="0"/>
              <c:spPr>
                <a:noFill/>
                <a:ln w="25400">
                  <a:noFill/>
                </a:ln>
              </c:spPr>
              <c:txPr>
                <a:bodyPr/>
                <a:lstStyle/>
                <a:p>
                  <a:pPr algn="ctr" rtl="0">
                    <a:defRPr lang="en-US" sz="800" b="1" i="0" u="none" strike="noStrike" kern="1200" baseline="0">
                      <a:solidFill>
                        <a:srgbClr val="000000"/>
                      </a:solidFill>
                      <a:latin typeface="Arial Cyr"/>
                      <a:ea typeface="Arial Cyr"/>
                      <a:cs typeface="Arial Cyr"/>
                    </a:defRPr>
                  </a:pPr>
                  <a:endParaRPr lang="ru-RU"/>
                </a:p>
              </c:txPr>
              <c:dLblPos val="r"/>
              <c:showLegendKey val="0"/>
              <c:showVal val="1"/>
              <c:showCatName val="0"/>
              <c:showSerName val="0"/>
              <c:showPercent val="0"/>
              <c:showBubbleSize val="0"/>
            </c:dLbl>
            <c:dLbl>
              <c:idx val="4"/>
              <c:layout>
                <c:manualLayout>
                  <c:x val="-3.0768740779989402E-2"/>
                  <c:y val="2.79403308864213E-2"/>
                </c:manualLayout>
              </c:layout>
              <c:numFmt formatCode="0.00" sourceLinked="0"/>
              <c:spPr>
                <a:noFill/>
                <a:ln w="25400">
                  <a:noFill/>
                </a:ln>
              </c:spPr>
              <c:txPr>
                <a:bodyPr/>
                <a:lstStyle/>
                <a:p>
                  <a:pPr algn="ctr" rtl="0">
                    <a:defRPr lang="en-US" sz="800" b="1" i="0" u="none" strike="noStrike" kern="1200" baseline="0">
                      <a:solidFill>
                        <a:srgbClr val="000000"/>
                      </a:solidFill>
                      <a:latin typeface="Arial Cyr"/>
                      <a:ea typeface="Arial Cyr"/>
                      <a:cs typeface="Arial Cyr"/>
                    </a:defRPr>
                  </a:pPr>
                  <a:endParaRPr lang="ru-RU"/>
                </a:p>
              </c:txPr>
              <c:dLblPos val="r"/>
              <c:showLegendKey val="0"/>
              <c:showVal val="1"/>
              <c:showCatName val="0"/>
              <c:showSerName val="0"/>
              <c:showPercent val="0"/>
              <c:showBubbleSize val="0"/>
            </c:dLbl>
            <c:dLbl>
              <c:idx val="5"/>
              <c:layout>
                <c:manualLayout>
                  <c:x val="-2.9838885969369986E-2"/>
                  <c:y val="4.0700190637884173E-2"/>
                </c:manualLayout>
              </c:layout>
              <c:numFmt formatCode="0.00" sourceLinked="0"/>
              <c:spPr>
                <a:noFill/>
                <a:ln w="25400">
                  <a:noFill/>
                </a:ln>
              </c:spPr>
              <c:txPr>
                <a:bodyPr/>
                <a:lstStyle/>
                <a:p>
                  <a:pPr algn="ctr" rtl="0">
                    <a:defRPr lang="en-US" sz="800" b="1" i="0" u="none" strike="noStrike" kern="1200" baseline="0">
                      <a:solidFill>
                        <a:srgbClr val="000000"/>
                      </a:solidFill>
                      <a:latin typeface="Arial Cyr"/>
                      <a:ea typeface="Arial Cyr"/>
                      <a:cs typeface="Arial Cyr"/>
                    </a:defRPr>
                  </a:pPr>
                  <a:endParaRPr lang="ru-RU"/>
                </a:p>
              </c:txPr>
              <c:dLblPos val="r"/>
              <c:showLegendKey val="0"/>
              <c:showVal val="1"/>
              <c:showCatName val="0"/>
              <c:showSerName val="0"/>
              <c:showPercent val="0"/>
              <c:showBubbleSize val="0"/>
            </c:dLbl>
            <c:dLbl>
              <c:idx val="6"/>
              <c:layout>
                <c:manualLayout>
                  <c:x val="-3.580440475828555E-2"/>
                  <c:y val="3.5386635758298014E-2"/>
                </c:manualLayout>
              </c:layout>
              <c:numFmt formatCode="0.00" sourceLinked="0"/>
              <c:spPr>
                <a:noFill/>
                <a:ln w="25400">
                  <a:noFill/>
                </a:ln>
              </c:spPr>
              <c:txPr>
                <a:bodyPr/>
                <a:lstStyle/>
                <a:p>
                  <a:pPr algn="ctr" rtl="0">
                    <a:defRPr lang="en-US" sz="800" b="1" i="0" u="none" strike="noStrike" kern="1200" baseline="0">
                      <a:solidFill>
                        <a:srgbClr val="000000"/>
                      </a:solidFill>
                      <a:latin typeface="Arial Cyr"/>
                      <a:ea typeface="Arial Cyr"/>
                      <a:cs typeface="Arial Cyr"/>
                    </a:defRPr>
                  </a:pPr>
                  <a:endParaRPr lang="ru-RU"/>
                </a:p>
              </c:txPr>
              <c:dLblPos val="r"/>
              <c:showLegendKey val="0"/>
              <c:showVal val="1"/>
              <c:showCatName val="0"/>
              <c:showSerName val="0"/>
              <c:showPercent val="0"/>
              <c:showBubbleSize val="0"/>
            </c:dLbl>
            <c:dLbl>
              <c:idx val="7"/>
              <c:layout>
                <c:manualLayout>
                  <c:x val="-3.7852459562245852E-2"/>
                  <c:y val="2.6334873310152086E-2"/>
                </c:manualLayout>
              </c:layout>
              <c:numFmt formatCode="0.00" sourceLinked="0"/>
              <c:spPr>
                <a:noFill/>
                <a:ln w="25400">
                  <a:noFill/>
                </a:ln>
              </c:spPr>
              <c:txPr>
                <a:bodyPr/>
                <a:lstStyle/>
                <a:p>
                  <a:pPr algn="ctr" rtl="0">
                    <a:defRPr lang="en-US" sz="800" b="1" i="0" u="none" strike="noStrike" kern="1200" baseline="0">
                      <a:solidFill>
                        <a:srgbClr val="000000"/>
                      </a:solidFill>
                      <a:latin typeface="Arial Cyr"/>
                      <a:ea typeface="Arial Cyr"/>
                      <a:cs typeface="Arial Cyr"/>
                    </a:defRPr>
                  </a:pPr>
                  <a:endParaRPr lang="ru-RU"/>
                </a:p>
              </c:txPr>
              <c:dLblPos val="r"/>
              <c:showLegendKey val="0"/>
              <c:showVal val="1"/>
              <c:showCatName val="0"/>
              <c:showSerName val="0"/>
              <c:showPercent val="0"/>
              <c:showBubbleSize val="0"/>
            </c:dLbl>
            <c:dLbl>
              <c:idx val="8"/>
              <c:layout>
                <c:manualLayout>
                  <c:x val="-3.456054479676527E-2"/>
                  <c:y val="2.767351040346008E-2"/>
                </c:manualLayout>
              </c:layout>
              <c:numFmt formatCode="0.00" sourceLinked="0"/>
              <c:spPr>
                <a:noFill/>
                <a:ln w="25400">
                  <a:noFill/>
                </a:ln>
              </c:spPr>
              <c:txPr>
                <a:bodyPr/>
                <a:lstStyle/>
                <a:p>
                  <a:pPr>
                    <a:defRPr sz="800" b="1" i="0" u="none" strike="noStrike" baseline="0">
                      <a:solidFill>
                        <a:srgbClr val="000000"/>
                      </a:solidFill>
                      <a:latin typeface="Arial Cyr"/>
                      <a:ea typeface="Arial Cyr"/>
                      <a:cs typeface="Arial Cyr"/>
                    </a:defRPr>
                  </a:pPr>
                  <a:endParaRPr lang="ru-RU"/>
                </a:p>
              </c:txPr>
              <c:dLblPos val="r"/>
              <c:showLegendKey val="0"/>
              <c:showVal val="1"/>
              <c:showCatName val="0"/>
              <c:showSerName val="0"/>
              <c:showPercent val="0"/>
              <c:showBubbleSize val="0"/>
            </c:dLbl>
            <c:dLbl>
              <c:idx val="9"/>
              <c:layout>
                <c:manualLayout>
                  <c:x val="-3.3094318808604729E-2"/>
                  <c:y val="3.3460122944203502E-2"/>
                </c:manualLayout>
              </c:layout>
              <c:numFmt formatCode="0.00" sourceLinked="0"/>
              <c:spPr>
                <a:noFill/>
                <a:ln w="25400">
                  <a:noFill/>
                </a:ln>
              </c:spPr>
              <c:txPr>
                <a:bodyPr/>
                <a:lstStyle/>
                <a:p>
                  <a:pPr>
                    <a:defRPr sz="800" b="1" i="0" u="none" strike="noStrike" baseline="0">
                      <a:solidFill>
                        <a:srgbClr val="000000"/>
                      </a:solidFill>
                      <a:latin typeface="Arial Cyr"/>
                      <a:ea typeface="Arial Cyr"/>
                      <a:cs typeface="Arial Cyr"/>
                    </a:defRPr>
                  </a:pPr>
                  <a:endParaRPr lang="ru-RU"/>
                </a:p>
              </c:txPr>
              <c:dLblPos val="r"/>
              <c:showLegendKey val="0"/>
              <c:showVal val="1"/>
              <c:showCatName val="0"/>
              <c:showSerName val="0"/>
              <c:showPercent val="0"/>
              <c:showBubbleSize val="0"/>
            </c:dLbl>
            <c:dLbl>
              <c:idx val="10"/>
              <c:layout>
                <c:manualLayout>
                  <c:x val="-2.9417172274315541E-2"/>
                  <c:y val="3.2250633494586595E-2"/>
                </c:manualLayout>
              </c:layout>
              <c:numFmt formatCode="0.00" sourceLinked="0"/>
              <c:spPr>
                <a:noFill/>
                <a:ln w="25400">
                  <a:noFill/>
                </a:ln>
              </c:spPr>
              <c:txPr>
                <a:bodyPr/>
                <a:lstStyle/>
                <a:p>
                  <a:pPr>
                    <a:defRPr sz="800" b="1" i="0" u="none" strike="noStrike" baseline="0">
                      <a:solidFill>
                        <a:srgbClr val="000000"/>
                      </a:solidFill>
                      <a:latin typeface="Arial Cyr"/>
                      <a:ea typeface="Arial Cyr"/>
                      <a:cs typeface="Arial Cyr"/>
                    </a:defRPr>
                  </a:pPr>
                  <a:endParaRPr lang="ru-RU"/>
                </a:p>
              </c:txPr>
              <c:dLblPos val="r"/>
              <c:showLegendKey val="0"/>
              <c:showVal val="1"/>
              <c:showCatName val="0"/>
              <c:showSerName val="0"/>
              <c:showPercent val="0"/>
              <c:showBubbleSize val="0"/>
            </c:dLbl>
            <c:numFmt formatCode="0.00" sourceLinked="0"/>
            <c:spPr>
              <a:noFill/>
              <a:ln w="25400">
                <a:noFill/>
              </a:ln>
            </c:spPr>
            <c:txPr>
              <a:bodyPr/>
              <a:lstStyle/>
              <a:p>
                <a:pPr>
                  <a:defRPr sz="1100" b="1" i="0" u="none" strike="noStrike" baseline="0">
                    <a:solidFill>
                      <a:srgbClr val="000000"/>
                    </a:solidFill>
                    <a:latin typeface="Arial Cyr"/>
                    <a:ea typeface="Arial Cyr"/>
                    <a:cs typeface="Arial Cyr"/>
                  </a:defRPr>
                </a:pPr>
                <a:endParaRPr lang="ru-RU"/>
              </a:p>
            </c:txPr>
            <c:showLegendKey val="0"/>
            <c:showVal val="1"/>
            <c:showCatName val="0"/>
            <c:showSerName val="0"/>
            <c:showPercent val="0"/>
            <c:showBubbleSize val="0"/>
            <c:showLeaderLines val="0"/>
          </c:dLbls>
          <c:cat>
            <c:multiLvlStrRef>
              <c:f>'График 1'!$J$1:$T$3</c:f>
              <c:multiLvlStrCache>
                <c:ptCount val="11"/>
                <c:lvl>
                  <c:pt idx="0">
                    <c:v>125,2</c:v>
                  </c:pt>
                  <c:pt idx="1">
                    <c:v>106,9</c:v>
                  </c:pt>
                  <c:pt idx="2">
                    <c:v>102,3</c:v>
                  </c:pt>
                  <c:pt idx="3">
                    <c:v>107,9</c:v>
                  </c:pt>
                  <c:pt idx="4">
                    <c:v>106,5</c:v>
                  </c:pt>
                  <c:pt idx="5">
                    <c:v>104,5</c:v>
                  </c:pt>
                  <c:pt idx="6">
                    <c:v>106,1</c:v>
                  </c:pt>
                  <c:pt idx="7">
                    <c:v>103,7</c:v>
                  </c:pt>
                  <c:pt idx="8">
                    <c:v>103,6</c:v>
                  </c:pt>
                  <c:pt idx="9">
                    <c:v>104,6</c:v>
                  </c:pt>
                  <c:pt idx="10">
                    <c:v>106,7</c:v>
                  </c:pt>
                </c:lvl>
                <c:lvl>
                  <c:pt idx="0">
                    <c:v>2010</c:v>
                  </c:pt>
                  <c:pt idx="1">
                    <c:v>2011</c:v>
                  </c:pt>
                  <c:pt idx="2">
                    <c:v>2012</c:v>
                  </c:pt>
                  <c:pt idx="3">
                    <c:v>2013</c:v>
                  </c:pt>
                  <c:pt idx="4">
                    <c:v>2014</c:v>
                  </c:pt>
                  <c:pt idx="5">
                    <c:v>2015</c:v>
                  </c:pt>
                  <c:pt idx="6">
                    <c:v>2016</c:v>
                  </c:pt>
                  <c:pt idx="7">
                    <c:v>2017</c:v>
                  </c:pt>
                  <c:pt idx="8">
                    <c:v>2018</c:v>
                  </c:pt>
                  <c:pt idx="9">
                    <c:v>2019</c:v>
                  </c:pt>
                  <c:pt idx="10">
                    <c:v>2020</c:v>
                  </c:pt>
                </c:lvl>
              </c:multiLvlStrCache>
            </c:multiLvlStrRef>
          </c:cat>
          <c:val>
            <c:numRef>
              <c:f>'График 1'!$J$6:$T$6</c:f>
              <c:numCache>
                <c:formatCode>0.00</c:formatCode>
                <c:ptCount val="11"/>
                <c:pt idx="0" formatCode="General">
                  <c:v>350.42999999999893</c:v>
                </c:pt>
                <c:pt idx="1">
                  <c:v>371.46745918971232</c:v>
                </c:pt>
                <c:pt idx="2" formatCode="General">
                  <c:v>376.80369055665955</c:v>
                </c:pt>
                <c:pt idx="3" formatCode="General">
                  <c:v>390.48659565186864</c:v>
                </c:pt>
                <c:pt idx="4" formatCode="General">
                  <c:v>406.44965420528365</c:v>
                </c:pt>
                <c:pt idx="5">
                  <c:v>428.26215132965132</c:v>
                </c:pt>
                <c:pt idx="6" formatCode="General">
                  <c:v>456.91999999999899</c:v>
                </c:pt>
                <c:pt idx="7" formatCode="General">
                  <c:v>477.74982669158231</c:v>
                </c:pt>
                <c:pt idx="8" formatCode="General">
                  <c:v>460.78</c:v>
                </c:pt>
                <c:pt idx="9" formatCode="General">
                  <c:v>476.76</c:v>
                </c:pt>
                <c:pt idx="10" formatCode="General">
                  <c:v>498.09</c:v>
                </c:pt>
              </c:numCache>
            </c:numRef>
          </c:val>
          <c:smooth val="0"/>
        </c:ser>
        <c:dLbls>
          <c:showLegendKey val="0"/>
          <c:showVal val="0"/>
          <c:showCatName val="0"/>
          <c:showSerName val="0"/>
          <c:showPercent val="0"/>
          <c:showBubbleSize val="0"/>
        </c:dLbls>
        <c:marker val="1"/>
        <c:smooth val="0"/>
        <c:axId val="42219520"/>
        <c:axId val="165999680"/>
      </c:lineChart>
      <c:catAx>
        <c:axId val="42219520"/>
        <c:scaling>
          <c:orientation val="minMax"/>
        </c:scaling>
        <c:delete val="0"/>
        <c:axPos val="b"/>
        <c:title>
          <c:tx>
            <c:rich>
              <a:bodyPr/>
              <a:lstStyle/>
              <a:p>
                <a:pPr algn="ctr">
                  <a:defRPr sz="800" b="1" i="0" u="none" strike="noStrike" baseline="0">
                    <a:solidFill>
                      <a:srgbClr val="000000"/>
                    </a:solidFill>
                    <a:latin typeface="Arial Cyr"/>
                    <a:ea typeface="Arial Cyr"/>
                    <a:cs typeface="Arial Cyr"/>
                  </a:defRPr>
                </a:pPr>
                <a:r>
                  <a:rPr lang="ru-RU"/>
                  <a:t>Рост средневзвешенного тарифа  на тепловую  энергию для потребителей АО "СИБЭКО"</a:t>
                </a:r>
                <a:r>
                  <a:rPr lang="ru-RU" baseline="0"/>
                  <a:t> (до 01.01.2011г ОАО "СибирьЭнерго"), до 01.07.2011 ОАО "Новосибирскэнерго"</a:t>
                </a:r>
                <a:r>
                  <a:rPr lang="ru-RU"/>
                  <a:t> ,</a:t>
                </a:r>
                <a:br>
                  <a:rPr lang="ru-RU"/>
                </a:br>
                <a:r>
                  <a:rPr lang="ru-RU"/>
                  <a:t>год к году/Годы</a:t>
                </a:r>
              </a:p>
            </c:rich>
          </c:tx>
          <c:layout>
            <c:manualLayout>
              <c:xMode val="edge"/>
              <c:yMode val="edge"/>
              <c:x val="0.14420747854948623"/>
              <c:y val="0.72660787753781264"/>
            </c:manualLayout>
          </c:layout>
          <c:overlay val="0"/>
          <c:spPr>
            <a:noFill/>
            <a:ln w="25400">
              <a:noFill/>
            </a:ln>
          </c:spPr>
        </c:title>
        <c:numFmt formatCode="General" sourceLinked="1"/>
        <c:majorTickMark val="out"/>
        <c:minorTickMark val="none"/>
        <c:tickLblPos val="nextTo"/>
        <c:spPr>
          <a:ln w="3175">
            <a:solidFill>
              <a:srgbClr val="000000"/>
            </a:solidFill>
            <a:prstDash val="solid"/>
          </a:ln>
        </c:spPr>
        <c:txPr>
          <a:bodyPr rot="0" vert="horz"/>
          <a:lstStyle/>
          <a:p>
            <a:pPr>
              <a:defRPr sz="800" b="0" i="0" u="none" strike="noStrike" baseline="0">
                <a:solidFill>
                  <a:srgbClr val="000000"/>
                </a:solidFill>
                <a:latin typeface="Arial Cyr"/>
                <a:ea typeface="Arial Cyr"/>
                <a:cs typeface="Arial Cyr"/>
              </a:defRPr>
            </a:pPr>
            <a:endParaRPr lang="ru-RU"/>
          </a:p>
        </c:txPr>
        <c:crossAx val="165999680"/>
        <c:crosses val="autoZero"/>
        <c:auto val="1"/>
        <c:lblAlgn val="ctr"/>
        <c:lblOffset val="100"/>
        <c:tickLblSkip val="1"/>
        <c:tickMarkSkip val="1"/>
        <c:noMultiLvlLbl val="0"/>
      </c:catAx>
      <c:valAx>
        <c:axId val="165999680"/>
        <c:scaling>
          <c:orientation val="minMax"/>
        </c:scaling>
        <c:delete val="0"/>
        <c:axPos val="l"/>
        <c:majorGridlines>
          <c:spPr>
            <a:ln w="3175">
              <a:solidFill>
                <a:srgbClr val="000000"/>
              </a:solidFill>
              <a:prstDash val="solid"/>
            </a:ln>
          </c:spPr>
        </c:majorGridlines>
        <c:title>
          <c:tx>
            <c:rich>
              <a:bodyPr/>
              <a:lstStyle/>
              <a:p>
                <a:pPr>
                  <a:defRPr sz="800" b="1" i="0" u="none" strike="noStrike" baseline="0">
                    <a:solidFill>
                      <a:srgbClr val="000000"/>
                    </a:solidFill>
                    <a:latin typeface="Arial Cyr"/>
                    <a:ea typeface="Arial Cyr"/>
                    <a:cs typeface="Arial Cyr"/>
                  </a:defRPr>
                </a:pPr>
                <a:r>
                  <a:rPr lang="ru-RU"/>
                  <a:t>руб./Гкал</a:t>
                </a:r>
              </a:p>
            </c:rich>
          </c:tx>
          <c:layout>
            <c:manualLayout>
              <c:xMode val="edge"/>
              <c:yMode val="edge"/>
              <c:x val="2.231520223152041E-2"/>
              <c:y val="0.34525976739491354"/>
            </c:manualLayout>
          </c:layout>
          <c:overlay val="0"/>
          <c:spPr>
            <a:noFill/>
            <a:ln w="25400">
              <a:noFill/>
            </a:ln>
          </c:spPr>
        </c:title>
        <c:numFmt formatCode="General" sourceLinked="1"/>
        <c:majorTickMark val="out"/>
        <c:minorTickMark val="none"/>
        <c:tickLblPos val="nextTo"/>
        <c:spPr>
          <a:ln w="3175">
            <a:solidFill>
              <a:srgbClr val="000000"/>
            </a:solidFill>
            <a:prstDash val="solid"/>
          </a:ln>
        </c:spPr>
        <c:txPr>
          <a:bodyPr rot="0" vert="horz"/>
          <a:lstStyle/>
          <a:p>
            <a:pPr>
              <a:defRPr sz="800" b="0" i="0" u="none" strike="noStrike" baseline="0">
                <a:solidFill>
                  <a:srgbClr val="000000"/>
                </a:solidFill>
                <a:latin typeface="Arial Cyr"/>
                <a:ea typeface="Arial Cyr"/>
                <a:cs typeface="Arial Cyr"/>
              </a:defRPr>
            </a:pPr>
            <a:endParaRPr lang="ru-RU"/>
          </a:p>
        </c:txPr>
        <c:crossAx val="42219520"/>
        <c:crosses val="autoZero"/>
        <c:crossBetween val="between"/>
      </c:valAx>
      <c:spPr>
        <a:solidFill>
          <a:srgbClr val="FFFFFF"/>
        </a:solidFill>
        <a:ln w="12700">
          <a:solidFill>
            <a:srgbClr val="000000"/>
          </a:solidFill>
          <a:prstDash val="solid"/>
        </a:ln>
      </c:spPr>
    </c:plotArea>
    <c:legend>
      <c:legendPos val="b"/>
      <c:layout>
        <c:manualLayout>
          <c:xMode val="edge"/>
          <c:yMode val="edge"/>
          <c:x val="1.0079345462983044E-2"/>
          <c:y val="0.84527768177705775"/>
          <c:w val="0.96918389685594231"/>
          <c:h val="0.15392104851864163"/>
        </c:manualLayout>
      </c:layout>
      <c:overlay val="0"/>
      <c:spPr>
        <a:solidFill>
          <a:srgbClr val="FFFFFF"/>
        </a:solidFill>
        <a:ln w="3175">
          <a:solidFill>
            <a:schemeClr val="bg1"/>
          </a:solidFill>
          <a:prstDash val="solid"/>
        </a:ln>
      </c:spPr>
      <c:txPr>
        <a:bodyPr/>
        <a:lstStyle/>
        <a:p>
          <a:pPr>
            <a:defRPr sz="735" b="0" i="0" u="none" strike="noStrike" baseline="0">
              <a:solidFill>
                <a:srgbClr val="000000"/>
              </a:solidFill>
              <a:latin typeface="Arial Cyr"/>
              <a:ea typeface="Arial Cyr"/>
              <a:cs typeface="Arial Cyr"/>
            </a:defRPr>
          </a:pPr>
          <a:endParaRPr lang="ru-RU"/>
        </a:p>
      </c:txPr>
    </c:legend>
    <c:plotVisOnly val="1"/>
    <c:dispBlanksAs val="gap"/>
    <c:showDLblsOverMax val="0"/>
  </c:chart>
  <c:spPr>
    <a:solidFill>
      <a:srgbClr val="FFFFFF"/>
    </a:solidFill>
    <a:ln w="3175">
      <a:solidFill>
        <a:schemeClr val="bg1"/>
      </a:solidFill>
      <a:prstDash val="solid"/>
    </a:ln>
  </c:spPr>
  <c:txPr>
    <a:bodyPr/>
    <a:lstStyle/>
    <a:p>
      <a:pPr>
        <a:defRPr sz="1475" b="0" i="0" u="none" strike="noStrike" baseline="0">
          <a:solidFill>
            <a:srgbClr val="000000"/>
          </a:solidFill>
          <a:latin typeface="Arial Cyr"/>
          <a:ea typeface="Arial Cyr"/>
          <a:cs typeface="Arial Cyr"/>
        </a:defRPr>
      </a:pPr>
      <a:endParaRPr lang="ru-RU"/>
    </a:p>
  </c:txPr>
  <c:externalData r:id="rId1">
    <c:autoUpdate val="0"/>
  </c:externalData>
</c:chartSpace>
</file>

<file path=word/charts/chart6.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a:lstStyle/>
          <a:p>
            <a:pPr>
              <a:defRPr sz="1000" b="1" i="0" u="none" strike="noStrike" baseline="0">
                <a:solidFill>
                  <a:srgbClr val="000000"/>
                </a:solidFill>
                <a:latin typeface="Arial Cyr"/>
                <a:ea typeface="Arial Cyr"/>
                <a:cs typeface="Arial Cyr"/>
              </a:defRPr>
            </a:pPr>
            <a:r>
              <a:rPr lang="ru-RU"/>
              <a:t>Динамика НВВ на тепловую энергию, производимую и отпускаемую </a:t>
            </a:r>
            <a:br>
              <a:rPr lang="ru-RU"/>
            </a:br>
            <a:r>
              <a:rPr lang="ru-RU"/>
              <a:t>ОАО "СИБЭКО" потребителям  в 201</a:t>
            </a:r>
            <a:r>
              <a:rPr lang="en-US"/>
              <a:t>6</a:t>
            </a:r>
            <a:r>
              <a:rPr lang="ru-RU"/>
              <a:t>-20</a:t>
            </a:r>
            <a:r>
              <a:rPr lang="en-US"/>
              <a:t>20</a:t>
            </a:r>
            <a:r>
              <a:rPr lang="ru-RU"/>
              <a:t> годах</a:t>
            </a:r>
          </a:p>
        </c:rich>
      </c:tx>
      <c:layout>
        <c:manualLayout>
          <c:xMode val="edge"/>
          <c:yMode val="edge"/>
          <c:x val="0.12377451388978206"/>
          <c:y val="1.5452998096359015E-2"/>
        </c:manualLayout>
      </c:layout>
      <c:overlay val="0"/>
      <c:spPr>
        <a:noFill/>
        <a:ln w="25400">
          <a:noFill/>
        </a:ln>
      </c:spPr>
    </c:title>
    <c:autoTitleDeleted val="0"/>
    <c:plotArea>
      <c:layout>
        <c:manualLayout>
          <c:layoutTarget val="inner"/>
          <c:xMode val="edge"/>
          <c:yMode val="edge"/>
          <c:x val="0.12928888110875836"/>
          <c:y val="0.15320158794317681"/>
          <c:w val="0.85276836173277759"/>
          <c:h val="0.60732066552903263"/>
        </c:manualLayout>
      </c:layout>
      <c:barChart>
        <c:barDir val="col"/>
        <c:grouping val="clustered"/>
        <c:varyColors val="0"/>
        <c:ser>
          <c:idx val="0"/>
          <c:order val="0"/>
          <c:tx>
            <c:strRef>
              <c:f>'НВВ2019-2020'!$A$50</c:f>
              <c:strCache>
                <c:ptCount val="1"/>
                <c:pt idx="0">
                  <c:v>НВВ на тепловую энергию для конечного потребителя</c:v>
                </c:pt>
              </c:strCache>
            </c:strRef>
          </c:tx>
          <c:spPr>
            <a:solidFill>
              <a:srgbClr val="9999FF"/>
            </a:solidFill>
            <a:ln w="12700">
              <a:solidFill>
                <a:srgbClr val="000000"/>
              </a:solidFill>
              <a:prstDash val="solid"/>
            </a:ln>
          </c:spPr>
          <c:invertIfNegative val="0"/>
          <c:dLbls>
            <c:dLbl>
              <c:idx val="0"/>
              <c:layout>
                <c:manualLayout>
                  <c:x val="2.2724564303339773E-2"/>
                  <c:y val="-1.4964072051293348E-2"/>
                </c:manualLayout>
              </c:layout>
              <c:dLblPos val="outEnd"/>
              <c:showLegendKey val="0"/>
              <c:showVal val="1"/>
              <c:showCatName val="0"/>
              <c:showSerName val="0"/>
              <c:showPercent val="0"/>
              <c:showBubbleSize val="0"/>
            </c:dLbl>
            <c:dLbl>
              <c:idx val="1"/>
              <c:layout>
                <c:manualLayout>
                  <c:x val="2.6609729576876602E-3"/>
                  <c:y val="-9.0027400129370459E-3"/>
                </c:manualLayout>
              </c:layout>
              <c:dLblPos val="outEnd"/>
              <c:showLegendKey val="0"/>
              <c:showVal val="1"/>
              <c:showCatName val="0"/>
              <c:showSerName val="0"/>
              <c:showPercent val="0"/>
              <c:showBubbleSize val="0"/>
            </c:dLbl>
            <c:dLbl>
              <c:idx val="2"/>
              <c:layout>
                <c:manualLayout>
                  <c:x val="2.2935000771963144E-3"/>
                  <c:y val="-1.0881494762061411E-2"/>
                </c:manualLayout>
              </c:layout>
              <c:dLblPos val="outEnd"/>
              <c:showLegendKey val="0"/>
              <c:showVal val="1"/>
              <c:showCatName val="0"/>
              <c:showSerName val="0"/>
              <c:showPercent val="0"/>
              <c:showBubbleSize val="0"/>
            </c:dLbl>
            <c:dLbl>
              <c:idx val="3"/>
              <c:layout>
                <c:manualLayout>
                  <c:x val="-2.11746725331844E-4"/>
                  <c:y val="-1.2619161189514262E-2"/>
                </c:manualLayout>
              </c:layout>
              <c:dLblPos val="outEnd"/>
              <c:showLegendKey val="0"/>
              <c:showVal val="1"/>
              <c:showCatName val="0"/>
              <c:showSerName val="0"/>
              <c:showPercent val="0"/>
              <c:showBubbleSize val="0"/>
            </c:dLbl>
            <c:spPr>
              <a:noFill/>
              <a:ln w="25400">
                <a:noFill/>
              </a:ln>
            </c:spPr>
            <c:txPr>
              <a:bodyPr/>
              <a:lstStyle/>
              <a:p>
                <a:pPr>
                  <a:defRPr sz="800" b="0" i="0" u="none" strike="noStrike" baseline="0">
                    <a:solidFill>
                      <a:srgbClr val="000000"/>
                    </a:solidFill>
                    <a:latin typeface="Arial Cyr"/>
                    <a:ea typeface="Arial Cyr"/>
                    <a:cs typeface="Arial Cyr"/>
                  </a:defRPr>
                </a:pPr>
                <a:endParaRPr lang="ru-RU"/>
              </a:p>
            </c:txPr>
            <c:showLegendKey val="0"/>
            <c:showVal val="1"/>
            <c:showCatName val="0"/>
            <c:showSerName val="0"/>
            <c:showPercent val="0"/>
            <c:showBubbleSize val="0"/>
            <c:showLeaderLines val="0"/>
          </c:dLbls>
          <c:cat>
            <c:numRef>
              <c:f>'НВВ2019-2020'!$B$49:$F$49</c:f>
              <c:numCache>
                <c:formatCode>General</c:formatCode>
                <c:ptCount val="5"/>
                <c:pt idx="0">
                  <c:v>2016</c:v>
                </c:pt>
                <c:pt idx="1">
                  <c:v>2017</c:v>
                </c:pt>
                <c:pt idx="2">
                  <c:v>2018</c:v>
                </c:pt>
                <c:pt idx="3">
                  <c:v>2019</c:v>
                </c:pt>
                <c:pt idx="4">
                  <c:v>2020</c:v>
                </c:pt>
              </c:numCache>
            </c:numRef>
          </c:cat>
          <c:val>
            <c:numRef>
              <c:f>'НВВ2019-2020'!$B$50:$F$50</c:f>
              <c:numCache>
                <c:formatCode>#,##0.0</c:formatCode>
                <c:ptCount val="5"/>
                <c:pt idx="0">
                  <c:v>11511.852530464921</c:v>
                </c:pt>
                <c:pt idx="1">
                  <c:v>11749.420467175683</c:v>
                </c:pt>
                <c:pt idx="2">
                  <c:v>11840.146600276184</c:v>
                </c:pt>
                <c:pt idx="3">
                  <c:v>12250.475286398645</c:v>
                </c:pt>
                <c:pt idx="4">
                  <c:v>13915.963750000004</c:v>
                </c:pt>
              </c:numCache>
            </c:numRef>
          </c:val>
        </c:ser>
        <c:ser>
          <c:idx val="1"/>
          <c:order val="1"/>
          <c:tx>
            <c:strRef>
              <c:f>'НВВ2019-2020'!$A$51</c:f>
              <c:strCache>
                <c:ptCount val="1"/>
                <c:pt idx="0">
                  <c:v>НВВ на производство тепловой энергии ОАО "СИБЭКО"</c:v>
                </c:pt>
              </c:strCache>
            </c:strRef>
          </c:tx>
          <c:spPr>
            <a:solidFill>
              <a:srgbClr val="993366"/>
            </a:solidFill>
            <a:ln w="12700">
              <a:solidFill>
                <a:srgbClr val="000000"/>
              </a:solidFill>
              <a:prstDash val="solid"/>
            </a:ln>
          </c:spPr>
          <c:invertIfNegative val="0"/>
          <c:dLbls>
            <c:dLbl>
              <c:idx val="0"/>
              <c:layout>
                <c:manualLayout>
                  <c:x val="3.6023706207309811E-2"/>
                  <c:y val="-9.0356252765714708E-3"/>
                </c:manualLayout>
              </c:layout>
              <c:dLblPos val="outEnd"/>
              <c:showLegendKey val="0"/>
              <c:showVal val="1"/>
              <c:showCatName val="0"/>
              <c:showSerName val="0"/>
              <c:showPercent val="0"/>
              <c:showBubbleSize val="0"/>
            </c:dLbl>
            <c:dLbl>
              <c:idx val="1"/>
              <c:layout>
                <c:manualLayout>
                  <c:x val="3.6990200401948441E-2"/>
                  <c:y val="1.3672926360635803E-3"/>
                </c:manualLayout>
              </c:layout>
              <c:dLblPos val="outEnd"/>
              <c:showLegendKey val="0"/>
              <c:showVal val="1"/>
              <c:showCatName val="0"/>
              <c:showSerName val="0"/>
              <c:showPercent val="0"/>
              <c:showBubbleSize val="0"/>
            </c:dLbl>
            <c:dLbl>
              <c:idx val="2"/>
              <c:layout>
                <c:manualLayout>
                  <c:x val="2.1128343345633398E-2"/>
                  <c:y val="-4.5323794795515933E-3"/>
                </c:manualLayout>
              </c:layout>
              <c:dLblPos val="outEnd"/>
              <c:showLegendKey val="0"/>
              <c:showVal val="1"/>
              <c:showCatName val="0"/>
              <c:showSerName val="0"/>
              <c:showPercent val="0"/>
              <c:showBubbleSize val="0"/>
            </c:dLbl>
            <c:dLbl>
              <c:idx val="3"/>
              <c:layout>
                <c:manualLayout>
                  <c:x val="2.7704315391529559E-2"/>
                  <c:y val="-2.3415105893741649E-2"/>
                </c:manualLayout>
              </c:layout>
              <c:dLblPos val="outEnd"/>
              <c:showLegendKey val="0"/>
              <c:showVal val="1"/>
              <c:showCatName val="0"/>
              <c:showSerName val="0"/>
              <c:showPercent val="0"/>
              <c:showBubbleSize val="0"/>
            </c:dLbl>
            <c:dLbl>
              <c:idx val="4"/>
              <c:layout>
                <c:manualLayout>
                  <c:x val="2.7552779175906556E-2"/>
                  <c:y val="0"/>
                </c:manualLayout>
              </c:layout>
              <c:showLegendKey val="0"/>
              <c:showVal val="1"/>
              <c:showCatName val="0"/>
              <c:showSerName val="0"/>
              <c:showPercent val="0"/>
              <c:showBubbleSize val="0"/>
            </c:dLbl>
            <c:spPr>
              <a:noFill/>
              <a:ln w="25400">
                <a:noFill/>
              </a:ln>
            </c:spPr>
            <c:txPr>
              <a:bodyPr/>
              <a:lstStyle/>
              <a:p>
                <a:pPr>
                  <a:defRPr sz="800" b="0" i="0" u="none" strike="noStrike" baseline="0">
                    <a:solidFill>
                      <a:srgbClr val="000000"/>
                    </a:solidFill>
                    <a:latin typeface="Arial Cyr"/>
                    <a:ea typeface="Arial Cyr"/>
                    <a:cs typeface="Arial Cyr"/>
                  </a:defRPr>
                </a:pPr>
                <a:endParaRPr lang="ru-RU"/>
              </a:p>
            </c:txPr>
            <c:showLegendKey val="0"/>
            <c:showVal val="1"/>
            <c:showCatName val="0"/>
            <c:showSerName val="0"/>
            <c:showPercent val="0"/>
            <c:showBubbleSize val="0"/>
            <c:showLeaderLines val="0"/>
          </c:dLbls>
          <c:cat>
            <c:numRef>
              <c:f>'НВВ2019-2020'!$B$49:$F$49</c:f>
              <c:numCache>
                <c:formatCode>General</c:formatCode>
                <c:ptCount val="5"/>
                <c:pt idx="0">
                  <c:v>2016</c:v>
                </c:pt>
                <c:pt idx="1">
                  <c:v>2017</c:v>
                </c:pt>
                <c:pt idx="2">
                  <c:v>2018</c:v>
                </c:pt>
                <c:pt idx="3">
                  <c:v>2019</c:v>
                </c:pt>
                <c:pt idx="4">
                  <c:v>2020</c:v>
                </c:pt>
              </c:numCache>
            </c:numRef>
          </c:cat>
          <c:val>
            <c:numRef>
              <c:f>'НВВ2019-2020'!$B$51:$F$51</c:f>
              <c:numCache>
                <c:formatCode>#,##0.0</c:formatCode>
                <c:ptCount val="5"/>
                <c:pt idx="0">
                  <c:v>7588.5148166518757</c:v>
                </c:pt>
                <c:pt idx="1">
                  <c:v>7668.2562845764523</c:v>
                </c:pt>
                <c:pt idx="2">
                  <c:v>7698.635794316413</c:v>
                </c:pt>
                <c:pt idx="3">
                  <c:v>7289.7142395395422</c:v>
                </c:pt>
                <c:pt idx="4">
                  <c:v>8410.5428300000003</c:v>
                </c:pt>
              </c:numCache>
            </c:numRef>
          </c:val>
        </c:ser>
        <c:ser>
          <c:idx val="2"/>
          <c:order val="2"/>
          <c:tx>
            <c:strRef>
              <c:f>'НВВ2019-2020'!$A$52</c:f>
              <c:strCache>
                <c:ptCount val="1"/>
                <c:pt idx="0">
                  <c:v>НВВ на производство тепловой энергии ТЭС</c:v>
                </c:pt>
              </c:strCache>
            </c:strRef>
          </c:tx>
          <c:spPr>
            <a:solidFill>
              <a:srgbClr val="FFFFCC"/>
            </a:solidFill>
            <a:ln w="12700">
              <a:solidFill>
                <a:srgbClr val="000000"/>
              </a:solidFill>
              <a:prstDash val="solid"/>
            </a:ln>
          </c:spPr>
          <c:invertIfNegative val="0"/>
          <c:dLbls>
            <c:dLbl>
              <c:idx val="0"/>
              <c:layout>
                <c:manualLayout>
                  <c:x val="3.0315633910446959E-2"/>
                  <c:y val="-1.6328012306112645E-2"/>
                </c:manualLayout>
              </c:layout>
              <c:dLblPos val="outEnd"/>
              <c:showLegendKey val="0"/>
              <c:showVal val="1"/>
              <c:showCatName val="0"/>
              <c:showSerName val="0"/>
              <c:showPercent val="0"/>
              <c:showBubbleSize val="0"/>
            </c:dLbl>
            <c:dLbl>
              <c:idx val="1"/>
              <c:layout>
                <c:manualLayout>
                  <c:x val="3.8450882502449081E-2"/>
                  <c:y val="-1.3234722240846562E-2"/>
                </c:manualLayout>
              </c:layout>
              <c:dLblPos val="outEnd"/>
              <c:showLegendKey val="0"/>
              <c:showVal val="1"/>
              <c:showCatName val="0"/>
              <c:showSerName val="0"/>
              <c:showPercent val="0"/>
              <c:showBubbleSize val="0"/>
            </c:dLbl>
            <c:dLbl>
              <c:idx val="2"/>
              <c:layout>
                <c:manualLayout>
                  <c:x val="3.1174403220974051E-2"/>
                  <c:y val="-1.6967199663357153E-2"/>
                </c:manualLayout>
              </c:layout>
              <c:dLblPos val="outEnd"/>
              <c:showLegendKey val="0"/>
              <c:showVal val="1"/>
              <c:showCatName val="0"/>
              <c:showSerName val="0"/>
              <c:showPercent val="0"/>
              <c:showBubbleSize val="0"/>
            </c:dLbl>
            <c:dLbl>
              <c:idx val="3"/>
              <c:layout>
                <c:manualLayout>
                  <c:x val="3.0021073680454449E-2"/>
                  <c:y val="-7.6699290125289733E-3"/>
                </c:manualLayout>
              </c:layout>
              <c:dLblPos val="outEnd"/>
              <c:showLegendKey val="0"/>
              <c:showVal val="1"/>
              <c:showCatName val="0"/>
              <c:showSerName val="0"/>
              <c:showPercent val="0"/>
              <c:showBubbleSize val="0"/>
            </c:dLbl>
            <c:dLbl>
              <c:idx val="4"/>
              <c:layout>
                <c:manualLayout>
                  <c:x val="2.9672223727899454E-2"/>
                  <c:y val="-7.2354355169582706E-3"/>
                </c:manualLayout>
              </c:layout>
              <c:showLegendKey val="0"/>
              <c:showVal val="1"/>
              <c:showCatName val="0"/>
              <c:showSerName val="0"/>
              <c:showPercent val="0"/>
              <c:showBubbleSize val="0"/>
            </c:dLbl>
            <c:spPr>
              <a:noFill/>
              <a:ln w="25400">
                <a:noFill/>
              </a:ln>
            </c:spPr>
            <c:txPr>
              <a:bodyPr/>
              <a:lstStyle/>
              <a:p>
                <a:pPr>
                  <a:defRPr sz="800" b="0" i="0" u="none" strike="noStrike" baseline="0">
                    <a:solidFill>
                      <a:srgbClr val="000000"/>
                    </a:solidFill>
                    <a:latin typeface="Arial Cyr"/>
                    <a:ea typeface="Arial Cyr"/>
                    <a:cs typeface="Arial Cyr"/>
                  </a:defRPr>
                </a:pPr>
                <a:endParaRPr lang="ru-RU"/>
              </a:p>
            </c:txPr>
            <c:showLegendKey val="0"/>
            <c:showVal val="1"/>
            <c:showCatName val="0"/>
            <c:showSerName val="0"/>
            <c:showPercent val="0"/>
            <c:showBubbleSize val="0"/>
            <c:showLeaderLines val="0"/>
          </c:dLbls>
          <c:cat>
            <c:numRef>
              <c:f>'НВВ2019-2020'!$B$49:$F$49</c:f>
              <c:numCache>
                <c:formatCode>General</c:formatCode>
                <c:ptCount val="5"/>
                <c:pt idx="0">
                  <c:v>2016</c:v>
                </c:pt>
                <c:pt idx="1">
                  <c:v>2017</c:v>
                </c:pt>
                <c:pt idx="2">
                  <c:v>2018</c:v>
                </c:pt>
                <c:pt idx="3">
                  <c:v>2019</c:v>
                </c:pt>
                <c:pt idx="4">
                  <c:v>2020</c:v>
                </c:pt>
              </c:numCache>
            </c:numRef>
          </c:cat>
          <c:val>
            <c:numRef>
              <c:f>'НВВ2019-2020'!$B$52:$F$52</c:f>
              <c:numCache>
                <c:formatCode>#,##0.0</c:formatCode>
                <c:ptCount val="5"/>
                <c:pt idx="0">
                  <c:v>5651.619178570013</c:v>
                </c:pt>
                <c:pt idx="1">
                  <c:v>5658.1918524356224</c:v>
                </c:pt>
                <c:pt idx="2">
                  <c:v>5520.9019198070146</c:v>
                </c:pt>
                <c:pt idx="3">
                  <c:v>6072.1728352866912</c:v>
                </c:pt>
                <c:pt idx="4">
                  <c:v>6373.7018800000005</c:v>
                </c:pt>
              </c:numCache>
            </c:numRef>
          </c:val>
        </c:ser>
        <c:ser>
          <c:idx val="3"/>
          <c:order val="3"/>
          <c:tx>
            <c:strRef>
              <c:f>'НВВ2019-2020'!$A$53</c:f>
              <c:strCache>
                <c:ptCount val="1"/>
                <c:pt idx="0">
                  <c:v>НВВ на производство тепловой энергии Локальными котельными</c:v>
                </c:pt>
              </c:strCache>
            </c:strRef>
          </c:tx>
          <c:spPr>
            <a:solidFill>
              <a:srgbClr val="CCFFFF"/>
            </a:solidFill>
            <a:ln w="12700">
              <a:solidFill>
                <a:srgbClr val="000000"/>
              </a:solidFill>
              <a:prstDash val="solid"/>
            </a:ln>
          </c:spPr>
          <c:invertIfNegative val="0"/>
          <c:dLbls>
            <c:dLbl>
              <c:idx val="0"/>
              <c:layout>
                <c:manualLayout>
                  <c:x val="2.5442261145317502E-2"/>
                  <c:y val="-3.6988737914665656E-2"/>
                </c:manualLayout>
              </c:layout>
              <c:dLblPos val="outEnd"/>
              <c:showLegendKey val="0"/>
              <c:showVal val="1"/>
              <c:showCatName val="0"/>
              <c:showSerName val="0"/>
              <c:showPercent val="0"/>
              <c:showBubbleSize val="0"/>
            </c:dLbl>
            <c:dLbl>
              <c:idx val="1"/>
              <c:layout>
                <c:manualLayout>
                  <c:x val="2.9902525576856076E-2"/>
                  <c:y val="-4.0713995055690996E-2"/>
                </c:manualLayout>
              </c:layout>
              <c:dLblPos val="outEnd"/>
              <c:showLegendKey val="0"/>
              <c:showVal val="1"/>
              <c:showCatName val="0"/>
              <c:showSerName val="0"/>
              <c:showPercent val="0"/>
              <c:showBubbleSize val="0"/>
            </c:dLbl>
            <c:dLbl>
              <c:idx val="2"/>
              <c:layout>
                <c:manualLayout>
                  <c:x val="2.539595229480774E-2"/>
                  <c:y val="-3.8968659881974094E-2"/>
                </c:manualLayout>
              </c:layout>
              <c:dLblPos val="outEnd"/>
              <c:showLegendKey val="0"/>
              <c:showVal val="1"/>
              <c:showCatName val="0"/>
              <c:showSerName val="0"/>
              <c:showPercent val="0"/>
              <c:showBubbleSize val="0"/>
            </c:dLbl>
            <c:dLbl>
              <c:idx val="3"/>
              <c:layout>
                <c:manualLayout>
                  <c:x val="1.824908513424929E-2"/>
                  <c:y val="-0.10516221262466706"/>
                </c:manualLayout>
              </c:layout>
              <c:dLblPos val="outEnd"/>
              <c:showLegendKey val="0"/>
              <c:showVal val="1"/>
              <c:showCatName val="0"/>
              <c:showSerName val="0"/>
              <c:showPercent val="0"/>
              <c:showBubbleSize val="0"/>
            </c:dLbl>
            <c:dLbl>
              <c:idx val="4"/>
              <c:layout>
                <c:manualLayout>
                  <c:x val="2.5433334623913898E-2"/>
                  <c:y val="-8.3207508445020867E-2"/>
                </c:manualLayout>
              </c:layout>
              <c:showLegendKey val="0"/>
              <c:showVal val="1"/>
              <c:showCatName val="0"/>
              <c:showSerName val="0"/>
              <c:showPercent val="0"/>
              <c:showBubbleSize val="0"/>
            </c:dLbl>
            <c:spPr>
              <a:noFill/>
              <a:ln w="25400">
                <a:noFill/>
              </a:ln>
            </c:spPr>
            <c:txPr>
              <a:bodyPr/>
              <a:lstStyle/>
              <a:p>
                <a:pPr>
                  <a:defRPr sz="800" b="0" i="0" u="none" strike="noStrike" baseline="0">
                    <a:solidFill>
                      <a:srgbClr val="000000"/>
                    </a:solidFill>
                    <a:latin typeface="Arial Cyr"/>
                    <a:ea typeface="Arial Cyr"/>
                    <a:cs typeface="Arial Cyr"/>
                  </a:defRPr>
                </a:pPr>
                <a:endParaRPr lang="ru-RU"/>
              </a:p>
            </c:txPr>
            <c:showLegendKey val="0"/>
            <c:showVal val="1"/>
            <c:showCatName val="0"/>
            <c:showSerName val="0"/>
            <c:showPercent val="0"/>
            <c:showBubbleSize val="0"/>
            <c:showLeaderLines val="0"/>
          </c:dLbls>
          <c:cat>
            <c:numRef>
              <c:f>'НВВ2019-2020'!$B$49:$F$49</c:f>
              <c:numCache>
                <c:formatCode>General</c:formatCode>
                <c:ptCount val="5"/>
                <c:pt idx="0">
                  <c:v>2016</c:v>
                </c:pt>
                <c:pt idx="1">
                  <c:v>2017</c:v>
                </c:pt>
                <c:pt idx="2">
                  <c:v>2018</c:v>
                </c:pt>
                <c:pt idx="3">
                  <c:v>2019</c:v>
                </c:pt>
                <c:pt idx="4">
                  <c:v>2020</c:v>
                </c:pt>
              </c:numCache>
            </c:numRef>
          </c:cat>
          <c:val>
            <c:numRef>
              <c:f>'НВВ2019-2020'!$B$53:$F$53</c:f>
              <c:numCache>
                <c:formatCode>#,##0.0</c:formatCode>
                <c:ptCount val="5"/>
                <c:pt idx="0">
                  <c:v>1936.8956380818627</c:v>
                </c:pt>
                <c:pt idx="1">
                  <c:v>2010.0644321408145</c:v>
                </c:pt>
                <c:pt idx="2">
                  <c:v>2177.7338745094012</c:v>
                </c:pt>
                <c:pt idx="3">
                  <c:v>1217.5414042528312</c:v>
                </c:pt>
                <c:pt idx="4">
                  <c:v>2036.84095</c:v>
                </c:pt>
              </c:numCache>
            </c:numRef>
          </c:val>
        </c:ser>
        <c:ser>
          <c:idx val="4"/>
          <c:order val="4"/>
          <c:tx>
            <c:strRef>
              <c:f>'НВВ2019-2020'!$A$54</c:f>
              <c:strCache>
                <c:ptCount val="1"/>
                <c:pt idx="0">
                  <c:v>НВВ на прередачу тепловой энергии </c:v>
                </c:pt>
              </c:strCache>
            </c:strRef>
          </c:tx>
          <c:spPr>
            <a:solidFill>
              <a:srgbClr val="00FF00"/>
            </a:solidFill>
            <a:ln w="12700">
              <a:solidFill>
                <a:srgbClr val="000000"/>
              </a:solidFill>
              <a:prstDash val="solid"/>
            </a:ln>
          </c:spPr>
          <c:invertIfNegative val="0"/>
          <c:dLbls>
            <c:dLbl>
              <c:idx val="0"/>
              <c:layout>
                <c:manualLayout>
                  <c:x val="4.0343543604484278E-2"/>
                  <c:y val="-3.0769401685030381E-2"/>
                </c:manualLayout>
              </c:layout>
              <c:showLegendKey val="0"/>
              <c:showVal val="1"/>
              <c:showCatName val="0"/>
              <c:showSerName val="0"/>
              <c:showPercent val="0"/>
              <c:showBubbleSize val="0"/>
            </c:dLbl>
            <c:dLbl>
              <c:idx val="1"/>
              <c:layout>
                <c:manualLayout>
                  <c:x val="3.7526684975107374E-2"/>
                  <c:y val="-3.3988315911078801E-2"/>
                </c:manualLayout>
              </c:layout>
              <c:dLblPos val="outEnd"/>
              <c:showLegendKey val="0"/>
              <c:showVal val="1"/>
              <c:showCatName val="0"/>
              <c:showSerName val="0"/>
              <c:showPercent val="0"/>
              <c:showBubbleSize val="0"/>
            </c:dLbl>
            <c:dLbl>
              <c:idx val="2"/>
              <c:layout>
                <c:manualLayout>
                  <c:x val="3.7071421609923536E-2"/>
                  <c:y val="-2.901851174782627E-2"/>
                </c:manualLayout>
              </c:layout>
              <c:dLblPos val="outEnd"/>
              <c:showLegendKey val="0"/>
              <c:showVal val="1"/>
              <c:showCatName val="0"/>
              <c:showSerName val="0"/>
              <c:showPercent val="0"/>
              <c:showBubbleSize val="0"/>
            </c:dLbl>
            <c:dLbl>
              <c:idx val="3"/>
              <c:layout>
                <c:manualLayout>
                  <c:x val="3.9277479683371801E-2"/>
                  <c:y val="-3.4905848895335601E-2"/>
                </c:manualLayout>
              </c:layout>
              <c:dLblPos val="outEnd"/>
              <c:showLegendKey val="0"/>
              <c:showVal val="1"/>
              <c:showCatName val="0"/>
              <c:showSerName val="0"/>
              <c:showPercent val="0"/>
              <c:showBubbleSize val="0"/>
            </c:dLbl>
            <c:dLbl>
              <c:idx val="4"/>
              <c:layout>
                <c:manualLayout>
                  <c:x val="3.3911112831884992E-2"/>
                  <c:y val="-3.2559459826312517E-2"/>
                </c:manualLayout>
              </c:layout>
              <c:showLegendKey val="0"/>
              <c:showVal val="1"/>
              <c:showCatName val="0"/>
              <c:showSerName val="0"/>
              <c:showPercent val="0"/>
              <c:showBubbleSize val="0"/>
            </c:dLbl>
            <c:spPr>
              <a:noFill/>
              <a:ln w="25400">
                <a:noFill/>
              </a:ln>
            </c:spPr>
            <c:txPr>
              <a:bodyPr/>
              <a:lstStyle/>
              <a:p>
                <a:pPr>
                  <a:defRPr sz="800" b="0" i="0" u="none" strike="noStrike" baseline="0">
                    <a:solidFill>
                      <a:srgbClr val="000000"/>
                    </a:solidFill>
                    <a:latin typeface="Arial Cyr"/>
                    <a:ea typeface="Arial Cyr"/>
                    <a:cs typeface="Arial Cyr"/>
                  </a:defRPr>
                </a:pPr>
                <a:endParaRPr lang="ru-RU"/>
              </a:p>
            </c:txPr>
            <c:showLegendKey val="0"/>
            <c:showVal val="1"/>
            <c:showCatName val="0"/>
            <c:showSerName val="0"/>
            <c:showPercent val="0"/>
            <c:showBubbleSize val="0"/>
            <c:showLeaderLines val="0"/>
          </c:dLbls>
          <c:cat>
            <c:numRef>
              <c:f>'НВВ2019-2020'!$B$49:$F$49</c:f>
              <c:numCache>
                <c:formatCode>General</c:formatCode>
                <c:ptCount val="5"/>
                <c:pt idx="0">
                  <c:v>2016</c:v>
                </c:pt>
                <c:pt idx="1">
                  <c:v>2017</c:v>
                </c:pt>
                <c:pt idx="2">
                  <c:v>2018</c:v>
                </c:pt>
                <c:pt idx="3">
                  <c:v>2019</c:v>
                </c:pt>
                <c:pt idx="4">
                  <c:v>2020</c:v>
                </c:pt>
              </c:numCache>
            </c:numRef>
          </c:cat>
          <c:val>
            <c:numRef>
              <c:f>'НВВ2019-2020'!$B$54:$F$54</c:f>
              <c:numCache>
                <c:formatCode>#,##0.0</c:formatCode>
                <c:ptCount val="5"/>
                <c:pt idx="0">
                  <c:v>3046.0880256334585</c:v>
                </c:pt>
                <c:pt idx="1">
                  <c:v>3147.8574901347774</c:v>
                </c:pt>
                <c:pt idx="2">
                  <c:v>3286.7656401101435</c:v>
                </c:pt>
                <c:pt idx="3">
                  <c:v>3702.6880499999911</c:v>
                </c:pt>
                <c:pt idx="4">
                  <c:v>4265.5242800000024</c:v>
                </c:pt>
              </c:numCache>
            </c:numRef>
          </c:val>
        </c:ser>
        <c:ser>
          <c:idx val="5"/>
          <c:order val="5"/>
          <c:tx>
            <c:strRef>
              <c:f>'НВВ2019-2020'!$A$55</c:f>
              <c:strCache>
                <c:ptCount val="1"/>
                <c:pt idx="0">
                  <c:v>Расходы на оплату услуг по теплосбытовой деятельности ООО "Сибирская теплосбытовая компания"</c:v>
                </c:pt>
              </c:strCache>
            </c:strRef>
          </c:tx>
          <c:invertIfNegative val="0"/>
          <c:dLbls>
            <c:dLbl>
              <c:idx val="3"/>
              <c:layout>
                <c:manualLayout>
                  <c:x val="1.0688328345446781E-2"/>
                  <c:y val="-2.0274084305044984E-2"/>
                </c:manualLayout>
              </c:layout>
              <c:tx>
                <c:rich>
                  <a:bodyPr/>
                  <a:lstStyle/>
                  <a:p>
                    <a:r>
                      <a:rPr lang="en-US"/>
                      <a:t>384,</a:t>
                    </a:r>
                    <a:r>
                      <a:rPr lang="ru-RU"/>
                      <a:t>3</a:t>
                    </a:r>
                    <a:endParaRPr lang="en-US"/>
                  </a:p>
                </c:rich>
              </c:tx>
              <c:showLegendKey val="0"/>
              <c:showVal val="1"/>
              <c:showCatName val="0"/>
              <c:showSerName val="0"/>
              <c:showPercent val="0"/>
              <c:showBubbleSize val="0"/>
            </c:dLbl>
            <c:dLbl>
              <c:idx val="4"/>
              <c:layout>
                <c:manualLayout>
                  <c:x val="1.9075000967935341E-2"/>
                  <c:y val="-1.6279729913156269E-2"/>
                </c:manualLayout>
              </c:layout>
              <c:showLegendKey val="0"/>
              <c:showVal val="1"/>
              <c:showCatName val="0"/>
              <c:showSerName val="0"/>
              <c:showPercent val="0"/>
              <c:showBubbleSize val="0"/>
            </c:dLbl>
            <c:txPr>
              <a:bodyPr/>
              <a:lstStyle/>
              <a:p>
                <a:pPr>
                  <a:defRPr sz="800"/>
                </a:pPr>
                <a:endParaRPr lang="ru-RU"/>
              </a:p>
            </c:txPr>
            <c:showLegendKey val="0"/>
            <c:showVal val="1"/>
            <c:showCatName val="0"/>
            <c:showSerName val="0"/>
            <c:showPercent val="0"/>
            <c:showBubbleSize val="0"/>
            <c:showLeaderLines val="0"/>
          </c:dLbls>
          <c:cat>
            <c:numRef>
              <c:f>'НВВ2019-2020'!$B$49:$F$49</c:f>
              <c:numCache>
                <c:formatCode>General</c:formatCode>
                <c:ptCount val="5"/>
                <c:pt idx="0">
                  <c:v>2016</c:v>
                </c:pt>
                <c:pt idx="1">
                  <c:v>2017</c:v>
                </c:pt>
                <c:pt idx="2">
                  <c:v>2018</c:v>
                </c:pt>
                <c:pt idx="3">
                  <c:v>2019</c:v>
                </c:pt>
                <c:pt idx="4">
                  <c:v>2020</c:v>
                </c:pt>
              </c:numCache>
            </c:numRef>
          </c:cat>
          <c:val>
            <c:numRef>
              <c:f>'НВВ2019-2020'!$B$55:$F$55</c:f>
              <c:numCache>
                <c:formatCode>General</c:formatCode>
                <c:ptCount val="5"/>
                <c:pt idx="3">
                  <c:v>384.26142957308525</c:v>
                </c:pt>
                <c:pt idx="4" formatCode="#,##0.0">
                  <c:v>391.83137999999883</c:v>
                </c:pt>
              </c:numCache>
            </c:numRef>
          </c:val>
        </c:ser>
        <c:ser>
          <c:idx val="6"/>
          <c:order val="6"/>
          <c:tx>
            <c:strRef>
              <c:f>'НВВ2019-2020'!$A$56</c:f>
              <c:strCache>
                <c:ptCount val="1"/>
                <c:pt idx="0">
                  <c:v>Расход по сомнительным долгам</c:v>
                </c:pt>
              </c:strCache>
            </c:strRef>
          </c:tx>
          <c:invertIfNegative val="0"/>
          <c:dLbls>
            <c:dLbl>
              <c:idx val="3"/>
              <c:layout>
                <c:manualLayout>
                  <c:x val="1.0597222759964059E-2"/>
                  <c:y val="0"/>
                </c:manualLayout>
              </c:layout>
              <c:tx>
                <c:rich>
                  <a:bodyPr/>
                  <a:lstStyle/>
                  <a:p>
                    <a:r>
                      <a:rPr lang="en-US"/>
                      <a:t>40,8</a:t>
                    </a:r>
                  </a:p>
                </c:rich>
              </c:tx>
              <c:showLegendKey val="0"/>
              <c:showVal val="1"/>
              <c:showCatName val="0"/>
              <c:showSerName val="0"/>
              <c:showPercent val="0"/>
              <c:showBubbleSize val="0"/>
            </c:dLbl>
            <c:dLbl>
              <c:idx val="4"/>
              <c:layout>
                <c:manualLayout>
                  <c:x val="1.9075000967935341E-2"/>
                  <c:y val="0"/>
                </c:manualLayout>
              </c:layout>
              <c:showLegendKey val="0"/>
              <c:showVal val="1"/>
              <c:showCatName val="0"/>
              <c:showSerName val="0"/>
              <c:showPercent val="0"/>
              <c:showBubbleSize val="0"/>
            </c:dLbl>
            <c:txPr>
              <a:bodyPr/>
              <a:lstStyle/>
              <a:p>
                <a:pPr>
                  <a:defRPr sz="800"/>
                </a:pPr>
                <a:endParaRPr lang="ru-RU"/>
              </a:p>
            </c:txPr>
            <c:showLegendKey val="0"/>
            <c:showVal val="1"/>
            <c:showCatName val="0"/>
            <c:showSerName val="0"/>
            <c:showPercent val="0"/>
            <c:showBubbleSize val="0"/>
            <c:showLeaderLines val="0"/>
          </c:dLbls>
          <c:cat>
            <c:numRef>
              <c:f>'НВВ2019-2020'!$B$49:$F$49</c:f>
              <c:numCache>
                <c:formatCode>General</c:formatCode>
                <c:ptCount val="5"/>
                <c:pt idx="0">
                  <c:v>2016</c:v>
                </c:pt>
                <c:pt idx="1">
                  <c:v>2017</c:v>
                </c:pt>
                <c:pt idx="2">
                  <c:v>2018</c:v>
                </c:pt>
                <c:pt idx="3">
                  <c:v>2019</c:v>
                </c:pt>
                <c:pt idx="4">
                  <c:v>2020</c:v>
                </c:pt>
              </c:numCache>
            </c:numRef>
          </c:cat>
          <c:val>
            <c:numRef>
              <c:f>'НВВ2019-2020'!$B$56:$F$56</c:f>
              <c:numCache>
                <c:formatCode>General</c:formatCode>
                <c:ptCount val="5"/>
                <c:pt idx="3">
                  <c:v>40.844079999999998</c:v>
                </c:pt>
                <c:pt idx="4" formatCode="#,##0.0">
                  <c:v>36.629130000000124</c:v>
                </c:pt>
              </c:numCache>
            </c:numRef>
          </c:val>
        </c:ser>
        <c:dLbls>
          <c:showLegendKey val="0"/>
          <c:showVal val="1"/>
          <c:showCatName val="0"/>
          <c:showSerName val="0"/>
          <c:showPercent val="0"/>
          <c:showBubbleSize val="0"/>
        </c:dLbls>
        <c:gapWidth val="150"/>
        <c:axId val="136726016"/>
        <c:axId val="283295040"/>
      </c:barChart>
      <c:catAx>
        <c:axId val="136726016"/>
        <c:scaling>
          <c:orientation val="minMax"/>
        </c:scaling>
        <c:delete val="0"/>
        <c:axPos val="b"/>
        <c:title>
          <c:tx>
            <c:rich>
              <a:bodyPr/>
              <a:lstStyle/>
              <a:p>
                <a:pPr>
                  <a:defRPr sz="800" b="1" i="0" u="none" strike="noStrike" baseline="0">
                    <a:solidFill>
                      <a:srgbClr val="000000"/>
                    </a:solidFill>
                    <a:latin typeface="Arial Cyr"/>
                    <a:ea typeface="Arial Cyr"/>
                    <a:cs typeface="Arial Cyr"/>
                  </a:defRPr>
                </a:pPr>
                <a:r>
                  <a:rPr lang="ru-RU"/>
                  <a:t>Годы</a:t>
                </a:r>
              </a:p>
            </c:rich>
          </c:tx>
          <c:layout>
            <c:manualLayout>
              <c:xMode val="edge"/>
              <c:yMode val="edge"/>
              <c:x val="0.53088238736122506"/>
              <c:y val="0.79527278576832605"/>
            </c:manualLayout>
          </c:layout>
          <c:overlay val="0"/>
          <c:spPr>
            <a:noFill/>
            <a:ln w="25400">
              <a:noFill/>
            </a:ln>
          </c:spPr>
        </c:title>
        <c:numFmt formatCode="General" sourceLinked="1"/>
        <c:majorTickMark val="out"/>
        <c:minorTickMark val="none"/>
        <c:tickLblPos val="nextTo"/>
        <c:spPr>
          <a:ln w="3175">
            <a:solidFill>
              <a:srgbClr val="000000"/>
            </a:solidFill>
            <a:prstDash val="solid"/>
          </a:ln>
        </c:spPr>
        <c:txPr>
          <a:bodyPr rot="0" vert="horz"/>
          <a:lstStyle/>
          <a:p>
            <a:pPr>
              <a:defRPr sz="800" b="0" i="0" u="none" strike="noStrike" baseline="0">
                <a:solidFill>
                  <a:srgbClr val="000000"/>
                </a:solidFill>
                <a:latin typeface="Arial Cyr"/>
                <a:ea typeface="Arial Cyr"/>
                <a:cs typeface="Arial Cyr"/>
              </a:defRPr>
            </a:pPr>
            <a:endParaRPr lang="ru-RU"/>
          </a:p>
        </c:txPr>
        <c:crossAx val="283295040"/>
        <c:crosses val="autoZero"/>
        <c:auto val="1"/>
        <c:lblAlgn val="ctr"/>
        <c:lblOffset val="100"/>
        <c:tickLblSkip val="1"/>
        <c:tickMarkSkip val="1"/>
        <c:noMultiLvlLbl val="0"/>
      </c:catAx>
      <c:valAx>
        <c:axId val="283295040"/>
        <c:scaling>
          <c:orientation val="minMax"/>
        </c:scaling>
        <c:delete val="0"/>
        <c:axPos val="l"/>
        <c:majorGridlines>
          <c:spPr>
            <a:ln w="3175">
              <a:solidFill>
                <a:srgbClr val="000000"/>
              </a:solidFill>
              <a:prstDash val="solid"/>
            </a:ln>
          </c:spPr>
        </c:majorGridlines>
        <c:title>
          <c:tx>
            <c:rich>
              <a:bodyPr/>
              <a:lstStyle/>
              <a:p>
                <a:pPr>
                  <a:defRPr sz="800" b="1" i="0" u="none" strike="noStrike" baseline="0">
                    <a:solidFill>
                      <a:srgbClr val="000000"/>
                    </a:solidFill>
                    <a:latin typeface="Arial Cyr"/>
                    <a:ea typeface="Arial Cyr"/>
                    <a:cs typeface="Arial Cyr"/>
                  </a:defRPr>
                </a:pPr>
                <a:r>
                  <a:rPr lang="ru-RU"/>
                  <a:t>Тыс.руб.</a:t>
                </a:r>
              </a:p>
            </c:rich>
          </c:tx>
          <c:layout>
            <c:manualLayout>
              <c:xMode val="edge"/>
              <c:yMode val="edge"/>
              <c:x val="2.3529411764705879E-2"/>
              <c:y val="0.40740844431483592"/>
            </c:manualLayout>
          </c:layout>
          <c:overlay val="0"/>
          <c:spPr>
            <a:noFill/>
            <a:ln w="25400">
              <a:noFill/>
            </a:ln>
          </c:spPr>
        </c:title>
        <c:numFmt formatCode="#,##0.0" sourceLinked="1"/>
        <c:majorTickMark val="out"/>
        <c:minorTickMark val="none"/>
        <c:tickLblPos val="nextTo"/>
        <c:spPr>
          <a:ln w="3175">
            <a:solidFill>
              <a:srgbClr val="000000"/>
            </a:solidFill>
            <a:prstDash val="solid"/>
          </a:ln>
        </c:spPr>
        <c:txPr>
          <a:bodyPr rot="0" vert="horz"/>
          <a:lstStyle/>
          <a:p>
            <a:pPr>
              <a:defRPr sz="800" b="0" i="0" u="none" strike="noStrike" baseline="0">
                <a:solidFill>
                  <a:srgbClr val="000000"/>
                </a:solidFill>
                <a:latin typeface="Arial Cyr"/>
                <a:ea typeface="Arial Cyr"/>
                <a:cs typeface="Arial Cyr"/>
              </a:defRPr>
            </a:pPr>
            <a:endParaRPr lang="ru-RU"/>
          </a:p>
        </c:txPr>
        <c:crossAx val="136726016"/>
        <c:crosses val="autoZero"/>
        <c:crossBetween val="between"/>
      </c:valAx>
      <c:spPr>
        <a:noFill/>
        <a:ln w="25400">
          <a:noFill/>
        </a:ln>
      </c:spPr>
    </c:plotArea>
    <c:legend>
      <c:legendPos val="b"/>
      <c:layout>
        <c:manualLayout>
          <c:xMode val="edge"/>
          <c:yMode val="edge"/>
          <c:x val="6.8420513028866231E-2"/>
          <c:y val="0.8289627316445628"/>
          <c:w val="0.90732717626502102"/>
          <c:h val="0.11518400139007014"/>
        </c:manualLayout>
      </c:layout>
      <c:overlay val="0"/>
      <c:spPr>
        <a:solidFill>
          <a:srgbClr val="FFFFFF"/>
        </a:solidFill>
        <a:ln w="3175">
          <a:solidFill>
            <a:srgbClr val="000000"/>
          </a:solidFill>
          <a:prstDash val="solid"/>
        </a:ln>
      </c:spPr>
      <c:txPr>
        <a:bodyPr/>
        <a:lstStyle/>
        <a:p>
          <a:pPr>
            <a:defRPr sz="620" b="0" i="0" u="none" strike="noStrike" baseline="0">
              <a:solidFill>
                <a:srgbClr val="000000"/>
              </a:solidFill>
              <a:latin typeface="Arial Cyr"/>
              <a:ea typeface="Arial Cyr"/>
              <a:cs typeface="Arial Cyr"/>
            </a:defRPr>
          </a:pPr>
          <a:endParaRPr lang="ru-RU"/>
        </a:p>
      </c:txPr>
    </c:legend>
    <c:plotVisOnly val="1"/>
    <c:dispBlanksAs val="gap"/>
    <c:showDLblsOverMax val="0"/>
  </c:chart>
  <c:spPr>
    <a:solidFill>
      <a:srgbClr val="FFFFFF"/>
    </a:solidFill>
    <a:ln w="3175">
      <a:solidFill>
        <a:schemeClr val="bg1"/>
      </a:solidFill>
      <a:prstDash val="solid"/>
    </a:ln>
  </c:spPr>
  <c:txPr>
    <a:bodyPr/>
    <a:lstStyle/>
    <a:p>
      <a:pPr>
        <a:defRPr sz="1200" b="0" i="0" u="none" strike="noStrike" baseline="0">
          <a:solidFill>
            <a:srgbClr val="000000"/>
          </a:solidFill>
          <a:latin typeface="Arial Cyr"/>
          <a:ea typeface="Arial Cyr"/>
          <a:cs typeface="Arial Cyr"/>
        </a:defRPr>
      </a:pPr>
      <a:endParaRPr lang="ru-RU"/>
    </a:p>
  </c:txPr>
  <c:externalData r:id="rId1">
    <c:autoUpdate val="0"/>
  </c:externalData>
</c:chartSpace>
</file>

<file path=word/charts/chart7.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a:lstStyle/>
          <a:p>
            <a:pPr>
              <a:defRPr sz="1075" b="1" i="0" u="none" strike="noStrike" baseline="0">
                <a:solidFill>
                  <a:srgbClr val="000000"/>
                </a:solidFill>
                <a:latin typeface="Arial Cyr"/>
                <a:ea typeface="Arial Cyr"/>
                <a:cs typeface="Arial Cyr"/>
              </a:defRPr>
            </a:pPr>
            <a:r>
              <a:rPr lang="ru-RU"/>
              <a:t>Структура НВВ на тепловую энергию для конечного потребителя 
в 2019 году</a:t>
            </a:r>
          </a:p>
        </c:rich>
      </c:tx>
      <c:layout>
        <c:manualLayout>
          <c:xMode val="edge"/>
          <c:yMode val="edge"/>
          <c:x val="0.14090980918134269"/>
          <c:y val="2.4764397905759201E-2"/>
        </c:manualLayout>
      </c:layout>
      <c:overlay val="0"/>
      <c:spPr>
        <a:noFill/>
        <a:ln w="25400">
          <a:noFill/>
        </a:ln>
      </c:spPr>
    </c:title>
    <c:autoTitleDeleted val="0"/>
    <c:plotArea>
      <c:layout>
        <c:manualLayout>
          <c:layoutTarget val="inner"/>
          <c:xMode val="edge"/>
          <c:yMode val="edge"/>
          <c:x val="0.39061644615329538"/>
          <c:y val="0.24904631569371871"/>
          <c:w val="0.40029542097488935"/>
          <c:h val="0.54200000000000004"/>
        </c:manualLayout>
      </c:layout>
      <c:pieChart>
        <c:varyColors val="1"/>
        <c:ser>
          <c:idx val="0"/>
          <c:order val="0"/>
          <c:spPr>
            <a:solidFill>
              <a:srgbClr val="9999FF"/>
            </a:solidFill>
            <a:ln w="12700">
              <a:solidFill>
                <a:srgbClr val="000000"/>
              </a:solidFill>
              <a:prstDash val="solid"/>
            </a:ln>
          </c:spPr>
          <c:explosion val="14"/>
          <c:dPt>
            <c:idx val="1"/>
            <c:bubble3D val="0"/>
            <c:spPr>
              <a:solidFill>
                <a:srgbClr val="00FF00"/>
              </a:solidFill>
              <a:ln w="12700">
                <a:solidFill>
                  <a:srgbClr val="000000"/>
                </a:solidFill>
                <a:prstDash val="solid"/>
              </a:ln>
            </c:spPr>
          </c:dPt>
          <c:dPt>
            <c:idx val="2"/>
            <c:bubble3D val="0"/>
            <c:spPr>
              <a:solidFill>
                <a:srgbClr val="993366"/>
              </a:solidFill>
              <a:ln w="12700">
                <a:solidFill>
                  <a:srgbClr val="000000"/>
                </a:solidFill>
                <a:prstDash val="solid"/>
              </a:ln>
            </c:spPr>
          </c:dPt>
          <c:dPt>
            <c:idx val="3"/>
            <c:bubble3D val="0"/>
            <c:spPr>
              <a:solidFill>
                <a:srgbClr val="FFFFCC"/>
              </a:solidFill>
              <a:ln w="12700">
                <a:solidFill>
                  <a:srgbClr val="000000"/>
                </a:solidFill>
                <a:prstDash val="solid"/>
              </a:ln>
            </c:spPr>
          </c:dPt>
          <c:dPt>
            <c:idx val="4"/>
            <c:bubble3D val="0"/>
            <c:spPr>
              <a:solidFill>
                <a:srgbClr val="CCFFFF"/>
              </a:solidFill>
              <a:ln w="12700">
                <a:solidFill>
                  <a:srgbClr val="000000"/>
                </a:solidFill>
                <a:prstDash val="solid"/>
              </a:ln>
            </c:spPr>
          </c:dPt>
          <c:dLbls>
            <c:dLbl>
              <c:idx val="0"/>
              <c:layout>
                <c:manualLayout>
                  <c:x val="2.9981894803769851E-2"/>
                  <c:y val="-5.1392545931758522E-2"/>
                </c:manualLayout>
              </c:layout>
              <c:tx>
                <c:rich>
                  <a:bodyPr/>
                  <a:lstStyle/>
                  <a:p>
                    <a:pPr>
                      <a:defRPr sz="800" b="0" i="0" u="none" strike="noStrike" baseline="0">
                        <a:solidFill>
                          <a:srgbClr val="000000"/>
                        </a:solidFill>
                        <a:latin typeface="Arial Cyr"/>
                        <a:ea typeface="Arial Cyr"/>
                        <a:cs typeface="Arial Cyr"/>
                      </a:defRPr>
                    </a:pPr>
                    <a:r>
                      <a:rPr lang="ru-RU"/>
                      <a:t>НВВ на производство тепловой энергии ТЭС
49,57%</a:t>
                    </a:r>
                  </a:p>
                </c:rich>
              </c:tx>
              <c:spPr>
                <a:noFill/>
                <a:ln w="25400">
                  <a:noFill/>
                </a:ln>
              </c:spPr>
              <c:dLblPos val="bestFit"/>
              <c:showLegendKey val="0"/>
              <c:showVal val="0"/>
              <c:showCatName val="0"/>
              <c:showSerName val="0"/>
              <c:showPercent val="0"/>
              <c:showBubbleSize val="0"/>
            </c:dLbl>
            <c:dLbl>
              <c:idx val="1"/>
              <c:layout>
                <c:manualLayout>
                  <c:x val="-3.6001039013402606E-3"/>
                  <c:y val="-6.3170603674541134E-3"/>
                </c:manualLayout>
              </c:layout>
              <c:tx>
                <c:rich>
                  <a:bodyPr/>
                  <a:lstStyle/>
                  <a:p>
                    <a:pPr>
                      <a:defRPr sz="800" b="0" i="0" u="none" strike="noStrike" baseline="0">
                        <a:solidFill>
                          <a:srgbClr val="000000"/>
                        </a:solidFill>
                        <a:latin typeface="Arial Cyr"/>
                        <a:ea typeface="Arial Cyr"/>
                        <a:cs typeface="Arial Cyr"/>
                      </a:defRPr>
                    </a:pPr>
                    <a:r>
                      <a:rPr lang="ru-RU"/>
                      <a:t>НВВ на производство тепловой энергии  филиалом Локальные котельные
9,94%</a:t>
                    </a:r>
                  </a:p>
                </c:rich>
              </c:tx>
              <c:spPr>
                <a:noFill/>
                <a:ln w="25400">
                  <a:noFill/>
                </a:ln>
              </c:spPr>
              <c:dLblPos val="bestFit"/>
              <c:showLegendKey val="0"/>
              <c:showVal val="0"/>
              <c:showCatName val="0"/>
              <c:showSerName val="0"/>
              <c:showPercent val="0"/>
              <c:showBubbleSize val="0"/>
            </c:dLbl>
            <c:dLbl>
              <c:idx val="2"/>
              <c:layout>
                <c:manualLayout>
                  <c:x val="-8.2855115784088385E-2"/>
                  <c:y val="-4.1098162729658765E-2"/>
                </c:manualLayout>
              </c:layout>
              <c:tx>
                <c:rich>
                  <a:bodyPr/>
                  <a:lstStyle/>
                  <a:p>
                    <a:pPr>
                      <a:defRPr sz="800" b="0" i="0" u="none" strike="noStrike" baseline="0">
                        <a:solidFill>
                          <a:srgbClr val="000000"/>
                        </a:solidFill>
                        <a:latin typeface="Arial Cyr"/>
                        <a:ea typeface="Arial Cyr"/>
                        <a:cs typeface="Arial Cyr"/>
                      </a:defRPr>
                    </a:pPr>
                    <a:r>
                      <a:rPr lang="ru-RU"/>
                      <a:t>Покупка тепловой энергии от ведомственных котельных
5,93%</a:t>
                    </a:r>
                  </a:p>
                </c:rich>
              </c:tx>
              <c:spPr>
                <a:noFill/>
                <a:ln w="25400">
                  <a:noFill/>
                </a:ln>
              </c:spPr>
              <c:dLblPos val="bestFit"/>
              <c:showLegendKey val="0"/>
              <c:showVal val="0"/>
              <c:showCatName val="0"/>
              <c:showSerName val="0"/>
              <c:showPercent val="0"/>
              <c:showBubbleSize val="0"/>
            </c:dLbl>
            <c:dLbl>
              <c:idx val="3"/>
              <c:layout>
                <c:manualLayout>
                  <c:x val="-3.8048515722831591E-2"/>
                  <c:y val="-4.6228871391076065E-2"/>
                </c:manualLayout>
              </c:layout>
              <c:tx>
                <c:rich>
                  <a:bodyPr/>
                  <a:lstStyle/>
                  <a:p>
                    <a:pPr>
                      <a:defRPr sz="800" b="0" i="0" u="none" strike="noStrike" baseline="0">
                        <a:solidFill>
                          <a:srgbClr val="000000"/>
                        </a:solidFill>
                        <a:latin typeface="Arial Cyr"/>
                        <a:ea typeface="Arial Cyr"/>
                        <a:cs typeface="Arial Cyr"/>
                      </a:defRPr>
                    </a:pPr>
                    <a:r>
                      <a:rPr lang="ru-RU"/>
                      <a:t>НВВ на передачу 
 тепловой энергии
31,09%</a:t>
                    </a:r>
                  </a:p>
                </c:rich>
              </c:tx>
              <c:spPr>
                <a:noFill/>
                <a:ln w="25400">
                  <a:noFill/>
                </a:ln>
              </c:spPr>
              <c:dLblPos val="bestFit"/>
              <c:showLegendKey val="0"/>
              <c:showVal val="0"/>
              <c:showCatName val="0"/>
              <c:showSerName val="0"/>
              <c:showPercent val="0"/>
              <c:showBubbleSize val="0"/>
            </c:dLbl>
            <c:dLbl>
              <c:idx val="4"/>
              <c:layout>
                <c:manualLayout>
                  <c:x val="-0.14355637263403745"/>
                  <c:y val="3.9060065135837069E-2"/>
                </c:manualLayout>
              </c:layout>
              <c:tx>
                <c:rich>
                  <a:bodyPr/>
                  <a:lstStyle/>
                  <a:p>
                    <a:pPr>
                      <a:defRPr sz="800" b="0" i="0" u="none" strike="noStrike" baseline="0">
                        <a:solidFill>
                          <a:srgbClr val="000000"/>
                        </a:solidFill>
                        <a:latin typeface="Arial Cyr"/>
                        <a:ea typeface="Arial Cyr"/>
                        <a:cs typeface="Arial Cyr"/>
                      </a:defRPr>
                    </a:pPr>
                    <a:r>
                      <a:rPr lang="ru-RU"/>
                      <a:t>НВВ на сбыт тепловой энергии 
3,14%</a:t>
                    </a:r>
                  </a:p>
                </c:rich>
              </c:tx>
              <c:spPr>
                <a:noFill/>
                <a:ln w="25400">
                  <a:noFill/>
                </a:ln>
              </c:spPr>
              <c:dLblPos val="bestFit"/>
              <c:showLegendKey val="0"/>
              <c:showVal val="0"/>
              <c:showCatName val="0"/>
              <c:showSerName val="0"/>
              <c:showPercent val="0"/>
              <c:showBubbleSize val="0"/>
            </c:dLbl>
            <c:dLbl>
              <c:idx val="5"/>
              <c:layout>
                <c:manualLayout>
                  <c:x val="0.16300908421689594"/>
                  <c:y val="-1.4929711011254483E-3"/>
                </c:manualLayout>
              </c:layout>
              <c:tx>
                <c:rich>
                  <a:bodyPr/>
                  <a:lstStyle/>
                  <a:p>
                    <a:r>
                      <a:rPr lang="ru-RU"/>
                      <a:t>Расход по сомнительным долгам
0,33%</a:t>
                    </a:r>
                  </a:p>
                </c:rich>
              </c:tx>
              <c:showLegendKey val="0"/>
              <c:showVal val="0"/>
              <c:showCatName val="1"/>
              <c:showSerName val="0"/>
              <c:showPercent val="1"/>
              <c:showBubbleSize val="0"/>
            </c:dLbl>
            <c:numFmt formatCode="0%" sourceLinked="0"/>
            <c:spPr>
              <a:noFill/>
              <a:ln w="25400">
                <a:noFill/>
              </a:ln>
            </c:spPr>
            <c:txPr>
              <a:bodyPr/>
              <a:lstStyle/>
              <a:p>
                <a:pPr>
                  <a:defRPr sz="800" b="0" i="0" u="none" strike="noStrike" baseline="0">
                    <a:solidFill>
                      <a:srgbClr val="000000"/>
                    </a:solidFill>
                    <a:latin typeface="Arial Cyr"/>
                    <a:ea typeface="Arial Cyr"/>
                    <a:cs typeface="Arial Cyr"/>
                  </a:defRPr>
                </a:pPr>
                <a:endParaRPr lang="ru-RU"/>
              </a:p>
            </c:txPr>
            <c:showLegendKey val="0"/>
            <c:showVal val="0"/>
            <c:showCatName val="1"/>
            <c:showSerName val="0"/>
            <c:showPercent val="1"/>
            <c:showBubbleSize val="0"/>
            <c:showLeaderLines val="1"/>
          </c:dLbls>
          <c:cat>
            <c:strRef>
              <c:f>'НВВ2019-2020'!$A$25:$A$30</c:f>
              <c:strCache>
                <c:ptCount val="6"/>
                <c:pt idx="0">
                  <c:v>производство ТЭС</c:v>
                </c:pt>
                <c:pt idx="1">
                  <c:v>производство филиалом Локальные котельные</c:v>
                </c:pt>
                <c:pt idx="2">
                  <c:v>покупка от ведомст котельных</c:v>
                </c:pt>
                <c:pt idx="3">
                  <c:v>передача </c:v>
                </c:pt>
                <c:pt idx="4">
                  <c:v>Оплата услуг ООО "Сибирская теплосбытовая компания"</c:v>
                </c:pt>
                <c:pt idx="5">
                  <c:v>Расход по сомнительным долгам</c:v>
                </c:pt>
              </c:strCache>
            </c:strRef>
          </c:cat>
          <c:val>
            <c:numRef>
              <c:f>'НВВ2019-2020'!$B$25:$B$30</c:f>
              <c:numCache>
                <c:formatCode>#,##0.00</c:formatCode>
                <c:ptCount val="6"/>
                <c:pt idx="0">
                  <c:v>6373701.8800000008</c:v>
                </c:pt>
                <c:pt idx="1">
                  <c:v>2036840.95</c:v>
                </c:pt>
                <c:pt idx="2">
                  <c:v>703747.66999999899</c:v>
                </c:pt>
                <c:pt idx="3">
                  <c:v>4373212.74</c:v>
                </c:pt>
                <c:pt idx="4">
                  <c:v>391831.38</c:v>
                </c:pt>
                <c:pt idx="5" formatCode="_-* #,##0.00_р_._-;\-* #,##0.00_р_._-;_-* &quot;-&quot;??_р_._-;_-@_-">
                  <c:v>36629.129999999997</c:v>
                </c:pt>
              </c:numCache>
            </c:numRef>
          </c:val>
        </c:ser>
        <c:ser>
          <c:idx val="1"/>
          <c:order val="1"/>
          <c:dLbls>
            <c:showLegendKey val="0"/>
            <c:showVal val="0"/>
            <c:showCatName val="1"/>
            <c:showSerName val="0"/>
            <c:showPercent val="1"/>
            <c:showBubbleSize val="0"/>
            <c:showLeaderLines val="1"/>
          </c:dLbls>
          <c:cat>
            <c:strRef>
              <c:f>'НВВ2019-2020'!$A$25:$A$28</c:f>
              <c:strCache>
                <c:ptCount val="4"/>
                <c:pt idx="0">
                  <c:v>производство ТЭС</c:v>
                </c:pt>
                <c:pt idx="1">
                  <c:v>производство филиалом Локальные котельные</c:v>
                </c:pt>
                <c:pt idx="2">
                  <c:v>покупка от ведомст котельных</c:v>
                </c:pt>
                <c:pt idx="3">
                  <c:v>передача </c:v>
                </c:pt>
              </c:strCache>
            </c:strRef>
          </c:cat>
          <c:val>
            <c:numRef>
              <c:f>'НВВ2019-2020'!$C$25:$C$28</c:f>
              <c:numCache>
                <c:formatCode>0.00%</c:formatCode>
                <c:ptCount val="4"/>
                <c:pt idx="0">
                  <c:v>0.45801368805663922</c:v>
                </c:pt>
                <c:pt idx="1">
                  <c:v>0.14636722160188148</c:v>
                </c:pt>
                <c:pt idx="2">
                  <c:v>5.0571249152614378E-2</c:v>
                </c:pt>
                <c:pt idx="3">
                  <c:v>0.31425870450402688</c:v>
                </c:pt>
              </c:numCache>
            </c:numRef>
          </c:val>
        </c:ser>
        <c:dLbls>
          <c:showLegendKey val="0"/>
          <c:showVal val="0"/>
          <c:showCatName val="1"/>
          <c:showSerName val="0"/>
          <c:showPercent val="1"/>
          <c:showBubbleSize val="0"/>
          <c:showLeaderLines val="1"/>
        </c:dLbls>
        <c:firstSliceAng val="0"/>
      </c:pieChart>
      <c:spPr>
        <a:noFill/>
        <a:ln w="25400">
          <a:noFill/>
        </a:ln>
      </c:spPr>
    </c:plotArea>
    <c:plotVisOnly val="1"/>
    <c:dispBlanksAs val="zero"/>
    <c:showDLblsOverMax val="0"/>
  </c:chart>
  <c:spPr>
    <a:solidFill>
      <a:schemeClr val="bg1"/>
    </a:solidFill>
    <a:ln w="3175">
      <a:solidFill>
        <a:schemeClr val="bg1"/>
      </a:solidFill>
      <a:prstDash val="solid"/>
    </a:ln>
  </c:spPr>
  <c:txPr>
    <a:bodyPr/>
    <a:lstStyle/>
    <a:p>
      <a:pPr>
        <a:defRPr sz="1200" b="0" i="0" u="none" strike="noStrike" baseline="0">
          <a:solidFill>
            <a:srgbClr val="000000"/>
          </a:solidFill>
          <a:latin typeface="Arial Cyr"/>
          <a:ea typeface="Arial Cyr"/>
          <a:cs typeface="Arial Cyr"/>
        </a:defRPr>
      </a:pPr>
      <a:endParaRPr lang="ru-RU"/>
    </a:p>
  </c:txPr>
  <c:externalData r:id="rId1">
    <c:autoUpdate val="0"/>
  </c:externalData>
</c:chartSpace>
</file>

<file path=word/charts/chart8.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a:lstStyle/>
          <a:p>
            <a:pPr>
              <a:defRPr sz="1075" b="1" i="0" u="none" strike="noStrike" baseline="0">
                <a:solidFill>
                  <a:srgbClr val="000000"/>
                </a:solidFill>
                <a:latin typeface="Arial Cyr"/>
                <a:ea typeface="Arial Cyr"/>
                <a:cs typeface="Arial Cyr"/>
              </a:defRPr>
            </a:pPr>
            <a:r>
              <a:rPr lang="ru-RU"/>
              <a:t>Структура НВВ на тепловую энергию для конечного потребителя 
в</a:t>
            </a:r>
            <a:r>
              <a:rPr lang="en-US"/>
              <a:t> </a:t>
            </a:r>
            <a:r>
              <a:rPr lang="ru-RU"/>
              <a:t>20</a:t>
            </a:r>
            <a:r>
              <a:rPr lang="en-US"/>
              <a:t>20 </a:t>
            </a:r>
            <a:r>
              <a:rPr lang="ru-RU"/>
              <a:t>году</a:t>
            </a:r>
          </a:p>
        </c:rich>
      </c:tx>
      <c:layout>
        <c:manualLayout>
          <c:xMode val="edge"/>
          <c:yMode val="edge"/>
          <c:x val="0.14090980918134269"/>
          <c:y val="2.4764397905759201E-2"/>
        </c:manualLayout>
      </c:layout>
      <c:overlay val="0"/>
      <c:spPr>
        <a:noFill/>
        <a:ln w="25400">
          <a:noFill/>
        </a:ln>
      </c:spPr>
    </c:title>
    <c:autoTitleDeleted val="0"/>
    <c:plotArea>
      <c:layout>
        <c:manualLayout>
          <c:layoutTarget val="inner"/>
          <c:xMode val="edge"/>
          <c:yMode val="edge"/>
          <c:x val="0.32291777230167901"/>
          <c:y val="0.23508274083987898"/>
          <c:w val="0.40029542097488935"/>
          <c:h val="0.54200000000000004"/>
        </c:manualLayout>
      </c:layout>
      <c:pieChart>
        <c:varyColors val="1"/>
        <c:ser>
          <c:idx val="0"/>
          <c:order val="0"/>
          <c:spPr>
            <a:solidFill>
              <a:srgbClr val="9999FF"/>
            </a:solidFill>
            <a:ln w="12700">
              <a:solidFill>
                <a:srgbClr val="000000"/>
              </a:solidFill>
              <a:prstDash val="solid"/>
            </a:ln>
          </c:spPr>
          <c:explosion val="8"/>
          <c:dPt>
            <c:idx val="1"/>
            <c:bubble3D val="0"/>
            <c:spPr>
              <a:solidFill>
                <a:srgbClr val="00FF00"/>
              </a:solidFill>
              <a:ln w="12700">
                <a:solidFill>
                  <a:srgbClr val="000000"/>
                </a:solidFill>
                <a:prstDash val="solid"/>
              </a:ln>
            </c:spPr>
          </c:dPt>
          <c:dPt>
            <c:idx val="2"/>
            <c:bubble3D val="0"/>
            <c:spPr>
              <a:solidFill>
                <a:srgbClr val="993366"/>
              </a:solidFill>
              <a:ln w="12700">
                <a:solidFill>
                  <a:srgbClr val="000000"/>
                </a:solidFill>
                <a:prstDash val="solid"/>
              </a:ln>
            </c:spPr>
          </c:dPt>
          <c:dPt>
            <c:idx val="3"/>
            <c:bubble3D val="0"/>
            <c:spPr>
              <a:solidFill>
                <a:srgbClr val="FFFFCC"/>
              </a:solidFill>
              <a:ln w="12700">
                <a:solidFill>
                  <a:srgbClr val="000000"/>
                </a:solidFill>
                <a:prstDash val="solid"/>
              </a:ln>
            </c:spPr>
          </c:dPt>
          <c:dPt>
            <c:idx val="4"/>
            <c:bubble3D val="0"/>
            <c:spPr>
              <a:solidFill>
                <a:srgbClr val="CCFFFF"/>
              </a:solidFill>
              <a:ln w="12700">
                <a:solidFill>
                  <a:srgbClr val="000000"/>
                </a:solidFill>
                <a:prstDash val="solid"/>
              </a:ln>
            </c:spPr>
          </c:dPt>
          <c:dLbls>
            <c:dLbl>
              <c:idx val="0"/>
              <c:layout>
                <c:manualLayout>
                  <c:x val="2.9981894803769851E-2"/>
                  <c:y val="-5.1392545931758522E-2"/>
                </c:manualLayout>
              </c:layout>
              <c:tx>
                <c:rich>
                  <a:bodyPr/>
                  <a:lstStyle/>
                  <a:p>
                    <a:pPr>
                      <a:defRPr sz="800" b="0" i="0" u="none" strike="noStrike" baseline="0">
                        <a:solidFill>
                          <a:srgbClr val="000000"/>
                        </a:solidFill>
                        <a:latin typeface="Arial Cyr"/>
                        <a:ea typeface="Arial Cyr"/>
                        <a:cs typeface="Arial Cyr"/>
                      </a:defRPr>
                    </a:pPr>
                    <a:r>
                      <a:rPr lang="ru-RU"/>
                      <a:t>НВВ на производство тепловой энергии ТЭС
</a:t>
                    </a:r>
                    <a:r>
                      <a:rPr lang="en-US"/>
                      <a:t>45,79</a:t>
                    </a:r>
                    <a:r>
                      <a:rPr lang="ru-RU"/>
                      <a:t>%</a:t>
                    </a:r>
                  </a:p>
                </c:rich>
              </c:tx>
              <c:spPr>
                <a:noFill/>
                <a:ln w="25400">
                  <a:noFill/>
                </a:ln>
              </c:spPr>
              <c:dLblPos val="bestFit"/>
              <c:showLegendKey val="0"/>
              <c:showVal val="0"/>
              <c:showCatName val="0"/>
              <c:showSerName val="0"/>
              <c:showPercent val="0"/>
              <c:showBubbleSize val="0"/>
            </c:dLbl>
            <c:dLbl>
              <c:idx val="1"/>
              <c:layout>
                <c:manualLayout>
                  <c:x val="-3.6001039013402606E-3"/>
                  <c:y val="-6.3170603674541134E-3"/>
                </c:manualLayout>
              </c:layout>
              <c:tx>
                <c:rich>
                  <a:bodyPr/>
                  <a:lstStyle/>
                  <a:p>
                    <a:pPr>
                      <a:defRPr sz="800" b="0" i="0" u="none" strike="noStrike" baseline="0">
                        <a:solidFill>
                          <a:srgbClr val="000000"/>
                        </a:solidFill>
                        <a:latin typeface="Arial Cyr"/>
                        <a:ea typeface="Arial Cyr"/>
                        <a:cs typeface="Arial Cyr"/>
                      </a:defRPr>
                    </a:pPr>
                    <a:r>
                      <a:rPr lang="ru-RU"/>
                      <a:t>НВВ на производство тепловой энергии  филиалом Локальные котельные
</a:t>
                    </a:r>
                    <a:r>
                      <a:rPr lang="en-US"/>
                      <a:t>14,64</a:t>
                    </a:r>
                    <a:r>
                      <a:rPr lang="ru-RU"/>
                      <a:t>%</a:t>
                    </a:r>
                  </a:p>
                </c:rich>
              </c:tx>
              <c:spPr>
                <a:noFill/>
                <a:ln w="25400">
                  <a:noFill/>
                </a:ln>
              </c:spPr>
              <c:dLblPos val="bestFit"/>
              <c:showLegendKey val="0"/>
              <c:showVal val="0"/>
              <c:showCatName val="0"/>
              <c:showSerName val="0"/>
              <c:showPercent val="0"/>
              <c:showBubbleSize val="0"/>
            </c:dLbl>
            <c:dLbl>
              <c:idx val="2"/>
              <c:layout>
                <c:manualLayout>
                  <c:x val="-8.2855115784088385E-2"/>
                  <c:y val="-4.1098162729658765E-2"/>
                </c:manualLayout>
              </c:layout>
              <c:tx>
                <c:rich>
                  <a:bodyPr/>
                  <a:lstStyle/>
                  <a:p>
                    <a:pPr>
                      <a:defRPr sz="800" b="0" i="0" u="none" strike="noStrike" baseline="0">
                        <a:solidFill>
                          <a:srgbClr val="000000"/>
                        </a:solidFill>
                        <a:latin typeface="Arial Cyr"/>
                        <a:ea typeface="Arial Cyr"/>
                        <a:cs typeface="Arial Cyr"/>
                      </a:defRPr>
                    </a:pPr>
                    <a:r>
                      <a:rPr lang="ru-RU"/>
                      <a:t>Покупка тепловой энергии от ведомственных котельных
</a:t>
                    </a:r>
                    <a:r>
                      <a:rPr lang="en-US"/>
                      <a:t>5,06</a:t>
                    </a:r>
                    <a:r>
                      <a:rPr lang="ru-RU"/>
                      <a:t>%</a:t>
                    </a:r>
                  </a:p>
                </c:rich>
              </c:tx>
              <c:spPr>
                <a:noFill/>
                <a:ln w="25400">
                  <a:noFill/>
                </a:ln>
              </c:spPr>
              <c:dLblPos val="bestFit"/>
              <c:showLegendKey val="0"/>
              <c:showVal val="0"/>
              <c:showCatName val="0"/>
              <c:showSerName val="0"/>
              <c:showPercent val="0"/>
              <c:showBubbleSize val="0"/>
            </c:dLbl>
            <c:dLbl>
              <c:idx val="3"/>
              <c:layout>
                <c:manualLayout>
                  <c:x val="-3.8048515722831591E-2"/>
                  <c:y val="-4.6228871391076065E-2"/>
                </c:manualLayout>
              </c:layout>
              <c:tx>
                <c:rich>
                  <a:bodyPr/>
                  <a:lstStyle/>
                  <a:p>
                    <a:pPr>
                      <a:defRPr sz="800" b="0" i="0" u="none" strike="noStrike" baseline="0">
                        <a:solidFill>
                          <a:srgbClr val="000000"/>
                        </a:solidFill>
                        <a:latin typeface="Arial Cyr"/>
                        <a:ea typeface="Arial Cyr"/>
                        <a:cs typeface="Arial Cyr"/>
                      </a:defRPr>
                    </a:pPr>
                    <a:r>
                      <a:rPr lang="ru-RU"/>
                      <a:t>НВВ на передачу 
 тепловой энергии
</a:t>
                    </a:r>
                    <a:r>
                      <a:rPr lang="en-US"/>
                      <a:t>31,43</a:t>
                    </a:r>
                    <a:r>
                      <a:rPr lang="ru-RU"/>
                      <a:t>%</a:t>
                    </a:r>
                  </a:p>
                </c:rich>
              </c:tx>
              <c:spPr>
                <a:noFill/>
                <a:ln w="25400">
                  <a:noFill/>
                </a:ln>
              </c:spPr>
              <c:dLblPos val="bestFit"/>
              <c:showLegendKey val="0"/>
              <c:showVal val="0"/>
              <c:showCatName val="0"/>
              <c:showSerName val="0"/>
              <c:showPercent val="0"/>
              <c:showBubbleSize val="0"/>
            </c:dLbl>
            <c:dLbl>
              <c:idx val="4"/>
              <c:layout>
                <c:manualLayout>
                  <c:x val="-0.14355637263403745"/>
                  <c:y val="3.9060065135837069E-2"/>
                </c:manualLayout>
              </c:layout>
              <c:tx>
                <c:rich>
                  <a:bodyPr/>
                  <a:lstStyle/>
                  <a:p>
                    <a:pPr>
                      <a:defRPr sz="800" b="0" i="0" u="none" strike="noStrike" baseline="0">
                        <a:solidFill>
                          <a:srgbClr val="000000"/>
                        </a:solidFill>
                        <a:latin typeface="Arial Cyr"/>
                        <a:ea typeface="Arial Cyr"/>
                        <a:cs typeface="Arial Cyr"/>
                      </a:defRPr>
                    </a:pPr>
                    <a:r>
                      <a:rPr lang="ru-RU"/>
                      <a:t>НВВ на сбыт тепловой энергии 
</a:t>
                    </a:r>
                    <a:r>
                      <a:rPr lang="en-US"/>
                      <a:t>2,82</a:t>
                    </a:r>
                    <a:r>
                      <a:rPr lang="ru-RU"/>
                      <a:t>%</a:t>
                    </a:r>
                  </a:p>
                </c:rich>
              </c:tx>
              <c:spPr>
                <a:noFill/>
                <a:ln w="25400">
                  <a:noFill/>
                </a:ln>
              </c:spPr>
              <c:dLblPos val="bestFit"/>
              <c:showLegendKey val="0"/>
              <c:showVal val="0"/>
              <c:showCatName val="0"/>
              <c:showSerName val="0"/>
              <c:showPercent val="0"/>
              <c:showBubbleSize val="0"/>
            </c:dLbl>
            <c:dLbl>
              <c:idx val="5"/>
              <c:layout>
                <c:manualLayout>
                  <c:x val="0.16300908421689594"/>
                  <c:y val="-1.4929711011254483E-3"/>
                </c:manualLayout>
              </c:layout>
              <c:tx>
                <c:rich>
                  <a:bodyPr/>
                  <a:lstStyle/>
                  <a:p>
                    <a:r>
                      <a:rPr lang="ru-RU"/>
                      <a:t>Расход по сомнительным долгам
0,</a:t>
                    </a:r>
                    <a:r>
                      <a:rPr lang="en-US"/>
                      <a:t>26</a:t>
                    </a:r>
                    <a:r>
                      <a:rPr lang="ru-RU"/>
                      <a:t>%</a:t>
                    </a:r>
                  </a:p>
                </c:rich>
              </c:tx>
              <c:showLegendKey val="0"/>
              <c:showVal val="0"/>
              <c:showCatName val="1"/>
              <c:showSerName val="0"/>
              <c:showPercent val="1"/>
              <c:showBubbleSize val="0"/>
            </c:dLbl>
            <c:numFmt formatCode="0%" sourceLinked="0"/>
            <c:spPr>
              <a:noFill/>
              <a:ln w="25400">
                <a:noFill/>
              </a:ln>
            </c:spPr>
            <c:txPr>
              <a:bodyPr/>
              <a:lstStyle/>
              <a:p>
                <a:pPr>
                  <a:defRPr sz="800" b="0" i="0" u="none" strike="noStrike" baseline="0">
                    <a:solidFill>
                      <a:srgbClr val="000000"/>
                    </a:solidFill>
                    <a:latin typeface="Arial Cyr"/>
                    <a:ea typeface="Arial Cyr"/>
                    <a:cs typeface="Arial Cyr"/>
                  </a:defRPr>
                </a:pPr>
                <a:endParaRPr lang="ru-RU"/>
              </a:p>
            </c:txPr>
            <c:showLegendKey val="0"/>
            <c:showVal val="0"/>
            <c:showCatName val="1"/>
            <c:showSerName val="0"/>
            <c:showPercent val="1"/>
            <c:showBubbleSize val="0"/>
            <c:showLeaderLines val="1"/>
          </c:dLbls>
          <c:cat>
            <c:strRef>
              <c:f>'НВВ2019-2020'!$A$25:$A$30</c:f>
              <c:strCache>
                <c:ptCount val="6"/>
                <c:pt idx="0">
                  <c:v>производство ТЭС</c:v>
                </c:pt>
                <c:pt idx="1">
                  <c:v>производство филиалом Локальные котельные</c:v>
                </c:pt>
                <c:pt idx="2">
                  <c:v>покупка от ведомст котельных</c:v>
                </c:pt>
                <c:pt idx="3">
                  <c:v>передача </c:v>
                </c:pt>
                <c:pt idx="4">
                  <c:v>Оплата услуг ООО "Сибирская теплосбытовая компания"</c:v>
                </c:pt>
                <c:pt idx="5">
                  <c:v>Расход по сомнительным долгам</c:v>
                </c:pt>
              </c:strCache>
            </c:strRef>
          </c:cat>
          <c:val>
            <c:numRef>
              <c:f>'НВВ2019-2020'!$B$25:$B$30</c:f>
              <c:numCache>
                <c:formatCode>#,##0.00</c:formatCode>
                <c:ptCount val="6"/>
                <c:pt idx="0">
                  <c:v>6373701.8800000008</c:v>
                </c:pt>
                <c:pt idx="1">
                  <c:v>2036840.95</c:v>
                </c:pt>
                <c:pt idx="2">
                  <c:v>703747.66999999899</c:v>
                </c:pt>
                <c:pt idx="3">
                  <c:v>4373212.74</c:v>
                </c:pt>
                <c:pt idx="4">
                  <c:v>391831.38</c:v>
                </c:pt>
                <c:pt idx="5" formatCode="_-* #,##0.00_р_._-;\-* #,##0.00_р_._-;_-* &quot;-&quot;??_р_._-;_-@_-">
                  <c:v>36629.129999999997</c:v>
                </c:pt>
              </c:numCache>
            </c:numRef>
          </c:val>
        </c:ser>
        <c:ser>
          <c:idx val="1"/>
          <c:order val="1"/>
          <c:dLbls>
            <c:showLegendKey val="0"/>
            <c:showVal val="0"/>
            <c:showCatName val="1"/>
            <c:showSerName val="0"/>
            <c:showPercent val="1"/>
            <c:showBubbleSize val="0"/>
            <c:showLeaderLines val="1"/>
          </c:dLbls>
          <c:cat>
            <c:strRef>
              <c:f>'НВВ2019-2020'!$A$25:$A$28</c:f>
              <c:strCache>
                <c:ptCount val="4"/>
                <c:pt idx="0">
                  <c:v>производство ТЭС</c:v>
                </c:pt>
                <c:pt idx="1">
                  <c:v>производство филиалом Локальные котельные</c:v>
                </c:pt>
                <c:pt idx="2">
                  <c:v>покупка от ведомст котельных</c:v>
                </c:pt>
                <c:pt idx="3">
                  <c:v>передача </c:v>
                </c:pt>
              </c:strCache>
            </c:strRef>
          </c:cat>
          <c:val>
            <c:numRef>
              <c:f>'НВВ2019-2020'!$C$25:$C$28</c:f>
              <c:numCache>
                <c:formatCode>0.00%</c:formatCode>
                <c:ptCount val="4"/>
                <c:pt idx="0">
                  <c:v>0.45801368805663922</c:v>
                </c:pt>
                <c:pt idx="1">
                  <c:v>0.14636722160188148</c:v>
                </c:pt>
                <c:pt idx="2">
                  <c:v>5.0571249152614378E-2</c:v>
                </c:pt>
                <c:pt idx="3">
                  <c:v>0.31425870450402688</c:v>
                </c:pt>
              </c:numCache>
            </c:numRef>
          </c:val>
        </c:ser>
        <c:dLbls>
          <c:showLegendKey val="0"/>
          <c:showVal val="0"/>
          <c:showCatName val="1"/>
          <c:showSerName val="0"/>
          <c:showPercent val="1"/>
          <c:showBubbleSize val="0"/>
          <c:showLeaderLines val="1"/>
        </c:dLbls>
        <c:firstSliceAng val="0"/>
      </c:pieChart>
      <c:spPr>
        <a:noFill/>
        <a:ln w="25400">
          <a:noFill/>
        </a:ln>
      </c:spPr>
    </c:plotArea>
    <c:plotVisOnly val="1"/>
    <c:dispBlanksAs val="zero"/>
    <c:showDLblsOverMax val="0"/>
  </c:chart>
  <c:spPr>
    <a:solidFill>
      <a:srgbClr val="FFFFFF"/>
    </a:solidFill>
    <a:ln w="3175">
      <a:solidFill>
        <a:schemeClr val="bg1"/>
      </a:solidFill>
      <a:prstDash val="solid"/>
    </a:ln>
  </c:spPr>
  <c:txPr>
    <a:bodyPr/>
    <a:lstStyle/>
    <a:p>
      <a:pPr>
        <a:defRPr sz="1200" b="0" i="0" u="none" strike="noStrike" baseline="0">
          <a:solidFill>
            <a:srgbClr val="000000"/>
          </a:solidFill>
          <a:latin typeface="Arial Cyr"/>
          <a:ea typeface="Arial Cyr"/>
          <a:cs typeface="Arial Cyr"/>
        </a:defRPr>
      </a:pPr>
      <a:endParaRPr lang="ru-RU"/>
    </a:p>
  </c:txPr>
  <c:externalData r:id="rId1">
    <c:autoUpdate val="0"/>
  </c:externalData>
</c:chartSpace>
</file>

<file path=word/charts/chart9.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a:lstStyle/>
          <a:p>
            <a:pPr>
              <a:defRPr sz="1100" b="1">
                <a:latin typeface="Times New Roman" pitchFamily="18" charset="0"/>
                <a:cs typeface="Times New Roman" pitchFamily="18" charset="0"/>
              </a:defRPr>
            </a:pPr>
            <a:r>
              <a:rPr lang="ru-RU" sz="1100" b="1">
                <a:latin typeface="Times New Roman" pitchFamily="18" charset="0"/>
                <a:cs typeface="Times New Roman" pitchFamily="18" charset="0"/>
              </a:rPr>
              <a:t>Структура НВВ на производство тепловой энергии АО "СИБЭКО"  по ТЭС и локальным источникам в </a:t>
            </a:r>
            <a:r>
              <a:rPr lang="en-US" sz="1100" b="1">
                <a:latin typeface="Times New Roman" pitchFamily="18" charset="0"/>
                <a:cs typeface="Times New Roman" pitchFamily="18" charset="0"/>
              </a:rPr>
              <a:t>201</a:t>
            </a:r>
            <a:r>
              <a:rPr lang="ru-RU" sz="1100" b="1">
                <a:latin typeface="Times New Roman" pitchFamily="18" charset="0"/>
                <a:cs typeface="Times New Roman" pitchFamily="18" charset="0"/>
              </a:rPr>
              <a:t>9 году</a:t>
            </a:r>
            <a:endParaRPr lang="en-US" sz="1100" b="1">
              <a:latin typeface="Times New Roman" pitchFamily="18" charset="0"/>
              <a:cs typeface="Times New Roman" pitchFamily="18" charset="0"/>
            </a:endParaRPr>
          </a:p>
        </c:rich>
      </c:tx>
      <c:overlay val="0"/>
    </c:title>
    <c:autoTitleDeleted val="0"/>
    <c:plotArea>
      <c:layout>
        <c:manualLayout>
          <c:layoutTarget val="inner"/>
          <c:xMode val="edge"/>
          <c:yMode val="edge"/>
          <c:x val="0.31346525401602277"/>
          <c:y val="0.24176762672877813"/>
          <c:w val="0.39750243915846412"/>
          <c:h val="0.67040146471758055"/>
        </c:manualLayout>
      </c:layout>
      <c:pieChart>
        <c:varyColors val="1"/>
        <c:ser>
          <c:idx val="0"/>
          <c:order val="0"/>
          <c:dPt>
            <c:idx val="1"/>
            <c:bubble3D val="0"/>
            <c:explosion val="3"/>
          </c:dPt>
          <c:dPt>
            <c:idx val="2"/>
            <c:bubble3D val="0"/>
            <c:explosion val="1"/>
          </c:dPt>
          <c:dPt>
            <c:idx val="3"/>
            <c:bubble3D val="0"/>
            <c:explosion val="4"/>
          </c:dPt>
          <c:dLbls>
            <c:dLbl>
              <c:idx val="0"/>
              <c:layout>
                <c:manualLayout>
                  <c:x val="0.12315056822085721"/>
                  <c:y val="5.5878975392976496E-2"/>
                </c:manualLayout>
              </c:layout>
              <c:tx>
                <c:rich>
                  <a:bodyPr/>
                  <a:lstStyle/>
                  <a:p>
                    <a:r>
                      <a:rPr lang="ru-RU"/>
                      <a:t>Ремонт
6,8%</a:t>
                    </a:r>
                  </a:p>
                </c:rich>
              </c:tx>
              <c:showLegendKey val="0"/>
              <c:showVal val="0"/>
              <c:showCatName val="1"/>
              <c:showSerName val="0"/>
              <c:showPercent val="1"/>
              <c:showBubbleSize val="0"/>
            </c:dLbl>
            <c:dLbl>
              <c:idx val="1"/>
              <c:layout>
                <c:manualLayout>
                  <c:x val="1.3868848854626161E-3"/>
                  <c:y val="-1.201485575892418E-2"/>
                </c:manualLayout>
              </c:layout>
              <c:tx>
                <c:rich>
                  <a:bodyPr/>
                  <a:lstStyle/>
                  <a:p>
                    <a:r>
                      <a:rPr lang="ru-RU"/>
                      <a:t>Топливо 
63,3%</a:t>
                    </a:r>
                  </a:p>
                </c:rich>
              </c:tx>
              <c:showLegendKey val="0"/>
              <c:showVal val="0"/>
              <c:showCatName val="1"/>
              <c:showSerName val="0"/>
              <c:showPercent val="1"/>
              <c:showBubbleSize val="0"/>
            </c:dLbl>
            <c:dLbl>
              <c:idx val="2"/>
              <c:layout>
                <c:manualLayout>
                  <c:x val="-3.7439845542868194E-2"/>
                  <c:y val="4.8217482748432114E-3"/>
                </c:manualLayout>
              </c:layout>
              <c:tx>
                <c:rich>
                  <a:bodyPr/>
                  <a:lstStyle/>
                  <a:p>
                    <a:r>
                      <a:rPr lang="ru-RU"/>
                      <a:t>ФОТ + отчисления
18,6</a:t>
                    </a:r>
                    <a:r>
                      <a:rPr lang="ru-RU" baseline="0"/>
                      <a:t> </a:t>
                    </a:r>
                    <a:r>
                      <a:rPr lang="ru-RU"/>
                      <a:t>%</a:t>
                    </a:r>
                  </a:p>
                </c:rich>
              </c:tx>
              <c:showLegendKey val="0"/>
              <c:showVal val="0"/>
              <c:showCatName val="1"/>
              <c:showSerName val="0"/>
              <c:showPercent val="1"/>
              <c:showBubbleSize val="0"/>
            </c:dLbl>
            <c:dLbl>
              <c:idx val="3"/>
              <c:layout>
                <c:manualLayout>
                  <c:x val="-4.5468799384370144E-2"/>
                  <c:y val="1.7854026524830091E-2"/>
                </c:manualLayout>
              </c:layout>
              <c:tx>
                <c:rich>
                  <a:bodyPr/>
                  <a:lstStyle/>
                  <a:p>
                    <a:r>
                      <a:rPr lang="ru-RU"/>
                      <a:t>Амортизация 
2,8%</a:t>
                    </a:r>
                  </a:p>
                </c:rich>
              </c:tx>
              <c:showLegendKey val="0"/>
              <c:showVal val="0"/>
              <c:showCatName val="1"/>
              <c:showSerName val="0"/>
              <c:showPercent val="1"/>
              <c:showBubbleSize val="0"/>
            </c:dLbl>
            <c:dLbl>
              <c:idx val="4"/>
              <c:layout>
                <c:manualLayout>
                  <c:x val="-3.8632765799563012E-2"/>
                  <c:y val="-1.2118452080907106E-2"/>
                </c:manualLayout>
              </c:layout>
              <c:tx>
                <c:rich>
                  <a:bodyPr/>
                  <a:lstStyle/>
                  <a:p>
                    <a:r>
                      <a:rPr lang="ru-RU"/>
                      <a:t>Прочие 
8,3%</a:t>
                    </a:r>
                  </a:p>
                </c:rich>
              </c:tx>
              <c:showLegendKey val="0"/>
              <c:showVal val="0"/>
              <c:showCatName val="1"/>
              <c:showSerName val="0"/>
              <c:showPercent val="1"/>
              <c:showBubbleSize val="0"/>
            </c:dLbl>
            <c:dLbl>
              <c:idx val="5"/>
              <c:tx>
                <c:rich>
                  <a:bodyPr/>
                  <a:lstStyle/>
                  <a:p>
                    <a:r>
                      <a:rPr lang="ru-RU"/>
                      <a:t>Аренда
0,1%</a:t>
                    </a:r>
                  </a:p>
                </c:rich>
              </c:tx>
              <c:showLegendKey val="0"/>
              <c:showVal val="0"/>
              <c:showCatName val="1"/>
              <c:showSerName val="0"/>
              <c:showPercent val="1"/>
              <c:showBubbleSize val="0"/>
            </c:dLbl>
            <c:dLbl>
              <c:idx val="6"/>
              <c:tx>
                <c:rich>
                  <a:bodyPr/>
                  <a:lstStyle/>
                  <a:p>
                    <a:r>
                      <a:rPr lang="ru-RU"/>
                      <a:t> Прибыль 
0,1%</a:t>
                    </a:r>
                  </a:p>
                </c:rich>
              </c:tx>
              <c:showLegendKey val="0"/>
              <c:showVal val="0"/>
              <c:showCatName val="1"/>
              <c:showSerName val="0"/>
              <c:showPercent val="1"/>
              <c:showBubbleSize val="0"/>
            </c:dLbl>
            <c:numFmt formatCode="0.0%" sourceLinked="0"/>
            <c:showLegendKey val="0"/>
            <c:showVal val="0"/>
            <c:showCatName val="1"/>
            <c:showSerName val="0"/>
            <c:showPercent val="1"/>
            <c:showBubbleSize val="0"/>
            <c:showLeaderLines val="1"/>
          </c:dLbls>
          <c:cat>
            <c:strRef>
              <c:f>'Структура НВВ'!$B$4:$B$10</c:f>
              <c:strCache>
                <c:ptCount val="7"/>
                <c:pt idx="0">
                  <c:v>Ремонт</c:v>
                </c:pt>
                <c:pt idx="1">
                  <c:v>Топливо </c:v>
                </c:pt>
                <c:pt idx="2">
                  <c:v>ФОТ + отчисления</c:v>
                </c:pt>
                <c:pt idx="3">
                  <c:v>Амортизация </c:v>
                </c:pt>
                <c:pt idx="4">
                  <c:v>Прочие </c:v>
                </c:pt>
                <c:pt idx="5">
                  <c:v>Аренда</c:v>
                </c:pt>
                <c:pt idx="6">
                  <c:v> Прибыль </c:v>
                </c:pt>
              </c:strCache>
            </c:strRef>
          </c:cat>
          <c:val>
            <c:numRef>
              <c:f>'Структура НВВ'!$C$4:$C$10</c:f>
              <c:numCache>
                <c:formatCode>#,##0.0</c:formatCode>
                <c:ptCount val="7"/>
                <c:pt idx="0">
                  <c:v>496186</c:v>
                </c:pt>
                <c:pt idx="1">
                  <c:v>4614944.83</c:v>
                </c:pt>
                <c:pt idx="2">
                  <c:v>1355664</c:v>
                </c:pt>
                <c:pt idx="3">
                  <c:v>203068.2</c:v>
                </c:pt>
                <c:pt idx="4">
                  <c:v>606820.00953952689</c:v>
                </c:pt>
                <c:pt idx="5">
                  <c:v>6738.5</c:v>
                </c:pt>
                <c:pt idx="6">
                  <c:v>6292.7</c:v>
                </c:pt>
              </c:numCache>
            </c:numRef>
          </c:val>
        </c:ser>
        <c:dLbls>
          <c:showLegendKey val="0"/>
          <c:showVal val="0"/>
          <c:showCatName val="0"/>
          <c:showSerName val="0"/>
          <c:showPercent val="0"/>
          <c:showBubbleSize val="0"/>
          <c:showLeaderLines val="1"/>
        </c:dLbls>
        <c:firstSliceAng val="0"/>
      </c:pieChart>
    </c:plotArea>
    <c:plotVisOnly val="1"/>
    <c:dispBlanksAs val="zero"/>
    <c:showDLblsOverMax val="0"/>
  </c:chart>
  <c:spPr>
    <a:noFill/>
    <a:ln>
      <a:noFill/>
    </a:ln>
  </c:spPr>
  <c:externalData r:id="rId1">
    <c:autoUpdate val="0"/>
  </c:externalData>
</c:chartSpace>
</file>

<file path=word/charts/chart10.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a:lstStyle/>
          <a:p>
            <a:pPr>
              <a:defRPr sz="1100" b="1">
                <a:latin typeface="Times New Roman" pitchFamily="18" charset="0"/>
                <a:cs typeface="Times New Roman" pitchFamily="18" charset="0"/>
              </a:defRPr>
            </a:pPr>
            <a:r>
              <a:rPr lang="ru-RU" sz="1100" b="1">
                <a:latin typeface="Times New Roman" pitchFamily="18" charset="0"/>
                <a:cs typeface="Times New Roman" pitchFamily="18" charset="0"/>
              </a:rPr>
              <a:t>Структура НВВ на производство тепловой энергии АО "СИБЭКО"  по ТЭС и локальным источникам  в </a:t>
            </a:r>
            <a:r>
              <a:rPr lang="en-US" sz="1100" b="1">
                <a:latin typeface="Times New Roman" pitchFamily="18" charset="0"/>
                <a:cs typeface="Times New Roman" pitchFamily="18" charset="0"/>
              </a:rPr>
              <a:t>20</a:t>
            </a:r>
            <a:r>
              <a:rPr lang="ru-RU" sz="1100" b="1">
                <a:latin typeface="Times New Roman" pitchFamily="18" charset="0"/>
                <a:cs typeface="Times New Roman" pitchFamily="18" charset="0"/>
              </a:rPr>
              <a:t>20 году</a:t>
            </a:r>
            <a:endParaRPr lang="en-US" sz="1100" b="1">
              <a:latin typeface="Times New Roman" pitchFamily="18" charset="0"/>
              <a:cs typeface="Times New Roman" pitchFamily="18" charset="0"/>
            </a:endParaRPr>
          </a:p>
        </c:rich>
      </c:tx>
      <c:overlay val="0"/>
    </c:title>
    <c:autoTitleDeleted val="0"/>
    <c:plotArea>
      <c:layout>
        <c:manualLayout>
          <c:layoutTarget val="inner"/>
          <c:xMode val="edge"/>
          <c:yMode val="edge"/>
          <c:x val="0.31346525401602277"/>
          <c:y val="0.24176762672877813"/>
          <c:w val="0.39750243915846262"/>
          <c:h val="0.67040146471757922"/>
        </c:manualLayout>
      </c:layout>
      <c:pieChart>
        <c:varyColors val="1"/>
        <c:ser>
          <c:idx val="0"/>
          <c:order val="0"/>
          <c:dPt>
            <c:idx val="1"/>
            <c:bubble3D val="0"/>
            <c:explosion val="4"/>
          </c:dPt>
          <c:dPt>
            <c:idx val="2"/>
            <c:bubble3D val="0"/>
            <c:explosion val="1"/>
          </c:dPt>
          <c:dPt>
            <c:idx val="3"/>
            <c:bubble3D val="0"/>
            <c:explosion val="6"/>
          </c:dPt>
          <c:dPt>
            <c:idx val="6"/>
            <c:bubble3D val="0"/>
            <c:explosion val="2"/>
          </c:dPt>
          <c:dLbls>
            <c:dLbl>
              <c:idx val="0"/>
              <c:layout>
                <c:manualLayout>
                  <c:x val="0.12315056822085721"/>
                  <c:y val="5.5878975392976496E-2"/>
                </c:manualLayout>
              </c:layout>
              <c:tx>
                <c:rich>
                  <a:bodyPr/>
                  <a:lstStyle/>
                  <a:p>
                    <a:r>
                      <a:rPr lang="ru-RU"/>
                      <a:t>Ремонт
6,0%</a:t>
                    </a:r>
                  </a:p>
                </c:rich>
              </c:tx>
              <c:showLegendKey val="0"/>
              <c:showVal val="0"/>
              <c:showCatName val="1"/>
              <c:showSerName val="0"/>
              <c:showPercent val="1"/>
              <c:showBubbleSize val="0"/>
            </c:dLbl>
            <c:dLbl>
              <c:idx val="1"/>
              <c:layout>
                <c:manualLayout>
                  <c:x val="1.3868848854626161E-3"/>
                  <c:y val="-1.201485575892418E-2"/>
                </c:manualLayout>
              </c:layout>
              <c:tx>
                <c:rich>
                  <a:bodyPr/>
                  <a:lstStyle/>
                  <a:p>
                    <a:r>
                      <a:rPr lang="ru-RU"/>
                      <a:t>Топливо 
63,2%</a:t>
                    </a:r>
                  </a:p>
                </c:rich>
              </c:tx>
              <c:showLegendKey val="0"/>
              <c:showVal val="0"/>
              <c:showCatName val="1"/>
              <c:showSerName val="0"/>
              <c:showPercent val="1"/>
              <c:showBubbleSize val="0"/>
            </c:dLbl>
            <c:dLbl>
              <c:idx val="2"/>
              <c:layout>
                <c:manualLayout>
                  <c:x val="-3.7439845542868035E-2"/>
                  <c:y val="4.8217482748432001E-3"/>
                </c:manualLayout>
              </c:layout>
              <c:tx>
                <c:rich>
                  <a:bodyPr/>
                  <a:lstStyle/>
                  <a:p>
                    <a:r>
                      <a:rPr lang="ru-RU"/>
                      <a:t>ФОТ + отчисления
16,5%</a:t>
                    </a:r>
                  </a:p>
                </c:rich>
              </c:tx>
              <c:showLegendKey val="0"/>
              <c:showVal val="0"/>
              <c:showCatName val="1"/>
              <c:showSerName val="0"/>
              <c:showPercent val="1"/>
              <c:showBubbleSize val="0"/>
            </c:dLbl>
            <c:dLbl>
              <c:idx val="3"/>
              <c:layout>
                <c:manualLayout>
                  <c:x val="-4.5468799384370144E-2"/>
                  <c:y val="1.7854026524830091E-2"/>
                </c:manualLayout>
              </c:layout>
              <c:tx>
                <c:rich>
                  <a:bodyPr/>
                  <a:lstStyle/>
                  <a:p>
                    <a:r>
                      <a:rPr lang="ru-RU"/>
                      <a:t>Амортизация 
0,8%</a:t>
                    </a:r>
                  </a:p>
                </c:rich>
              </c:tx>
              <c:showLegendKey val="0"/>
              <c:showVal val="0"/>
              <c:showCatName val="1"/>
              <c:showSerName val="0"/>
              <c:showPercent val="1"/>
              <c:showBubbleSize val="0"/>
            </c:dLbl>
            <c:dLbl>
              <c:idx val="4"/>
              <c:layout>
                <c:manualLayout>
                  <c:x val="-3.8632765799563012E-2"/>
                  <c:y val="-1.2118452080907106E-2"/>
                </c:manualLayout>
              </c:layout>
              <c:tx>
                <c:rich>
                  <a:bodyPr/>
                  <a:lstStyle/>
                  <a:p>
                    <a:r>
                      <a:rPr lang="ru-RU"/>
                      <a:t>Прочие 
11,6%</a:t>
                    </a:r>
                  </a:p>
                </c:rich>
              </c:tx>
              <c:showLegendKey val="0"/>
              <c:showVal val="0"/>
              <c:showCatName val="1"/>
              <c:showSerName val="0"/>
              <c:showPercent val="1"/>
              <c:showBubbleSize val="0"/>
            </c:dLbl>
            <c:dLbl>
              <c:idx val="5"/>
              <c:tx>
                <c:rich>
                  <a:bodyPr/>
                  <a:lstStyle/>
                  <a:p>
                    <a:r>
                      <a:rPr lang="ru-RU"/>
                      <a:t>Аренда
0,1%</a:t>
                    </a:r>
                  </a:p>
                </c:rich>
              </c:tx>
              <c:showLegendKey val="0"/>
              <c:showVal val="0"/>
              <c:showCatName val="1"/>
              <c:showSerName val="0"/>
              <c:showPercent val="1"/>
              <c:showBubbleSize val="0"/>
            </c:dLbl>
            <c:dLbl>
              <c:idx val="6"/>
              <c:layout>
                <c:manualLayout>
                  <c:x val="4.2012701683122523E-2"/>
                  <c:y val="-1.8951885393834161E-2"/>
                </c:manualLayout>
              </c:layout>
              <c:tx>
                <c:rich>
                  <a:bodyPr/>
                  <a:lstStyle/>
                  <a:p>
                    <a:r>
                      <a:rPr lang="ru-RU"/>
                      <a:t> Прибыль 
1,9%</a:t>
                    </a:r>
                  </a:p>
                </c:rich>
              </c:tx>
              <c:showLegendKey val="0"/>
              <c:showVal val="0"/>
              <c:showCatName val="1"/>
              <c:showSerName val="0"/>
              <c:showPercent val="1"/>
              <c:showBubbleSize val="0"/>
            </c:dLbl>
            <c:numFmt formatCode="0.0%" sourceLinked="0"/>
            <c:showLegendKey val="0"/>
            <c:showVal val="0"/>
            <c:showCatName val="1"/>
            <c:showSerName val="0"/>
            <c:showPercent val="1"/>
            <c:showBubbleSize val="0"/>
            <c:showLeaderLines val="1"/>
          </c:dLbls>
          <c:cat>
            <c:strRef>
              <c:f>'Структура НВВ'!$B$4:$B$10</c:f>
              <c:strCache>
                <c:ptCount val="7"/>
                <c:pt idx="0">
                  <c:v>Ремонт</c:v>
                </c:pt>
                <c:pt idx="1">
                  <c:v>Топливо </c:v>
                </c:pt>
                <c:pt idx="2">
                  <c:v>ФОТ + отчисления</c:v>
                </c:pt>
                <c:pt idx="3">
                  <c:v>Амортизация </c:v>
                </c:pt>
                <c:pt idx="4">
                  <c:v>Прочие </c:v>
                </c:pt>
                <c:pt idx="5">
                  <c:v>Аренда</c:v>
                </c:pt>
                <c:pt idx="6">
                  <c:v> Прибыль </c:v>
                </c:pt>
              </c:strCache>
            </c:strRef>
          </c:cat>
          <c:val>
            <c:numRef>
              <c:f>'Структура НВВ'!$C$4:$C$10</c:f>
              <c:numCache>
                <c:formatCode>#,##0.0</c:formatCode>
                <c:ptCount val="7"/>
                <c:pt idx="0">
                  <c:v>505960.81335326022</c:v>
                </c:pt>
                <c:pt idx="1">
                  <c:v>5311951.3100000005</c:v>
                </c:pt>
                <c:pt idx="2">
                  <c:v>1390008.3629369759</c:v>
                </c:pt>
                <c:pt idx="3">
                  <c:v>66818.593909999938</c:v>
                </c:pt>
                <c:pt idx="4">
                  <c:v>972603.231198041</c:v>
                </c:pt>
                <c:pt idx="5">
                  <c:v>6420.6203389830534</c:v>
                </c:pt>
                <c:pt idx="6">
                  <c:v>156779.89826274183</c:v>
                </c:pt>
              </c:numCache>
            </c:numRef>
          </c:val>
        </c:ser>
        <c:dLbls>
          <c:showLegendKey val="0"/>
          <c:showVal val="0"/>
          <c:showCatName val="0"/>
          <c:showSerName val="0"/>
          <c:showPercent val="0"/>
          <c:showBubbleSize val="0"/>
          <c:showLeaderLines val="1"/>
        </c:dLbls>
        <c:firstSliceAng val="0"/>
      </c:pieChart>
    </c:plotArea>
    <c:plotVisOnly val="1"/>
    <c:dispBlanksAs val="zero"/>
    <c:showDLblsOverMax val="0"/>
  </c:chart>
  <c:spPr>
    <a:ln>
      <a:noFill/>
    </a:ln>
  </c:spPr>
  <c:externalData r:id="rId1">
    <c:autoUpdate val="0"/>
  </c:externalData>
</c:chartSpace>
</file>

<file path=word/charts/chart11.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a:lstStyle/>
          <a:p>
            <a:pPr>
              <a:defRPr sz="1050"/>
            </a:pPr>
            <a:r>
              <a:rPr lang="ru-RU" sz="1050">
                <a:latin typeface="Times New Roman" pitchFamily="18" charset="0"/>
                <a:cs typeface="Times New Roman" pitchFamily="18" charset="0"/>
              </a:rPr>
              <a:t>Тарифы на централизованное теплоснабжение по регионам </a:t>
            </a:r>
          </a:p>
          <a:p>
            <a:pPr>
              <a:defRPr sz="1050"/>
            </a:pPr>
            <a:r>
              <a:rPr lang="ru-RU" sz="1050">
                <a:latin typeface="Times New Roman" pitchFamily="18" charset="0"/>
                <a:cs typeface="Times New Roman" pitchFamily="18" charset="0"/>
              </a:rPr>
              <a:t>СФО в 20</a:t>
            </a:r>
            <a:r>
              <a:rPr lang="en-US" sz="1050">
                <a:latin typeface="Times New Roman" pitchFamily="18" charset="0"/>
                <a:cs typeface="Times New Roman" pitchFamily="18" charset="0"/>
              </a:rPr>
              <a:t>19</a:t>
            </a:r>
            <a:r>
              <a:rPr lang="ru-RU" sz="1050">
                <a:latin typeface="Times New Roman" pitchFamily="18" charset="0"/>
                <a:cs typeface="Times New Roman" pitchFamily="18" charset="0"/>
              </a:rPr>
              <a:t>-20</a:t>
            </a:r>
            <a:r>
              <a:rPr lang="en-US" sz="1050">
                <a:latin typeface="Times New Roman" pitchFamily="18" charset="0"/>
                <a:cs typeface="Times New Roman" pitchFamily="18" charset="0"/>
              </a:rPr>
              <a:t>20</a:t>
            </a:r>
            <a:r>
              <a:rPr lang="ru-RU" sz="1050">
                <a:latin typeface="Times New Roman" pitchFamily="18" charset="0"/>
                <a:cs typeface="Times New Roman" pitchFamily="18" charset="0"/>
              </a:rPr>
              <a:t> гг </a:t>
            </a:r>
            <a:r>
              <a:rPr lang="en-US" sz="1050">
                <a:latin typeface="Times New Roman" pitchFamily="18" charset="0"/>
                <a:cs typeface="Times New Roman" pitchFamily="18" charset="0"/>
              </a:rPr>
              <a:t>(</a:t>
            </a:r>
            <a:r>
              <a:rPr lang="ru-RU" sz="1050">
                <a:latin typeface="Times New Roman" pitchFamily="18" charset="0"/>
                <a:cs typeface="Times New Roman" pitchFamily="18" charset="0"/>
              </a:rPr>
              <a:t>без</a:t>
            </a:r>
            <a:r>
              <a:rPr lang="ru-RU" sz="1050" baseline="0">
                <a:latin typeface="Times New Roman" pitchFamily="18" charset="0"/>
                <a:cs typeface="Times New Roman" pitchFamily="18" charset="0"/>
              </a:rPr>
              <a:t> учета НДС) </a:t>
            </a:r>
            <a:r>
              <a:rPr lang="ru-RU" sz="1050">
                <a:latin typeface="Times New Roman" pitchFamily="18" charset="0"/>
                <a:cs typeface="Times New Roman" pitchFamily="18" charset="0"/>
              </a:rPr>
              <a:t>по периодам, руб/Гкал</a:t>
            </a:r>
          </a:p>
        </c:rich>
      </c:tx>
      <c:layout>
        <c:manualLayout>
          <c:xMode val="edge"/>
          <c:yMode val="edge"/>
          <c:x val="0.21001812565797012"/>
          <c:y val="4.1683445993012165E-2"/>
        </c:manualLayout>
      </c:layout>
      <c:overlay val="0"/>
    </c:title>
    <c:autoTitleDeleted val="0"/>
    <c:plotArea>
      <c:layout>
        <c:manualLayout>
          <c:layoutTarget val="inner"/>
          <c:xMode val="edge"/>
          <c:yMode val="edge"/>
          <c:x val="6.0998641267470712E-2"/>
          <c:y val="0.14181022903131824"/>
          <c:w val="0.91377370553998005"/>
          <c:h val="0.38989598428980943"/>
        </c:manualLayout>
      </c:layout>
      <c:lineChart>
        <c:grouping val="standard"/>
        <c:varyColors val="0"/>
        <c:ser>
          <c:idx val="0"/>
          <c:order val="0"/>
          <c:tx>
            <c:strRef>
              <c:f>'СФО тар 2018-2019'!$C$5</c:f>
              <c:strCache>
                <c:ptCount val="1"/>
                <c:pt idx="0">
                  <c:v>с 01.01.2012</c:v>
                </c:pt>
              </c:strCache>
            </c:strRef>
          </c:tx>
          <c:dLbls>
            <c:dLbl>
              <c:idx val="0"/>
              <c:layout>
                <c:manualLayout>
                  <c:x val="-6.0902334576599174E-3"/>
                  <c:y val="2.4897475444435411E-2"/>
                </c:manualLayout>
              </c:layout>
              <c:dLblPos val="r"/>
              <c:showLegendKey val="0"/>
              <c:showVal val="1"/>
              <c:showCatName val="0"/>
              <c:showSerName val="0"/>
              <c:showPercent val="0"/>
              <c:showBubbleSize val="0"/>
            </c:dLbl>
            <c:dLbl>
              <c:idx val="1"/>
              <c:layout>
                <c:manualLayout>
                  <c:x val="-1.616543721508534E-2"/>
                  <c:y val="3.8554644586952416E-2"/>
                </c:manualLayout>
              </c:layout>
              <c:dLblPos val="r"/>
              <c:showLegendKey val="0"/>
              <c:showVal val="1"/>
              <c:showCatName val="0"/>
              <c:showSerName val="0"/>
              <c:showPercent val="0"/>
              <c:showBubbleSize val="0"/>
            </c:dLbl>
            <c:dLbl>
              <c:idx val="2"/>
              <c:layout>
                <c:manualLayout>
                  <c:x val="-4.2030114656720532E-2"/>
                  <c:y val="5.3195226885299172E-2"/>
                </c:manualLayout>
              </c:layout>
              <c:dLblPos val="r"/>
              <c:showLegendKey val="0"/>
              <c:showVal val="1"/>
              <c:showCatName val="0"/>
              <c:showSerName val="0"/>
              <c:showPercent val="0"/>
              <c:showBubbleSize val="0"/>
            </c:dLbl>
            <c:dLbl>
              <c:idx val="3"/>
              <c:layout>
                <c:manualLayout>
                  <c:x val="-2.7894792098356252E-2"/>
                  <c:y val="2.7403955948805854E-2"/>
                </c:manualLayout>
              </c:layout>
              <c:dLblPos val="r"/>
              <c:showLegendKey val="0"/>
              <c:showVal val="1"/>
              <c:showCatName val="0"/>
              <c:showSerName val="0"/>
              <c:showPercent val="0"/>
              <c:showBubbleSize val="0"/>
            </c:dLbl>
            <c:dLbl>
              <c:idx val="4"/>
              <c:layout>
                <c:manualLayout>
                  <c:x val="-3.481199060643745E-2"/>
                  <c:y val="2.5342100278702241E-2"/>
                </c:manualLayout>
              </c:layout>
              <c:dLblPos val="r"/>
              <c:showLegendKey val="0"/>
              <c:showVal val="1"/>
              <c:showCatName val="0"/>
              <c:showSerName val="0"/>
              <c:showPercent val="0"/>
              <c:showBubbleSize val="0"/>
            </c:dLbl>
            <c:dLbl>
              <c:idx val="5"/>
              <c:layout>
                <c:manualLayout>
                  <c:x val="-2.6992457521757201E-2"/>
                  <c:y val="4.2311010092811532E-2"/>
                </c:manualLayout>
              </c:layout>
              <c:dLblPos val="r"/>
              <c:showLegendKey val="0"/>
              <c:showVal val="1"/>
              <c:showCatName val="0"/>
              <c:showSerName val="0"/>
              <c:showPercent val="0"/>
              <c:showBubbleSize val="0"/>
            </c:dLbl>
            <c:dLbl>
              <c:idx val="6"/>
              <c:layout>
                <c:manualLayout>
                  <c:x val="-3.1804503384445411E-2"/>
                  <c:y val="5.3187434044972282E-2"/>
                </c:manualLayout>
              </c:layout>
              <c:dLblPos val="r"/>
              <c:showLegendKey val="0"/>
              <c:showVal val="1"/>
              <c:showCatName val="0"/>
              <c:showSerName val="0"/>
              <c:showPercent val="0"/>
              <c:showBubbleSize val="0"/>
            </c:dLbl>
            <c:showLegendKey val="0"/>
            <c:showVal val="1"/>
            <c:showCatName val="0"/>
            <c:showSerName val="0"/>
            <c:showPercent val="0"/>
            <c:showBubbleSize val="0"/>
            <c:showLeaderLines val="0"/>
          </c:dLbls>
          <c:cat>
            <c:strRef>
              <c:f>'СФО тар 2018-2019'!$B$6:$B$10</c:f>
              <c:strCache>
                <c:ptCount val="5"/>
                <c:pt idx="0">
                  <c:v>Новосиб. область АО "СИБЭКО", 
рост июль 2020 к июлю 2019  на 6,0%</c:v>
                </c:pt>
                <c:pt idx="1">
                  <c:v>Кемеровск обл. АО "Кемеровская генерация", 
рост июль 2020 к июлю 2019 на 4,0%</c:v>
                </c:pt>
                <c:pt idx="2">
                  <c:v>Омская обл. МП г.Омска "Тепловая компания", 
рост июль 2020 к июлю 2019  на 2,2 %</c:v>
                </c:pt>
                <c:pt idx="3">
                  <c:v>Томская обл. ОАО "ТомскРТС", 
рост июль 2020 к июлю 2019 -на 10%</c:v>
                </c:pt>
                <c:pt idx="4">
                  <c:v>Республика Хакасия, "Абаканская ТЭЦ" АО "Енисейская ТГК (ТГК-13), 
снижение июль 2020 к июлю 2019 - на 1%</c:v>
                </c:pt>
              </c:strCache>
            </c:strRef>
          </c:cat>
          <c:val>
            <c:numRef>
              <c:f>'СФО тар 2018-2019'!$C$6:$C$10</c:f>
            </c:numRef>
          </c:val>
          <c:smooth val="0"/>
        </c:ser>
        <c:ser>
          <c:idx val="1"/>
          <c:order val="1"/>
          <c:tx>
            <c:strRef>
              <c:f>'СФО тар 2018-2019'!$D$5</c:f>
              <c:strCache>
                <c:ptCount val="1"/>
                <c:pt idx="0">
                  <c:v>с 01.09.2012</c:v>
                </c:pt>
              </c:strCache>
            </c:strRef>
          </c:tx>
          <c:dLbls>
            <c:dLbl>
              <c:idx val="0"/>
              <c:delete val="1"/>
            </c:dLbl>
            <c:dLbl>
              <c:idx val="1"/>
              <c:delete val="1"/>
            </c:dLbl>
            <c:dLbl>
              <c:idx val="2"/>
              <c:layout>
                <c:manualLayout>
                  <c:x val="-4.3478265831138424E-2"/>
                  <c:y val="5.5846422338568992E-2"/>
                </c:manualLayout>
              </c:layout>
              <c:tx>
                <c:rich>
                  <a:bodyPr/>
                  <a:lstStyle/>
                  <a:p>
                    <a:r>
                      <a:rPr lang="en-US"/>
                      <a:t>734</a:t>
                    </a:r>
                    <a:r>
                      <a:rPr lang="ru-RU"/>
                      <a:t>,0</a:t>
                    </a:r>
                    <a:endParaRPr lang="en-US"/>
                  </a:p>
                </c:rich>
              </c:tx>
              <c:showLegendKey val="0"/>
              <c:showVal val="1"/>
              <c:showCatName val="0"/>
              <c:showSerName val="0"/>
              <c:showPercent val="0"/>
              <c:showBubbleSize val="0"/>
            </c:dLbl>
            <c:dLbl>
              <c:idx val="3"/>
              <c:layout>
                <c:manualLayout>
                  <c:x val="-2.4637683970978441E-2"/>
                  <c:y val="4.1884816753926704E-2"/>
                </c:manualLayout>
              </c:layout>
              <c:showLegendKey val="0"/>
              <c:showVal val="1"/>
              <c:showCatName val="0"/>
              <c:showSerName val="0"/>
              <c:showPercent val="0"/>
              <c:showBubbleSize val="0"/>
            </c:dLbl>
            <c:dLbl>
              <c:idx val="4"/>
              <c:delete val="1"/>
            </c:dLbl>
            <c:dLbl>
              <c:idx val="5"/>
              <c:layout>
                <c:manualLayout>
                  <c:x val="-5.7971021108184535E-2"/>
                  <c:y val="2.7923211169284496E-2"/>
                </c:manualLayout>
              </c:layout>
              <c:showLegendKey val="0"/>
              <c:showVal val="1"/>
              <c:showCatName val="0"/>
              <c:showSerName val="0"/>
              <c:showPercent val="0"/>
              <c:showBubbleSize val="0"/>
            </c:dLbl>
            <c:txPr>
              <a:bodyPr/>
              <a:lstStyle/>
              <a:p>
                <a:pPr>
                  <a:defRPr sz="1600" b="1"/>
                </a:pPr>
                <a:endParaRPr lang="ru-RU"/>
              </a:p>
            </c:txPr>
            <c:showLegendKey val="0"/>
            <c:showVal val="1"/>
            <c:showCatName val="0"/>
            <c:showSerName val="0"/>
            <c:showPercent val="0"/>
            <c:showBubbleSize val="0"/>
            <c:showLeaderLines val="0"/>
          </c:dLbls>
          <c:cat>
            <c:strRef>
              <c:f>'СФО тар 2018-2019'!$B$6:$B$10</c:f>
              <c:strCache>
                <c:ptCount val="5"/>
                <c:pt idx="0">
                  <c:v>Новосиб. область АО "СИБЭКО", 
рост июль 2020 к июлю 2019  на 6,0%</c:v>
                </c:pt>
                <c:pt idx="1">
                  <c:v>Кемеровск обл. АО "Кемеровская генерация", 
рост июль 2020 к июлю 2019 на 4,0%</c:v>
                </c:pt>
                <c:pt idx="2">
                  <c:v>Омская обл. МП г.Омска "Тепловая компания", 
рост июль 2020 к июлю 2019  на 2,2 %</c:v>
                </c:pt>
                <c:pt idx="3">
                  <c:v>Томская обл. ОАО "ТомскРТС", 
рост июль 2020 к июлю 2019 -на 10%</c:v>
                </c:pt>
                <c:pt idx="4">
                  <c:v>Республика Хакасия, "Абаканская ТЭЦ" АО "Енисейская ТГК (ТГК-13), 
снижение июль 2020 к июлю 2019 - на 1%</c:v>
                </c:pt>
              </c:strCache>
            </c:strRef>
          </c:cat>
          <c:val>
            <c:numRef>
              <c:f>'СФО тар 2018-2019'!$D$6:$D$10</c:f>
            </c:numRef>
          </c:val>
          <c:smooth val="0"/>
        </c:ser>
        <c:ser>
          <c:idx val="2"/>
          <c:order val="2"/>
          <c:tx>
            <c:strRef>
              <c:f>'СФО тар 2018-2019'!$E$5</c:f>
              <c:strCache>
                <c:ptCount val="1"/>
                <c:pt idx="0">
                  <c:v>с 01.01.2020</c:v>
                </c:pt>
              </c:strCache>
            </c:strRef>
          </c:tx>
          <c:dLbls>
            <c:dLbl>
              <c:idx val="0"/>
              <c:layout>
                <c:manualLayout>
                  <c:x val="-2.6338216862460892E-2"/>
                  <c:y val="4.0712468193384234E-2"/>
                </c:manualLayout>
              </c:layout>
              <c:showLegendKey val="0"/>
              <c:showVal val="1"/>
              <c:showCatName val="0"/>
              <c:showSerName val="0"/>
              <c:showPercent val="0"/>
              <c:showBubbleSize val="0"/>
            </c:dLbl>
            <c:dLbl>
              <c:idx val="1"/>
              <c:layout>
                <c:manualLayout>
                  <c:x val="-2.7887523736723558E-2"/>
                  <c:y val="3.0534351145038077E-2"/>
                </c:manualLayout>
              </c:layout>
              <c:showLegendKey val="0"/>
              <c:showVal val="1"/>
              <c:showCatName val="0"/>
              <c:showSerName val="0"/>
              <c:showPercent val="0"/>
              <c:showBubbleSize val="0"/>
            </c:dLbl>
            <c:dLbl>
              <c:idx val="2"/>
              <c:layout>
                <c:manualLayout>
                  <c:x val="-1.8591682491148821E-2"/>
                  <c:y val="3.6641221374045851E-2"/>
                </c:manualLayout>
              </c:layout>
              <c:showLegendKey val="0"/>
              <c:showVal val="1"/>
              <c:showCatName val="0"/>
              <c:showSerName val="0"/>
              <c:showPercent val="0"/>
              <c:showBubbleSize val="0"/>
            </c:dLbl>
            <c:dLbl>
              <c:idx val="3"/>
              <c:layout>
                <c:manualLayout>
                  <c:x val="-2.3239603113936032E-2"/>
                  <c:y val="3.4605597964376691E-2"/>
                </c:manualLayout>
              </c:layout>
              <c:showLegendKey val="0"/>
              <c:showVal val="1"/>
              <c:showCatName val="0"/>
              <c:showSerName val="0"/>
              <c:showPercent val="0"/>
              <c:showBubbleSize val="0"/>
            </c:dLbl>
            <c:dLbl>
              <c:idx val="4"/>
              <c:layout>
                <c:manualLayout>
                  <c:x val="-4.4650836629137394E-2"/>
                  <c:y val="4.5016351622985992E-2"/>
                </c:manualLayout>
              </c:layout>
              <c:showLegendKey val="0"/>
              <c:showVal val="1"/>
              <c:showCatName val="0"/>
              <c:showSerName val="0"/>
              <c:showPercent val="0"/>
              <c:showBubbleSize val="0"/>
            </c:dLbl>
            <c:dLbl>
              <c:idx val="5"/>
              <c:layout>
                <c:manualLayout>
                  <c:x val="0"/>
                  <c:y val="-5.6997455470737916E-2"/>
                </c:manualLayout>
              </c:layout>
              <c:showLegendKey val="0"/>
              <c:showVal val="1"/>
              <c:showCatName val="0"/>
              <c:showSerName val="0"/>
              <c:showPercent val="0"/>
              <c:showBubbleSize val="0"/>
            </c:dLbl>
            <c:txPr>
              <a:bodyPr/>
              <a:lstStyle/>
              <a:p>
                <a:pPr>
                  <a:defRPr sz="1000" b="1">
                    <a:latin typeface="Times New Roman" pitchFamily="18" charset="0"/>
                    <a:cs typeface="Times New Roman" pitchFamily="18" charset="0"/>
                  </a:defRPr>
                </a:pPr>
                <a:endParaRPr lang="ru-RU"/>
              </a:p>
            </c:txPr>
            <c:showLegendKey val="0"/>
            <c:showVal val="1"/>
            <c:showCatName val="0"/>
            <c:showSerName val="0"/>
            <c:showPercent val="0"/>
            <c:showBubbleSize val="0"/>
            <c:showLeaderLines val="0"/>
          </c:dLbls>
          <c:cat>
            <c:strRef>
              <c:f>'СФО тар 2018-2019'!$B$6:$B$10</c:f>
              <c:strCache>
                <c:ptCount val="5"/>
                <c:pt idx="0">
                  <c:v>Новосиб. область АО "СИБЭКО", 
рост июль 2020 к июлю 2019  на 6,0%</c:v>
                </c:pt>
                <c:pt idx="1">
                  <c:v>Кемеровск обл. АО "Кемеровская генерация", 
рост июль 2020 к июлю 2019 на 4,0%</c:v>
                </c:pt>
                <c:pt idx="2">
                  <c:v>Омская обл. МП г.Омска "Тепловая компания", 
рост июль 2020 к июлю 2019  на 2,2 %</c:v>
                </c:pt>
                <c:pt idx="3">
                  <c:v>Томская обл. ОАО "ТомскРТС", 
рост июль 2020 к июлю 2019 -на 10%</c:v>
                </c:pt>
                <c:pt idx="4">
                  <c:v>Республика Хакасия, "Абаканская ТЭЦ" АО "Енисейская ТГК (ТГК-13), 
снижение июль 2020 к июлю 2019 - на 1%</c:v>
                </c:pt>
              </c:strCache>
            </c:strRef>
          </c:cat>
          <c:val>
            <c:numRef>
              <c:f>'СФО тар 2018-2019'!$E$6:$E$10</c:f>
              <c:numCache>
                <c:formatCode>General</c:formatCode>
                <c:ptCount val="5"/>
                <c:pt idx="0">
                  <c:v>1153.95</c:v>
                </c:pt>
                <c:pt idx="1">
                  <c:v>1370.91</c:v>
                </c:pt>
                <c:pt idx="2">
                  <c:v>1504.37</c:v>
                </c:pt>
                <c:pt idx="3">
                  <c:v>1630.8899999999999</c:v>
                </c:pt>
                <c:pt idx="4">
                  <c:v>1326.6299999999999</c:v>
                </c:pt>
              </c:numCache>
            </c:numRef>
          </c:val>
          <c:smooth val="0"/>
        </c:ser>
        <c:ser>
          <c:idx val="3"/>
          <c:order val="3"/>
          <c:tx>
            <c:strRef>
              <c:f>'СФО тар 2018-2019'!$F$5</c:f>
              <c:strCache>
                <c:ptCount val="1"/>
                <c:pt idx="0">
                  <c:v>с 01.07.2020</c:v>
                </c:pt>
              </c:strCache>
            </c:strRef>
          </c:tx>
          <c:dLbls>
            <c:dLbl>
              <c:idx val="0"/>
              <c:layout>
                <c:manualLayout>
                  <c:x val="-7.1145757570803866E-2"/>
                  <c:y val="-4.2891546953577414E-2"/>
                </c:manualLayout>
              </c:layout>
              <c:showLegendKey val="0"/>
              <c:showVal val="1"/>
              <c:showCatName val="0"/>
              <c:showSerName val="0"/>
              <c:showPercent val="0"/>
              <c:showBubbleSize val="0"/>
            </c:dLbl>
            <c:dLbl>
              <c:idx val="1"/>
              <c:layout>
                <c:manualLayout>
                  <c:x val="-4.9391903151486137E-2"/>
                  <c:y val="-4.9478311394281833E-2"/>
                </c:manualLayout>
              </c:layout>
              <c:showLegendKey val="0"/>
              <c:showVal val="1"/>
              <c:showCatName val="0"/>
              <c:showSerName val="0"/>
              <c:showPercent val="0"/>
              <c:showBubbleSize val="0"/>
            </c:dLbl>
            <c:dLbl>
              <c:idx val="2"/>
              <c:layout>
                <c:manualLayout>
                  <c:x val="-4.6517267940059004E-2"/>
                  <c:y val="-5.1577247500550767E-2"/>
                </c:manualLayout>
              </c:layout>
              <c:showLegendKey val="0"/>
              <c:showVal val="1"/>
              <c:showCatName val="0"/>
              <c:showSerName val="0"/>
              <c:showPercent val="0"/>
              <c:showBubbleSize val="0"/>
            </c:dLbl>
            <c:dLbl>
              <c:idx val="3"/>
              <c:layout>
                <c:manualLayout>
                  <c:x val="1.4545188064206203E-2"/>
                  <c:y val="-4.7329897716273904E-3"/>
                </c:manualLayout>
              </c:layout>
              <c:showLegendKey val="0"/>
              <c:showVal val="1"/>
              <c:showCatName val="0"/>
              <c:showSerName val="0"/>
              <c:showPercent val="0"/>
              <c:showBubbleSize val="0"/>
            </c:dLbl>
            <c:dLbl>
              <c:idx val="4"/>
              <c:layout>
                <c:manualLayout>
                  <c:x val="-7.8877825710224215E-3"/>
                  <c:y val="-2.8810269297613642E-2"/>
                </c:manualLayout>
              </c:layout>
              <c:showLegendKey val="0"/>
              <c:showVal val="1"/>
              <c:showCatName val="0"/>
              <c:showSerName val="0"/>
              <c:showPercent val="0"/>
              <c:showBubbleSize val="0"/>
            </c:dLbl>
            <c:dLbl>
              <c:idx val="5"/>
              <c:layout>
                <c:manualLayout>
                  <c:x val="-3.5268568076910041E-2"/>
                  <c:y val="7.248342048846948E-2"/>
                </c:manualLayout>
              </c:layout>
              <c:tx>
                <c:rich>
                  <a:bodyPr/>
                  <a:lstStyle/>
                  <a:p>
                    <a:r>
                      <a:rPr lang="ru-RU" sz="1000" b="1" i="0" u="none" strike="noStrike" kern="1200" baseline="0">
                        <a:solidFill>
                          <a:sysClr val="windowText" lastClr="000000"/>
                        </a:solidFill>
                        <a:latin typeface="Times New Roman" pitchFamily="18" charset="0"/>
                        <a:ea typeface="+mn-ea"/>
                        <a:cs typeface="Times New Roman" pitchFamily="18" charset="0"/>
                      </a:rPr>
                      <a:t>7</a:t>
                    </a:r>
                    <a:r>
                      <a:rPr lang="en-US"/>
                      <a:t>10</a:t>
                    </a:r>
                    <a:r>
                      <a:rPr lang="ru-RU"/>
                      <a:t>,0</a:t>
                    </a:r>
                    <a:endParaRPr lang="en-US"/>
                  </a:p>
                </c:rich>
              </c:tx>
              <c:showLegendKey val="0"/>
              <c:showVal val="1"/>
              <c:showCatName val="0"/>
              <c:showSerName val="0"/>
              <c:showPercent val="0"/>
              <c:showBubbleSize val="0"/>
            </c:dLbl>
            <c:txPr>
              <a:bodyPr/>
              <a:lstStyle/>
              <a:p>
                <a:pPr algn="ctr" rtl="0">
                  <a:defRPr lang="ru-RU" sz="1000" b="1" i="0" u="none" strike="noStrike" kern="1200" baseline="0">
                    <a:solidFill>
                      <a:sysClr val="windowText" lastClr="000000"/>
                    </a:solidFill>
                    <a:latin typeface="Times New Roman" pitchFamily="18" charset="0"/>
                    <a:ea typeface="+mn-ea"/>
                    <a:cs typeface="Times New Roman" pitchFamily="18" charset="0"/>
                  </a:defRPr>
                </a:pPr>
                <a:endParaRPr lang="ru-RU"/>
              </a:p>
            </c:txPr>
            <c:showLegendKey val="0"/>
            <c:showVal val="1"/>
            <c:showCatName val="0"/>
            <c:showSerName val="0"/>
            <c:showPercent val="0"/>
            <c:showBubbleSize val="0"/>
            <c:showLeaderLines val="0"/>
          </c:dLbls>
          <c:cat>
            <c:strRef>
              <c:f>'СФО тар 2018-2019'!$B$6:$B$10</c:f>
              <c:strCache>
                <c:ptCount val="5"/>
                <c:pt idx="0">
                  <c:v>Новосиб. область АО "СИБЭКО", 
рост июль 2020 к июлю 2019  на 6,0%</c:v>
                </c:pt>
                <c:pt idx="1">
                  <c:v>Кемеровск обл. АО "Кемеровская генерация", 
рост июль 2020 к июлю 2019 на 4,0%</c:v>
                </c:pt>
                <c:pt idx="2">
                  <c:v>Омская обл. МП г.Омска "Тепловая компания", 
рост июль 2020 к июлю 2019  на 2,2 %</c:v>
                </c:pt>
                <c:pt idx="3">
                  <c:v>Томская обл. ОАО "ТомскРТС", 
рост июль 2020 к июлю 2019 -на 10%</c:v>
                </c:pt>
                <c:pt idx="4">
                  <c:v>Республика Хакасия, "Абаканская ТЭЦ" АО "Енисейская ТГК (ТГК-13), 
снижение июль 2020 к июлю 2019 - на 1%</c:v>
                </c:pt>
              </c:strCache>
            </c:strRef>
          </c:cat>
          <c:val>
            <c:numRef>
              <c:f>'СФО тар 2018-2019'!$F$6:$F$10</c:f>
              <c:numCache>
                <c:formatCode>General</c:formatCode>
                <c:ptCount val="5"/>
                <c:pt idx="0">
                  <c:v>1223.1799999999998</c:v>
                </c:pt>
                <c:pt idx="1">
                  <c:v>1425.75</c:v>
                </c:pt>
                <c:pt idx="2">
                  <c:v>1536.87</c:v>
                </c:pt>
                <c:pt idx="3">
                  <c:v>1793.99</c:v>
                </c:pt>
                <c:pt idx="4">
                  <c:v>1312.91</c:v>
                </c:pt>
              </c:numCache>
            </c:numRef>
          </c:val>
          <c:smooth val="0"/>
        </c:ser>
        <c:dLbls>
          <c:showLegendKey val="0"/>
          <c:showVal val="1"/>
          <c:showCatName val="0"/>
          <c:showSerName val="0"/>
          <c:showPercent val="0"/>
          <c:showBubbleSize val="0"/>
        </c:dLbls>
        <c:marker val="1"/>
        <c:smooth val="0"/>
        <c:axId val="42219008"/>
        <c:axId val="283292160"/>
      </c:lineChart>
      <c:catAx>
        <c:axId val="42219008"/>
        <c:scaling>
          <c:orientation val="minMax"/>
        </c:scaling>
        <c:delete val="0"/>
        <c:axPos val="b"/>
        <c:numFmt formatCode="General" sourceLinked="1"/>
        <c:majorTickMark val="out"/>
        <c:minorTickMark val="none"/>
        <c:tickLblPos val="nextTo"/>
        <c:txPr>
          <a:bodyPr rot="0" vert="horz"/>
          <a:lstStyle/>
          <a:p>
            <a:pPr>
              <a:defRPr/>
            </a:pPr>
            <a:endParaRPr lang="ru-RU"/>
          </a:p>
        </c:txPr>
        <c:crossAx val="283292160"/>
        <c:crosses val="autoZero"/>
        <c:auto val="1"/>
        <c:lblAlgn val="ctr"/>
        <c:lblOffset val="100"/>
        <c:tickLblSkip val="1"/>
        <c:tickMarkSkip val="1"/>
        <c:noMultiLvlLbl val="0"/>
      </c:catAx>
      <c:valAx>
        <c:axId val="283292160"/>
        <c:scaling>
          <c:orientation val="minMax"/>
          <c:max val="1900"/>
          <c:min val="700"/>
        </c:scaling>
        <c:delete val="0"/>
        <c:axPos val="l"/>
        <c:majorGridlines/>
        <c:numFmt formatCode="General" sourceLinked="1"/>
        <c:majorTickMark val="out"/>
        <c:minorTickMark val="none"/>
        <c:tickLblPos val="nextTo"/>
        <c:txPr>
          <a:bodyPr rot="0" vert="horz"/>
          <a:lstStyle/>
          <a:p>
            <a:pPr>
              <a:defRPr/>
            </a:pPr>
            <a:endParaRPr lang="ru-RU"/>
          </a:p>
        </c:txPr>
        <c:crossAx val="42219008"/>
        <c:crosses val="autoZero"/>
        <c:crossBetween val="between"/>
        <c:majorUnit val="200"/>
      </c:valAx>
    </c:plotArea>
    <c:legend>
      <c:legendPos val="b"/>
      <c:layout>
        <c:manualLayout>
          <c:xMode val="edge"/>
          <c:yMode val="edge"/>
          <c:x val="0.22597631316412894"/>
          <c:y val="0.83771520989188764"/>
          <c:w val="0.57377202048119591"/>
          <c:h val="9.8960414013355036E-2"/>
        </c:manualLayout>
      </c:layout>
      <c:overlay val="0"/>
    </c:legend>
    <c:plotVisOnly val="1"/>
    <c:dispBlanksAs val="gap"/>
    <c:showDLblsOverMax val="0"/>
  </c:chart>
  <c:spPr>
    <a:ln>
      <a:noFill/>
    </a:ln>
  </c:spPr>
  <c:externalData r:id="rId1">
    <c:autoUpdate val="0"/>
  </c:externalData>
</c:chartSpace>
</file>

<file path=word/charts/chart12.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a:lstStyle/>
          <a:p>
            <a:pPr>
              <a:defRPr sz="1100" b="1" i="0" u="none" strike="noStrike" baseline="0">
                <a:solidFill>
                  <a:srgbClr val="000000"/>
                </a:solidFill>
                <a:latin typeface="Arial Cyr"/>
                <a:ea typeface="Arial Cyr"/>
                <a:cs typeface="Arial Cyr"/>
              </a:defRPr>
            </a:pPr>
            <a:r>
              <a:rPr lang="ru-RU" sz="1000">
                <a:latin typeface="Times New Roman" pitchFamily="18" charset="0"/>
                <a:cs typeface="Times New Roman" pitchFamily="18" charset="0"/>
              </a:rPr>
              <a:t>Динамика полезного отпуска тепловой энергии АО "СИБЭКО" (до 01.01.2015г. ОАО "НГТЭ")  при определения объемов оказываемых услуг по передаче тепловой энергии,</a:t>
            </a:r>
            <a:r>
              <a:rPr lang="ru-RU" sz="1000" baseline="0">
                <a:latin typeface="Times New Roman" pitchFamily="18" charset="0"/>
                <a:cs typeface="Times New Roman" pitchFamily="18" charset="0"/>
              </a:rPr>
              <a:t> а также плановый и фактичсекий уровень потерь в сетях </a:t>
            </a:r>
            <a:r>
              <a:rPr lang="ru-RU" sz="1000">
                <a:latin typeface="Times New Roman" pitchFamily="18" charset="0"/>
                <a:cs typeface="Times New Roman" pitchFamily="18" charset="0"/>
              </a:rPr>
              <a:t>в 2011-2020 годах</a:t>
            </a:r>
          </a:p>
        </c:rich>
      </c:tx>
      <c:layout>
        <c:manualLayout>
          <c:xMode val="edge"/>
          <c:yMode val="edge"/>
          <c:x val="0.14452858580791991"/>
          <c:y val="2.4133958172063513E-2"/>
        </c:manualLayout>
      </c:layout>
      <c:overlay val="0"/>
      <c:spPr>
        <a:noFill/>
        <a:ln w="25400">
          <a:noFill/>
        </a:ln>
      </c:spPr>
    </c:title>
    <c:autoTitleDeleted val="0"/>
    <c:plotArea>
      <c:layout>
        <c:manualLayout>
          <c:layoutTarget val="inner"/>
          <c:xMode val="edge"/>
          <c:yMode val="edge"/>
          <c:x val="0.10081815671842605"/>
          <c:y val="0.20138635475207844"/>
          <c:w val="0.87864077669904639"/>
          <c:h val="0.50119374343197431"/>
        </c:manualLayout>
      </c:layout>
      <c:barChart>
        <c:barDir val="col"/>
        <c:grouping val="clustered"/>
        <c:varyColors val="0"/>
        <c:ser>
          <c:idx val="0"/>
          <c:order val="0"/>
          <c:tx>
            <c:strRef>
              <c:f>'Динамика ПО'!$A$17</c:f>
              <c:strCache>
                <c:ptCount val="1"/>
                <c:pt idx="0">
                  <c:v>Полезный отпуск тепловой эергии</c:v>
                </c:pt>
              </c:strCache>
            </c:strRef>
          </c:tx>
          <c:spPr>
            <a:solidFill>
              <a:srgbClr val="9999FF"/>
            </a:solidFill>
            <a:ln w="12700">
              <a:solidFill>
                <a:srgbClr val="000000"/>
              </a:solidFill>
              <a:prstDash val="solid"/>
            </a:ln>
          </c:spPr>
          <c:invertIfNegative val="0"/>
          <c:dLbls>
            <c:dLbl>
              <c:idx val="0"/>
              <c:layout>
                <c:manualLayout>
                  <c:x val="6.1227205320370948E-3"/>
                  <c:y val="-3.2684381086500978E-2"/>
                </c:manualLayout>
              </c:layout>
              <c:tx>
                <c:rich>
                  <a:bodyPr/>
                  <a:lstStyle/>
                  <a:p>
                    <a:r>
                      <a:rPr lang="en-US" sz="1000"/>
                      <a:t>1</a:t>
                    </a:r>
                    <a:r>
                      <a:rPr lang="en-US"/>
                      <a:t>2</a:t>
                    </a:r>
                    <a:r>
                      <a:rPr lang="ru-RU"/>
                      <a:t>7</a:t>
                    </a:r>
                    <a:r>
                      <a:rPr lang="en-US"/>
                      <a:t>53,</a:t>
                    </a:r>
                    <a:r>
                      <a:rPr lang="ru-RU"/>
                      <a:t>6</a:t>
                    </a:r>
                    <a:endParaRPr lang="en-US"/>
                  </a:p>
                </c:rich>
              </c:tx>
              <c:showLegendKey val="0"/>
              <c:showVal val="1"/>
              <c:showCatName val="0"/>
              <c:showSerName val="0"/>
              <c:showPercent val="0"/>
              <c:showBubbleSize val="0"/>
            </c:dLbl>
            <c:dLbl>
              <c:idx val="1"/>
              <c:layout>
                <c:manualLayout>
                  <c:x val="-1.775410563692873E-3"/>
                  <c:y val="7.7369439071567426E-3"/>
                </c:manualLayout>
              </c:layout>
              <c:tx>
                <c:rich>
                  <a:bodyPr/>
                  <a:lstStyle/>
                  <a:p>
                    <a:r>
                      <a:rPr lang="ru-RU" sz="1000"/>
                      <a:t>1</a:t>
                    </a:r>
                    <a:r>
                      <a:rPr lang="ru-RU"/>
                      <a:t>2602,0</a:t>
                    </a:r>
                    <a:endParaRPr lang="en-US"/>
                  </a:p>
                </c:rich>
              </c:tx>
              <c:showLegendKey val="0"/>
              <c:showVal val="1"/>
              <c:showCatName val="0"/>
              <c:showSerName val="0"/>
              <c:showPercent val="0"/>
              <c:showBubbleSize val="0"/>
            </c:dLbl>
            <c:dLbl>
              <c:idx val="2"/>
              <c:layout>
                <c:manualLayout>
                  <c:x val="0"/>
                  <c:y val="7.7369439071567599E-3"/>
                </c:manualLayout>
              </c:layout>
              <c:tx>
                <c:rich>
                  <a:bodyPr/>
                  <a:lstStyle/>
                  <a:p>
                    <a:r>
                      <a:rPr lang="ru-RU" sz="1000"/>
                      <a:t>1</a:t>
                    </a:r>
                    <a:r>
                      <a:rPr lang="ru-RU"/>
                      <a:t>2118,3</a:t>
                    </a:r>
                    <a:endParaRPr lang="en-US"/>
                  </a:p>
                </c:rich>
              </c:tx>
              <c:showLegendKey val="0"/>
              <c:showVal val="1"/>
              <c:showCatName val="0"/>
              <c:showSerName val="0"/>
              <c:showPercent val="0"/>
              <c:showBubbleSize val="0"/>
            </c:dLbl>
            <c:dLbl>
              <c:idx val="3"/>
              <c:tx>
                <c:rich>
                  <a:bodyPr/>
                  <a:lstStyle/>
                  <a:p>
                    <a:r>
                      <a:rPr lang="en-US" sz="1000"/>
                      <a:t>1</a:t>
                    </a:r>
                    <a:r>
                      <a:rPr lang="ru-RU"/>
                      <a:t>1654,0</a:t>
                    </a:r>
                    <a:endParaRPr lang="en-US"/>
                  </a:p>
                </c:rich>
              </c:tx>
              <c:showLegendKey val="0"/>
              <c:showVal val="1"/>
              <c:showCatName val="0"/>
              <c:showSerName val="0"/>
              <c:showPercent val="0"/>
              <c:showBubbleSize val="0"/>
            </c:dLbl>
            <c:dLbl>
              <c:idx val="4"/>
              <c:tx>
                <c:rich>
                  <a:bodyPr/>
                  <a:lstStyle/>
                  <a:p>
                    <a:r>
                      <a:rPr lang="ru-RU" sz="1000"/>
                      <a:t>1</a:t>
                    </a:r>
                    <a:r>
                      <a:rPr lang="ru-RU"/>
                      <a:t>1388,7</a:t>
                    </a:r>
                    <a:endParaRPr lang="en-US"/>
                  </a:p>
                </c:rich>
              </c:tx>
              <c:showLegendKey val="0"/>
              <c:showVal val="1"/>
              <c:showCatName val="0"/>
              <c:showSerName val="0"/>
              <c:showPercent val="0"/>
              <c:showBubbleSize val="0"/>
            </c:dLbl>
            <c:dLbl>
              <c:idx val="6"/>
              <c:layout>
                <c:manualLayout>
                  <c:x val="0"/>
                  <c:y val="-9.9688473520250197E-3"/>
                </c:manualLayout>
              </c:layout>
              <c:showLegendKey val="0"/>
              <c:showVal val="1"/>
              <c:showCatName val="0"/>
              <c:showSerName val="0"/>
              <c:showPercent val="0"/>
              <c:showBubbleSize val="0"/>
            </c:dLbl>
            <c:dLbl>
              <c:idx val="7"/>
              <c:layout>
                <c:manualLayout>
                  <c:x val="-1.7438311971401158E-3"/>
                  <c:y val="-9.9688473520250197E-3"/>
                </c:manualLayout>
              </c:layout>
              <c:showLegendKey val="0"/>
              <c:showVal val="1"/>
              <c:showCatName val="0"/>
              <c:showSerName val="0"/>
              <c:showPercent val="0"/>
              <c:showBubbleSize val="0"/>
            </c:dLbl>
            <c:spPr>
              <a:noFill/>
              <a:ln w="25400">
                <a:noFill/>
              </a:ln>
            </c:spPr>
            <c:txPr>
              <a:bodyPr/>
              <a:lstStyle/>
              <a:p>
                <a:pPr>
                  <a:defRPr sz="1000" b="1" i="0" u="none" strike="noStrike" baseline="0">
                    <a:solidFill>
                      <a:srgbClr val="000000"/>
                    </a:solidFill>
                    <a:latin typeface="Arial Cyr"/>
                    <a:ea typeface="Arial Cyr"/>
                    <a:cs typeface="Arial Cyr"/>
                  </a:defRPr>
                </a:pPr>
                <a:endParaRPr lang="ru-RU"/>
              </a:p>
            </c:txPr>
            <c:showLegendKey val="0"/>
            <c:showVal val="1"/>
            <c:showCatName val="0"/>
            <c:showSerName val="0"/>
            <c:showPercent val="0"/>
            <c:showBubbleSize val="0"/>
            <c:showLeaderLines val="0"/>
          </c:dLbls>
          <c:cat>
            <c:multiLvlStrRef>
              <c:f>'Динамика ПО'!$C$14:$L$16</c:f>
              <c:multiLvlStrCache>
                <c:ptCount val="10"/>
                <c:lvl>
                  <c:pt idx="0">
                    <c:v>15,1%</c:v>
                  </c:pt>
                  <c:pt idx="1">
                    <c:v>16,1%</c:v>
                  </c:pt>
                  <c:pt idx="2">
                    <c:v>16,7%</c:v>
                  </c:pt>
                  <c:pt idx="3">
                    <c:v>18,9%</c:v>
                  </c:pt>
                  <c:pt idx="4">
                    <c:v>19,6%</c:v>
                  </c:pt>
                  <c:pt idx="5">
                    <c:v>19,7%</c:v>
                  </c:pt>
                  <c:pt idx="6">
                    <c:v>20,7%</c:v>
                  </c:pt>
                  <c:pt idx="7">
                    <c:v>20,2%</c:v>
                  </c:pt>
                  <c:pt idx="8">
                    <c:v>21,0%</c:v>
                  </c:pt>
                  <c:pt idx="9">
                    <c:v>20,0%</c:v>
                  </c:pt>
                </c:lvl>
                <c:lvl>
                  <c:pt idx="0">
                    <c:v>2011</c:v>
                  </c:pt>
                  <c:pt idx="1">
                    <c:v>2012</c:v>
                  </c:pt>
                  <c:pt idx="2">
                    <c:v>2013</c:v>
                  </c:pt>
                  <c:pt idx="3">
                    <c:v>2014</c:v>
                  </c:pt>
                  <c:pt idx="4">
                    <c:v>2015</c:v>
                  </c:pt>
                  <c:pt idx="5">
                    <c:v>2016</c:v>
                  </c:pt>
                  <c:pt idx="6">
                    <c:v>2017</c:v>
                  </c:pt>
                  <c:pt idx="7">
                    <c:v>2018</c:v>
                  </c:pt>
                  <c:pt idx="8">
                    <c:v>2019</c:v>
                  </c:pt>
                  <c:pt idx="9">
                    <c:v>2020</c:v>
                  </c:pt>
                </c:lvl>
              </c:multiLvlStrCache>
            </c:multiLvlStrRef>
          </c:cat>
          <c:val>
            <c:numRef>
              <c:f>'Динамика ПО'!$B$17:$L$17</c:f>
              <c:numCache>
                <c:formatCode>0.0</c:formatCode>
                <c:ptCount val="10"/>
                <c:pt idx="0">
                  <c:v>12753.634000000016</c:v>
                </c:pt>
                <c:pt idx="1">
                  <c:v>12602.027</c:v>
                </c:pt>
                <c:pt idx="2">
                  <c:v>12118.322399999985</c:v>
                </c:pt>
                <c:pt idx="3">
                  <c:v>11654</c:v>
                </c:pt>
                <c:pt idx="4">
                  <c:v>11388.688300000002</c:v>
                </c:pt>
                <c:pt idx="5">
                  <c:v>11418.830900000001</c:v>
                </c:pt>
                <c:pt idx="6">
                  <c:v>10765.8</c:v>
                </c:pt>
                <c:pt idx="7">
                  <c:v>10934.576185499975</c:v>
                </c:pt>
                <c:pt idx="8">
                  <c:v>10829.9</c:v>
                </c:pt>
                <c:pt idx="9">
                  <c:v>11542.949000000002</c:v>
                </c:pt>
              </c:numCache>
            </c:numRef>
          </c:val>
        </c:ser>
        <c:ser>
          <c:idx val="1"/>
          <c:order val="1"/>
          <c:tx>
            <c:strRef>
              <c:f>'Динамика ПО'!$A$18</c:f>
              <c:strCache>
                <c:ptCount val="1"/>
                <c:pt idx="0">
                  <c:v>Плановый расход тепловой энергии на технологические цели</c:v>
                </c:pt>
              </c:strCache>
            </c:strRef>
          </c:tx>
          <c:spPr>
            <a:solidFill>
              <a:srgbClr val="CCFFFF"/>
            </a:solidFill>
            <a:ln w="12700">
              <a:solidFill>
                <a:srgbClr val="000000"/>
              </a:solidFill>
              <a:prstDash val="solid"/>
            </a:ln>
          </c:spPr>
          <c:invertIfNegative val="0"/>
          <c:dLbls>
            <c:dLbl>
              <c:idx val="0"/>
              <c:layout>
                <c:manualLayout>
                  <c:x val="-5.3262316910786299E-3"/>
                  <c:y val="8.1799591002044997E-3"/>
                </c:manualLayout>
              </c:layout>
              <c:tx>
                <c:rich>
                  <a:bodyPr/>
                  <a:lstStyle/>
                  <a:p>
                    <a:r>
                      <a:rPr lang="en-US" sz="1000"/>
                      <a:t>2</a:t>
                    </a:r>
                    <a:r>
                      <a:rPr lang="ru-RU" sz="1000"/>
                      <a:t>261</a:t>
                    </a:r>
                    <a:endParaRPr lang="en-US"/>
                  </a:p>
                </c:rich>
              </c:tx>
              <c:showLegendKey val="0"/>
              <c:showVal val="1"/>
              <c:showCatName val="0"/>
              <c:showSerName val="0"/>
              <c:showPercent val="0"/>
              <c:showBubbleSize val="0"/>
            </c:dLbl>
            <c:dLbl>
              <c:idx val="1"/>
              <c:layout>
                <c:manualLayout>
                  <c:x val="-5.3262316910786091E-3"/>
                  <c:y val="1.3338003929392772E-2"/>
                </c:manualLayout>
              </c:layout>
              <c:tx>
                <c:rich>
                  <a:bodyPr/>
                  <a:lstStyle/>
                  <a:p>
                    <a:r>
                      <a:rPr lang="en-US" sz="1000"/>
                      <a:t>2</a:t>
                    </a:r>
                    <a:r>
                      <a:rPr lang="ru-RU"/>
                      <a:t>415</a:t>
                    </a:r>
                    <a:endParaRPr lang="en-US"/>
                  </a:p>
                </c:rich>
              </c:tx>
              <c:showLegendKey val="0"/>
              <c:showVal val="1"/>
              <c:showCatName val="0"/>
              <c:showSerName val="0"/>
              <c:showPercent val="0"/>
              <c:showBubbleSize val="0"/>
            </c:dLbl>
            <c:dLbl>
              <c:idx val="2"/>
              <c:layout>
                <c:manualLayout>
                  <c:x val="-5.3262316910786091E-3"/>
                  <c:y val="1.0315925209542241E-2"/>
                </c:manualLayout>
              </c:layout>
              <c:tx>
                <c:rich>
                  <a:bodyPr/>
                  <a:lstStyle/>
                  <a:p>
                    <a:r>
                      <a:rPr lang="en-US" sz="1000"/>
                      <a:t>2</a:t>
                    </a:r>
                    <a:r>
                      <a:rPr lang="ru-RU"/>
                      <a:t>421</a:t>
                    </a:r>
                    <a:endParaRPr lang="en-US"/>
                  </a:p>
                </c:rich>
              </c:tx>
              <c:showLegendKey val="0"/>
              <c:showVal val="1"/>
              <c:showCatName val="0"/>
              <c:showSerName val="0"/>
              <c:showPercent val="0"/>
              <c:showBubbleSize val="0"/>
            </c:dLbl>
            <c:dLbl>
              <c:idx val="3"/>
              <c:layout>
                <c:manualLayout>
                  <c:x val="-5.3262316910786091E-3"/>
                  <c:y val="1.0463556658899267E-2"/>
                </c:manualLayout>
              </c:layout>
              <c:tx>
                <c:rich>
                  <a:bodyPr/>
                  <a:lstStyle/>
                  <a:p>
                    <a:r>
                      <a:rPr lang="ru-RU" sz="1000"/>
                      <a:t>2717</a:t>
                    </a:r>
                    <a:endParaRPr lang="en-US"/>
                  </a:p>
                </c:rich>
              </c:tx>
              <c:showLegendKey val="0"/>
              <c:showVal val="1"/>
              <c:showCatName val="0"/>
              <c:showSerName val="0"/>
              <c:showPercent val="0"/>
              <c:showBubbleSize val="0"/>
            </c:dLbl>
            <c:dLbl>
              <c:idx val="4"/>
              <c:layout>
                <c:manualLayout>
                  <c:x val="5.3262316910786091E-3"/>
                  <c:y val="0"/>
                </c:manualLayout>
              </c:layout>
              <c:tx>
                <c:rich>
                  <a:bodyPr/>
                  <a:lstStyle/>
                  <a:p>
                    <a:r>
                      <a:rPr lang="ru-RU" sz="1000"/>
                      <a:t>2781</a:t>
                    </a:r>
                    <a:endParaRPr lang="en-US"/>
                  </a:p>
                </c:rich>
              </c:tx>
              <c:showLegendKey val="0"/>
              <c:showVal val="1"/>
              <c:showCatName val="0"/>
              <c:showSerName val="0"/>
              <c:showPercent val="0"/>
              <c:showBubbleSize val="0"/>
            </c:dLbl>
            <c:dLbl>
              <c:idx val="5"/>
              <c:layout>
                <c:manualLayout>
                  <c:x val="8.7191559857005829E-3"/>
                  <c:y val="0"/>
                </c:manualLayout>
              </c:layout>
              <c:showLegendKey val="0"/>
              <c:showVal val="1"/>
              <c:showCatName val="0"/>
              <c:showSerName val="0"/>
              <c:showPercent val="0"/>
              <c:showBubbleSize val="0"/>
            </c:dLbl>
            <c:dLbl>
              <c:idx val="6"/>
              <c:layout>
                <c:manualLayout>
                  <c:x val="2.0925974365681398E-2"/>
                  <c:y val="0"/>
                </c:manualLayout>
              </c:layout>
              <c:showLegendKey val="0"/>
              <c:showVal val="1"/>
              <c:showCatName val="0"/>
              <c:showSerName val="0"/>
              <c:showPercent val="0"/>
              <c:showBubbleSize val="0"/>
            </c:dLbl>
            <c:dLbl>
              <c:idx val="7"/>
              <c:layout>
                <c:manualLayout>
                  <c:x val="1.5694480774260923E-2"/>
                  <c:y val="0"/>
                </c:manualLayout>
              </c:layout>
              <c:showLegendKey val="0"/>
              <c:showVal val="1"/>
              <c:showCatName val="0"/>
              <c:showSerName val="0"/>
              <c:showPercent val="0"/>
              <c:showBubbleSize val="0"/>
            </c:dLbl>
            <c:dLbl>
              <c:idx val="8"/>
              <c:layout>
                <c:manualLayout>
                  <c:x val="2.5651988029072325E-2"/>
                  <c:y val="3.2704631851427283E-3"/>
                </c:manualLayout>
              </c:layout>
              <c:showLegendKey val="0"/>
              <c:showVal val="1"/>
              <c:showCatName val="0"/>
              <c:showSerName val="0"/>
              <c:showPercent val="0"/>
              <c:showBubbleSize val="0"/>
            </c:dLbl>
            <c:dLbl>
              <c:idx val="9"/>
              <c:layout>
                <c:manualLayout>
                  <c:x val="2.1376656690893545E-2"/>
                  <c:y val="3.2704631851427283E-3"/>
                </c:manualLayout>
              </c:layout>
              <c:showLegendKey val="0"/>
              <c:showVal val="1"/>
              <c:showCatName val="0"/>
              <c:showSerName val="0"/>
              <c:showPercent val="0"/>
              <c:showBubbleSize val="0"/>
            </c:dLbl>
            <c:spPr>
              <a:noFill/>
              <a:ln w="25400">
                <a:noFill/>
              </a:ln>
            </c:spPr>
            <c:txPr>
              <a:bodyPr/>
              <a:lstStyle/>
              <a:p>
                <a:pPr>
                  <a:defRPr sz="1000" b="1" i="0" u="none" strike="noStrike" baseline="0">
                    <a:solidFill>
                      <a:srgbClr val="000000"/>
                    </a:solidFill>
                    <a:latin typeface="Arial Cyr"/>
                    <a:ea typeface="Arial Cyr"/>
                    <a:cs typeface="Arial Cyr"/>
                  </a:defRPr>
                </a:pPr>
                <a:endParaRPr lang="ru-RU"/>
              </a:p>
            </c:txPr>
            <c:showLegendKey val="0"/>
            <c:showVal val="1"/>
            <c:showCatName val="0"/>
            <c:showSerName val="0"/>
            <c:showPercent val="0"/>
            <c:showBubbleSize val="0"/>
            <c:showLeaderLines val="0"/>
          </c:dLbls>
          <c:cat>
            <c:multiLvlStrRef>
              <c:f>'Динамика ПО'!$B$14:$L$16</c:f>
              <c:multiLvlStrCache>
                <c:ptCount val="10"/>
                <c:lvl>
                  <c:pt idx="0">
                    <c:v>15,1%</c:v>
                  </c:pt>
                  <c:pt idx="1">
                    <c:v>16,1%</c:v>
                  </c:pt>
                  <c:pt idx="2">
                    <c:v>16,7%</c:v>
                  </c:pt>
                  <c:pt idx="3">
                    <c:v>18,9%</c:v>
                  </c:pt>
                  <c:pt idx="4">
                    <c:v>19,6%</c:v>
                  </c:pt>
                  <c:pt idx="5">
                    <c:v>19,7%</c:v>
                  </c:pt>
                  <c:pt idx="6">
                    <c:v>20,7%</c:v>
                  </c:pt>
                  <c:pt idx="7">
                    <c:v>20,2%</c:v>
                  </c:pt>
                  <c:pt idx="8">
                    <c:v>21,0%</c:v>
                  </c:pt>
                  <c:pt idx="9">
                    <c:v>20,0%</c:v>
                  </c:pt>
                </c:lvl>
                <c:lvl>
                  <c:pt idx="0">
                    <c:v>2011</c:v>
                  </c:pt>
                  <c:pt idx="1">
                    <c:v>2012</c:v>
                  </c:pt>
                  <c:pt idx="2">
                    <c:v>2013</c:v>
                  </c:pt>
                  <c:pt idx="3">
                    <c:v>2014</c:v>
                  </c:pt>
                  <c:pt idx="4">
                    <c:v>2015</c:v>
                  </c:pt>
                  <c:pt idx="5">
                    <c:v>2016</c:v>
                  </c:pt>
                  <c:pt idx="6">
                    <c:v>2017</c:v>
                  </c:pt>
                  <c:pt idx="7">
                    <c:v>2018</c:v>
                  </c:pt>
                  <c:pt idx="8">
                    <c:v>2019</c:v>
                  </c:pt>
                  <c:pt idx="9">
                    <c:v>2020</c:v>
                  </c:pt>
                </c:lvl>
              </c:multiLvlStrCache>
            </c:multiLvlStrRef>
          </c:cat>
          <c:val>
            <c:numRef>
              <c:f>'Динамика ПО'!$B$18:$L$18</c:f>
              <c:numCache>
                <c:formatCode>0</c:formatCode>
                <c:ptCount val="10"/>
                <c:pt idx="0">
                  <c:v>2261.3900000000012</c:v>
                </c:pt>
                <c:pt idx="1">
                  <c:v>2414.6770000000001</c:v>
                </c:pt>
                <c:pt idx="2">
                  <c:v>2421.0112000000022</c:v>
                </c:pt>
                <c:pt idx="3">
                  <c:v>2716.96</c:v>
                </c:pt>
                <c:pt idx="4">
                  <c:v>2780.6639999999998</c:v>
                </c:pt>
                <c:pt idx="5">
                  <c:v>2806.0961000000002</c:v>
                </c:pt>
                <c:pt idx="6">
                  <c:v>2807</c:v>
                </c:pt>
                <c:pt idx="7">
                  <c:v>2760.2</c:v>
                </c:pt>
                <c:pt idx="8">
                  <c:v>2881.6</c:v>
                </c:pt>
                <c:pt idx="9">
                  <c:v>2881.4749999999999</c:v>
                </c:pt>
              </c:numCache>
            </c:numRef>
          </c:val>
        </c:ser>
        <c:ser>
          <c:idx val="2"/>
          <c:order val="2"/>
          <c:tx>
            <c:strRef>
              <c:f>'Динамика ПО'!$A$19</c:f>
              <c:strCache>
                <c:ptCount val="1"/>
                <c:pt idx="0">
                  <c:v>Фактический расход тепловой энергии на технологические цели</c:v>
                </c:pt>
              </c:strCache>
            </c:strRef>
          </c:tx>
          <c:spPr>
            <a:ln>
              <a:solidFill>
                <a:schemeClr val="tx1"/>
              </a:solidFill>
            </a:ln>
          </c:spPr>
          <c:invertIfNegative val="0"/>
          <c:dLbls>
            <c:dLbl>
              <c:idx val="0"/>
              <c:layout>
                <c:manualLayout>
                  <c:x val="1.0431445736393473E-2"/>
                  <c:y val="-5.2465617813247691E-2"/>
                </c:manualLayout>
              </c:layout>
              <c:tx>
                <c:rich>
                  <a:bodyPr/>
                  <a:lstStyle/>
                  <a:p>
                    <a:r>
                      <a:rPr lang="ru-RU" sz="1000" b="1"/>
                      <a:t>2379</a:t>
                    </a:r>
                    <a:endParaRPr lang="en-US" sz="1100" b="1"/>
                  </a:p>
                </c:rich>
              </c:tx>
              <c:showLegendKey val="0"/>
              <c:showVal val="1"/>
              <c:showCatName val="0"/>
              <c:showSerName val="0"/>
              <c:showPercent val="0"/>
              <c:showBubbleSize val="0"/>
            </c:dLbl>
            <c:dLbl>
              <c:idx val="1"/>
              <c:layout>
                <c:manualLayout>
                  <c:x val="1.211207453928446E-2"/>
                  <c:y val="-5.4158607350097018E-2"/>
                </c:manualLayout>
              </c:layout>
              <c:tx>
                <c:rich>
                  <a:bodyPr/>
                  <a:lstStyle/>
                  <a:p>
                    <a:r>
                      <a:rPr lang="ru-RU" sz="1000" b="1"/>
                      <a:t>2466</a:t>
                    </a:r>
                    <a:endParaRPr lang="en-US" sz="1000" b="1"/>
                  </a:p>
                </c:rich>
              </c:tx>
              <c:showLegendKey val="0"/>
              <c:showVal val="1"/>
              <c:showCatName val="0"/>
              <c:showSerName val="0"/>
              <c:showPercent val="0"/>
              <c:showBubbleSize val="0"/>
            </c:dLbl>
            <c:dLbl>
              <c:idx val="2"/>
              <c:layout>
                <c:manualLayout>
                  <c:x val="1.2143668459551744E-2"/>
                  <c:y val="-4.2592790021170272E-2"/>
                </c:manualLayout>
              </c:layout>
              <c:showLegendKey val="0"/>
              <c:showVal val="1"/>
              <c:showCatName val="0"/>
              <c:showSerName val="0"/>
              <c:showPercent val="0"/>
              <c:showBubbleSize val="0"/>
            </c:dLbl>
            <c:dLbl>
              <c:idx val="3"/>
              <c:layout>
                <c:manualLayout>
                  <c:x val="1.398226686377918E-2"/>
                  <c:y val="-4.9886636510862038E-2"/>
                </c:manualLayout>
              </c:layout>
              <c:tx>
                <c:rich>
                  <a:bodyPr/>
                  <a:lstStyle/>
                  <a:p>
                    <a:r>
                      <a:rPr lang="ru-RU" sz="1000" b="1"/>
                      <a:t>2603</a:t>
                    </a:r>
                    <a:endParaRPr lang="en-US" sz="1000" b="1"/>
                  </a:p>
                </c:rich>
              </c:tx>
              <c:showLegendKey val="0"/>
              <c:showVal val="1"/>
              <c:showCatName val="0"/>
              <c:showSerName val="0"/>
              <c:showPercent val="0"/>
              <c:showBubbleSize val="0"/>
            </c:dLbl>
            <c:dLbl>
              <c:idx val="4"/>
              <c:layout>
                <c:manualLayout>
                  <c:x val="1.55681139058683E-2"/>
                  <c:y val="-4.6421663442940082E-2"/>
                </c:manualLayout>
              </c:layout>
              <c:showLegendKey val="0"/>
              <c:showVal val="1"/>
              <c:showCatName val="0"/>
              <c:showSerName val="0"/>
              <c:showPercent val="0"/>
              <c:showBubbleSize val="0"/>
            </c:dLbl>
            <c:dLbl>
              <c:idx val="5"/>
              <c:layout>
                <c:manualLayout>
                  <c:x val="1.195424473405538E-2"/>
                  <c:y val="-3.9118475761129472E-2"/>
                </c:manualLayout>
              </c:layout>
              <c:showLegendKey val="0"/>
              <c:showVal val="1"/>
              <c:showCatName val="0"/>
              <c:showSerName val="0"/>
              <c:showPercent val="0"/>
              <c:showBubbleSize val="0"/>
            </c:dLbl>
            <c:dLbl>
              <c:idx val="6"/>
              <c:layout>
                <c:manualLayout>
                  <c:x val="1.9529516200621405E-2"/>
                  <c:y val="-3.8684719535783382E-2"/>
                </c:manualLayout>
              </c:layout>
              <c:showLegendKey val="0"/>
              <c:showVal val="1"/>
              <c:showCatName val="0"/>
              <c:showSerName val="0"/>
              <c:showPercent val="0"/>
              <c:showBubbleSize val="0"/>
            </c:dLbl>
            <c:txPr>
              <a:bodyPr/>
              <a:lstStyle/>
              <a:p>
                <a:pPr>
                  <a:defRPr sz="1000" b="1"/>
                </a:pPr>
                <a:endParaRPr lang="ru-RU"/>
              </a:p>
            </c:txPr>
            <c:showLegendKey val="0"/>
            <c:showVal val="1"/>
            <c:showCatName val="0"/>
            <c:showSerName val="0"/>
            <c:showPercent val="0"/>
            <c:showBubbleSize val="0"/>
            <c:showLeaderLines val="0"/>
          </c:dLbls>
          <c:cat>
            <c:multiLvlStrRef>
              <c:f>'Динамика ПО'!$B$14:$L$15</c:f>
              <c:multiLvlStrCache>
                <c:ptCount val="10"/>
                <c:lvl>
                  <c:pt idx="0">
                    <c:v>15,1%</c:v>
                  </c:pt>
                  <c:pt idx="1">
                    <c:v>16,1%</c:v>
                  </c:pt>
                  <c:pt idx="2">
                    <c:v>16,7%</c:v>
                  </c:pt>
                  <c:pt idx="3">
                    <c:v>18,9%</c:v>
                  </c:pt>
                  <c:pt idx="4">
                    <c:v>19,6%</c:v>
                  </c:pt>
                  <c:pt idx="5">
                    <c:v>19,7%</c:v>
                  </c:pt>
                  <c:pt idx="6">
                    <c:v>20,7%</c:v>
                  </c:pt>
                  <c:pt idx="7">
                    <c:v>20,2%</c:v>
                  </c:pt>
                  <c:pt idx="8">
                    <c:v>21,0%</c:v>
                  </c:pt>
                  <c:pt idx="9">
                    <c:v>20,0%</c:v>
                  </c:pt>
                </c:lvl>
                <c:lvl>
                  <c:pt idx="0">
                    <c:v>2011</c:v>
                  </c:pt>
                  <c:pt idx="1">
                    <c:v>2012</c:v>
                  </c:pt>
                  <c:pt idx="2">
                    <c:v>2013</c:v>
                  </c:pt>
                  <c:pt idx="3">
                    <c:v>2014</c:v>
                  </c:pt>
                  <c:pt idx="4">
                    <c:v>2015</c:v>
                  </c:pt>
                  <c:pt idx="5">
                    <c:v>2016</c:v>
                  </c:pt>
                  <c:pt idx="6">
                    <c:v>2017</c:v>
                  </c:pt>
                  <c:pt idx="7">
                    <c:v>2018</c:v>
                  </c:pt>
                  <c:pt idx="8">
                    <c:v>2019</c:v>
                  </c:pt>
                  <c:pt idx="9">
                    <c:v>2020</c:v>
                  </c:pt>
                </c:lvl>
              </c:multiLvlStrCache>
            </c:multiLvlStrRef>
          </c:cat>
          <c:val>
            <c:numRef>
              <c:f>'Динамика ПО'!$B$19:$L$19</c:f>
              <c:numCache>
                <c:formatCode>0</c:formatCode>
                <c:ptCount val="10"/>
                <c:pt idx="0">
                  <c:v>2379</c:v>
                </c:pt>
                <c:pt idx="1">
                  <c:v>2465.5</c:v>
                </c:pt>
                <c:pt idx="2">
                  <c:v>2827.8890000000001</c:v>
                </c:pt>
                <c:pt idx="3">
                  <c:v>2603.491000000005</c:v>
                </c:pt>
                <c:pt idx="4">
                  <c:v>2596.14</c:v>
                </c:pt>
                <c:pt idx="5">
                  <c:v>2982.9300000000012</c:v>
                </c:pt>
                <c:pt idx="6">
                  <c:v>2902.07</c:v>
                </c:pt>
              </c:numCache>
            </c:numRef>
          </c:val>
        </c:ser>
        <c:dLbls>
          <c:showLegendKey val="0"/>
          <c:showVal val="1"/>
          <c:showCatName val="0"/>
          <c:showSerName val="0"/>
          <c:showPercent val="0"/>
          <c:showBubbleSize val="0"/>
        </c:dLbls>
        <c:gapWidth val="150"/>
        <c:axId val="42218496"/>
        <c:axId val="283293888"/>
      </c:barChart>
      <c:catAx>
        <c:axId val="42218496"/>
        <c:scaling>
          <c:orientation val="minMax"/>
        </c:scaling>
        <c:delete val="0"/>
        <c:axPos val="b"/>
        <c:title>
          <c:tx>
            <c:rich>
              <a:bodyPr/>
              <a:lstStyle/>
              <a:p>
                <a:pPr>
                  <a:defRPr sz="800" b="1" i="0" u="none" strike="noStrike" baseline="0">
                    <a:solidFill>
                      <a:srgbClr val="000000"/>
                    </a:solidFill>
                    <a:latin typeface="Arial Cyr"/>
                    <a:ea typeface="Arial Cyr"/>
                    <a:cs typeface="Arial Cyr"/>
                  </a:defRPr>
                </a:pPr>
                <a:r>
                  <a:rPr lang="ru-RU" sz="800"/>
                  <a:t>Процент потерь/ Годы</a:t>
                </a:r>
              </a:p>
            </c:rich>
          </c:tx>
          <c:layout>
            <c:manualLayout>
              <c:xMode val="edge"/>
              <c:yMode val="edge"/>
              <c:x val="0.41361082860647747"/>
              <c:y val="0.8304033465836117"/>
            </c:manualLayout>
          </c:layout>
          <c:overlay val="0"/>
          <c:spPr>
            <a:noFill/>
            <a:ln w="25400">
              <a:noFill/>
            </a:ln>
          </c:spPr>
        </c:title>
        <c:numFmt formatCode="General" sourceLinked="1"/>
        <c:majorTickMark val="out"/>
        <c:minorTickMark val="none"/>
        <c:tickLblPos val="nextTo"/>
        <c:spPr>
          <a:ln w="3175">
            <a:solidFill>
              <a:srgbClr val="000000"/>
            </a:solidFill>
            <a:prstDash val="solid"/>
          </a:ln>
        </c:spPr>
        <c:txPr>
          <a:bodyPr rot="0" vert="horz"/>
          <a:lstStyle/>
          <a:p>
            <a:pPr>
              <a:defRPr sz="800" b="0" i="0" u="none" strike="noStrike" baseline="0">
                <a:solidFill>
                  <a:srgbClr val="000000"/>
                </a:solidFill>
                <a:latin typeface="Arial Cyr"/>
                <a:ea typeface="Arial Cyr"/>
                <a:cs typeface="Arial Cyr"/>
              </a:defRPr>
            </a:pPr>
            <a:endParaRPr lang="ru-RU"/>
          </a:p>
        </c:txPr>
        <c:crossAx val="283293888"/>
        <c:crosses val="autoZero"/>
        <c:auto val="1"/>
        <c:lblAlgn val="ctr"/>
        <c:lblOffset val="100"/>
        <c:tickLblSkip val="1"/>
        <c:tickMarkSkip val="1"/>
        <c:noMultiLvlLbl val="0"/>
      </c:catAx>
      <c:valAx>
        <c:axId val="283293888"/>
        <c:scaling>
          <c:orientation val="minMax"/>
        </c:scaling>
        <c:delete val="0"/>
        <c:axPos val="l"/>
        <c:majorGridlines>
          <c:spPr>
            <a:ln w="3175">
              <a:solidFill>
                <a:srgbClr val="000000"/>
              </a:solidFill>
              <a:prstDash val="solid"/>
            </a:ln>
          </c:spPr>
        </c:majorGridlines>
        <c:title>
          <c:tx>
            <c:rich>
              <a:bodyPr/>
              <a:lstStyle/>
              <a:p>
                <a:pPr>
                  <a:defRPr sz="1000" b="1" i="0" u="none" strike="noStrike" baseline="0">
                    <a:solidFill>
                      <a:srgbClr val="000000"/>
                    </a:solidFill>
                    <a:latin typeface="Arial Cyr"/>
                    <a:ea typeface="Arial Cyr"/>
                    <a:cs typeface="Arial Cyr"/>
                  </a:defRPr>
                </a:pPr>
                <a:r>
                  <a:rPr lang="ru-RU"/>
                  <a:t>Тыс.Гкал</a:t>
                </a:r>
              </a:p>
            </c:rich>
          </c:tx>
          <c:layout>
            <c:manualLayout>
              <c:xMode val="edge"/>
              <c:yMode val="edge"/>
              <c:x val="4.8543689320388423E-3"/>
              <c:y val="0.40831715054023149"/>
            </c:manualLayout>
          </c:layout>
          <c:overlay val="0"/>
          <c:spPr>
            <a:noFill/>
            <a:ln w="25400">
              <a:noFill/>
            </a:ln>
          </c:spPr>
        </c:title>
        <c:numFmt formatCode="0.0" sourceLinked="1"/>
        <c:majorTickMark val="out"/>
        <c:minorTickMark val="none"/>
        <c:tickLblPos val="nextTo"/>
        <c:spPr>
          <a:ln w="3175">
            <a:solidFill>
              <a:srgbClr val="000000"/>
            </a:solidFill>
            <a:prstDash val="solid"/>
          </a:ln>
        </c:spPr>
        <c:txPr>
          <a:bodyPr rot="0" vert="horz"/>
          <a:lstStyle/>
          <a:p>
            <a:pPr>
              <a:defRPr sz="800" b="0" i="0" u="none" strike="noStrike" baseline="0">
                <a:solidFill>
                  <a:srgbClr val="000000"/>
                </a:solidFill>
                <a:latin typeface="Arial Cyr"/>
                <a:ea typeface="Arial Cyr"/>
                <a:cs typeface="Arial Cyr"/>
              </a:defRPr>
            </a:pPr>
            <a:endParaRPr lang="ru-RU"/>
          </a:p>
        </c:txPr>
        <c:crossAx val="42218496"/>
        <c:crosses val="autoZero"/>
        <c:crossBetween val="between"/>
      </c:valAx>
      <c:spPr>
        <a:solidFill>
          <a:srgbClr val="FFFFFF"/>
        </a:solidFill>
        <a:ln w="12700">
          <a:solidFill>
            <a:srgbClr val="000000"/>
          </a:solidFill>
          <a:prstDash val="solid"/>
        </a:ln>
      </c:spPr>
    </c:plotArea>
    <c:legend>
      <c:legendPos val="b"/>
      <c:layout>
        <c:manualLayout>
          <c:xMode val="edge"/>
          <c:yMode val="edge"/>
          <c:x val="1.456311968993243E-2"/>
          <c:y val="0.87986962944913061"/>
          <c:w val="0.97099533898645018"/>
          <c:h val="9.9498520131793181E-2"/>
        </c:manualLayout>
      </c:layout>
      <c:overlay val="0"/>
      <c:spPr>
        <a:solidFill>
          <a:srgbClr val="FFFFFF"/>
        </a:solidFill>
        <a:ln w="3175">
          <a:solidFill>
            <a:srgbClr val="000000"/>
          </a:solidFill>
          <a:prstDash val="solid"/>
        </a:ln>
      </c:spPr>
      <c:txPr>
        <a:bodyPr/>
        <a:lstStyle/>
        <a:p>
          <a:pPr>
            <a:defRPr sz="800" b="0" i="0" u="none" strike="noStrike" baseline="0">
              <a:solidFill>
                <a:srgbClr val="000000"/>
              </a:solidFill>
              <a:latin typeface="Arial Cyr"/>
              <a:ea typeface="Arial Cyr"/>
              <a:cs typeface="Arial Cyr"/>
            </a:defRPr>
          </a:pPr>
          <a:endParaRPr lang="ru-RU"/>
        </a:p>
      </c:txPr>
    </c:legend>
    <c:plotVisOnly val="1"/>
    <c:dispBlanksAs val="gap"/>
    <c:showDLblsOverMax val="0"/>
  </c:chart>
  <c:spPr>
    <a:solidFill>
      <a:srgbClr val="FFFFFF"/>
    </a:solidFill>
    <a:ln w="3175">
      <a:solidFill>
        <a:schemeClr val="bg1"/>
      </a:solidFill>
      <a:prstDash val="solid"/>
    </a:ln>
  </c:spPr>
  <c:txPr>
    <a:bodyPr/>
    <a:lstStyle/>
    <a:p>
      <a:pPr>
        <a:defRPr sz="1675" b="0" i="0" u="none" strike="noStrike" baseline="0">
          <a:solidFill>
            <a:srgbClr val="000000"/>
          </a:solidFill>
          <a:latin typeface="Arial Cyr"/>
          <a:ea typeface="Arial Cyr"/>
          <a:cs typeface="Arial Cyr"/>
        </a:defRPr>
      </a:pPr>
      <a:endParaRPr lang="ru-RU"/>
    </a:p>
  </c:txPr>
  <c:externalData r:id="rId1">
    <c:autoUpdate val="0"/>
  </c:externalData>
</c:chartSpace>
</file>

<file path=word/charts/chart13.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a:lstStyle/>
          <a:p>
            <a:pPr>
              <a:defRPr sz="1000"/>
            </a:pPr>
            <a:r>
              <a:rPr lang="ru-RU" sz="1000" b="1" i="0" baseline="0">
                <a:latin typeface="Times New Roman" pitchFamily="18" charset="0"/>
                <a:cs typeface="Times New Roman" pitchFamily="18" charset="0"/>
              </a:rPr>
              <a:t>Структура НВВ подразделения Тепловые сети АО "СИБЭКО" </a:t>
            </a:r>
          </a:p>
          <a:p>
            <a:pPr>
              <a:defRPr sz="1000"/>
            </a:pPr>
            <a:r>
              <a:rPr lang="ru-RU" sz="1000" b="1" i="0" baseline="0">
                <a:latin typeface="Times New Roman" pitchFamily="18" charset="0"/>
                <a:cs typeface="Times New Roman" pitchFamily="18" charset="0"/>
              </a:rPr>
              <a:t>в 2019 году</a:t>
            </a:r>
            <a:endParaRPr lang="ru-RU" sz="1000">
              <a:latin typeface="Times New Roman" pitchFamily="18" charset="0"/>
              <a:cs typeface="Times New Roman" pitchFamily="18" charset="0"/>
            </a:endParaRPr>
          </a:p>
        </c:rich>
      </c:tx>
      <c:layout>
        <c:manualLayout>
          <c:xMode val="edge"/>
          <c:yMode val="edge"/>
          <c:x val="0.19921610734487091"/>
          <c:y val="7.3014244006016438E-3"/>
        </c:manualLayout>
      </c:layout>
      <c:overlay val="0"/>
    </c:title>
    <c:autoTitleDeleted val="0"/>
    <c:plotArea>
      <c:layout>
        <c:manualLayout>
          <c:layoutTarget val="inner"/>
          <c:xMode val="edge"/>
          <c:yMode val="edge"/>
          <c:x val="0.36704992841803863"/>
          <c:y val="0.28935168360365393"/>
          <c:w val="0.45651597894105045"/>
          <c:h val="0.70961572111178461"/>
        </c:manualLayout>
      </c:layout>
      <c:pieChart>
        <c:varyColors val="1"/>
        <c:ser>
          <c:idx val="0"/>
          <c:order val="0"/>
          <c:explosion val="20"/>
          <c:dPt>
            <c:idx val="1"/>
            <c:bubble3D val="0"/>
            <c:explosion val="0"/>
          </c:dPt>
          <c:dPt>
            <c:idx val="2"/>
            <c:bubble3D val="0"/>
            <c:explosion val="2"/>
          </c:dPt>
          <c:dPt>
            <c:idx val="3"/>
            <c:bubble3D val="0"/>
            <c:explosion val="0"/>
          </c:dPt>
          <c:dPt>
            <c:idx val="4"/>
            <c:bubble3D val="0"/>
            <c:explosion val="9"/>
          </c:dPt>
          <c:dPt>
            <c:idx val="5"/>
            <c:bubble3D val="0"/>
            <c:explosion val="0"/>
          </c:dPt>
          <c:dPt>
            <c:idx val="6"/>
            <c:bubble3D val="0"/>
            <c:explosion val="0"/>
          </c:dPt>
          <c:dPt>
            <c:idx val="7"/>
            <c:bubble3D val="0"/>
            <c:explosion val="9"/>
          </c:dPt>
          <c:dLbls>
            <c:dLbl>
              <c:idx val="0"/>
              <c:delete val="1"/>
            </c:dLbl>
            <c:dLbl>
              <c:idx val="1"/>
              <c:layout>
                <c:manualLayout>
                  <c:x val="0.10534007204378062"/>
                  <c:y val="7.1328263454248095E-3"/>
                </c:manualLayout>
              </c:layout>
              <c:tx>
                <c:rich>
                  <a:bodyPr/>
                  <a:lstStyle/>
                  <a:p>
                    <a:r>
                      <a:rPr lang="ru-RU"/>
                      <a:t>Ремонт ОС подрядн.способ
11</a:t>
                    </a:r>
                    <a:r>
                      <a:rPr lang="en-US"/>
                      <a:t>%</a:t>
                    </a:r>
                    <a:endParaRPr lang="ru-RU"/>
                  </a:p>
                </c:rich>
              </c:tx>
              <c:showLegendKey val="1"/>
              <c:showVal val="0"/>
              <c:showCatName val="1"/>
              <c:showSerName val="0"/>
              <c:showPercent val="1"/>
              <c:showBubbleSize val="0"/>
            </c:dLbl>
            <c:dLbl>
              <c:idx val="2"/>
              <c:layout>
                <c:manualLayout>
                  <c:x val="3.1443546161008001E-2"/>
                  <c:y val="-1.2217665500145783E-2"/>
                </c:manualLayout>
              </c:layout>
              <c:tx>
                <c:rich>
                  <a:bodyPr/>
                  <a:lstStyle/>
                  <a:p>
                    <a:r>
                      <a:rPr lang="ru-RU"/>
                      <a:t>Энергия
</a:t>
                    </a:r>
                    <a:r>
                      <a:rPr lang="en-US"/>
                      <a:t>1</a:t>
                    </a:r>
                    <a:r>
                      <a:rPr lang="ru-RU"/>
                      <a:t>5%</a:t>
                    </a:r>
                  </a:p>
                </c:rich>
              </c:tx>
              <c:showLegendKey val="1"/>
              <c:showVal val="0"/>
              <c:showCatName val="1"/>
              <c:showSerName val="0"/>
              <c:showPercent val="1"/>
              <c:showBubbleSize val="0"/>
            </c:dLbl>
            <c:dLbl>
              <c:idx val="3"/>
              <c:layout>
                <c:manualLayout>
                  <c:x val="3.4268752933201224E-2"/>
                  <c:y val="1.4035676096043538E-2"/>
                </c:manualLayout>
              </c:layout>
              <c:tx>
                <c:rich>
                  <a:bodyPr/>
                  <a:lstStyle/>
                  <a:p>
                    <a:r>
                      <a:rPr lang="ru-RU"/>
                      <a:t>ФОТ+отчисления
31%</a:t>
                    </a:r>
                  </a:p>
                </c:rich>
              </c:tx>
              <c:showLegendKey val="1"/>
              <c:showVal val="0"/>
              <c:showCatName val="1"/>
              <c:showSerName val="0"/>
              <c:showPercent val="1"/>
              <c:showBubbleSize val="0"/>
            </c:dLbl>
            <c:dLbl>
              <c:idx val="4"/>
              <c:layout>
                <c:manualLayout>
                  <c:x val="-2.2920497237310575E-2"/>
                  <c:y val="-1.8307086614173281E-3"/>
                </c:manualLayout>
              </c:layout>
              <c:tx>
                <c:rich>
                  <a:bodyPr/>
                  <a:lstStyle/>
                  <a:p>
                    <a:r>
                      <a:rPr lang="ru-RU"/>
                      <a:t>Амортизация
4%</a:t>
                    </a:r>
                  </a:p>
                </c:rich>
              </c:tx>
              <c:showLegendKey val="1"/>
              <c:showVal val="0"/>
              <c:showCatName val="1"/>
              <c:showSerName val="0"/>
              <c:showPercent val="1"/>
              <c:showBubbleSize val="0"/>
            </c:dLbl>
            <c:dLbl>
              <c:idx val="5"/>
              <c:layout>
                <c:manualLayout>
                  <c:x val="-8.0481215507885479E-2"/>
                  <c:y val="4.2981133768535344E-2"/>
                </c:manualLayout>
              </c:layout>
              <c:tx>
                <c:rich>
                  <a:bodyPr/>
                  <a:lstStyle/>
                  <a:p>
                    <a:r>
                      <a:rPr lang="ru-RU"/>
                      <a:t>Аренда
15%</a:t>
                    </a:r>
                  </a:p>
                </c:rich>
              </c:tx>
              <c:showLegendKey val="1"/>
              <c:showVal val="0"/>
              <c:showCatName val="1"/>
              <c:showSerName val="0"/>
              <c:showPercent val="1"/>
              <c:showBubbleSize val="0"/>
            </c:dLbl>
            <c:dLbl>
              <c:idx val="6"/>
              <c:layout>
                <c:manualLayout>
                  <c:x val="-0.10989303592845674"/>
                  <c:y val="7.5597676987209594E-2"/>
                </c:manualLayout>
              </c:layout>
              <c:tx>
                <c:rich>
                  <a:bodyPr/>
                  <a:lstStyle/>
                  <a:p>
                    <a:r>
                      <a:rPr lang="ru-RU"/>
                      <a:t>Прочие
</a:t>
                    </a:r>
                    <a:r>
                      <a:rPr lang="en-US"/>
                      <a:t>1</a:t>
                    </a:r>
                    <a:r>
                      <a:rPr lang="ru-RU"/>
                      <a:t>7%</a:t>
                    </a:r>
                  </a:p>
                </c:rich>
              </c:tx>
              <c:showLegendKey val="1"/>
              <c:showVal val="0"/>
              <c:showCatName val="1"/>
              <c:showSerName val="0"/>
              <c:showPercent val="1"/>
              <c:showBubbleSize val="0"/>
            </c:dLbl>
            <c:dLbl>
              <c:idx val="7"/>
              <c:layout>
                <c:manualLayout>
                  <c:x val="-0.10895538926839443"/>
                  <c:y val="-6.917175864894716E-2"/>
                </c:manualLayout>
              </c:layout>
              <c:showLegendKey val="1"/>
              <c:showVal val="0"/>
              <c:showCatName val="1"/>
              <c:showSerName val="0"/>
              <c:showPercent val="1"/>
              <c:showBubbleSize val="0"/>
            </c:dLbl>
            <c:dLbl>
              <c:idx val="8"/>
              <c:layout>
                <c:manualLayout>
                  <c:x val="-0.27008844816857785"/>
                  <c:y val="-0.1392428550597842"/>
                </c:manualLayout>
              </c:layout>
              <c:showLegendKey val="1"/>
              <c:showVal val="0"/>
              <c:showCatName val="1"/>
              <c:showSerName val="0"/>
              <c:showPercent val="1"/>
              <c:showBubbleSize val="0"/>
            </c:dLbl>
            <c:dLbl>
              <c:idx val="9"/>
              <c:layout>
                <c:manualLayout>
                  <c:x val="-0.39725434109959318"/>
                  <c:y val="1.6863629225834096E-2"/>
                </c:manualLayout>
              </c:layout>
              <c:showLegendKey val="1"/>
              <c:showVal val="0"/>
              <c:showCatName val="1"/>
              <c:showSerName val="0"/>
              <c:showPercent val="1"/>
              <c:showBubbleSize val="0"/>
            </c:dLbl>
            <c:showLegendKey val="1"/>
            <c:showVal val="0"/>
            <c:showCatName val="1"/>
            <c:showSerName val="0"/>
            <c:showPercent val="1"/>
            <c:showBubbleSize val="0"/>
            <c:showLeaderLines val="1"/>
          </c:dLbls>
          <c:cat>
            <c:strRef>
              <c:f>'НВВ Теплосети2019'!$B$10:$B$19</c:f>
              <c:strCache>
                <c:ptCount val="10"/>
                <c:pt idx="1">
                  <c:v>Ремонт ОС подрядн.способ</c:v>
                </c:pt>
                <c:pt idx="2">
                  <c:v>Энергия</c:v>
                </c:pt>
                <c:pt idx="3">
                  <c:v>ФОТ+отчисления</c:v>
                </c:pt>
                <c:pt idx="4">
                  <c:v>Амортизация</c:v>
                </c:pt>
                <c:pt idx="5">
                  <c:v>Аренда</c:v>
                </c:pt>
                <c:pt idx="6">
                  <c:v>Прочие</c:v>
                </c:pt>
                <c:pt idx="7">
                  <c:v>Прибыль</c:v>
                </c:pt>
                <c:pt idx="9">
                  <c:v>Сырье и материалы</c:v>
                </c:pt>
              </c:strCache>
            </c:strRef>
          </c:cat>
          <c:val>
            <c:numRef>
              <c:f>'НВВ Теплосети2019'!$C$10:$C$19</c:f>
              <c:numCache>
                <c:formatCode>_-* #,##0.0_р_._-;\-* #,##0.0_р_._-;_-* "-"??_р_._-;_-@_-</c:formatCode>
                <c:ptCount val="10"/>
                <c:pt idx="0">
                  <c:v>0</c:v>
                </c:pt>
                <c:pt idx="1">
                  <c:v>423833.1</c:v>
                </c:pt>
                <c:pt idx="2">
                  <c:v>540654</c:v>
                </c:pt>
                <c:pt idx="3">
                  <c:v>1161863.8</c:v>
                </c:pt>
                <c:pt idx="4">
                  <c:v>160517.5</c:v>
                </c:pt>
                <c:pt idx="5">
                  <c:v>546151.1</c:v>
                </c:pt>
                <c:pt idx="6">
                  <c:v>642458.39999999898</c:v>
                </c:pt>
                <c:pt idx="7">
                  <c:v>176944.2</c:v>
                </c:pt>
                <c:pt idx="9">
                  <c:v>50266</c:v>
                </c:pt>
              </c:numCache>
            </c:numRef>
          </c:val>
        </c:ser>
        <c:dLbls>
          <c:showLegendKey val="0"/>
          <c:showVal val="0"/>
          <c:showCatName val="0"/>
          <c:showSerName val="0"/>
          <c:showPercent val="1"/>
          <c:showBubbleSize val="0"/>
          <c:showLeaderLines val="1"/>
        </c:dLbls>
        <c:firstSliceAng val="0"/>
      </c:pieChart>
    </c:plotArea>
    <c:plotVisOnly val="1"/>
    <c:dispBlanksAs val="zero"/>
    <c:showDLblsOverMax val="0"/>
  </c:chart>
  <c:spPr>
    <a:ln>
      <a:noFill/>
    </a:ln>
  </c:spPr>
  <c:externalData r:id="rId1">
    <c:autoUpdate val="0"/>
  </c:externalData>
</c:chartSpace>
</file>

<file path=word/charts/chart14.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a:lstStyle/>
          <a:p>
            <a:pPr>
              <a:defRPr sz="1000"/>
            </a:pPr>
            <a:r>
              <a:rPr lang="ru-RU" sz="1000" b="1" i="0" baseline="0">
                <a:latin typeface="Times New Roman" pitchFamily="18" charset="0"/>
                <a:cs typeface="Times New Roman" pitchFamily="18" charset="0"/>
              </a:rPr>
              <a:t>Структура НВВ подразделения Тепловые сети АО "СИБЭКО" </a:t>
            </a:r>
          </a:p>
          <a:p>
            <a:pPr>
              <a:defRPr sz="1000"/>
            </a:pPr>
            <a:r>
              <a:rPr lang="ru-RU" sz="1000" b="1" i="0" baseline="0">
                <a:latin typeface="Times New Roman" pitchFamily="18" charset="0"/>
                <a:cs typeface="Times New Roman" pitchFamily="18" charset="0"/>
              </a:rPr>
              <a:t>в 2020 году</a:t>
            </a:r>
            <a:endParaRPr lang="ru-RU" sz="1000">
              <a:latin typeface="Times New Roman" pitchFamily="18" charset="0"/>
              <a:cs typeface="Times New Roman" pitchFamily="18" charset="0"/>
            </a:endParaRPr>
          </a:p>
        </c:rich>
      </c:tx>
      <c:layout>
        <c:manualLayout>
          <c:xMode val="edge"/>
          <c:yMode val="edge"/>
          <c:x val="0.25693919206117338"/>
          <c:y val="6.1831203445708431E-4"/>
        </c:manualLayout>
      </c:layout>
      <c:overlay val="0"/>
    </c:title>
    <c:autoTitleDeleted val="0"/>
    <c:plotArea>
      <c:layout>
        <c:manualLayout>
          <c:layoutTarget val="inner"/>
          <c:xMode val="edge"/>
          <c:yMode val="edge"/>
          <c:x val="0.36704992841803863"/>
          <c:y val="0.28935168360365415"/>
          <c:w val="0.45651597894105056"/>
          <c:h val="0.70961572111178461"/>
        </c:manualLayout>
      </c:layout>
      <c:pieChart>
        <c:varyColors val="1"/>
        <c:ser>
          <c:idx val="0"/>
          <c:order val="0"/>
          <c:explosion val="25"/>
          <c:dPt>
            <c:idx val="0"/>
            <c:bubble3D val="0"/>
            <c:explosion val="9"/>
          </c:dPt>
          <c:dPt>
            <c:idx val="1"/>
            <c:bubble3D val="0"/>
            <c:explosion val="4"/>
          </c:dPt>
          <c:dPt>
            <c:idx val="2"/>
            <c:bubble3D val="0"/>
            <c:explosion val="0"/>
          </c:dPt>
          <c:dPt>
            <c:idx val="3"/>
            <c:bubble3D val="0"/>
            <c:explosion val="5"/>
          </c:dPt>
          <c:dPt>
            <c:idx val="4"/>
            <c:bubble3D val="0"/>
            <c:explosion val="8"/>
          </c:dPt>
          <c:dPt>
            <c:idx val="5"/>
            <c:bubble3D val="0"/>
            <c:explosion val="4"/>
          </c:dPt>
          <c:dPt>
            <c:idx val="6"/>
            <c:bubble3D val="0"/>
            <c:explosion val="1"/>
          </c:dPt>
          <c:dPt>
            <c:idx val="7"/>
            <c:bubble3D val="0"/>
            <c:explosion val="11"/>
          </c:dPt>
          <c:dPt>
            <c:idx val="8"/>
            <c:bubble3D val="0"/>
            <c:explosion val="4"/>
          </c:dPt>
          <c:dPt>
            <c:idx val="9"/>
            <c:bubble3D val="0"/>
            <c:explosion val="8"/>
          </c:dPt>
          <c:dLbls>
            <c:dLbl>
              <c:idx val="0"/>
              <c:delete val="1"/>
            </c:dLbl>
            <c:dLbl>
              <c:idx val="1"/>
              <c:layout>
                <c:manualLayout>
                  <c:x val="0.10534007204378062"/>
                  <c:y val="7.1328263454248121E-3"/>
                </c:manualLayout>
              </c:layout>
              <c:tx>
                <c:rich>
                  <a:bodyPr/>
                  <a:lstStyle/>
                  <a:p>
                    <a:r>
                      <a:rPr lang="ru-RU"/>
                      <a:t>Ремонт ОС подрядн.способ
1</a:t>
                    </a:r>
                    <a:r>
                      <a:rPr lang="en-US"/>
                      <a:t>0%</a:t>
                    </a:r>
                    <a:endParaRPr lang="ru-RU"/>
                  </a:p>
                </c:rich>
              </c:tx>
              <c:showLegendKey val="1"/>
              <c:showVal val="0"/>
              <c:showCatName val="1"/>
              <c:showSerName val="0"/>
              <c:showPercent val="1"/>
              <c:showBubbleSize val="0"/>
            </c:dLbl>
            <c:dLbl>
              <c:idx val="2"/>
              <c:layout>
                <c:manualLayout>
                  <c:x val="3.1443546161008001E-2"/>
                  <c:y val="-1.2217665500145776E-2"/>
                </c:manualLayout>
              </c:layout>
              <c:tx>
                <c:rich>
                  <a:bodyPr/>
                  <a:lstStyle/>
                  <a:p>
                    <a:r>
                      <a:rPr lang="ru-RU"/>
                      <a:t>Энергия
</a:t>
                    </a:r>
                    <a:r>
                      <a:rPr lang="en-US"/>
                      <a:t>13</a:t>
                    </a:r>
                    <a:r>
                      <a:rPr lang="ru-RU"/>
                      <a:t>%</a:t>
                    </a:r>
                  </a:p>
                </c:rich>
              </c:tx>
              <c:showLegendKey val="1"/>
              <c:showVal val="0"/>
              <c:showCatName val="1"/>
              <c:showSerName val="0"/>
              <c:showPercent val="1"/>
              <c:showBubbleSize val="0"/>
            </c:dLbl>
            <c:dLbl>
              <c:idx val="3"/>
              <c:layout>
                <c:manualLayout>
                  <c:x val="3.4268752933201224E-2"/>
                  <c:y val="1.4035676096043538E-2"/>
                </c:manualLayout>
              </c:layout>
              <c:tx>
                <c:rich>
                  <a:bodyPr/>
                  <a:lstStyle/>
                  <a:p>
                    <a:r>
                      <a:rPr lang="ru-RU"/>
                      <a:t>ФОТ+отчисления
</a:t>
                    </a:r>
                    <a:r>
                      <a:rPr lang="en-US"/>
                      <a:t>28</a:t>
                    </a:r>
                    <a:r>
                      <a:rPr lang="ru-RU"/>
                      <a:t>%</a:t>
                    </a:r>
                  </a:p>
                </c:rich>
              </c:tx>
              <c:showLegendKey val="1"/>
              <c:showVal val="0"/>
              <c:showCatName val="1"/>
              <c:showSerName val="0"/>
              <c:showPercent val="1"/>
              <c:showBubbleSize val="0"/>
            </c:dLbl>
            <c:dLbl>
              <c:idx val="4"/>
              <c:layout>
                <c:manualLayout>
                  <c:x val="-0.17471090031437178"/>
                  <c:y val="-1.1855278148326483E-2"/>
                </c:manualLayout>
              </c:layout>
              <c:tx>
                <c:rich>
                  <a:bodyPr/>
                  <a:lstStyle/>
                  <a:p>
                    <a:r>
                      <a:rPr lang="ru-RU"/>
                      <a:t>Амортизация
</a:t>
                    </a:r>
                    <a:r>
                      <a:rPr lang="en-US"/>
                      <a:t>1</a:t>
                    </a:r>
                    <a:r>
                      <a:rPr lang="ru-RU"/>
                      <a:t>%</a:t>
                    </a:r>
                  </a:p>
                </c:rich>
              </c:tx>
              <c:showLegendKey val="1"/>
              <c:showVal val="0"/>
              <c:showCatName val="1"/>
              <c:showSerName val="0"/>
              <c:showPercent val="1"/>
              <c:showBubbleSize val="0"/>
            </c:dLbl>
            <c:dLbl>
              <c:idx val="5"/>
              <c:layout>
                <c:manualLayout>
                  <c:x val="-0.14034231557506457"/>
                  <c:y val="-9.0220934729929203E-2"/>
                </c:manualLayout>
              </c:layout>
              <c:tx>
                <c:rich>
                  <a:bodyPr/>
                  <a:lstStyle/>
                  <a:p>
                    <a:r>
                      <a:rPr lang="ru-RU"/>
                      <a:t>Аренда
1</a:t>
                    </a:r>
                    <a:r>
                      <a:rPr lang="en-US"/>
                      <a:t>2</a:t>
                    </a:r>
                    <a:r>
                      <a:rPr lang="ru-RU"/>
                      <a:t>%</a:t>
                    </a:r>
                  </a:p>
                </c:rich>
              </c:tx>
              <c:showLegendKey val="1"/>
              <c:showVal val="0"/>
              <c:showCatName val="1"/>
              <c:showSerName val="0"/>
              <c:showPercent val="1"/>
              <c:showBubbleSize val="0"/>
            </c:dLbl>
            <c:dLbl>
              <c:idx val="6"/>
              <c:layout>
                <c:manualLayout>
                  <c:x val="-0.10989303592845677"/>
                  <c:y val="7.5597676987209594E-2"/>
                </c:manualLayout>
              </c:layout>
              <c:tx>
                <c:rich>
                  <a:bodyPr/>
                  <a:lstStyle/>
                  <a:p>
                    <a:r>
                      <a:rPr lang="ru-RU"/>
                      <a:t>Прочие
</a:t>
                    </a:r>
                    <a:r>
                      <a:rPr lang="en-US"/>
                      <a:t>19</a:t>
                    </a:r>
                    <a:r>
                      <a:rPr lang="ru-RU"/>
                      <a:t>%</a:t>
                    </a:r>
                  </a:p>
                </c:rich>
              </c:tx>
              <c:showLegendKey val="1"/>
              <c:showVal val="0"/>
              <c:showCatName val="1"/>
              <c:showSerName val="0"/>
              <c:showPercent val="1"/>
              <c:showBubbleSize val="0"/>
            </c:dLbl>
            <c:dLbl>
              <c:idx val="7"/>
              <c:layout>
                <c:manualLayout>
                  <c:x val="-0.10895538926839443"/>
                  <c:y val="-6.917175864894716E-2"/>
                </c:manualLayout>
              </c:layout>
              <c:showLegendKey val="1"/>
              <c:showVal val="0"/>
              <c:showCatName val="1"/>
              <c:showSerName val="0"/>
              <c:showPercent val="1"/>
              <c:showBubbleSize val="0"/>
            </c:dLbl>
            <c:dLbl>
              <c:idx val="8"/>
              <c:layout>
                <c:manualLayout>
                  <c:x val="-0.27008844816857785"/>
                  <c:y val="-0.1392428550597842"/>
                </c:manualLayout>
              </c:layout>
              <c:showLegendKey val="1"/>
              <c:showVal val="0"/>
              <c:showCatName val="1"/>
              <c:showSerName val="0"/>
              <c:showPercent val="1"/>
              <c:showBubbleSize val="0"/>
            </c:dLbl>
            <c:dLbl>
              <c:idx val="9"/>
              <c:layout>
                <c:manualLayout>
                  <c:x val="-0.46301552498348181"/>
                  <c:y val="-1.9893071484764574E-2"/>
                </c:manualLayout>
              </c:layout>
              <c:showLegendKey val="1"/>
              <c:showVal val="0"/>
              <c:showCatName val="1"/>
              <c:showSerName val="0"/>
              <c:showPercent val="1"/>
              <c:showBubbleSize val="0"/>
            </c:dLbl>
            <c:showLegendKey val="1"/>
            <c:showVal val="0"/>
            <c:showCatName val="1"/>
            <c:showSerName val="0"/>
            <c:showPercent val="1"/>
            <c:showBubbleSize val="0"/>
            <c:showLeaderLines val="1"/>
          </c:dLbls>
          <c:cat>
            <c:strRef>
              <c:f>'НВВ Теплосети2020'!$B$10:$B$19</c:f>
              <c:strCache>
                <c:ptCount val="10"/>
                <c:pt idx="1">
                  <c:v>Ремонт ОС подрядн.способ</c:v>
                </c:pt>
                <c:pt idx="2">
                  <c:v>Энергия</c:v>
                </c:pt>
                <c:pt idx="3">
                  <c:v>ФОТ+отчисления</c:v>
                </c:pt>
                <c:pt idx="4">
                  <c:v>Амортизация</c:v>
                </c:pt>
                <c:pt idx="5">
                  <c:v>Аренда</c:v>
                </c:pt>
                <c:pt idx="6">
                  <c:v>Прочие</c:v>
                </c:pt>
                <c:pt idx="7">
                  <c:v>Прибыль</c:v>
                </c:pt>
                <c:pt idx="8">
                  <c:v>Компенсация расходов по оплате фактического объема потерь</c:v>
                </c:pt>
                <c:pt idx="9">
                  <c:v>Сырье и материалы</c:v>
                </c:pt>
              </c:strCache>
            </c:strRef>
          </c:cat>
          <c:val>
            <c:numRef>
              <c:f>'НВВ Теплосети2020'!$C$10:$C$19</c:f>
              <c:numCache>
                <c:formatCode>_-* #,##0.0_р_._-;\-* #,##0.0_р_._-;_-* "-"??_р_._-;_-@_-</c:formatCode>
                <c:ptCount val="10"/>
                <c:pt idx="0">
                  <c:v>0</c:v>
                </c:pt>
                <c:pt idx="1">
                  <c:v>432182.6</c:v>
                </c:pt>
                <c:pt idx="2">
                  <c:v>562821.69999999821</c:v>
                </c:pt>
                <c:pt idx="3">
                  <c:v>1193734.6000000001</c:v>
                </c:pt>
                <c:pt idx="4">
                  <c:v>23617.9</c:v>
                </c:pt>
                <c:pt idx="5">
                  <c:v>497308.4</c:v>
                </c:pt>
                <c:pt idx="6">
                  <c:v>795653.4999999986</c:v>
                </c:pt>
                <c:pt idx="7">
                  <c:v>180462.3</c:v>
                </c:pt>
                <c:pt idx="8">
                  <c:v>528487.1</c:v>
                </c:pt>
                <c:pt idx="9">
                  <c:v>51256.2</c:v>
                </c:pt>
              </c:numCache>
            </c:numRef>
          </c:val>
        </c:ser>
        <c:dLbls>
          <c:showLegendKey val="0"/>
          <c:showVal val="0"/>
          <c:showCatName val="0"/>
          <c:showSerName val="0"/>
          <c:showPercent val="1"/>
          <c:showBubbleSize val="0"/>
          <c:showLeaderLines val="1"/>
        </c:dLbls>
        <c:firstSliceAng val="0"/>
      </c:pieChart>
    </c:plotArea>
    <c:plotVisOnly val="1"/>
    <c:dispBlanksAs val="zero"/>
    <c:showDLblsOverMax val="0"/>
  </c:chart>
  <c:spPr>
    <a:ln>
      <a:noFill/>
    </a:ln>
  </c:spPr>
  <c:externalData r:id="rId1">
    <c:autoUpdate val="0"/>
  </c:externalData>
</c:chartSpace>
</file>

<file path=word/charts/chart15.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10"/>
    </mc:Choice>
    <mc:Fallback>
      <c:style val="10"/>
    </mc:Fallback>
  </mc:AlternateContent>
  <c:clrMapOvr bg1="lt1" tx1="dk1" bg2="lt2" tx2="dk2" accent1="accent1" accent2="accent2" accent3="accent3" accent4="accent4" accent5="accent5" accent6="accent6" hlink="hlink" folHlink="folHlink"/>
  <c:chart>
    <c:title>
      <c:tx>
        <c:rich>
          <a:bodyPr/>
          <a:lstStyle/>
          <a:p>
            <a:pPr>
              <a:defRPr/>
            </a:pPr>
            <a:r>
              <a:rPr lang="ru-RU" sz="1199">
                <a:latin typeface="Times New Roman" panose="02020603050405020304" pitchFamily="18" charset="0"/>
                <a:cs typeface="Times New Roman" panose="02020603050405020304" pitchFamily="18" charset="0"/>
              </a:rPr>
              <a:t>Динамика изменения объёмов реализации питьевой воды МУП г.Новосибирска "ГОРВОДОКАНАЛ" за период 2011-2020 годы</a:t>
            </a:r>
          </a:p>
        </c:rich>
      </c:tx>
      <c:overlay val="0"/>
    </c:title>
    <c:autoTitleDeleted val="0"/>
    <c:plotArea>
      <c:layout/>
      <c:lineChart>
        <c:grouping val="standard"/>
        <c:varyColors val="0"/>
        <c:ser>
          <c:idx val="0"/>
          <c:order val="0"/>
          <c:tx>
            <c:v>Факт</c:v>
          </c:tx>
          <c:cat>
            <c:numRef>
              <c:f>Данные!$C$4:$L$4</c:f>
              <c:numCache>
                <c:formatCode>General</c:formatCode>
                <c:ptCount val="10"/>
                <c:pt idx="0">
                  <c:v>2011</c:v>
                </c:pt>
                <c:pt idx="1">
                  <c:v>2012</c:v>
                </c:pt>
                <c:pt idx="2">
                  <c:v>2013</c:v>
                </c:pt>
                <c:pt idx="3">
                  <c:v>2014</c:v>
                </c:pt>
                <c:pt idx="4">
                  <c:v>2015</c:v>
                </c:pt>
                <c:pt idx="5">
                  <c:v>2016</c:v>
                </c:pt>
                <c:pt idx="6">
                  <c:v>2017</c:v>
                </c:pt>
                <c:pt idx="7">
                  <c:v>2018</c:v>
                </c:pt>
                <c:pt idx="8">
                  <c:v>2019</c:v>
                </c:pt>
                <c:pt idx="9">
                  <c:v>2020</c:v>
                </c:pt>
              </c:numCache>
            </c:numRef>
          </c:cat>
          <c:val>
            <c:numRef>
              <c:f>Данные!$C$6:$L$6</c:f>
              <c:numCache>
                <c:formatCode>#,##0.00</c:formatCode>
                <c:ptCount val="10"/>
                <c:pt idx="0">
                  <c:v>181788</c:v>
                </c:pt>
                <c:pt idx="1">
                  <c:v>173502</c:v>
                </c:pt>
                <c:pt idx="2">
                  <c:v>161227</c:v>
                </c:pt>
                <c:pt idx="3">
                  <c:v>166997.79</c:v>
                </c:pt>
                <c:pt idx="4">
                  <c:v>160238.65</c:v>
                </c:pt>
                <c:pt idx="5">
                  <c:v>154708.4</c:v>
                </c:pt>
                <c:pt idx="6">
                  <c:v>148639</c:v>
                </c:pt>
                <c:pt idx="7">
                  <c:v>148906.13</c:v>
                </c:pt>
              </c:numCache>
            </c:numRef>
          </c:val>
          <c:smooth val="0"/>
        </c:ser>
        <c:ser>
          <c:idx val="1"/>
          <c:order val="1"/>
          <c:tx>
            <c:v>План</c:v>
          </c:tx>
          <c:cat>
            <c:numRef>
              <c:f>Данные!$C$4:$L$4</c:f>
              <c:numCache>
                <c:formatCode>General</c:formatCode>
                <c:ptCount val="10"/>
                <c:pt idx="0">
                  <c:v>2011</c:v>
                </c:pt>
                <c:pt idx="1">
                  <c:v>2012</c:v>
                </c:pt>
                <c:pt idx="2">
                  <c:v>2013</c:v>
                </c:pt>
                <c:pt idx="3">
                  <c:v>2014</c:v>
                </c:pt>
                <c:pt idx="4">
                  <c:v>2015</c:v>
                </c:pt>
                <c:pt idx="5">
                  <c:v>2016</c:v>
                </c:pt>
                <c:pt idx="6">
                  <c:v>2017</c:v>
                </c:pt>
                <c:pt idx="7">
                  <c:v>2018</c:v>
                </c:pt>
                <c:pt idx="8">
                  <c:v>2019</c:v>
                </c:pt>
                <c:pt idx="9">
                  <c:v>2020</c:v>
                </c:pt>
              </c:numCache>
            </c:numRef>
          </c:cat>
          <c:val>
            <c:numRef>
              <c:f>Данные!$C$5:$K$5</c:f>
              <c:numCache>
                <c:formatCode>#,##0.00</c:formatCode>
                <c:ptCount val="9"/>
                <c:pt idx="0">
                  <c:v>219200</c:v>
                </c:pt>
                <c:pt idx="1">
                  <c:v>200810</c:v>
                </c:pt>
                <c:pt idx="2">
                  <c:v>174327.16000000003</c:v>
                </c:pt>
                <c:pt idx="3">
                  <c:v>183662</c:v>
                </c:pt>
                <c:pt idx="4">
                  <c:v>183662</c:v>
                </c:pt>
                <c:pt idx="5">
                  <c:v>174478.89999999994</c:v>
                </c:pt>
                <c:pt idx="6">
                  <c:v>160238.65</c:v>
                </c:pt>
                <c:pt idx="7">
                  <c:v>160238.65</c:v>
                </c:pt>
                <c:pt idx="8">
                  <c:v>138033.21712242431</c:v>
                </c:pt>
              </c:numCache>
            </c:numRef>
          </c:val>
          <c:smooth val="0"/>
        </c:ser>
        <c:dLbls>
          <c:showLegendKey val="0"/>
          <c:showVal val="0"/>
          <c:showCatName val="0"/>
          <c:showSerName val="0"/>
          <c:showPercent val="0"/>
          <c:showBubbleSize val="0"/>
        </c:dLbls>
        <c:marker val="1"/>
        <c:smooth val="0"/>
        <c:axId val="297068544"/>
        <c:axId val="283301504"/>
      </c:lineChart>
      <c:catAx>
        <c:axId val="297068544"/>
        <c:scaling>
          <c:orientation val="minMax"/>
        </c:scaling>
        <c:delete val="0"/>
        <c:axPos val="b"/>
        <c:title>
          <c:tx>
            <c:rich>
              <a:bodyPr/>
              <a:lstStyle/>
              <a:p>
                <a:pPr>
                  <a:defRPr sz="1099" b="1" i="0" u="none" strike="noStrike" baseline="0">
                    <a:solidFill>
                      <a:srgbClr val="000000"/>
                    </a:solidFill>
                    <a:latin typeface="Times New Roman"/>
                    <a:ea typeface="Times New Roman"/>
                    <a:cs typeface="Times New Roman"/>
                  </a:defRPr>
                </a:pPr>
                <a:r>
                  <a:rPr lang="ru-RU"/>
                  <a:t>Год</a:t>
                </a:r>
              </a:p>
            </c:rich>
          </c:tx>
          <c:overlay val="0"/>
        </c:title>
        <c:numFmt formatCode="General" sourceLinked="1"/>
        <c:majorTickMark val="out"/>
        <c:minorTickMark val="none"/>
        <c:tickLblPos val="nextTo"/>
        <c:txPr>
          <a:bodyPr/>
          <a:lstStyle/>
          <a:p>
            <a:pPr>
              <a:defRPr sz="1099">
                <a:latin typeface="Times New Roman" panose="02020603050405020304" pitchFamily="18" charset="0"/>
                <a:cs typeface="Times New Roman" panose="02020603050405020304" pitchFamily="18" charset="0"/>
              </a:defRPr>
            </a:pPr>
            <a:endParaRPr lang="ru-RU"/>
          </a:p>
        </c:txPr>
        <c:crossAx val="283301504"/>
        <c:crosses val="autoZero"/>
        <c:auto val="1"/>
        <c:lblAlgn val="ctr"/>
        <c:lblOffset val="100"/>
        <c:noMultiLvlLbl val="0"/>
      </c:catAx>
      <c:valAx>
        <c:axId val="283301504"/>
        <c:scaling>
          <c:orientation val="minMax"/>
          <c:max val="230000"/>
          <c:min val="120000"/>
        </c:scaling>
        <c:delete val="0"/>
        <c:axPos val="l"/>
        <c:majorGridlines/>
        <c:title>
          <c:tx>
            <c:rich>
              <a:bodyPr/>
              <a:lstStyle/>
              <a:p>
                <a:pPr>
                  <a:defRPr sz="1099" b="1" i="0" u="none" strike="noStrike" baseline="0">
                    <a:solidFill>
                      <a:srgbClr val="000000"/>
                    </a:solidFill>
                    <a:latin typeface="Times New Roman"/>
                    <a:ea typeface="Times New Roman"/>
                    <a:cs typeface="Times New Roman"/>
                  </a:defRPr>
                </a:pPr>
                <a:r>
                  <a:rPr lang="ru-RU"/>
                  <a:t>Объём реализации, тыс. куб. м.</a:t>
                </a:r>
              </a:p>
            </c:rich>
          </c:tx>
          <c:overlay val="0"/>
        </c:title>
        <c:numFmt formatCode="#,##0.00" sourceLinked="1"/>
        <c:majorTickMark val="out"/>
        <c:minorTickMark val="none"/>
        <c:tickLblPos val="nextTo"/>
        <c:txPr>
          <a:bodyPr/>
          <a:lstStyle/>
          <a:p>
            <a:pPr>
              <a:defRPr sz="1099">
                <a:latin typeface="Times New Roman" panose="02020603050405020304" pitchFamily="18" charset="0"/>
                <a:cs typeface="Times New Roman" panose="02020603050405020304" pitchFamily="18" charset="0"/>
              </a:defRPr>
            </a:pPr>
            <a:endParaRPr lang="ru-RU"/>
          </a:p>
        </c:txPr>
        <c:crossAx val="297068544"/>
        <c:crosses val="autoZero"/>
        <c:crossBetween val="between"/>
        <c:majorUnit val="10000"/>
      </c:valAx>
    </c:plotArea>
    <c:legend>
      <c:legendPos val="r"/>
      <c:overlay val="0"/>
      <c:txPr>
        <a:bodyPr/>
        <a:lstStyle/>
        <a:p>
          <a:pPr>
            <a:defRPr sz="1099">
              <a:latin typeface="Times New Roman" panose="02020603050405020304" pitchFamily="18" charset="0"/>
              <a:cs typeface="Times New Roman" panose="02020603050405020304" pitchFamily="18" charset="0"/>
            </a:defRPr>
          </a:pPr>
          <a:endParaRPr lang="ru-RU"/>
        </a:p>
      </c:txPr>
    </c:legend>
    <c:plotVisOnly val="1"/>
    <c:dispBlanksAs val="gap"/>
    <c:showDLblsOverMax val="0"/>
  </c:chart>
  <c:spPr>
    <a:ln>
      <a:noFill/>
    </a:ln>
  </c:spPr>
  <c:externalData r:id="rId2">
    <c:autoUpdate val="0"/>
  </c:externalData>
</c:chartSpace>
</file>

<file path=word/charts/chart16.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13"/>
    </mc:Choice>
    <mc:Fallback>
      <c:style val="13"/>
    </mc:Fallback>
  </mc:AlternateContent>
  <c:clrMapOvr bg1="lt1" tx1="dk1" bg2="lt2" tx2="dk2" accent1="accent1" accent2="accent2" accent3="accent3" accent4="accent4" accent5="accent5" accent6="accent6" hlink="hlink" folHlink="folHlink"/>
  <c:chart>
    <c:title>
      <c:tx>
        <c:rich>
          <a:bodyPr/>
          <a:lstStyle/>
          <a:p>
            <a:pPr>
              <a:defRPr sz="1097">
                <a:latin typeface="Times New Roman" panose="02020603050405020304" pitchFamily="18" charset="0"/>
                <a:cs typeface="Times New Roman" panose="02020603050405020304" pitchFamily="18" charset="0"/>
              </a:defRPr>
            </a:pPr>
            <a:r>
              <a:rPr lang="ru-RU" sz="1099">
                <a:latin typeface="Times New Roman" panose="02020603050405020304" pitchFamily="18" charset="0"/>
                <a:cs typeface="Times New Roman" panose="02020603050405020304" pitchFamily="18" charset="0"/>
              </a:rPr>
              <a:t>Динамика изменения тарифов на питьевую воду для</a:t>
            </a:r>
          </a:p>
          <a:p>
            <a:pPr>
              <a:defRPr sz="1097">
                <a:latin typeface="Times New Roman" panose="02020603050405020304" pitchFamily="18" charset="0"/>
                <a:cs typeface="Times New Roman" panose="02020603050405020304" pitchFamily="18" charset="0"/>
              </a:defRPr>
            </a:pPr>
            <a:r>
              <a:rPr lang="ru-RU" sz="1099">
                <a:latin typeface="Times New Roman" panose="02020603050405020304" pitchFamily="18" charset="0"/>
                <a:cs typeface="Times New Roman" panose="02020603050405020304" pitchFamily="18" charset="0"/>
              </a:rPr>
              <a:t>МУП г.Новосибирска "ГОРВОДОКАНАЛ"</a:t>
            </a:r>
          </a:p>
          <a:p>
            <a:pPr>
              <a:defRPr sz="1097">
                <a:latin typeface="Times New Roman" panose="02020603050405020304" pitchFamily="18" charset="0"/>
                <a:cs typeface="Times New Roman" panose="02020603050405020304" pitchFamily="18" charset="0"/>
              </a:defRPr>
            </a:pPr>
            <a:r>
              <a:rPr lang="ru-RU" sz="1099">
                <a:latin typeface="Times New Roman" panose="02020603050405020304" pitchFamily="18" charset="0"/>
                <a:cs typeface="Times New Roman" panose="02020603050405020304" pitchFamily="18" charset="0"/>
              </a:rPr>
              <a:t> за период 2011-2020 годы</a:t>
            </a:r>
          </a:p>
        </c:rich>
      </c:tx>
      <c:layout>
        <c:manualLayout>
          <c:xMode val="edge"/>
          <c:yMode val="edge"/>
          <c:x val="0.16360435171592252"/>
          <c:y val="1.3961561256455852E-2"/>
        </c:manualLayout>
      </c:layout>
      <c:overlay val="0"/>
    </c:title>
    <c:autoTitleDeleted val="0"/>
    <c:plotArea>
      <c:layout>
        <c:manualLayout>
          <c:layoutTarget val="inner"/>
          <c:xMode val="edge"/>
          <c:yMode val="edge"/>
          <c:x val="6.2971943664158411E-2"/>
          <c:y val="0.20257443283022991"/>
          <c:w val="0.76144090121821661"/>
          <c:h val="0.6359710972698186"/>
        </c:manualLayout>
      </c:layout>
      <c:barChart>
        <c:barDir val="col"/>
        <c:grouping val="clustered"/>
        <c:varyColors val="0"/>
        <c:ser>
          <c:idx val="1"/>
          <c:order val="0"/>
          <c:tx>
            <c:v>Величина тарифа, руб./куб.м.</c:v>
          </c:tx>
          <c:spPr>
            <a:solidFill>
              <a:schemeClr val="accent5">
                <a:lumMod val="60000"/>
                <a:lumOff val="40000"/>
              </a:schemeClr>
            </a:solidFill>
            <a:ln>
              <a:solidFill>
                <a:sysClr val="windowText" lastClr="000000"/>
              </a:solidFill>
            </a:ln>
          </c:spPr>
          <c:invertIfNegative val="0"/>
          <c:dLbls>
            <c:txPr>
              <a:bodyPr/>
              <a:lstStyle/>
              <a:p>
                <a:pPr>
                  <a:defRPr sz="999" i="1">
                    <a:latin typeface="Times New Roman" panose="02020603050405020304" pitchFamily="18" charset="0"/>
                    <a:cs typeface="Times New Roman" panose="02020603050405020304" pitchFamily="18" charset="0"/>
                  </a:defRPr>
                </a:pPr>
                <a:endParaRPr lang="ru-RU"/>
              </a:p>
            </c:txPr>
            <c:dLblPos val="inBase"/>
            <c:showLegendKey val="0"/>
            <c:showVal val="1"/>
            <c:showCatName val="0"/>
            <c:showSerName val="0"/>
            <c:showPercent val="0"/>
            <c:showBubbleSize val="0"/>
            <c:showLeaderLines val="0"/>
          </c:dLbls>
          <c:cat>
            <c:numRef>
              <c:f>Данные!$C$4:$L$4</c:f>
              <c:numCache>
                <c:formatCode>General</c:formatCode>
                <c:ptCount val="10"/>
                <c:pt idx="0">
                  <c:v>2011</c:v>
                </c:pt>
                <c:pt idx="1">
                  <c:v>2012</c:v>
                </c:pt>
                <c:pt idx="2">
                  <c:v>2013</c:v>
                </c:pt>
                <c:pt idx="3">
                  <c:v>2014</c:v>
                </c:pt>
                <c:pt idx="4">
                  <c:v>2015</c:v>
                </c:pt>
                <c:pt idx="5">
                  <c:v>2016</c:v>
                </c:pt>
                <c:pt idx="6">
                  <c:v>2017</c:v>
                </c:pt>
                <c:pt idx="7">
                  <c:v>2018</c:v>
                </c:pt>
                <c:pt idx="8">
                  <c:v>2019</c:v>
                </c:pt>
                <c:pt idx="9">
                  <c:v>2020</c:v>
                </c:pt>
              </c:numCache>
            </c:numRef>
          </c:cat>
          <c:val>
            <c:numRef>
              <c:f>Данные!$C$20:$L$20</c:f>
              <c:numCache>
                <c:formatCode>#,##0.00</c:formatCode>
                <c:ptCount val="10"/>
                <c:pt idx="0">
                  <c:v>11.469599954242703</c:v>
                </c:pt>
                <c:pt idx="1">
                  <c:v>12.826600000000003</c:v>
                </c:pt>
                <c:pt idx="2">
                  <c:v>14.209999999999999</c:v>
                </c:pt>
                <c:pt idx="3">
                  <c:v>14.209999999999999</c:v>
                </c:pt>
                <c:pt idx="4">
                  <c:v>15.94</c:v>
                </c:pt>
                <c:pt idx="5">
                  <c:v>16.5</c:v>
                </c:pt>
                <c:pt idx="6">
                  <c:v>17.16</c:v>
                </c:pt>
                <c:pt idx="7">
                  <c:v>17.68</c:v>
                </c:pt>
                <c:pt idx="8">
                  <c:v>18.564</c:v>
                </c:pt>
                <c:pt idx="9" formatCode="General">
                  <c:v>19.459999999999997</c:v>
                </c:pt>
              </c:numCache>
            </c:numRef>
          </c:val>
        </c:ser>
        <c:dLbls>
          <c:showLegendKey val="0"/>
          <c:showVal val="0"/>
          <c:showCatName val="0"/>
          <c:showSerName val="0"/>
          <c:showPercent val="0"/>
          <c:showBubbleSize val="0"/>
        </c:dLbls>
        <c:gapWidth val="0"/>
        <c:axId val="300514816"/>
        <c:axId val="283300928"/>
      </c:barChart>
      <c:catAx>
        <c:axId val="300514816"/>
        <c:scaling>
          <c:orientation val="minMax"/>
        </c:scaling>
        <c:delete val="0"/>
        <c:axPos val="b"/>
        <c:title>
          <c:tx>
            <c:rich>
              <a:bodyPr/>
              <a:lstStyle/>
              <a:p>
                <a:pPr>
                  <a:defRPr sz="1099" b="1" i="0" u="none" strike="noStrike" baseline="0">
                    <a:solidFill>
                      <a:srgbClr val="000000"/>
                    </a:solidFill>
                    <a:latin typeface="Times New Roman"/>
                    <a:ea typeface="Times New Roman"/>
                    <a:cs typeface="Times New Roman"/>
                  </a:defRPr>
                </a:pPr>
                <a:r>
                  <a:rPr lang="ru-RU"/>
                  <a:t>Год</a:t>
                </a:r>
              </a:p>
            </c:rich>
          </c:tx>
          <c:overlay val="0"/>
        </c:title>
        <c:numFmt formatCode="General" sourceLinked="1"/>
        <c:majorTickMark val="out"/>
        <c:minorTickMark val="none"/>
        <c:tickLblPos val="nextTo"/>
        <c:txPr>
          <a:bodyPr/>
          <a:lstStyle/>
          <a:p>
            <a:pPr>
              <a:defRPr sz="1099">
                <a:latin typeface="Times New Roman" panose="02020603050405020304" pitchFamily="18" charset="0"/>
                <a:cs typeface="Times New Roman" panose="02020603050405020304" pitchFamily="18" charset="0"/>
              </a:defRPr>
            </a:pPr>
            <a:endParaRPr lang="ru-RU"/>
          </a:p>
        </c:txPr>
        <c:crossAx val="283300928"/>
        <c:crosses val="autoZero"/>
        <c:auto val="1"/>
        <c:lblAlgn val="ctr"/>
        <c:lblOffset val="100"/>
        <c:noMultiLvlLbl val="0"/>
      </c:catAx>
      <c:valAx>
        <c:axId val="283300928"/>
        <c:scaling>
          <c:orientation val="minMax"/>
        </c:scaling>
        <c:delete val="1"/>
        <c:axPos val="l"/>
        <c:majorGridlines/>
        <c:numFmt formatCode="#,##0.00" sourceLinked="1"/>
        <c:majorTickMark val="out"/>
        <c:minorTickMark val="none"/>
        <c:tickLblPos val="none"/>
        <c:crossAx val="300514816"/>
        <c:crosses val="autoZero"/>
        <c:crossBetween val="between"/>
      </c:valAx>
    </c:plotArea>
    <c:legend>
      <c:legendPos val="r"/>
      <c:layout>
        <c:manualLayout>
          <c:xMode val="edge"/>
          <c:yMode val="edge"/>
          <c:x val="0.8268774312815419"/>
          <c:y val="0.52926565630909062"/>
          <c:w val="0.15833523634404459"/>
          <c:h val="0.16811813845849924"/>
        </c:manualLayout>
      </c:layout>
      <c:overlay val="0"/>
      <c:txPr>
        <a:bodyPr/>
        <a:lstStyle/>
        <a:p>
          <a:pPr>
            <a:defRPr sz="1099" i="1">
              <a:latin typeface="Times New Roman" panose="02020603050405020304" pitchFamily="18" charset="0"/>
              <a:cs typeface="Times New Roman" panose="02020603050405020304" pitchFamily="18" charset="0"/>
            </a:defRPr>
          </a:pPr>
          <a:endParaRPr lang="ru-RU"/>
        </a:p>
      </c:txPr>
    </c:legend>
    <c:plotVisOnly val="1"/>
    <c:dispBlanksAs val="gap"/>
    <c:showDLblsOverMax val="0"/>
  </c:chart>
  <c:spPr>
    <a:ln>
      <a:noFill/>
    </a:ln>
  </c:spPr>
  <c:externalData r:id="rId2">
    <c:autoUpdate val="0"/>
  </c:externalData>
</c:chartSpace>
</file>

<file path=word/charts/chart17.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10"/>
    </mc:Choice>
    <mc:Fallback>
      <c:style val="10"/>
    </mc:Fallback>
  </mc:AlternateContent>
  <c:clrMapOvr bg1="lt1" tx1="dk1" bg2="lt2" tx2="dk2" accent1="accent1" accent2="accent2" accent3="accent3" accent4="accent4" accent5="accent5" accent6="accent6" hlink="hlink" folHlink="folHlink"/>
  <c:chart>
    <c:title>
      <c:tx>
        <c:rich>
          <a:bodyPr/>
          <a:lstStyle/>
          <a:p>
            <a:pPr>
              <a:defRPr/>
            </a:pPr>
            <a:r>
              <a:rPr lang="ru-RU" sz="1199">
                <a:latin typeface="Times New Roman" panose="02020603050405020304" pitchFamily="18" charset="0"/>
                <a:cs typeface="Times New Roman" panose="02020603050405020304" pitchFamily="18" charset="0"/>
              </a:rPr>
              <a:t>Динамика изменения объёмов реализации сточных вод МУП г.Новосибирска "ГОРВОДОКАНАЛ" за период 2011-2020 годы</a:t>
            </a:r>
          </a:p>
        </c:rich>
      </c:tx>
      <c:overlay val="0"/>
    </c:title>
    <c:autoTitleDeleted val="0"/>
    <c:plotArea>
      <c:layout/>
      <c:lineChart>
        <c:grouping val="standard"/>
        <c:varyColors val="0"/>
        <c:ser>
          <c:idx val="0"/>
          <c:order val="0"/>
          <c:tx>
            <c:v>Факт</c:v>
          </c:tx>
          <c:cat>
            <c:numRef>
              <c:f>Данные!$C$11:$L$11</c:f>
              <c:numCache>
                <c:formatCode>General</c:formatCode>
                <c:ptCount val="10"/>
                <c:pt idx="0">
                  <c:v>2011</c:v>
                </c:pt>
                <c:pt idx="1">
                  <c:v>2012</c:v>
                </c:pt>
                <c:pt idx="2">
                  <c:v>2013</c:v>
                </c:pt>
                <c:pt idx="3">
                  <c:v>2014</c:v>
                </c:pt>
                <c:pt idx="4">
                  <c:v>2015</c:v>
                </c:pt>
                <c:pt idx="5">
                  <c:v>2016</c:v>
                </c:pt>
                <c:pt idx="6">
                  <c:v>2017</c:v>
                </c:pt>
                <c:pt idx="7">
                  <c:v>2018</c:v>
                </c:pt>
                <c:pt idx="8">
                  <c:v>2019</c:v>
                </c:pt>
                <c:pt idx="9">
                  <c:v>2020</c:v>
                </c:pt>
              </c:numCache>
            </c:numRef>
          </c:cat>
          <c:val>
            <c:numRef>
              <c:f>Данные!$C$13:$L$13</c:f>
              <c:numCache>
                <c:formatCode>#,##0.00</c:formatCode>
                <c:ptCount val="10"/>
                <c:pt idx="0">
                  <c:v>187100</c:v>
                </c:pt>
                <c:pt idx="1">
                  <c:v>171120</c:v>
                </c:pt>
                <c:pt idx="2">
                  <c:v>162968</c:v>
                </c:pt>
                <c:pt idx="3">
                  <c:v>148698.54999999999</c:v>
                </c:pt>
                <c:pt idx="4">
                  <c:v>141593.84999999998</c:v>
                </c:pt>
                <c:pt idx="5">
                  <c:v>139994.5</c:v>
                </c:pt>
                <c:pt idx="6">
                  <c:v>138564</c:v>
                </c:pt>
                <c:pt idx="7">
                  <c:v>140790.72999999998</c:v>
                </c:pt>
              </c:numCache>
            </c:numRef>
          </c:val>
          <c:smooth val="0"/>
        </c:ser>
        <c:ser>
          <c:idx val="1"/>
          <c:order val="1"/>
          <c:tx>
            <c:v>План</c:v>
          </c:tx>
          <c:cat>
            <c:numRef>
              <c:f>Данные!$C$11:$L$11</c:f>
              <c:numCache>
                <c:formatCode>General</c:formatCode>
                <c:ptCount val="10"/>
                <c:pt idx="0">
                  <c:v>2011</c:v>
                </c:pt>
                <c:pt idx="1">
                  <c:v>2012</c:v>
                </c:pt>
                <c:pt idx="2">
                  <c:v>2013</c:v>
                </c:pt>
                <c:pt idx="3">
                  <c:v>2014</c:v>
                </c:pt>
                <c:pt idx="4">
                  <c:v>2015</c:v>
                </c:pt>
                <c:pt idx="5">
                  <c:v>2016</c:v>
                </c:pt>
                <c:pt idx="6">
                  <c:v>2017</c:v>
                </c:pt>
                <c:pt idx="7">
                  <c:v>2018</c:v>
                </c:pt>
                <c:pt idx="8">
                  <c:v>2019</c:v>
                </c:pt>
                <c:pt idx="9">
                  <c:v>2020</c:v>
                </c:pt>
              </c:numCache>
            </c:numRef>
          </c:cat>
          <c:val>
            <c:numRef>
              <c:f>Данные!$C$12:$K$12</c:f>
              <c:numCache>
                <c:formatCode>#,##0.00</c:formatCode>
                <c:ptCount val="9"/>
                <c:pt idx="0">
                  <c:v>224200</c:v>
                </c:pt>
                <c:pt idx="1">
                  <c:v>203506</c:v>
                </c:pt>
                <c:pt idx="2">
                  <c:v>186515.16</c:v>
                </c:pt>
                <c:pt idx="3">
                  <c:v>171120</c:v>
                </c:pt>
                <c:pt idx="4">
                  <c:v>171120</c:v>
                </c:pt>
                <c:pt idx="5">
                  <c:v>171120</c:v>
                </c:pt>
                <c:pt idx="6">
                  <c:v>141593.84999999998</c:v>
                </c:pt>
                <c:pt idx="7">
                  <c:v>141593.84999999998</c:v>
                </c:pt>
                <c:pt idx="8">
                  <c:v>138564</c:v>
                </c:pt>
              </c:numCache>
            </c:numRef>
          </c:val>
          <c:smooth val="0"/>
        </c:ser>
        <c:dLbls>
          <c:showLegendKey val="0"/>
          <c:showVal val="0"/>
          <c:showCatName val="0"/>
          <c:showSerName val="0"/>
          <c:showPercent val="0"/>
          <c:showBubbleSize val="0"/>
        </c:dLbls>
        <c:marker val="1"/>
        <c:smooth val="0"/>
        <c:axId val="300513792"/>
        <c:axId val="296378368"/>
      </c:lineChart>
      <c:catAx>
        <c:axId val="300513792"/>
        <c:scaling>
          <c:orientation val="minMax"/>
        </c:scaling>
        <c:delete val="0"/>
        <c:axPos val="b"/>
        <c:title>
          <c:tx>
            <c:rich>
              <a:bodyPr/>
              <a:lstStyle/>
              <a:p>
                <a:pPr>
                  <a:defRPr sz="1099" b="1" i="0" u="none" strike="noStrike" baseline="0">
                    <a:solidFill>
                      <a:srgbClr val="000000"/>
                    </a:solidFill>
                    <a:latin typeface="Times New Roman"/>
                    <a:ea typeface="Times New Roman"/>
                    <a:cs typeface="Times New Roman"/>
                  </a:defRPr>
                </a:pPr>
                <a:r>
                  <a:rPr lang="ru-RU"/>
                  <a:t>Год</a:t>
                </a:r>
              </a:p>
            </c:rich>
          </c:tx>
          <c:overlay val="0"/>
        </c:title>
        <c:numFmt formatCode="General" sourceLinked="1"/>
        <c:majorTickMark val="out"/>
        <c:minorTickMark val="none"/>
        <c:tickLblPos val="nextTo"/>
        <c:txPr>
          <a:bodyPr/>
          <a:lstStyle/>
          <a:p>
            <a:pPr>
              <a:defRPr sz="1099">
                <a:latin typeface="Times New Roman" panose="02020603050405020304" pitchFamily="18" charset="0"/>
                <a:cs typeface="Times New Roman" panose="02020603050405020304" pitchFamily="18" charset="0"/>
              </a:defRPr>
            </a:pPr>
            <a:endParaRPr lang="ru-RU"/>
          </a:p>
        </c:txPr>
        <c:crossAx val="296378368"/>
        <c:crosses val="autoZero"/>
        <c:auto val="1"/>
        <c:lblAlgn val="ctr"/>
        <c:lblOffset val="100"/>
        <c:noMultiLvlLbl val="0"/>
      </c:catAx>
      <c:valAx>
        <c:axId val="296378368"/>
        <c:scaling>
          <c:orientation val="minMax"/>
          <c:max val="230000"/>
          <c:min val="120000"/>
        </c:scaling>
        <c:delete val="0"/>
        <c:axPos val="l"/>
        <c:majorGridlines/>
        <c:title>
          <c:tx>
            <c:rich>
              <a:bodyPr/>
              <a:lstStyle/>
              <a:p>
                <a:pPr>
                  <a:defRPr sz="1099" b="1" i="0" u="none" strike="noStrike" baseline="0">
                    <a:solidFill>
                      <a:srgbClr val="000000"/>
                    </a:solidFill>
                    <a:latin typeface="Times New Roman"/>
                    <a:ea typeface="Times New Roman"/>
                    <a:cs typeface="Times New Roman"/>
                  </a:defRPr>
                </a:pPr>
                <a:r>
                  <a:rPr lang="ru-RU"/>
                  <a:t>Объём реализации, тыс. куб. м.</a:t>
                </a:r>
              </a:p>
            </c:rich>
          </c:tx>
          <c:overlay val="0"/>
        </c:title>
        <c:numFmt formatCode="#,##0.00" sourceLinked="1"/>
        <c:majorTickMark val="out"/>
        <c:minorTickMark val="none"/>
        <c:tickLblPos val="nextTo"/>
        <c:txPr>
          <a:bodyPr/>
          <a:lstStyle/>
          <a:p>
            <a:pPr>
              <a:defRPr sz="1099">
                <a:latin typeface="Times New Roman" panose="02020603050405020304" pitchFamily="18" charset="0"/>
                <a:cs typeface="Times New Roman" panose="02020603050405020304" pitchFamily="18" charset="0"/>
              </a:defRPr>
            </a:pPr>
            <a:endParaRPr lang="ru-RU"/>
          </a:p>
        </c:txPr>
        <c:crossAx val="300513792"/>
        <c:crosses val="autoZero"/>
        <c:crossBetween val="between"/>
        <c:majorUnit val="10000"/>
      </c:valAx>
      <c:spPr>
        <a:ln>
          <a:noFill/>
        </a:ln>
      </c:spPr>
    </c:plotArea>
    <c:legend>
      <c:legendPos val="r"/>
      <c:overlay val="0"/>
      <c:txPr>
        <a:bodyPr/>
        <a:lstStyle/>
        <a:p>
          <a:pPr>
            <a:defRPr sz="1099">
              <a:latin typeface="Times New Roman" panose="02020603050405020304" pitchFamily="18" charset="0"/>
              <a:cs typeface="Times New Roman" panose="02020603050405020304" pitchFamily="18" charset="0"/>
            </a:defRPr>
          </a:pPr>
          <a:endParaRPr lang="ru-RU"/>
        </a:p>
      </c:txPr>
    </c:legend>
    <c:plotVisOnly val="1"/>
    <c:dispBlanksAs val="gap"/>
    <c:showDLblsOverMax val="0"/>
  </c:chart>
  <c:spPr>
    <a:ln>
      <a:noFill/>
    </a:ln>
  </c:spPr>
  <c:externalData r:id="rId2">
    <c:autoUpdate val="0"/>
  </c:externalData>
</c:chartSpace>
</file>

<file path=word/charts/chart18.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13"/>
    </mc:Choice>
    <mc:Fallback>
      <c:style val="13"/>
    </mc:Fallback>
  </mc:AlternateContent>
  <c:clrMapOvr bg1="lt1" tx1="dk1" bg2="lt2" tx2="dk2" accent1="accent1" accent2="accent2" accent3="accent3" accent4="accent4" accent5="accent5" accent6="accent6" hlink="hlink" folHlink="folHlink"/>
  <c:chart>
    <c:title>
      <c:tx>
        <c:rich>
          <a:bodyPr/>
          <a:lstStyle/>
          <a:p>
            <a:pPr>
              <a:defRPr sz="1097">
                <a:latin typeface="Times New Roman" panose="02020603050405020304" pitchFamily="18" charset="0"/>
                <a:cs typeface="Times New Roman" panose="02020603050405020304" pitchFamily="18" charset="0"/>
              </a:defRPr>
            </a:pPr>
            <a:r>
              <a:rPr lang="ru-RU" sz="1099">
                <a:latin typeface="Times New Roman" panose="02020603050405020304" pitchFamily="18" charset="0"/>
                <a:cs typeface="Times New Roman" panose="02020603050405020304" pitchFamily="18" charset="0"/>
              </a:rPr>
              <a:t>Динамика изменения тарифов на водоотведение для</a:t>
            </a:r>
          </a:p>
          <a:p>
            <a:pPr>
              <a:defRPr sz="1097">
                <a:latin typeface="Times New Roman" panose="02020603050405020304" pitchFamily="18" charset="0"/>
                <a:cs typeface="Times New Roman" panose="02020603050405020304" pitchFamily="18" charset="0"/>
              </a:defRPr>
            </a:pPr>
            <a:r>
              <a:rPr lang="ru-RU" sz="1099">
                <a:latin typeface="Times New Roman" panose="02020603050405020304" pitchFamily="18" charset="0"/>
                <a:cs typeface="Times New Roman" panose="02020603050405020304" pitchFamily="18" charset="0"/>
              </a:rPr>
              <a:t>МУП г.Новосибирска "ГОРВОДОКАНАЛ"</a:t>
            </a:r>
          </a:p>
          <a:p>
            <a:pPr>
              <a:defRPr sz="1097">
                <a:latin typeface="Times New Roman" panose="02020603050405020304" pitchFamily="18" charset="0"/>
                <a:cs typeface="Times New Roman" panose="02020603050405020304" pitchFamily="18" charset="0"/>
              </a:defRPr>
            </a:pPr>
            <a:r>
              <a:rPr lang="ru-RU" sz="1099">
                <a:latin typeface="Times New Roman" panose="02020603050405020304" pitchFamily="18" charset="0"/>
                <a:cs typeface="Times New Roman" panose="02020603050405020304" pitchFamily="18" charset="0"/>
              </a:rPr>
              <a:t> за период 2011-2020 годы</a:t>
            </a:r>
          </a:p>
        </c:rich>
      </c:tx>
      <c:layout>
        <c:manualLayout>
          <c:xMode val="edge"/>
          <c:yMode val="edge"/>
          <c:x val="0.16360435171592252"/>
          <c:y val="1.3961561256455852E-2"/>
        </c:manualLayout>
      </c:layout>
      <c:overlay val="0"/>
    </c:title>
    <c:autoTitleDeleted val="0"/>
    <c:plotArea>
      <c:layout>
        <c:manualLayout>
          <c:layoutTarget val="inner"/>
          <c:xMode val="edge"/>
          <c:yMode val="edge"/>
          <c:x val="6.2971943664158411E-2"/>
          <c:y val="0.20257443283022991"/>
          <c:w val="0.76144090121821661"/>
          <c:h val="0.6359710972698186"/>
        </c:manualLayout>
      </c:layout>
      <c:barChart>
        <c:barDir val="col"/>
        <c:grouping val="clustered"/>
        <c:varyColors val="0"/>
        <c:ser>
          <c:idx val="1"/>
          <c:order val="0"/>
          <c:tx>
            <c:v>Величина тарифа, руб./куб.м.</c:v>
          </c:tx>
          <c:spPr>
            <a:ln>
              <a:solidFill>
                <a:sysClr val="windowText" lastClr="000000"/>
              </a:solidFill>
            </a:ln>
          </c:spPr>
          <c:invertIfNegative val="0"/>
          <c:dLbls>
            <c:txPr>
              <a:bodyPr/>
              <a:lstStyle/>
              <a:p>
                <a:pPr>
                  <a:defRPr sz="999" i="1">
                    <a:latin typeface="Times New Roman" panose="02020603050405020304" pitchFamily="18" charset="0"/>
                    <a:cs typeface="Times New Roman" panose="02020603050405020304" pitchFamily="18" charset="0"/>
                  </a:defRPr>
                </a:pPr>
                <a:endParaRPr lang="ru-RU"/>
              </a:p>
            </c:txPr>
            <c:dLblPos val="inBase"/>
            <c:showLegendKey val="0"/>
            <c:showVal val="1"/>
            <c:showCatName val="0"/>
            <c:showSerName val="0"/>
            <c:showPercent val="0"/>
            <c:showBubbleSize val="0"/>
            <c:showLeaderLines val="0"/>
          </c:dLbls>
          <c:cat>
            <c:numRef>
              <c:f>Данные!$C$4:$L$4</c:f>
              <c:numCache>
                <c:formatCode>General</c:formatCode>
                <c:ptCount val="10"/>
                <c:pt idx="0">
                  <c:v>2011</c:v>
                </c:pt>
                <c:pt idx="1">
                  <c:v>2012</c:v>
                </c:pt>
                <c:pt idx="2">
                  <c:v>2013</c:v>
                </c:pt>
                <c:pt idx="3">
                  <c:v>2014</c:v>
                </c:pt>
                <c:pt idx="4">
                  <c:v>2015</c:v>
                </c:pt>
                <c:pt idx="5">
                  <c:v>2016</c:v>
                </c:pt>
                <c:pt idx="6">
                  <c:v>2017</c:v>
                </c:pt>
                <c:pt idx="7">
                  <c:v>2018</c:v>
                </c:pt>
                <c:pt idx="8">
                  <c:v>2019</c:v>
                </c:pt>
                <c:pt idx="9">
                  <c:v>2020</c:v>
                </c:pt>
              </c:numCache>
            </c:numRef>
          </c:cat>
          <c:val>
            <c:numRef>
              <c:f>Данные!$C$26:$L$26</c:f>
              <c:numCache>
                <c:formatCode>#,##0.00</c:formatCode>
                <c:ptCount val="10"/>
                <c:pt idx="0">
                  <c:v>7.7171998313684211</c:v>
                </c:pt>
                <c:pt idx="1">
                  <c:v>8.6258000000000035</c:v>
                </c:pt>
                <c:pt idx="2">
                  <c:v>9.57</c:v>
                </c:pt>
                <c:pt idx="3">
                  <c:v>10.9</c:v>
                </c:pt>
                <c:pt idx="4">
                  <c:v>12.219999999999999</c:v>
                </c:pt>
                <c:pt idx="5">
                  <c:v>12.66</c:v>
                </c:pt>
                <c:pt idx="6">
                  <c:v>13.17</c:v>
                </c:pt>
                <c:pt idx="7">
                  <c:v>13.57</c:v>
                </c:pt>
                <c:pt idx="8">
                  <c:v>14.239999999999998</c:v>
                </c:pt>
                <c:pt idx="9" formatCode="General">
                  <c:v>15.08</c:v>
                </c:pt>
              </c:numCache>
            </c:numRef>
          </c:val>
        </c:ser>
        <c:dLbls>
          <c:showLegendKey val="0"/>
          <c:showVal val="0"/>
          <c:showCatName val="0"/>
          <c:showSerName val="0"/>
          <c:showPercent val="0"/>
          <c:showBubbleSize val="0"/>
        </c:dLbls>
        <c:gapWidth val="0"/>
        <c:axId val="300512256"/>
        <c:axId val="296381824"/>
      </c:barChart>
      <c:catAx>
        <c:axId val="300512256"/>
        <c:scaling>
          <c:orientation val="minMax"/>
        </c:scaling>
        <c:delete val="0"/>
        <c:axPos val="b"/>
        <c:title>
          <c:tx>
            <c:rich>
              <a:bodyPr/>
              <a:lstStyle/>
              <a:p>
                <a:pPr>
                  <a:defRPr sz="1099" b="1" i="0" u="none" strike="noStrike" baseline="0">
                    <a:solidFill>
                      <a:srgbClr val="000000"/>
                    </a:solidFill>
                    <a:latin typeface="Times New Roman"/>
                    <a:ea typeface="Times New Roman"/>
                    <a:cs typeface="Times New Roman"/>
                  </a:defRPr>
                </a:pPr>
                <a:r>
                  <a:rPr lang="ru-RU"/>
                  <a:t>Год</a:t>
                </a:r>
              </a:p>
            </c:rich>
          </c:tx>
          <c:overlay val="0"/>
        </c:title>
        <c:numFmt formatCode="General" sourceLinked="1"/>
        <c:majorTickMark val="out"/>
        <c:minorTickMark val="none"/>
        <c:tickLblPos val="nextTo"/>
        <c:txPr>
          <a:bodyPr/>
          <a:lstStyle/>
          <a:p>
            <a:pPr>
              <a:defRPr sz="1099">
                <a:latin typeface="Times New Roman" panose="02020603050405020304" pitchFamily="18" charset="0"/>
                <a:cs typeface="Times New Roman" panose="02020603050405020304" pitchFamily="18" charset="0"/>
              </a:defRPr>
            </a:pPr>
            <a:endParaRPr lang="ru-RU"/>
          </a:p>
        </c:txPr>
        <c:crossAx val="296381824"/>
        <c:crosses val="autoZero"/>
        <c:auto val="1"/>
        <c:lblAlgn val="ctr"/>
        <c:lblOffset val="100"/>
        <c:noMultiLvlLbl val="0"/>
      </c:catAx>
      <c:valAx>
        <c:axId val="296381824"/>
        <c:scaling>
          <c:orientation val="minMax"/>
        </c:scaling>
        <c:delete val="1"/>
        <c:axPos val="l"/>
        <c:majorGridlines/>
        <c:numFmt formatCode="#,##0.00" sourceLinked="1"/>
        <c:majorTickMark val="out"/>
        <c:minorTickMark val="none"/>
        <c:tickLblPos val="none"/>
        <c:crossAx val="300512256"/>
        <c:crosses val="autoZero"/>
        <c:crossBetween val="between"/>
      </c:valAx>
    </c:plotArea>
    <c:legend>
      <c:legendPos val="r"/>
      <c:layout>
        <c:manualLayout>
          <c:xMode val="edge"/>
          <c:yMode val="edge"/>
          <c:x val="0.8268774312815419"/>
          <c:y val="0.52926565630909062"/>
          <c:w val="0.15833523634404459"/>
          <c:h val="0.16811813845849924"/>
        </c:manualLayout>
      </c:layout>
      <c:overlay val="0"/>
      <c:txPr>
        <a:bodyPr/>
        <a:lstStyle/>
        <a:p>
          <a:pPr>
            <a:defRPr sz="1099" i="1">
              <a:latin typeface="Times New Roman" panose="02020603050405020304" pitchFamily="18" charset="0"/>
              <a:cs typeface="Times New Roman" panose="02020603050405020304" pitchFamily="18" charset="0"/>
            </a:defRPr>
          </a:pPr>
          <a:endParaRPr lang="ru-RU"/>
        </a:p>
      </c:txPr>
    </c:legend>
    <c:plotVisOnly val="1"/>
    <c:dispBlanksAs val="gap"/>
    <c:showDLblsOverMax val="0"/>
  </c:chart>
  <c:spPr>
    <a:ln>
      <a:noFill/>
    </a:ln>
  </c:spPr>
  <c:externalData r:id="rId2">
    <c:autoUpdate val="0"/>
  </c:externalData>
</c:chartSpace>
</file>

<file path=word/charts/chart19.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10"/>
    </mc:Choice>
    <mc:Fallback>
      <c:style val="10"/>
    </mc:Fallback>
  </mc:AlternateContent>
  <c:clrMapOvr bg1="lt1" tx1="dk1" bg2="lt2" tx2="dk2" accent1="accent1" accent2="accent2" accent3="accent3" accent4="accent4" accent5="accent5" accent6="accent6" hlink="hlink" folHlink="folHlink"/>
  <c:chart>
    <c:title>
      <c:tx>
        <c:rich>
          <a:bodyPr/>
          <a:lstStyle/>
          <a:p>
            <a:pPr>
              <a:defRPr/>
            </a:pPr>
            <a:r>
              <a:rPr lang="ru-RU" sz="1199">
                <a:latin typeface="Times New Roman" panose="02020603050405020304" pitchFamily="18" charset="0"/>
                <a:cs typeface="Times New Roman" panose="02020603050405020304" pitchFamily="18" charset="0"/>
              </a:rPr>
              <a:t>Динамика изменения объёмов реализации питьевой воды МУП  "Комбинат</a:t>
            </a:r>
            <a:r>
              <a:rPr lang="ru-RU" sz="1199" baseline="0">
                <a:latin typeface="Times New Roman" panose="02020603050405020304" pitchFamily="18" charset="0"/>
                <a:cs typeface="Times New Roman" panose="02020603050405020304" pitchFamily="18" charset="0"/>
              </a:rPr>
              <a:t> бытовых услуг</a:t>
            </a:r>
            <a:r>
              <a:rPr lang="ru-RU" sz="1199">
                <a:latin typeface="Times New Roman" panose="02020603050405020304" pitchFamily="18" charset="0"/>
                <a:cs typeface="Times New Roman" panose="02020603050405020304" pitchFamily="18" charset="0"/>
              </a:rPr>
              <a:t>" за период 2011-2020 годы</a:t>
            </a:r>
          </a:p>
        </c:rich>
      </c:tx>
      <c:overlay val="0"/>
    </c:title>
    <c:autoTitleDeleted val="0"/>
    <c:plotArea>
      <c:layout/>
      <c:lineChart>
        <c:grouping val="standard"/>
        <c:varyColors val="0"/>
        <c:ser>
          <c:idx val="0"/>
          <c:order val="0"/>
          <c:tx>
            <c:v>Факт</c:v>
          </c:tx>
          <c:cat>
            <c:numRef>
              <c:f>Данные!$C$4:$L$4</c:f>
              <c:numCache>
                <c:formatCode>General</c:formatCode>
                <c:ptCount val="10"/>
                <c:pt idx="0">
                  <c:v>2011</c:v>
                </c:pt>
                <c:pt idx="1">
                  <c:v>2012</c:v>
                </c:pt>
                <c:pt idx="2">
                  <c:v>2013</c:v>
                </c:pt>
                <c:pt idx="3">
                  <c:v>2014</c:v>
                </c:pt>
                <c:pt idx="4">
                  <c:v>2015</c:v>
                </c:pt>
                <c:pt idx="5">
                  <c:v>2016</c:v>
                </c:pt>
                <c:pt idx="6">
                  <c:v>2017</c:v>
                </c:pt>
                <c:pt idx="7">
                  <c:v>2018</c:v>
                </c:pt>
                <c:pt idx="8">
                  <c:v>2019</c:v>
                </c:pt>
                <c:pt idx="9">
                  <c:v>2020</c:v>
                </c:pt>
              </c:numCache>
            </c:numRef>
          </c:cat>
          <c:val>
            <c:numRef>
              <c:f>Данные!$C$6:$K$6</c:f>
              <c:numCache>
                <c:formatCode>#,##0.00</c:formatCode>
                <c:ptCount val="9"/>
                <c:pt idx="0">
                  <c:v>8220.9000000000015</c:v>
                </c:pt>
                <c:pt idx="1">
                  <c:v>8101.6</c:v>
                </c:pt>
                <c:pt idx="2">
                  <c:v>7602.7699999999995</c:v>
                </c:pt>
                <c:pt idx="3">
                  <c:v>7160.7999999999993</c:v>
                </c:pt>
                <c:pt idx="4">
                  <c:v>7381.9699999999993</c:v>
                </c:pt>
                <c:pt idx="5">
                  <c:v>7327.6000000000013</c:v>
                </c:pt>
                <c:pt idx="6">
                  <c:v>7028.76</c:v>
                </c:pt>
                <c:pt idx="7">
                  <c:v>7044.68</c:v>
                </c:pt>
              </c:numCache>
            </c:numRef>
          </c:val>
          <c:smooth val="0"/>
        </c:ser>
        <c:ser>
          <c:idx val="1"/>
          <c:order val="1"/>
          <c:tx>
            <c:v>План</c:v>
          </c:tx>
          <c:cat>
            <c:numRef>
              <c:f>Данные!$C$4:$L$4</c:f>
              <c:numCache>
                <c:formatCode>General</c:formatCode>
                <c:ptCount val="10"/>
                <c:pt idx="0">
                  <c:v>2011</c:v>
                </c:pt>
                <c:pt idx="1">
                  <c:v>2012</c:v>
                </c:pt>
                <c:pt idx="2">
                  <c:v>2013</c:v>
                </c:pt>
                <c:pt idx="3">
                  <c:v>2014</c:v>
                </c:pt>
                <c:pt idx="4">
                  <c:v>2015</c:v>
                </c:pt>
                <c:pt idx="5">
                  <c:v>2016</c:v>
                </c:pt>
                <c:pt idx="6">
                  <c:v>2017</c:v>
                </c:pt>
                <c:pt idx="7">
                  <c:v>2018</c:v>
                </c:pt>
                <c:pt idx="8">
                  <c:v>2019</c:v>
                </c:pt>
                <c:pt idx="9">
                  <c:v>2020</c:v>
                </c:pt>
              </c:numCache>
            </c:numRef>
          </c:cat>
          <c:val>
            <c:numRef>
              <c:f>Данные!$C$5:$L$5</c:f>
              <c:numCache>
                <c:formatCode>#,##0.00</c:formatCode>
                <c:ptCount val="10"/>
                <c:pt idx="0">
                  <c:v>10149.4</c:v>
                </c:pt>
                <c:pt idx="1">
                  <c:v>9422.9</c:v>
                </c:pt>
                <c:pt idx="2">
                  <c:v>8338.5</c:v>
                </c:pt>
                <c:pt idx="3">
                  <c:v>8103.6</c:v>
                </c:pt>
                <c:pt idx="4">
                  <c:v>7968.4499999999989</c:v>
                </c:pt>
                <c:pt idx="5">
                  <c:v>7968.4499999999989</c:v>
                </c:pt>
                <c:pt idx="6">
                  <c:v>7968.4499999999989</c:v>
                </c:pt>
                <c:pt idx="7">
                  <c:v>7968.4499999999989</c:v>
                </c:pt>
                <c:pt idx="8">
                  <c:v>7968.4499999999989</c:v>
                </c:pt>
                <c:pt idx="9" formatCode="General">
                  <c:v>7475.64</c:v>
                </c:pt>
              </c:numCache>
            </c:numRef>
          </c:val>
          <c:smooth val="0"/>
        </c:ser>
        <c:dLbls>
          <c:showLegendKey val="0"/>
          <c:showVal val="0"/>
          <c:showCatName val="0"/>
          <c:showSerName val="0"/>
          <c:showPercent val="0"/>
          <c:showBubbleSize val="0"/>
        </c:dLbls>
        <c:marker val="1"/>
        <c:smooth val="0"/>
        <c:axId val="303721472"/>
        <c:axId val="283291584"/>
      </c:lineChart>
      <c:catAx>
        <c:axId val="303721472"/>
        <c:scaling>
          <c:orientation val="minMax"/>
        </c:scaling>
        <c:delete val="0"/>
        <c:axPos val="b"/>
        <c:title>
          <c:tx>
            <c:rich>
              <a:bodyPr/>
              <a:lstStyle/>
              <a:p>
                <a:pPr>
                  <a:defRPr sz="1099" b="1" i="0" u="none" strike="noStrike" baseline="0">
                    <a:solidFill>
                      <a:srgbClr val="000000"/>
                    </a:solidFill>
                    <a:latin typeface="Times New Roman"/>
                    <a:ea typeface="Times New Roman"/>
                    <a:cs typeface="Times New Roman"/>
                  </a:defRPr>
                </a:pPr>
                <a:r>
                  <a:rPr lang="ru-RU"/>
                  <a:t>Год</a:t>
                </a:r>
              </a:p>
            </c:rich>
          </c:tx>
          <c:overlay val="0"/>
        </c:title>
        <c:numFmt formatCode="General" sourceLinked="1"/>
        <c:majorTickMark val="out"/>
        <c:minorTickMark val="none"/>
        <c:tickLblPos val="nextTo"/>
        <c:txPr>
          <a:bodyPr/>
          <a:lstStyle/>
          <a:p>
            <a:pPr>
              <a:defRPr sz="1099">
                <a:latin typeface="Times New Roman" panose="02020603050405020304" pitchFamily="18" charset="0"/>
                <a:cs typeface="Times New Roman" panose="02020603050405020304" pitchFamily="18" charset="0"/>
              </a:defRPr>
            </a:pPr>
            <a:endParaRPr lang="ru-RU"/>
          </a:p>
        </c:txPr>
        <c:crossAx val="283291584"/>
        <c:crosses val="autoZero"/>
        <c:auto val="1"/>
        <c:lblAlgn val="ctr"/>
        <c:lblOffset val="100"/>
        <c:noMultiLvlLbl val="0"/>
      </c:catAx>
      <c:valAx>
        <c:axId val="283291584"/>
        <c:scaling>
          <c:orientation val="minMax"/>
          <c:max val="11000"/>
          <c:min val="6000"/>
        </c:scaling>
        <c:delete val="0"/>
        <c:axPos val="l"/>
        <c:majorGridlines/>
        <c:title>
          <c:tx>
            <c:rich>
              <a:bodyPr/>
              <a:lstStyle/>
              <a:p>
                <a:pPr>
                  <a:defRPr sz="1099" b="1" i="0" u="none" strike="noStrike" baseline="0">
                    <a:solidFill>
                      <a:srgbClr val="000000"/>
                    </a:solidFill>
                    <a:latin typeface="Times New Roman"/>
                    <a:ea typeface="Times New Roman"/>
                    <a:cs typeface="Times New Roman"/>
                  </a:defRPr>
                </a:pPr>
                <a:r>
                  <a:rPr lang="ru-RU"/>
                  <a:t>Объём реализации, тыс. куб. м.</a:t>
                </a:r>
              </a:p>
            </c:rich>
          </c:tx>
          <c:overlay val="0"/>
        </c:title>
        <c:numFmt formatCode="#,##0.00" sourceLinked="1"/>
        <c:majorTickMark val="out"/>
        <c:minorTickMark val="none"/>
        <c:tickLblPos val="nextTo"/>
        <c:txPr>
          <a:bodyPr/>
          <a:lstStyle/>
          <a:p>
            <a:pPr>
              <a:defRPr sz="1099">
                <a:latin typeface="Times New Roman" panose="02020603050405020304" pitchFamily="18" charset="0"/>
                <a:cs typeface="Times New Roman" panose="02020603050405020304" pitchFamily="18" charset="0"/>
              </a:defRPr>
            </a:pPr>
            <a:endParaRPr lang="ru-RU"/>
          </a:p>
        </c:txPr>
        <c:crossAx val="303721472"/>
        <c:crosses val="autoZero"/>
        <c:crossBetween val="between"/>
        <c:majorUnit val="500"/>
      </c:valAx>
    </c:plotArea>
    <c:legend>
      <c:legendPos val="r"/>
      <c:overlay val="0"/>
      <c:txPr>
        <a:bodyPr/>
        <a:lstStyle/>
        <a:p>
          <a:pPr>
            <a:defRPr sz="1099">
              <a:latin typeface="Times New Roman" panose="02020603050405020304" pitchFamily="18" charset="0"/>
              <a:cs typeface="Times New Roman" panose="02020603050405020304" pitchFamily="18" charset="0"/>
            </a:defRPr>
          </a:pPr>
          <a:endParaRPr lang="ru-RU"/>
        </a:p>
      </c:txPr>
    </c:legend>
    <c:plotVisOnly val="1"/>
    <c:dispBlanksAs val="gap"/>
    <c:showDLblsOverMax val="0"/>
  </c:chart>
  <c:externalData r:id="rId2">
    <c:autoUpdate val="0"/>
  </c:externalData>
</c:chartSpace>
</file>

<file path=word/charts/chart20.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10"/>
    </mc:Choice>
    <mc:Fallback>
      <c:style val="10"/>
    </mc:Fallback>
  </mc:AlternateContent>
  <c:clrMapOvr bg1="lt1" tx1="dk1" bg2="lt2" tx2="dk2" accent1="accent1" accent2="accent2" accent3="accent3" accent4="accent4" accent5="accent5" accent6="accent6" hlink="hlink" folHlink="folHlink"/>
  <c:chart>
    <c:title>
      <c:tx>
        <c:rich>
          <a:bodyPr/>
          <a:lstStyle/>
          <a:p>
            <a:pPr>
              <a:defRPr/>
            </a:pPr>
            <a:r>
              <a:rPr lang="ru-RU" sz="1199">
                <a:latin typeface="Times New Roman" panose="02020603050405020304" pitchFamily="18" charset="0"/>
                <a:cs typeface="Times New Roman" panose="02020603050405020304" pitchFamily="18" charset="0"/>
              </a:rPr>
              <a:t>Динамика изменения объёмов реализации сточных вод МУП  "Комбинат</a:t>
            </a:r>
            <a:r>
              <a:rPr lang="ru-RU" sz="1199" baseline="0">
                <a:latin typeface="Times New Roman" panose="02020603050405020304" pitchFamily="18" charset="0"/>
                <a:cs typeface="Times New Roman" panose="02020603050405020304" pitchFamily="18" charset="0"/>
              </a:rPr>
              <a:t> бытовых услуг</a:t>
            </a:r>
            <a:r>
              <a:rPr lang="ru-RU" sz="1199">
                <a:latin typeface="Times New Roman" panose="02020603050405020304" pitchFamily="18" charset="0"/>
                <a:cs typeface="Times New Roman" panose="02020603050405020304" pitchFamily="18" charset="0"/>
              </a:rPr>
              <a:t>" за период 2011-2020 годы</a:t>
            </a:r>
          </a:p>
        </c:rich>
      </c:tx>
      <c:overlay val="0"/>
    </c:title>
    <c:autoTitleDeleted val="0"/>
    <c:plotArea>
      <c:layout/>
      <c:lineChart>
        <c:grouping val="standard"/>
        <c:varyColors val="0"/>
        <c:ser>
          <c:idx val="0"/>
          <c:order val="0"/>
          <c:tx>
            <c:v>Факт</c:v>
          </c:tx>
          <c:cat>
            <c:numRef>
              <c:f>Данные!$C$11:$L$11</c:f>
              <c:numCache>
                <c:formatCode>General</c:formatCode>
                <c:ptCount val="10"/>
                <c:pt idx="0">
                  <c:v>2011</c:v>
                </c:pt>
                <c:pt idx="1">
                  <c:v>2012</c:v>
                </c:pt>
                <c:pt idx="2">
                  <c:v>2013</c:v>
                </c:pt>
                <c:pt idx="3">
                  <c:v>2014</c:v>
                </c:pt>
                <c:pt idx="4">
                  <c:v>2015</c:v>
                </c:pt>
                <c:pt idx="5">
                  <c:v>2016</c:v>
                </c:pt>
                <c:pt idx="6">
                  <c:v>2017</c:v>
                </c:pt>
                <c:pt idx="7">
                  <c:v>2018</c:v>
                </c:pt>
                <c:pt idx="8">
                  <c:v>2019</c:v>
                </c:pt>
                <c:pt idx="9">
                  <c:v>2020</c:v>
                </c:pt>
              </c:numCache>
            </c:numRef>
          </c:cat>
          <c:val>
            <c:numRef>
              <c:f>Данные!$C$13:$J$13</c:f>
              <c:numCache>
                <c:formatCode>#,##0.00</c:formatCode>
                <c:ptCount val="8"/>
                <c:pt idx="0">
                  <c:v>7817.1</c:v>
                </c:pt>
                <c:pt idx="1">
                  <c:v>7501.8</c:v>
                </c:pt>
                <c:pt idx="2">
                  <c:v>6976.5</c:v>
                </c:pt>
                <c:pt idx="3">
                  <c:v>6619.59</c:v>
                </c:pt>
                <c:pt idx="4">
                  <c:v>6510.1</c:v>
                </c:pt>
                <c:pt idx="5">
                  <c:v>6397.4699999999993</c:v>
                </c:pt>
                <c:pt idx="6">
                  <c:v>6305.1100000000006</c:v>
                </c:pt>
                <c:pt idx="7">
                  <c:v>6466.41</c:v>
                </c:pt>
              </c:numCache>
            </c:numRef>
          </c:val>
          <c:smooth val="0"/>
        </c:ser>
        <c:ser>
          <c:idx val="1"/>
          <c:order val="1"/>
          <c:tx>
            <c:v>План</c:v>
          </c:tx>
          <c:cat>
            <c:numRef>
              <c:f>Данные!$C$11:$L$11</c:f>
              <c:numCache>
                <c:formatCode>General</c:formatCode>
                <c:ptCount val="10"/>
                <c:pt idx="0">
                  <c:v>2011</c:v>
                </c:pt>
                <c:pt idx="1">
                  <c:v>2012</c:v>
                </c:pt>
                <c:pt idx="2">
                  <c:v>2013</c:v>
                </c:pt>
                <c:pt idx="3">
                  <c:v>2014</c:v>
                </c:pt>
                <c:pt idx="4">
                  <c:v>2015</c:v>
                </c:pt>
                <c:pt idx="5">
                  <c:v>2016</c:v>
                </c:pt>
                <c:pt idx="6">
                  <c:v>2017</c:v>
                </c:pt>
                <c:pt idx="7">
                  <c:v>2018</c:v>
                </c:pt>
                <c:pt idx="8">
                  <c:v>2019</c:v>
                </c:pt>
                <c:pt idx="9">
                  <c:v>2020</c:v>
                </c:pt>
              </c:numCache>
            </c:numRef>
          </c:cat>
          <c:val>
            <c:numRef>
              <c:f>Данные!$C$12:$L$12</c:f>
              <c:numCache>
                <c:formatCode>#,##0.00</c:formatCode>
                <c:ptCount val="10"/>
                <c:pt idx="0">
                  <c:v>10052</c:v>
                </c:pt>
                <c:pt idx="1">
                  <c:v>9592.7999999999975</c:v>
                </c:pt>
                <c:pt idx="2">
                  <c:v>7817</c:v>
                </c:pt>
                <c:pt idx="3">
                  <c:v>7475.9</c:v>
                </c:pt>
                <c:pt idx="4">
                  <c:v>7405.4000000000005</c:v>
                </c:pt>
                <c:pt idx="5">
                  <c:v>7405.4000000000005</c:v>
                </c:pt>
                <c:pt idx="6">
                  <c:v>7405.4000000000005</c:v>
                </c:pt>
                <c:pt idx="7">
                  <c:v>7405.4000000000005</c:v>
                </c:pt>
                <c:pt idx="8">
                  <c:v>7405.4000000000005</c:v>
                </c:pt>
                <c:pt idx="9" formatCode="General">
                  <c:v>6606.58</c:v>
                </c:pt>
              </c:numCache>
            </c:numRef>
          </c:val>
          <c:smooth val="0"/>
        </c:ser>
        <c:dLbls>
          <c:showLegendKey val="0"/>
          <c:showVal val="0"/>
          <c:showCatName val="0"/>
          <c:showSerName val="0"/>
          <c:showPercent val="0"/>
          <c:showBubbleSize val="0"/>
        </c:dLbls>
        <c:marker val="1"/>
        <c:smooth val="0"/>
        <c:axId val="300987392"/>
        <c:axId val="296384128"/>
      </c:lineChart>
      <c:catAx>
        <c:axId val="300987392"/>
        <c:scaling>
          <c:orientation val="minMax"/>
        </c:scaling>
        <c:delete val="0"/>
        <c:axPos val="b"/>
        <c:title>
          <c:tx>
            <c:rich>
              <a:bodyPr/>
              <a:lstStyle/>
              <a:p>
                <a:pPr>
                  <a:defRPr sz="1099" b="1" i="0" u="none" strike="noStrike" baseline="0">
                    <a:solidFill>
                      <a:srgbClr val="000000"/>
                    </a:solidFill>
                    <a:latin typeface="Times New Roman"/>
                    <a:ea typeface="Times New Roman"/>
                    <a:cs typeface="Times New Roman"/>
                  </a:defRPr>
                </a:pPr>
                <a:r>
                  <a:rPr lang="ru-RU"/>
                  <a:t>Год</a:t>
                </a:r>
              </a:p>
            </c:rich>
          </c:tx>
          <c:overlay val="0"/>
        </c:title>
        <c:numFmt formatCode="General" sourceLinked="1"/>
        <c:majorTickMark val="out"/>
        <c:minorTickMark val="none"/>
        <c:tickLblPos val="nextTo"/>
        <c:txPr>
          <a:bodyPr/>
          <a:lstStyle/>
          <a:p>
            <a:pPr>
              <a:defRPr sz="1099">
                <a:latin typeface="Times New Roman" panose="02020603050405020304" pitchFamily="18" charset="0"/>
                <a:cs typeface="Times New Roman" panose="02020603050405020304" pitchFamily="18" charset="0"/>
              </a:defRPr>
            </a:pPr>
            <a:endParaRPr lang="ru-RU"/>
          </a:p>
        </c:txPr>
        <c:crossAx val="296384128"/>
        <c:crosses val="autoZero"/>
        <c:auto val="1"/>
        <c:lblAlgn val="ctr"/>
        <c:lblOffset val="100"/>
        <c:noMultiLvlLbl val="0"/>
      </c:catAx>
      <c:valAx>
        <c:axId val="296384128"/>
        <c:scaling>
          <c:orientation val="minMax"/>
          <c:max val="11000"/>
          <c:min val="6000"/>
        </c:scaling>
        <c:delete val="0"/>
        <c:axPos val="l"/>
        <c:majorGridlines/>
        <c:title>
          <c:tx>
            <c:rich>
              <a:bodyPr/>
              <a:lstStyle/>
              <a:p>
                <a:pPr>
                  <a:defRPr sz="1099" b="1" i="0" u="none" strike="noStrike" baseline="0">
                    <a:solidFill>
                      <a:srgbClr val="000000"/>
                    </a:solidFill>
                    <a:latin typeface="Times New Roman"/>
                    <a:ea typeface="Times New Roman"/>
                    <a:cs typeface="Times New Roman"/>
                  </a:defRPr>
                </a:pPr>
                <a:r>
                  <a:rPr lang="ru-RU"/>
                  <a:t>Объём реализации, тыс. куб. м.</a:t>
                </a:r>
              </a:p>
            </c:rich>
          </c:tx>
          <c:overlay val="0"/>
        </c:title>
        <c:numFmt formatCode="#,##0.00" sourceLinked="1"/>
        <c:majorTickMark val="out"/>
        <c:minorTickMark val="none"/>
        <c:tickLblPos val="nextTo"/>
        <c:txPr>
          <a:bodyPr/>
          <a:lstStyle/>
          <a:p>
            <a:pPr>
              <a:defRPr sz="1099">
                <a:latin typeface="Times New Roman" panose="02020603050405020304" pitchFamily="18" charset="0"/>
                <a:cs typeface="Times New Roman" panose="02020603050405020304" pitchFamily="18" charset="0"/>
              </a:defRPr>
            </a:pPr>
            <a:endParaRPr lang="ru-RU"/>
          </a:p>
        </c:txPr>
        <c:crossAx val="300987392"/>
        <c:crosses val="autoZero"/>
        <c:crossBetween val="between"/>
        <c:majorUnit val="500"/>
      </c:valAx>
    </c:plotArea>
    <c:legend>
      <c:legendPos val="r"/>
      <c:overlay val="0"/>
      <c:txPr>
        <a:bodyPr/>
        <a:lstStyle/>
        <a:p>
          <a:pPr>
            <a:defRPr sz="1099">
              <a:latin typeface="Times New Roman" panose="02020603050405020304" pitchFamily="18" charset="0"/>
              <a:cs typeface="Times New Roman" panose="02020603050405020304" pitchFamily="18" charset="0"/>
            </a:defRPr>
          </a:pPr>
          <a:endParaRPr lang="ru-RU"/>
        </a:p>
      </c:txPr>
    </c:legend>
    <c:plotVisOnly val="1"/>
    <c:dispBlanksAs val="gap"/>
    <c:showDLblsOverMax val="0"/>
  </c:chart>
  <c:spPr>
    <a:ln>
      <a:noFill/>
    </a:ln>
  </c:spPr>
  <c:externalData r:id="rId2">
    <c:autoUpdate val="0"/>
  </c:externalData>
</c:chartSpace>
</file>

<file path=word/charts/chart21.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13"/>
    </mc:Choice>
    <mc:Fallback>
      <c:style val="13"/>
    </mc:Fallback>
  </mc:AlternateContent>
  <c:clrMapOvr bg1="lt1" tx1="dk1" bg2="lt2" tx2="dk2" accent1="accent1" accent2="accent2" accent3="accent3" accent4="accent4" accent5="accent5" accent6="accent6" hlink="hlink" folHlink="folHlink"/>
  <c:chart>
    <c:title>
      <c:tx>
        <c:rich>
          <a:bodyPr/>
          <a:lstStyle/>
          <a:p>
            <a:pPr>
              <a:defRPr sz="1097">
                <a:latin typeface="Times New Roman" panose="02020603050405020304" pitchFamily="18" charset="0"/>
                <a:cs typeface="Times New Roman" panose="02020603050405020304" pitchFamily="18" charset="0"/>
              </a:defRPr>
            </a:pPr>
            <a:r>
              <a:rPr lang="ru-RU" sz="1099">
                <a:latin typeface="Times New Roman" panose="02020603050405020304" pitchFamily="18" charset="0"/>
                <a:cs typeface="Times New Roman" panose="02020603050405020304" pitchFamily="18" charset="0"/>
              </a:rPr>
              <a:t>Динамика изменения тарифов на питьевую воду для</a:t>
            </a:r>
          </a:p>
          <a:p>
            <a:pPr>
              <a:defRPr sz="1097">
                <a:latin typeface="Times New Roman" panose="02020603050405020304" pitchFamily="18" charset="0"/>
                <a:cs typeface="Times New Roman" panose="02020603050405020304" pitchFamily="18" charset="0"/>
              </a:defRPr>
            </a:pPr>
            <a:r>
              <a:rPr lang="ru-RU" sz="1099">
                <a:latin typeface="Times New Roman" panose="02020603050405020304" pitchFamily="18" charset="0"/>
                <a:cs typeface="Times New Roman" panose="02020603050405020304" pitchFamily="18" charset="0"/>
              </a:rPr>
              <a:t>МУП  "Комбинат</a:t>
            </a:r>
            <a:r>
              <a:rPr lang="ru-RU" sz="1099" baseline="0">
                <a:latin typeface="Times New Roman" panose="02020603050405020304" pitchFamily="18" charset="0"/>
                <a:cs typeface="Times New Roman" panose="02020603050405020304" pitchFamily="18" charset="0"/>
              </a:rPr>
              <a:t> бытовых услуг</a:t>
            </a:r>
            <a:r>
              <a:rPr lang="ru-RU" sz="1099">
                <a:latin typeface="Times New Roman" panose="02020603050405020304" pitchFamily="18" charset="0"/>
                <a:cs typeface="Times New Roman" panose="02020603050405020304" pitchFamily="18" charset="0"/>
              </a:rPr>
              <a:t>"</a:t>
            </a:r>
          </a:p>
          <a:p>
            <a:pPr>
              <a:defRPr sz="1097">
                <a:latin typeface="Times New Roman" panose="02020603050405020304" pitchFamily="18" charset="0"/>
                <a:cs typeface="Times New Roman" panose="02020603050405020304" pitchFamily="18" charset="0"/>
              </a:defRPr>
            </a:pPr>
            <a:r>
              <a:rPr lang="ru-RU" sz="1099">
                <a:latin typeface="Times New Roman" panose="02020603050405020304" pitchFamily="18" charset="0"/>
                <a:cs typeface="Times New Roman" panose="02020603050405020304" pitchFamily="18" charset="0"/>
              </a:rPr>
              <a:t> за период 2011-2020 годы</a:t>
            </a:r>
          </a:p>
        </c:rich>
      </c:tx>
      <c:layout>
        <c:manualLayout>
          <c:xMode val="edge"/>
          <c:yMode val="edge"/>
          <c:x val="0.16360435171592252"/>
          <c:y val="1.3961561256455852E-2"/>
        </c:manualLayout>
      </c:layout>
      <c:overlay val="0"/>
    </c:title>
    <c:autoTitleDeleted val="0"/>
    <c:plotArea>
      <c:layout>
        <c:manualLayout>
          <c:layoutTarget val="inner"/>
          <c:xMode val="edge"/>
          <c:yMode val="edge"/>
          <c:x val="6.2971943664158411E-2"/>
          <c:y val="0.20257443283022991"/>
          <c:w val="0.76144090121821661"/>
          <c:h val="0.6359710972698186"/>
        </c:manualLayout>
      </c:layout>
      <c:barChart>
        <c:barDir val="col"/>
        <c:grouping val="clustered"/>
        <c:varyColors val="0"/>
        <c:ser>
          <c:idx val="1"/>
          <c:order val="0"/>
          <c:tx>
            <c:v>Величина тарифа, руб./куб.м.</c:v>
          </c:tx>
          <c:spPr>
            <a:solidFill>
              <a:schemeClr val="accent5">
                <a:lumMod val="60000"/>
                <a:lumOff val="40000"/>
              </a:schemeClr>
            </a:solidFill>
            <a:ln>
              <a:solidFill>
                <a:sysClr val="windowText" lastClr="000000"/>
              </a:solidFill>
            </a:ln>
          </c:spPr>
          <c:invertIfNegative val="0"/>
          <c:dLbls>
            <c:txPr>
              <a:bodyPr/>
              <a:lstStyle/>
              <a:p>
                <a:pPr>
                  <a:defRPr sz="999" i="1">
                    <a:latin typeface="Times New Roman" panose="02020603050405020304" pitchFamily="18" charset="0"/>
                    <a:cs typeface="Times New Roman" panose="02020603050405020304" pitchFamily="18" charset="0"/>
                  </a:defRPr>
                </a:pPr>
                <a:endParaRPr lang="ru-RU"/>
              </a:p>
            </c:txPr>
            <c:dLblPos val="inBase"/>
            <c:showLegendKey val="0"/>
            <c:showVal val="1"/>
            <c:showCatName val="0"/>
            <c:showSerName val="0"/>
            <c:showPercent val="0"/>
            <c:showBubbleSize val="0"/>
            <c:showLeaderLines val="0"/>
          </c:dLbls>
          <c:cat>
            <c:numRef>
              <c:f>Данные!$C$19:$L$19</c:f>
              <c:numCache>
                <c:formatCode>General</c:formatCode>
                <c:ptCount val="10"/>
                <c:pt idx="0">
                  <c:v>2011</c:v>
                </c:pt>
                <c:pt idx="1">
                  <c:v>2012</c:v>
                </c:pt>
                <c:pt idx="2">
                  <c:v>2013</c:v>
                </c:pt>
                <c:pt idx="3">
                  <c:v>2014</c:v>
                </c:pt>
                <c:pt idx="4">
                  <c:v>2015</c:v>
                </c:pt>
                <c:pt idx="5">
                  <c:v>2016</c:v>
                </c:pt>
                <c:pt idx="6">
                  <c:v>2017</c:v>
                </c:pt>
                <c:pt idx="7">
                  <c:v>2018</c:v>
                </c:pt>
                <c:pt idx="8">
                  <c:v>2019</c:v>
                </c:pt>
                <c:pt idx="9">
                  <c:v>2020</c:v>
                </c:pt>
              </c:numCache>
            </c:numRef>
          </c:cat>
          <c:val>
            <c:numRef>
              <c:f>Данные!$C$20:$L$20</c:f>
              <c:numCache>
                <c:formatCode>#,##0.00</c:formatCode>
                <c:ptCount val="10"/>
                <c:pt idx="0">
                  <c:v>14.221200734878908</c:v>
                </c:pt>
                <c:pt idx="1">
                  <c:v>14.640546419793434</c:v>
                </c:pt>
                <c:pt idx="2">
                  <c:v>16.25</c:v>
                </c:pt>
                <c:pt idx="3">
                  <c:v>15.81</c:v>
                </c:pt>
                <c:pt idx="4">
                  <c:v>17.38</c:v>
                </c:pt>
                <c:pt idx="5">
                  <c:v>17.84</c:v>
                </c:pt>
                <c:pt idx="6">
                  <c:v>18.37</c:v>
                </c:pt>
                <c:pt idx="7">
                  <c:v>18.920000000000002</c:v>
                </c:pt>
                <c:pt idx="8">
                  <c:v>19.850000000000001</c:v>
                </c:pt>
                <c:pt idx="9" formatCode="0.00">
                  <c:v>20.82</c:v>
                </c:pt>
              </c:numCache>
            </c:numRef>
          </c:val>
        </c:ser>
        <c:dLbls>
          <c:showLegendKey val="0"/>
          <c:showVal val="0"/>
          <c:showCatName val="0"/>
          <c:showSerName val="0"/>
          <c:showPercent val="0"/>
          <c:showBubbleSize val="0"/>
        </c:dLbls>
        <c:gapWidth val="0"/>
        <c:axId val="300989440"/>
        <c:axId val="300597248"/>
      </c:barChart>
      <c:catAx>
        <c:axId val="300989440"/>
        <c:scaling>
          <c:orientation val="minMax"/>
        </c:scaling>
        <c:delete val="0"/>
        <c:axPos val="b"/>
        <c:title>
          <c:tx>
            <c:rich>
              <a:bodyPr/>
              <a:lstStyle/>
              <a:p>
                <a:pPr>
                  <a:defRPr sz="1099" b="1" i="0" u="none" strike="noStrike" baseline="0">
                    <a:solidFill>
                      <a:srgbClr val="000000"/>
                    </a:solidFill>
                    <a:latin typeface="Times New Roman"/>
                    <a:ea typeface="Times New Roman"/>
                    <a:cs typeface="Times New Roman"/>
                  </a:defRPr>
                </a:pPr>
                <a:r>
                  <a:rPr lang="ru-RU"/>
                  <a:t>Год</a:t>
                </a:r>
              </a:p>
            </c:rich>
          </c:tx>
          <c:overlay val="0"/>
        </c:title>
        <c:numFmt formatCode="General" sourceLinked="1"/>
        <c:majorTickMark val="out"/>
        <c:minorTickMark val="none"/>
        <c:tickLblPos val="nextTo"/>
        <c:txPr>
          <a:bodyPr/>
          <a:lstStyle/>
          <a:p>
            <a:pPr>
              <a:defRPr sz="1099">
                <a:latin typeface="Times New Roman" panose="02020603050405020304" pitchFamily="18" charset="0"/>
                <a:cs typeface="Times New Roman" panose="02020603050405020304" pitchFamily="18" charset="0"/>
              </a:defRPr>
            </a:pPr>
            <a:endParaRPr lang="ru-RU"/>
          </a:p>
        </c:txPr>
        <c:crossAx val="300597248"/>
        <c:crosses val="autoZero"/>
        <c:auto val="1"/>
        <c:lblAlgn val="ctr"/>
        <c:lblOffset val="100"/>
        <c:noMultiLvlLbl val="0"/>
      </c:catAx>
      <c:valAx>
        <c:axId val="300597248"/>
        <c:scaling>
          <c:orientation val="minMax"/>
        </c:scaling>
        <c:delete val="1"/>
        <c:axPos val="l"/>
        <c:majorGridlines/>
        <c:numFmt formatCode="#,##0.00" sourceLinked="1"/>
        <c:majorTickMark val="out"/>
        <c:minorTickMark val="none"/>
        <c:tickLblPos val="none"/>
        <c:crossAx val="300989440"/>
        <c:crosses val="autoZero"/>
        <c:crossBetween val="between"/>
      </c:valAx>
    </c:plotArea>
    <c:legend>
      <c:legendPos val="r"/>
      <c:layout>
        <c:manualLayout>
          <c:xMode val="edge"/>
          <c:yMode val="edge"/>
          <c:x val="0.8268774312815419"/>
          <c:y val="0.52926565630909062"/>
          <c:w val="0.15833523634404459"/>
          <c:h val="0.16811813845849916"/>
        </c:manualLayout>
      </c:layout>
      <c:overlay val="0"/>
      <c:txPr>
        <a:bodyPr/>
        <a:lstStyle/>
        <a:p>
          <a:pPr>
            <a:defRPr sz="1099" i="1">
              <a:latin typeface="Times New Roman" panose="02020603050405020304" pitchFamily="18" charset="0"/>
              <a:cs typeface="Times New Roman" panose="02020603050405020304" pitchFamily="18" charset="0"/>
            </a:defRPr>
          </a:pPr>
          <a:endParaRPr lang="ru-RU"/>
        </a:p>
      </c:txPr>
    </c:legend>
    <c:plotVisOnly val="1"/>
    <c:dispBlanksAs val="gap"/>
    <c:showDLblsOverMax val="0"/>
  </c:chart>
  <c:spPr>
    <a:ln>
      <a:noFill/>
    </a:ln>
  </c:spPr>
  <c:externalData r:id="rId2">
    <c:autoUpdate val="0"/>
  </c:externalData>
</c:chartSpace>
</file>

<file path=word/charts/chart22.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13"/>
    </mc:Choice>
    <mc:Fallback>
      <c:style val="13"/>
    </mc:Fallback>
  </mc:AlternateContent>
  <c:clrMapOvr bg1="lt1" tx1="dk1" bg2="lt2" tx2="dk2" accent1="accent1" accent2="accent2" accent3="accent3" accent4="accent4" accent5="accent5" accent6="accent6" hlink="hlink" folHlink="folHlink"/>
  <c:chart>
    <c:title>
      <c:tx>
        <c:rich>
          <a:bodyPr/>
          <a:lstStyle/>
          <a:p>
            <a:pPr>
              <a:defRPr sz="1097">
                <a:latin typeface="Times New Roman" panose="02020603050405020304" pitchFamily="18" charset="0"/>
                <a:cs typeface="Times New Roman" panose="02020603050405020304" pitchFamily="18" charset="0"/>
              </a:defRPr>
            </a:pPr>
            <a:r>
              <a:rPr lang="ru-RU" sz="1099">
                <a:latin typeface="Times New Roman" panose="02020603050405020304" pitchFamily="18" charset="0"/>
                <a:cs typeface="Times New Roman" panose="02020603050405020304" pitchFamily="18" charset="0"/>
              </a:rPr>
              <a:t>Динамика изменения тарифов на водоотведение для</a:t>
            </a:r>
          </a:p>
          <a:p>
            <a:pPr>
              <a:defRPr sz="1097">
                <a:latin typeface="Times New Roman" panose="02020603050405020304" pitchFamily="18" charset="0"/>
                <a:cs typeface="Times New Roman" panose="02020603050405020304" pitchFamily="18" charset="0"/>
              </a:defRPr>
            </a:pPr>
            <a:r>
              <a:rPr lang="ru-RU" sz="1099">
                <a:latin typeface="Times New Roman" panose="02020603050405020304" pitchFamily="18" charset="0"/>
                <a:cs typeface="Times New Roman" panose="02020603050405020304" pitchFamily="18" charset="0"/>
              </a:rPr>
              <a:t>МУП  "Комбинат</a:t>
            </a:r>
            <a:r>
              <a:rPr lang="ru-RU" sz="1099" baseline="0">
                <a:latin typeface="Times New Roman" panose="02020603050405020304" pitchFamily="18" charset="0"/>
                <a:cs typeface="Times New Roman" panose="02020603050405020304" pitchFamily="18" charset="0"/>
              </a:rPr>
              <a:t> бытовых услуг</a:t>
            </a:r>
            <a:r>
              <a:rPr lang="ru-RU" sz="1099">
                <a:latin typeface="Times New Roman" panose="02020603050405020304" pitchFamily="18" charset="0"/>
                <a:cs typeface="Times New Roman" panose="02020603050405020304" pitchFamily="18" charset="0"/>
              </a:rPr>
              <a:t>"</a:t>
            </a:r>
          </a:p>
          <a:p>
            <a:pPr>
              <a:defRPr sz="1097">
                <a:latin typeface="Times New Roman" panose="02020603050405020304" pitchFamily="18" charset="0"/>
                <a:cs typeface="Times New Roman" panose="02020603050405020304" pitchFamily="18" charset="0"/>
              </a:defRPr>
            </a:pPr>
            <a:r>
              <a:rPr lang="ru-RU" sz="1099">
                <a:latin typeface="Times New Roman" panose="02020603050405020304" pitchFamily="18" charset="0"/>
                <a:cs typeface="Times New Roman" panose="02020603050405020304" pitchFamily="18" charset="0"/>
              </a:rPr>
              <a:t> за период 2011-2020 годы</a:t>
            </a:r>
          </a:p>
        </c:rich>
      </c:tx>
      <c:layout>
        <c:manualLayout>
          <c:xMode val="edge"/>
          <c:yMode val="edge"/>
          <c:x val="0.16360435171592252"/>
          <c:y val="1.3961561256455852E-2"/>
        </c:manualLayout>
      </c:layout>
      <c:overlay val="0"/>
    </c:title>
    <c:autoTitleDeleted val="0"/>
    <c:plotArea>
      <c:layout>
        <c:manualLayout>
          <c:layoutTarget val="inner"/>
          <c:xMode val="edge"/>
          <c:yMode val="edge"/>
          <c:x val="6.2971943664158411E-2"/>
          <c:y val="0.20257443283022991"/>
          <c:w val="0.76144090121821661"/>
          <c:h val="0.6359710972698186"/>
        </c:manualLayout>
      </c:layout>
      <c:barChart>
        <c:barDir val="col"/>
        <c:grouping val="clustered"/>
        <c:varyColors val="0"/>
        <c:ser>
          <c:idx val="1"/>
          <c:order val="0"/>
          <c:tx>
            <c:v>Величина тарифа, руб./куб.м.</c:v>
          </c:tx>
          <c:spPr>
            <a:ln>
              <a:solidFill>
                <a:sysClr val="windowText" lastClr="000000"/>
              </a:solidFill>
            </a:ln>
          </c:spPr>
          <c:invertIfNegative val="0"/>
          <c:dLbls>
            <c:txPr>
              <a:bodyPr/>
              <a:lstStyle/>
              <a:p>
                <a:pPr>
                  <a:defRPr sz="999" i="1">
                    <a:latin typeface="Times New Roman" panose="02020603050405020304" pitchFamily="18" charset="0"/>
                    <a:cs typeface="Times New Roman" panose="02020603050405020304" pitchFamily="18" charset="0"/>
                  </a:defRPr>
                </a:pPr>
                <a:endParaRPr lang="ru-RU"/>
              </a:p>
            </c:txPr>
            <c:dLblPos val="inBase"/>
            <c:showLegendKey val="0"/>
            <c:showVal val="1"/>
            <c:showCatName val="0"/>
            <c:showSerName val="0"/>
            <c:showPercent val="0"/>
            <c:showBubbleSize val="0"/>
            <c:showLeaderLines val="0"/>
          </c:dLbls>
          <c:cat>
            <c:numRef>
              <c:f>Данные!$C$25:$L$25</c:f>
              <c:numCache>
                <c:formatCode>General</c:formatCode>
                <c:ptCount val="10"/>
                <c:pt idx="0">
                  <c:v>2011</c:v>
                </c:pt>
                <c:pt idx="1">
                  <c:v>2012</c:v>
                </c:pt>
                <c:pt idx="2">
                  <c:v>2013</c:v>
                </c:pt>
                <c:pt idx="3">
                  <c:v>2014</c:v>
                </c:pt>
                <c:pt idx="4">
                  <c:v>2015</c:v>
                </c:pt>
                <c:pt idx="5">
                  <c:v>2016</c:v>
                </c:pt>
                <c:pt idx="6">
                  <c:v>2017</c:v>
                </c:pt>
                <c:pt idx="7">
                  <c:v>2018</c:v>
                </c:pt>
                <c:pt idx="8">
                  <c:v>2019</c:v>
                </c:pt>
                <c:pt idx="9">
                  <c:v>2020</c:v>
                </c:pt>
              </c:numCache>
            </c:numRef>
          </c:cat>
          <c:val>
            <c:numRef>
              <c:f>Данные!$C$26:$L$26</c:f>
              <c:numCache>
                <c:formatCode>#,##0.00</c:formatCode>
                <c:ptCount val="10"/>
                <c:pt idx="0">
                  <c:v>19.22</c:v>
                </c:pt>
                <c:pt idx="1">
                  <c:v>20.366947223426735</c:v>
                </c:pt>
                <c:pt idx="2">
                  <c:v>22.6</c:v>
                </c:pt>
                <c:pt idx="3">
                  <c:v>26.55</c:v>
                </c:pt>
                <c:pt idx="4">
                  <c:v>26.55</c:v>
                </c:pt>
                <c:pt idx="5">
                  <c:v>27.41</c:v>
                </c:pt>
                <c:pt idx="6">
                  <c:v>28.24</c:v>
                </c:pt>
                <c:pt idx="7">
                  <c:v>29.08</c:v>
                </c:pt>
                <c:pt idx="8">
                  <c:v>30.5</c:v>
                </c:pt>
                <c:pt idx="9" formatCode="General">
                  <c:v>31.99</c:v>
                </c:pt>
              </c:numCache>
            </c:numRef>
          </c:val>
        </c:ser>
        <c:dLbls>
          <c:showLegendKey val="0"/>
          <c:showVal val="0"/>
          <c:showCatName val="0"/>
          <c:showSerName val="0"/>
          <c:showPercent val="0"/>
          <c:showBubbleSize val="0"/>
        </c:dLbls>
        <c:gapWidth val="0"/>
        <c:axId val="301187072"/>
        <c:axId val="300598976"/>
      </c:barChart>
      <c:catAx>
        <c:axId val="301187072"/>
        <c:scaling>
          <c:orientation val="minMax"/>
        </c:scaling>
        <c:delete val="0"/>
        <c:axPos val="b"/>
        <c:title>
          <c:tx>
            <c:rich>
              <a:bodyPr/>
              <a:lstStyle/>
              <a:p>
                <a:pPr>
                  <a:defRPr sz="1099" b="1" i="0" u="none" strike="noStrike" baseline="0">
                    <a:solidFill>
                      <a:srgbClr val="000000"/>
                    </a:solidFill>
                    <a:latin typeface="Times New Roman"/>
                    <a:ea typeface="Times New Roman"/>
                    <a:cs typeface="Times New Roman"/>
                  </a:defRPr>
                </a:pPr>
                <a:r>
                  <a:rPr lang="ru-RU"/>
                  <a:t>Год</a:t>
                </a:r>
              </a:p>
            </c:rich>
          </c:tx>
          <c:overlay val="0"/>
        </c:title>
        <c:numFmt formatCode="General" sourceLinked="1"/>
        <c:majorTickMark val="out"/>
        <c:minorTickMark val="none"/>
        <c:tickLblPos val="nextTo"/>
        <c:txPr>
          <a:bodyPr/>
          <a:lstStyle/>
          <a:p>
            <a:pPr>
              <a:defRPr sz="1099">
                <a:latin typeface="Times New Roman" panose="02020603050405020304" pitchFamily="18" charset="0"/>
                <a:cs typeface="Times New Roman" panose="02020603050405020304" pitchFamily="18" charset="0"/>
              </a:defRPr>
            </a:pPr>
            <a:endParaRPr lang="ru-RU"/>
          </a:p>
        </c:txPr>
        <c:crossAx val="300598976"/>
        <c:crosses val="autoZero"/>
        <c:auto val="1"/>
        <c:lblAlgn val="ctr"/>
        <c:lblOffset val="100"/>
        <c:noMultiLvlLbl val="0"/>
      </c:catAx>
      <c:valAx>
        <c:axId val="300598976"/>
        <c:scaling>
          <c:orientation val="minMax"/>
        </c:scaling>
        <c:delete val="1"/>
        <c:axPos val="l"/>
        <c:majorGridlines/>
        <c:numFmt formatCode="#,##0.00" sourceLinked="1"/>
        <c:majorTickMark val="out"/>
        <c:minorTickMark val="none"/>
        <c:tickLblPos val="none"/>
        <c:crossAx val="301187072"/>
        <c:crosses val="autoZero"/>
        <c:crossBetween val="between"/>
      </c:valAx>
    </c:plotArea>
    <c:legend>
      <c:legendPos val="r"/>
      <c:layout>
        <c:manualLayout>
          <c:xMode val="edge"/>
          <c:yMode val="edge"/>
          <c:x val="0.8268774312815419"/>
          <c:y val="0.52926565630909062"/>
          <c:w val="0.15833523634404459"/>
          <c:h val="0.16811813845849916"/>
        </c:manualLayout>
      </c:layout>
      <c:overlay val="0"/>
      <c:txPr>
        <a:bodyPr/>
        <a:lstStyle/>
        <a:p>
          <a:pPr>
            <a:defRPr sz="1099" i="1">
              <a:latin typeface="Times New Roman" panose="02020603050405020304" pitchFamily="18" charset="0"/>
              <a:cs typeface="Times New Roman" panose="02020603050405020304" pitchFamily="18" charset="0"/>
            </a:defRPr>
          </a:pPr>
          <a:endParaRPr lang="ru-RU"/>
        </a:p>
      </c:txPr>
    </c:legend>
    <c:plotVisOnly val="1"/>
    <c:dispBlanksAs val="gap"/>
    <c:showDLblsOverMax val="0"/>
  </c:chart>
  <c:externalData r:id="rId2">
    <c:autoUpdate val="0"/>
  </c:externalData>
</c:chartSpace>
</file>

<file path=word/charts/chart23.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a:lstStyle/>
          <a:p>
            <a:pPr>
              <a:defRPr sz="1001" b="0" i="0" u="none" strike="noStrike" baseline="0">
                <a:solidFill>
                  <a:srgbClr val="000000"/>
                </a:solidFill>
                <a:latin typeface="Times New Roman"/>
                <a:ea typeface="Times New Roman"/>
                <a:cs typeface="Times New Roman"/>
              </a:defRPr>
            </a:pPr>
            <a:r>
              <a:rPr lang="ru-RU" sz="1096" b="1" i="0" u="none" strike="noStrike" baseline="0">
                <a:solidFill>
                  <a:srgbClr val="000000"/>
                </a:solidFill>
                <a:latin typeface="Times New Roman"/>
                <a:cs typeface="Times New Roman"/>
              </a:rPr>
              <a:t>Структура тарифа на питьевую воду </a:t>
            </a:r>
          </a:p>
          <a:p>
            <a:pPr>
              <a:defRPr sz="1001" b="0" i="0" u="none" strike="noStrike" baseline="0">
                <a:solidFill>
                  <a:srgbClr val="000000"/>
                </a:solidFill>
                <a:latin typeface="Times New Roman"/>
                <a:ea typeface="Times New Roman"/>
                <a:cs typeface="Times New Roman"/>
              </a:defRPr>
            </a:pPr>
            <a:r>
              <a:rPr lang="ru-RU" sz="1096" b="1" i="0" u="none" strike="noStrike" baseline="0">
                <a:solidFill>
                  <a:srgbClr val="000000"/>
                </a:solidFill>
                <a:latin typeface="Times New Roman"/>
                <a:cs typeface="Times New Roman"/>
              </a:rPr>
              <a:t>МУП  "Комбинат бытовых услуг" г.Бердск  на 2020 год</a:t>
            </a:r>
          </a:p>
        </c:rich>
      </c:tx>
      <c:layout>
        <c:manualLayout>
          <c:xMode val="edge"/>
          <c:yMode val="edge"/>
          <c:x val="0.14588469544755181"/>
          <c:y val="5.4046784297948167E-2"/>
        </c:manualLayout>
      </c:layout>
      <c:overlay val="0"/>
      <c:spPr>
        <a:noFill/>
        <a:ln w="23195">
          <a:noFill/>
        </a:ln>
      </c:spPr>
    </c:title>
    <c:autoTitleDeleted val="0"/>
    <c:view3D>
      <c:rotX val="15"/>
      <c:rotY val="0"/>
      <c:rAngAx val="0"/>
      <c:perspective val="0"/>
    </c:view3D>
    <c:floor>
      <c:thickness val="0"/>
    </c:floor>
    <c:sideWall>
      <c:thickness val="0"/>
    </c:sideWall>
    <c:backWall>
      <c:thickness val="0"/>
    </c:backWall>
    <c:plotArea>
      <c:layout>
        <c:manualLayout>
          <c:layoutTarget val="inner"/>
          <c:xMode val="edge"/>
          <c:yMode val="edge"/>
          <c:x val="0.29440789473684348"/>
          <c:y val="0.46024150536698205"/>
          <c:w val="0.41282894736842318"/>
          <c:h val="0.24096413893559332"/>
        </c:manualLayout>
      </c:layout>
      <c:pie3DChart>
        <c:varyColors val="1"/>
        <c:ser>
          <c:idx val="0"/>
          <c:order val="0"/>
          <c:spPr>
            <a:solidFill>
              <a:srgbClr val="9999FF"/>
            </a:solidFill>
            <a:ln w="11598">
              <a:solidFill>
                <a:srgbClr val="000000"/>
              </a:solidFill>
              <a:prstDash val="solid"/>
            </a:ln>
          </c:spPr>
          <c:dPt>
            <c:idx val="1"/>
            <c:bubble3D val="0"/>
            <c:spPr>
              <a:solidFill>
                <a:srgbClr val="993366"/>
              </a:solidFill>
              <a:ln w="11598">
                <a:solidFill>
                  <a:srgbClr val="000000"/>
                </a:solidFill>
                <a:prstDash val="solid"/>
              </a:ln>
            </c:spPr>
          </c:dPt>
          <c:dPt>
            <c:idx val="2"/>
            <c:bubble3D val="0"/>
            <c:spPr>
              <a:solidFill>
                <a:srgbClr val="FFFFCC"/>
              </a:solidFill>
              <a:ln w="11598">
                <a:solidFill>
                  <a:srgbClr val="000000"/>
                </a:solidFill>
                <a:prstDash val="solid"/>
              </a:ln>
            </c:spPr>
          </c:dPt>
          <c:dPt>
            <c:idx val="3"/>
            <c:bubble3D val="0"/>
            <c:spPr>
              <a:solidFill>
                <a:srgbClr val="CCFFFF"/>
              </a:solidFill>
              <a:ln w="11598">
                <a:solidFill>
                  <a:srgbClr val="000000"/>
                </a:solidFill>
                <a:prstDash val="solid"/>
              </a:ln>
            </c:spPr>
          </c:dPt>
          <c:dPt>
            <c:idx val="4"/>
            <c:bubble3D val="0"/>
            <c:spPr>
              <a:solidFill>
                <a:srgbClr val="660066"/>
              </a:solidFill>
              <a:ln w="11598">
                <a:solidFill>
                  <a:srgbClr val="000000"/>
                </a:solidFill>
                <a:prstDash val="solid"/>
              </a:ln>
            </c:spPr>
          </c:dPt>
          <c:dPt>
            <c:idx val="5"/>
            <c:bubble3D val="0"/>
            <c:spPr>
              <a:solidFill>
                <a:srgbClr val="FF8080"/>
              </a:solidFill>
              <a:ln w="11598">
                <a:solidFill>
                  <a:srgbClr val="000000"/>
                </a:solidFill>
                <a:prstDash val="solid"/>
              </a:ln>
            </c:spPr>
          </c:dPt>
          <c:dPt>
            <c:idx val="6"/>
            <c:bubble3D val="0"/>
            <c:spPr>
              <a:solidFill>
                <a:srgbClr val="0066CC"/>
              </a:solidFill>
              <a:ln w="11598">
                <a:solidFill>
                  <a:srgbClr val="000000"/>
                </a:solidFill>
                <a:prstDash val="solid"/>
              </a:ln>
            </c:spPr>
          </c:dPt>
          <c:dPt>
            <c:idx val="7"/>
            <c:bubble3D val="0"/>
            <c:spPr>
              <a:solidFill>
                <a:srgbClr val="CCCCFF"/>
              </a:solidFill>
              <a:ln w="11598">
                <a:solidFill>
                  <a:srgbClr val="000000"/>
                </a:solidFill>
                <a:prstDash val="solid"/>
              </a:ln>
            </c:spPr>
          </c:dPt>
          <c:dLbls>
            <c:dLbl>
              <c:idx val="6"/>
              <c:layout>
                <c:manualLayout>
                  <c:x val="-2.4430687940323353E-2"/>
                  <c:y val="-1.2502592283856627E-2"/>
                </c:manualLayout>
              </c:layout>
              <c:dLblPos val="bestFit"/>
              <c:showLegendKey val="0"/>
              <c:showVal val="0"/>
              <c:showCatName val="1"/>
              <c:showSerName val="0"/>
              <c:showPercent val="1"/>
              <c:showBubbleSize val="0"/>
            </c:dLbl>
            <c:numFmt formatCode="0%" sourceLinked="0"/>
            <c:spPr>
              <a:noFill/>
              <a:ln w="23195">
                <a:noFill/>
              </a:ln>
            </c:spPr>
            <c:txPr>
              <a:bodyPr/>
              <a:lstStyle/>
              <a:p>
                <a:pPr>
                  <a:defRPr sz="913" b="0" i="0" u="none" strike="noStrike" baseline="0">
                    <a:solidFill>
                      <a:srgbClr val="000000"/>
                    </a:solidFill>
                    <a:latin typeface="Times New Roman"/>
                    <a:ea typeface="Times New Roman"/>
                    <a:cs typeface="Times New Roman"/>
                  </a:defRPr>
                </a:pPr>
                <a:endParaRPr lang="ru-RU"/>
              </a:p>
            </c:txPr>
            <c:showLegendKey val="0"/>
            <c:showVal val="0"/>
            <c:showCatName val="1"/>
            <c:showSerName val="0"/>
            <c:showPercent val="1"/>
            <c:showBubbleSize val="0"/>
            <c:showLeaderLines val="1"/>
          </c:dLbls>
          <c:cat>
            <c:strRef>
              <c:f>'ВС КБУ'!$A$38:$A$45</c:f>
              <c:strCache>
                <c:ptCount val="8"/>
                <c:pt idx="0">
                  <c:v>Реагенты</c:v>
                </c:pt>
                <c:pt idx="1">
                  <c:v>Электроэнергия </c:v>
                </c:pt>
                <c:pt idx="2">
                  <c:v>Оплата труда ОПР и отчисления</c:v>
                </c:pt>
                <c:pt idx="3">
                  <c:v>Амортизация и ремонты</c:v>
                </c:pt>
                <c:pt idx="4">
                  <c:v>Прочие </c:v>
                </c:pt>
                <c:pt idx="5">
                  <c:v>Цеховые</c:v>
                </c:pt>
                <c:pt idx="6">
                  <c:v>Общехозяйственные</c:v>
                </c:pt>
                <c:pt idx="7">
                  <c:v>Прибыль </c:v>
                </c:pt>
              </c:strCache>
            </c:strRef>
          </c:cat>
          <c:val>
            <c:numRef>
              <c:f>'ВС КБУ'!$B$38:$B$45</c:f>
              <c:numCache>
                <c:formatCode>#,##0.00</c:formatCode>
                <c:ptCount val="8"/>
                <c:pt idx="0">
                  <c:v>8118.74</c:v>
                </c:pt>
                <c:pt idx="1">
                  <c:v>20837.419999999995</c:v>
                </c:pt>
                <c:pt idx="2">
                  <c:v>27958.58</c:v>
                </c:pt>
                <c:pt idx="3">
                  <c:v>29458.74</c:v>
                </c:pt>
                <c:pt idx="4">
                  <c:v>1537.8199999999902</c:v>
                </c:pt>
                <c:pt idx="5">
                  <c:v>16672.189999999995</c:v>
                </c:pt>
                <c:pt idx="6">
                  <c:v>21724.329999999998</c:v>
                </c:pt>
                <c:pt idx="7">
                  <c:v>366.9</c:v>
                </c:pt>
              </c:numCache>
            </c:numRef>
          </c:val>
        </c:ser>
        <c:dLbls>
          <c:showLegendKey val="0"/>
          <c:showVal val="0"/>
          <c:showCatName val="0"/>
          <c:showSerName val="0"/>
          <c:showPercent val="0"/>
          <c:showBubbleSize val="0"/>
          <c:showLeaderLines val="1"/>
        </c:dLbls>
      </c:pie3DChart>
      <c:spPr>
        <a:noFill/>
        <a:ln w="23195">
          <a:noFill/>
        </a:ln>
      </c:spPr>
    </c:plotArea>
    <c:plotVisOnly val="1"/>
    <c:dispBlanksAs val="zero"/>
    <c:showDLblsOverMax val="0"/>
  </c:chart>
  <c:spPr>
    <a:solidFill>
      <a:srgbClr val="FFFFFF"/>
    </a:solidFill>
    <a:ln w="2899">
      <a:solidFill>
        <a:srgbClr val="000000"/>
      </a:solidFill>
      <a:prstDash val="solid"/>
    </a:ln>
  </c:spPr>
  <c:txPr>
    <a:bodyPr/>
    <a:lstStyle/>
    <a:p>
      <a:pPr>
        <a:defRPr sz="1096" b="0" i="0" u="none" strike="noStrike" baseline="0">
          <a:solidFill>
            <a:srgbClr val="000000"/>
          </a:solidFill>
          <a:latin typeface="Times New Roman"/>
          <a:ea typeface="Times New Roman"/>
          <a:cs typeface="Times New Roman"/>
        </a:defRPr>
      </a:pPr>
      <a:endParaRPr lang="ru-RU"/>
    </a:p>
  </c:txPr>
  <c:externalData r:id="rId2">
    <c:autoUpdate val="0"/>
  </c:externalData>
</c:chartSpace>
</file>

<file path=word/charts/chart24.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a:lstStyle/>
          <a:p>
            <a:pPr>
              <a:defRPr sz="1012" b="0" i="0" u="none" strike="noStrike" baseline="0">
                <a:solidFill>
                  <a:srgbClr val="000000"/>
                </a:solidFill>
                <a:latin typeface="Times New Roman"/>
                <a:ea typeface="Times New Roman"/>
                <a:cs typeface="Times New Roman"/>
              </a:defRPr>
            </a:pPr>
            <a:r>
              <a:rPr lang="ru-RU" sz="1102" b="1" i="0" u="none" strike="noStrike" baseline="0">
                <a:solidFill>
                  <a:srgbClr val="000000"/>
                </a:solidFill>
                <a:latin typeface="Times New Roman"/>
                <a:cs typeface="Times New Roman"/>
              </a:rPr>
              <a:t>Структура тарифа на питьевую воду </a:t>
            </a:r>
          </a:p>
          <a:p>
            <a:pPr>
              <a:defRPr sz="1012" b="0" i="0" u="none" strike="noStrike" baseline="0">
                <a:solidFill>
                  <a:srgbClr val="000000"/>
                </a:solidFill>
                <a:latin typeface="Times New Roman"/>
                <a:ea typeface="Times New Roman"/>
                <a:cs typeface="Times New Roman"/>
              </a:defRPr>
            </a:pPr>
            <a:r>
              <a:rPr lang="ru-RU" sz="1102" b="1" i="0" u="none" strike="noStrike" baseline="0">
                <a:solidFill>
                  <a:srgbClr val="000000"/>
                </a:solidFill>
                <a:latin typeface="Times New Roman"/>
                <a:cs typeface="Times New Roman"/>
              </a:rPr>
              <a:t>МУП  "Комбинат бытовых услуг" г.Бердск  на 2019 год</a:t>
            </a:r>
          </a:p>
        </c:rich>
      </c:tx>
      <c:layout>
        <c:manualLayout>
          <c:xMode val="edge"/>
          <c:yMode val="edge"/>
          <c:x val="0.14588469544755181"/>
          <c:y val="5.4046784297948167E-2"/>
        </c:manualLayout>
      </c:layout>
      <c:overlay val="0"/>
      <c:spPr>
        <a:noFill/>
        <a:ln w="23318">
          <a:noFill/>
        </a:ln>
      </c:spPr>
    </c:title>
    <c:autoTitleDeleted val="0"/>
    <c:view3D>
      <c:rotX val="15"/>
      <c:rotY val="0"/>
      <c:rAngAx val="0"/>
      <c:perspective val="0"/>
    </c:view3D>
    <c:floor>
      <c:thickness val="0"/>
    </c:floor>
    <c:sideWall>
      <c:thickness val="0"/>
    </c:sideWall>
    <c:backWall>
      <c:thickness val="0"/>
    </c:backWall>
    <c:plotArea>
      <c:layout>
        <c:manualLayout>
          <c:layoutTarget val="inner"/>
          <c:xMode val="edge"/>
          <c:yMode val="edge"/>
          <c:x val="0.29440789473684348"/>
          <c:y val="0.46024150536698205"/>
          <c:w val="0.41282894736842318"/>
          <c:h val="0.24096413893559332"/>
        </c:manualLayout>
      </c:layout>
      <c:pie3DChart>
        <c:varyColors val="1"/>
        <c:ser>
          <c:idx val="0"/>
          <c:order val="0"/>
          <c:spPr>
            <a:solidFill>
              <a:srgbClr val="9999FF"/>
            </a:solidFill>
            <a:ln w="11659">
              <a:solidFill>
                <a:srgbClr val="000000"/>
              </a:solidFill>
              <a:prstDash val="solid"/>
            </a:ln>
          </c:spPr>
          <c:dPt>
            <c:idx val="1"/>
            <c:bubble3D val="0"/>
            <c:spPr>
              <a:solidFill>
                <a:srgbClr val="993366"/>
              </a:solidFill>
              <a:ln w="11659">
                <a:solidFill>
                  <a:srgbClr val="000000"/>
                </a:solidFill>
                <a:prstDash val="solid"/>
              </a:ln>
            </c:spPr>
          </c:dPt>
          <c:dPt>
            <c:idx val="2"/>
            <c:bubble3D val="0"/>
            <c:spPr>
              <a:solidFill>
                <a:srgbClr val="FFFFCC"/>
              </a:solidFill>
              <a:ln w="11659">
                <a:solidFill>
                  <a:srgbClr val="000000"/>
                </a:solidFill>
                <a:prstDash val="solid"/>
              </a:ln>
            </c:spPr>
          </c:dPt>
          <c:dPt>
            <c:idx val="3"/>
            <c:bubble3D val="0"/>
            <c:spPr>
              <a:solidFill>
                <a:srgbClr val="CCFFFF"/>
              </a:solidFill>
              <a:ln w="11659">
                <a:solidFill>
                  <a:srgbClr val="000000"/>
                </a:solidFill>
                <a:prstDash val="solid"/>
              </a:ln>
            </c:spPr>
          </c:dPt>
          <c:dPt>
            <c:idx val="4"/>
            <c:bubble3D val="0"/>
            <c:spPr>
              <a:solidFill>
                <a:srgbClr val="660066"/>
              </a:solidFill>
              <a:ln w="11659">
                <a:solidFill>
                  <a:srgbClr val="000000"/>
                </a:solidFill>
                <a:prstDash val="solid"/>
              </a:ln>
            </c:spPr>
          </c:dPt>
          <c:dPt>
            <c:idx val="5"/>
            <c:bubble3D val="0"/>
            <c:spPr>
              <a:solidFill>
                <a:srgbClr val="FF8080"/>
              </a:solidFill>
              <a:ln w="11659">
                <a:solidFill>
                  <a:srgbClr val="000000"/>
                </a:solidFill>
                <a:prstDash val="solid"/>
              </a:ln>
            </c:spPr>
          </c:dPt>
          <c:dPt>
            <c:idx val="6"/>
            <c:bubble3D val="0"/>
            <c:spPr>
              <a:solidFill>
                <a:srgbClr val="0066CC"/>
              </a:solidFill>
              <a:ln w="11659">
                <a:solidFill>
                  <a:srgbClr val="000000"/>
                </a:solidFill>
                <a:prstDash val="solid"/>
              </a:ln>
            </c:spPr>
          </c:dPt>
          <c:dPt>
            <c:idx val="7"/>
            <c:bubble3D val="0"/>
            <c:spPr>
              <a:solidFill>
                <a:srgbClr val="CCCCFF"/>
              </a:solidFill>
              <a:ln w="11659">
                <a:solidFill>
                  <a:srgbClr val="000000"/>
                </a:solidFill>
                <a:prstDash val="solid"/>
              </a:ln>
            </c:spPr>
          </c:dPt>
          <c:dLbls>
            <c:dLbl>
              <c:idx val="6"/>
              <c:layout>
                <c:manualLayout>
                  <c:x val="-2.4430687940323353E-2"/>
                  <c:y val="-1.2502592283856627E-2"/>
                </c:manualLayout>
              </c:layout>
              <c:dLblPos val="bestFit"/>
              <c:showLegendKey val="0"/>
              <c:showVal val="0"/>
              <c:showCatName val="1"/>
              <c:showSerName val="0"/>
              <c:showPercent val="1"/>
              <c:showBubbleSize val="0"/>
            </c:dLbl>
            <c:numFmt formatCode="0%" sourceLinked="0"/>
            <c:spPr>
              <a:noFill/>
              <a:ln w="23318">
                <a:noFill/>
              </a:ln>
            </c:spPr>
            <c:txPr>
              <a:bodyPr/>
              <a:lstStyle/>
              <a:p>
                <a:pPr>
                  <a:defRPr sz="918" b="0" i="0" u="none" strike="noStrike" baseline="0">
                    <a:solidFill>
                      <a:srgbClr val="000000"/>
                    </a:solidFill>
                    <a:latin typeface="Times New Roman"/>
                    <a:ea typeface="Times New Roman"/>
                    <a:cs typeface="Times New Roman"/>
                  </a:defRPr>
                </a:pPr>
                <a:endParaRPr lang="ru-RU"/>
              </a:p>
            </c:txPr>
            <c:showLegendKey val="0"/>
            <c:showVal val="0"/>
            <c:showCatName val="1"/>
            <c:showSerName val="0"/>
            <c:showPercent val="1"/>
            <c:showBubbleSize val="0"/>
            <c:showLeaderLines val="1"/>
          </c:dLbls>
          <c:cat>
            <c:strRef>
              <c:f>'ВС КБУ'!$E$26:$E$33</c:f>
              <c:strCache>
                <c:ptCount val="8"/>
                <c:pt idx="0">
                  <c:v>Реагенты</c:v>
                </c:pt>
                <c:pt idx="1">
                  <c:v>Электроэнергия </c:v>
                </c:pt>
                <c:pt idx="2">
                  <c:v>Оплата труда ОПР и отчисления</c:v>
                </c:pt>
                <c:pt idx="3">
                  <c:v>Амортизация и ремонты</c:v>
                </c:pt>
                <c:pt idx="4">
                  <c:v>Прочие </c:v>
                </c:pt>
                <c:pt idx="5">
                  <c:v>Цеховые</c:v>
                </c:pt>
                <c:pt idx="6">
                  <c:v>Общехозяйственные</c:v>
                </c:pt>
                <c:pt idx="7">
                  <c:v>Прибыль </c:v>
                </c:pt>
              </c:strCache>
            </c:strRef>
          </c:cat>
          <c:val>
            <c:numRef>
              <c:f>'ВС КБУ'!$F$26:$F$33</c:f>
              <c:numCache>
                <c:formatCode>#,##0.00</c:formatCode>
                <c:ptCount val="8"/>
                <c:pt idx="0">
                  <c:v>8126.05</c:v>
                </c:pt>
                <c:pt idx="1">
                  <c:v>20902.400000000001</c:v>
                </c:pt>
                <c:pt idx="2">
                  <c:v>27983.759999999995</c:v>
                </c:pt>
                <c:pt idx="3">
                  <c:v>22552.260000000006</c:v>
                </c:pt>
                <c:pt idx="4">
                  <c:v>11375.509999999984</c:v>
                </c:pt>
                <c:pt idx="5">
                  <c:v>16687.21</c:v>
                </c:pt>
                <c:pt idx="6">
                  <c:v>21743.9</c:v>
                </c:pt>
                <c:pt idx="7">
                  <c:v>395.28</c:v>
                </c:pt>
              </c:numCache>
            </c:numRef>
          </c:val>
        </c:ser>
        <c:dLbls>
          <c:showLegendKey val="0"/>
          <c:showVal val="0"/>
          <c:showCatName val="0"/>
          <c:showSerName val="0"/>
          <c:showPercent val="0"/>
          <c:showBubbleSize val="0"/>
          <c:showLeaderLines val="1"/>
        </c:dLbls>
      </c:pie3DChart>
      <c:spPr>
        <a:noFill/>
        <a:ln w="23318">
          <a:noFill/>
        </a:ln>
      </c:spPr>
    </c:plotArea>
    <c:plotVisOnly val="1"/>
    <c:dispBlanksAs val="zero"/>
    <c:showDLblsOverMax val="0"/>
  </c:chart>
  <c:spPr>
    <a:solidFill>
      <a:srgbClr val="FFFFFF"/>
    </a:solidFill>
    <a:ln w="2915">
      <a:solidFill>
        <a:srgbClr val="000000"/>
      </a:solidFill>
      <a:prstDash val="solid"/>
    </a:ln>
  </c:spPr>
  <c:txPr>
    <a:bodyPr/>
    <a:lstStyle/>
    <a:p>
      <a:pPr>
        <a:defRPr sz="1102" b="0" i="0" u="none" strike="noStrike" baseline="0">
          <a:solidFill>
            <a:srgbClr val="000000"/>
          </a:solidFill>
          <a:latin typeface="Times New Roman"/>
          <a:ea typeface="Times New Roman"/>
          <a:cs typeface="Times New Roman"/>
        </a:defRPr>
      </a:pPr>
      <a:endParaRPr lang="ru-RU"/>
    </a:p>
  </c:txPr>
  <c:externalData r:id="rId2">
    <c:autoUpdate val="0"/>
  </c:externalData>
</c:chartSpace>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word/theme/themeOverride1.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2.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3.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4.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5.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6.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7.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8.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9.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10.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11.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12.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13.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14.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docProps/app.xml><?xml version="1.0" encoding="utf-8"?>
<Properties xmlns="http://schemas.openxmlformats.org/officeDocument/2006/extended-properties" xmlns:vt="http://schemas.openxmlformats.org/officeDocument/2006/docPropsVTypes">
  <Template>Normal</Template>
  <TotalTime>0</TotalTime>
  <Pages>160</Pages>
  <Words>51044</Words>
  <Characters>290951</Characters>
  <Application>Microsoft Office Word</Application>
  <DocSecurity>0</DocSecurity>
  <Lines>2424</Lines>
  <Paragraphs>682</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341313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Марунченко</dc:creator>
  <cp:lastModifiedBy>Марунченко</cp:lastModifiedBy>
  <cp:revision>2</cp:revision>
  <cp:lastPrinted>2020-03-31T06:03:00Z</cp:lastPrinted>
  <dcterms:created xsi:type="dcterms:W3CDTF">2020-03-31T08:12:00Z</dcterms:created>
  <dcterms:modified xsi:type="dcterms:W3CDTF">2020-03-31T08:12:00Z</dcterms:modified>
</cp:coreProperties>
</file>